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ind w:left="420" w:hanging="420"/>
        <w:jc w:val="center"/>
        <w:rPr>
          <w:rFonts w:hint="default" w:ascii="仿宋" w:hAnsi="仿宋" w:eastAsia="仿宋" w:cs="仿宋_GB2312"/>
          <w:b/>
          <w:sz w:val="44"/>
          <w:szCs w:val="44"/>
          <w:highlight w:val="none"/>
          <w:lang w:val="en-US" w:eastAsia="zh-CN"/>
        </w:rPr>
      </w:pPr>
      <w:r>
        <w:rPr>
          <w:rFonts w:hint="eastAsia" w:ascii="仿宋" w:hAnsi="仿宋" w:eastAsia="仿宋" w:cs="仿宋_GB2312"/>
          <w:b/>
          <w:sz w:val="44"/>
          <w:szCs w:val="44"/>
          <w:highlight w:val="none"/>
          <w:lang w:eastAsia="zh-CN"/>
        </w:rPr>
        <w:t>诸暨市市场监督管理局2024年度食品定量检测服务采购项目</w:t>
      </w:r>
    </w:p>
    <w:p>
      <w:pPr>
        <w:jc w:val="center"/>
        <w:outlineLvl w:val="0"/>
        <w:rPr>
          <w:rFonts w:hint="eastAsia" w:ascii="仿宋" w:hAnsi="仿宋" w:eastAsia="仿宋" w:cs="仿宋"/>
          <w:b/>
          <w:sz w:val="72"/>
          <w:szCs w:val="72"/>
          <w:highlight w:val="none"/>
        </w:rPr>
      </w:pPr>
    </w:p>
    <w:p>
      <w:pPr>
        <w:pStyle w:val="79"/>
        <w:rPr>
          <w:rFonts w:hint="eastAsia"/>
          <w:highlight w:val="none"/>
        </w:rPr>
      </w:pPr>
    </w:p>
    <w:p>
      <w:pPr>
        <w:jc w:val="center"/>
        <w:outlineLvl w:val="0"/>
        <w:rPr>
          <w:rFonts w:hint="eastAsia" w:ascii="仿宋" w:hAnsi="仿宋" w:eastAsia="仿宋" w:cs="仿宋"/>
          <w:b/>
          <w:sz w:val="72"/>
          <w:szCs w:val="72"/>
          <w:highlight w:val="none"/>
        </w:rPr>
      </w:pPr>
      <w:r>
        <w:rPr>
          <w:rFonts w:hint="eastAsia" w:ascii="仿宋" w:hAnsi="仿宋" w:eastAsia="仿宋" w:cs="仿宋"/>
          <w:b/>
          <w:sz w:val="72"/>
          <w:szCs w:val="72"/>
          <w:highlight w:val="none"/>
        </w:rPr>
        <w:t>公</w:t>
      </w:r>
    </w:p>
    <w:p>
      <w:pPr>
        <w:jc w:val="center"/>
        <w:outlineLvl w:val="0"/>
        <w:rPr>
          <w:rFonts w:hint="eastAsia" w:ascii="仿宋" w:hAnsi="仿宋" w:eastAsia="仿宋" w:cs="仿宋"/>
          <w:b/>
          <w:sz w:val="72"/>
          <w:szCs w:val="72"/>
          <w:highlight w:val="none"/>
        </w:rPr>
      </w:pPr>
      <w:r>
        <w:rPr>
          <w:rFonts w:hint="eastAsia" w:ascii="仿宋" w:hAnsi="仿宋" w:eastAsia="仿宋" w:cs="仿宋"/>
          <w:b/>
          <w:sz w:val="72"/>
          <w:szCs w:val="72"/>
          <w:highlight w:val="none"/>
        </w:rPr>
        <w:t>开</w:t>
      </w:r>
    </w:p>
    <w:p>
      <w:pPr>
        <w:jc w:val="center"/>
        <w:outlineLvl w:val="0"/>
        <w:rPr>
          <w:rFonts w:hint="eastAsia" w:ascii="仿宋" w:hAnsi="仿宋" w:eastAsia="仿宋" w:cs="仿宋"/>
          <w:b/>
          <w:sz w:val="72"/>
          <w:szCs w:val="72"/>
          <w:highlight w:val="none"/>
        </w:rPr>
      </w:pPr>
      <w:r>
        <w:rPr>
          <w:rFonts w:hint="eastAsia" w:ascii="仿宋" w:hAnsi="仿宋" w:eastAsia="仿宋" w:cs="仿宋"/>
          <w:b/>
          <w:sz w:val="72"/>
          <w:szCs w:val="72"/>
          <w:highlight w:val="none"/>
        </w:rPr>
        <w:t>招</w:t>
      </w:r>
    </w:p>
    <w:p>
      <w:pPr>
        <w:jc w:val="center"/>
        <w:outlineLvl w:val="0"/>
        <w:rPr>
          <w:rFonts w:hint="eastAsia" w:ascii="仿宋" w:hAnsi="仿宋" w:eastAsia="仿宋" w:cs="仿宋"/>
          <w:b/>
          <w:sz w:val="72"/>
          <w:szCs w:val="72"/>
          <w:highlight w:val="none"/>
        </w:rPr>
      </w:pPr>
      <w:r>
        <w:rPr>
          <w:rFonts w:hint="eastAsia" w:ascii="仿宋" w:hAnsi="仿宋" w:eastAsia="仿宋" w:cs="仿宋"/>
          <w:b/>
          <w:sz w:val="72"/>
          <w:szCs w:val="72"/>
          <w:highlight w:val="none"/>
        </w:rPr>
        <w:t>标</w:t>
      </w:r>
    </w:p>
    <w:p>
      <w:pPr>
        <w:jc w:val="center"/>
        <w:outlineLvl w:val="0"/>
        <w:rPr>
          <w:rFonts w:hint="eastAsia" w:ascii="仿宋" w:hAnsi="仿宋" w:eastAsia="仿宋" w:cs="仿宋"/>
          <w:b/>
          <w:sz w:val="72"/>
          <w:szCs w:val="72"/>
          <w:highlight w:val="none"/>
        </w:rPr>
      </w:pPr>
      <w:r>
        <w:rPr>
          <w:rFonts w:hint="eastAsia" w:ascii="仿宋" w:hAnsi="仿宋" w:eastAsia="仿宋" w:cs="仿宋"/>
          <w:b/>
          <w:sz w:val="72"/>
          <w:szCs w:val="72"/>
          <w:highlight w:val="none"/>
        </w:rPr>
        <w:t>文</w:t>
      </w:r>
    </w:p>
    <w:p>
      <w:pPr>
        <w:jc w:val="center"/>
        <w:outlineLvl w:val="0"/>
        <w:rPr>
          <w:rFonts w:hint="eastAsia" w:ascii="仿宋" w:hAnsi="仿宋" w:eastAsia="仿宋" w:cs="仿宋"/>
          <w:b/>
          <w:sz w:val="72"/>
          <w:szCs w:val="72"/>
          <w:highlight w:val="none"/>
        </w:rPr>
      </w:pPr>
      <w:r>
        <w:rPr>
          <w:rFonts w:hint="eastAsia" w:ascii="仿宋" w:hAnsi="仿宋" w:eastAsia="仿宋" w:cs="仿宋"/>
          <w:b/>
          <w:sz w:val="72"/>
          <w:szCs w:val="72"/>
          <w:highlight w:val="none"/>
        </w:rPr>
        <w:t>件</w:t>
      </w:r>
    </w:p>
    <w:p>
      <w:pPr>
        <w:pStyle w:val="79"/>
        <w:rPr>
          <w:rFonts w:hint="eastAsia"/>
          <w:highlight w:val="none"/>
        </w:rPr>
      </w:pPr>
    </w:p>
    <w:p>
      <w:pPr>
        <w:adjustRightInd/>
        <w:spacing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（电子招投标）</w:t>
      </w:r>
    </w:p>
    <w:p>
      <w:pPr>
        <w:pStyle w:val="79"/>
        <w:rPr>
          <w:rFonts w:hint="eastAsia" w:ascii="仿宋" w:hAnsi="仿宋" w:eastAsia="仿宋" w:cs="仿宋"/>
          <w:b/>
          <w:sz w:val="44"/>
          <w:szCs w:val="44"/>
          <w:highlight w:val="none"/>
        </w:rPr>
      </w:pPr>
    </w:p>
    <w:p>
      <w:pPr>
        <w:spacing w:line="360" w:lineRule="auto"/>
        <w:jc w:val="both"/>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 </w:t>
      </w:r>
    </w:p>
    <w:p>
      <w:pPr>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招标编号</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JSZJ2024-01-05</w:t>
      </w:r>
    </w:p>
    <w:tbl>
      <w:tblPr>
        <w:tblStyle w:val="62"/>
        <w:tblW w:w="7801" w:type="dxa"/>
        <w:jc w:val="center"/>
        <w:tblLayout w:type="fixed"/>
        <w:tblCellMar>
          <w:top w:w="0" w:type="dxa"/>
          <w:left w:w="108" w:type="dxa"/>
          <w:bottom w:w="0" w:type="dxa"/>
          <w:right w:w="108" w:type="dxa"/>
        </w:tblCellMar>
      </w:tblPr>
      <w:tblGrid>
        <w:gridCol w:w="2356"/>
        <w:gridCol w:w="5445"/>
      </w:tblGrid>
      <w:tr>
        <w:tblPrEx>
          <w:tblCellMar>
            <w:top w:w="0" w:type="dxa"/>
            <w:left w:w="108" w:type="dxa"/>
            <w:bottom w:w="0" w:type="dxa"/>
            <w:right w:w="108" w:type="dxa"/>
          </w:tblCellMar>
        </w:tblPrEx>
        <w:trPr>
          <w:trHeight w:val="443" w:hRule="atLeast"/>
          <w:jc w:val="center"/>
        </w:trPr>
        <w:tc>
          <w:tcPr>
            <w:tcW w:w="2356" w:type="dxa"/>
          </w:tcPr>
          <w:p>
            <w:pPr>
              <w:spacing w:after="100" w:afterAutospacing="1" w:line="440" w:lineRule="exact"/>
              <w:rPr>
                <w:rFonts w:hint="eastAsia" w:ascii="仿宋" w:hAnsi="仿宋" w:eastAsia="仿宋" w:cs="仿宋"/>
                <w:sz w:val="28"/>
                <w:szCs w:val="28"/>
                <w:highlight w:val="none"/>
              </w:rPr>
            </w:pPr>
            <w:r>
              <w:rPr>
                <w:rFonts w:hint="eastAsia" w:ascii="仿宋" w:hAnsi="仿宋" w:eastAsia="仿宋" w:cs="仿宋"/>
                <w:spacing w:val="93"/>
                <w:kern w:val="0"/>
                <w:sz w:val="28"/>
                <w:szCs w:val="28"/>
                <w:highlight w:val="none"/>
              </w:rPr>
              <w:t>采购单</w:t>
            </w:r>
            <w:r>
              <w:rPr>
                <w:rFonts w:hint="eastAsia" w:ascii="仿宋" w:hAnsi="仿宋" w:eastAsia="仿宋" w:cs="仿宋"/>
                <w:spacing w:val="1"/>
                <w:kern w:val="0"/>
                <w:sz w:val="28"/>
                <w:szCs w:val="28"/>
                <w:highlight w:val="none"/>
              </w:rPr>
              <w:t>位</w:t>
            </w:r>
            <w:r>
              <w:rPr>
                <w:rFonts w:hint="eastAsia" w:ascii="仿宋" w:hAnsi="仿宋" w:eastAsia="仿宋" w:cs="仿宋"/>
                <w:sz w:val="28"/>
                <w:szCs w:val="28"/>
                <w:highlight w:val="none"/>
              </w:rPr>
              <w:t>：</w:t>
            </w:r>
          </w:p>
        </w:tc>
        <w:tc>
          <w:tcPr>
            <w:tcW w:w="5445" w:type="dxa"/>
            <w:vAlign w:val="center"/>
          </w:tcPr>
          <w:p>
            <w:pPr>
              <w:spacing w:afterAutospacing="0" w:line="240" w:lineRule="auto"/>
              <w:rPr>
                <w:rFonts w:hint="eastAsia" w:ascii="仿宋" w:hAnsi="仿宋" w:eastAsia="仿宋" w:cs="仿宋"/>
                <w:spacing w:val="1400"/>
                <w:w w:val="100"/>
                <w:kern w:val="0"/>
                <w:sz w:val="28"/>
                <w:szCs w:val="28"/>
                <w:highlight w:val="none"/>
                <w:fitText w:val="1680" w:id="190345957"/>
              </w:rPr>
            </w:pPr>
            <w:r>
              <w:rPr>
                <w:rFonts w:hint="eastAsia" w:ascii="仿宋" w:hAnsi="仿宋" w:eastAsia="仿宋" w:cs="仿宋"/>
                <w:spacing w:val="1"/>
                <w:kern w:val="0"/>
                <w:sz w:val="28"/>
                <w:szCs w:val="28"/>
                <w:highlight w:val="none"/>
                <w:lang w:eastAsia="zh-CN"/>
              </w:rPr>
              <w:t>诸暨市市场监督管理局</w:t>
            </w:r>
          </w:p>
        </w:tc>
      </w:tr>
      <w:tr>
        <w:tblPrEx>
          <w:tblCellMar>
            <w:top w:w="0" w:type="dxa"/>
            <w:left w:w="108" w:type="dxa"/>
            <w:bottom w:w="0" w:type="dxa"/>
            <w:right w:w="108" w:type="dxa"/>
          </w:tblCellMar>
        </w:tblPrEx>
        <w:trPr>
          <w:trHeight w:val="494" w:hRule="atLeast"/>
          <w:jc w:val="center"/>
        </w:trPr>
        <w:tc>
          <w:tcPr>
            <w:tcW w:w="2356" w:type="dxa"/>
          </w:tcPr>
          <w:p>
            <w:pPr>
              <w:spacing w:after="100" w:afterAutospacing="1" w:line="440" w:lineRule="exact"/>
              <w:rPr>
                <w:rFonts w:hint="eastAsia" w:ascii="仿宋" w:hAnsi="仿宋" w:eastAsia="仿宋" w:cs="仿宋"/>
                <w:sz w:val="28"/>
                <w:szCs w:val="28"/>
                <w:highlight w:val="none"/>
              </w:rPr>
            </w:pPr>
            <w:r>
              <w:rPr>
                <w:rFonts w:hint="eastAsia" w:ascii="仿宋" w:hAnsi="仿宋" w:eastAsia="仿宋" w:cs="仿宋"/>
                <w:spacing w:val="0"/>
                <w:w w:val="100"/>
                <w:kern w:val="0"/>
                <w:sz w:val="28"/>
                <w:szCs w:val="28"/>
                <w:highlight w:val="none"/>
                <w:fitText w:val="1680" w:id="190345957"/>
              </w:rPr>
              <w:t>采购代理机构</w:t>
            </w:r>
            <w:r>
              <w:rPr>
                <w:rFonts w:hint="eastAsia" w:ascii="仿宋" w:hAnsi="仿宋" w:eastAsia="仿宋" w:cs="仿宋"/>
                <w:sz w:val="28"/>
                <w:szCs w:val="28"/>
                <w:highlight w:val="none"/>
              </w:rPr>
              <w:t>：</w:t>
            </w:r>
          </w:p>
        </w:tc>
        <w:tc>
          <w:tcPr>
            <w:tcW w:w="5445" w:type="dxa"/>
          </w:tcPr>
          <w:p>
            <w:pPr>
              <w:spacing w:afterAutospacing="0" w:line="240" w:lineRule="auto"/>
              <w:rPr>
                <w:rFonts w:hint="eastAsia" w:ascii="仿宋" w:hAnsi="仿宋" w:eastAsia="仿宋" w:cs="仿宋"/>
                <w:spacing w:val="1400"/>
                <w:w w:val="100"/>
                <w:kern w:val="0"/>
                <w:sz w:val="28"/>
                <w:szCs w:val="28"/>
                <w:highlight w:val="none"/>
                <w:fitText w:val="1680" w:id="190345957"/>
              </w:rPr>
            </w:pPr>
            <w:r>
              <w:rPr>
                <w:rFonts w:hint="eastAsia" w:ascii="仿宋" w:hAnsi="仿宋" w:eastAsia="仿宋" w:cs="仿宋"/>
                <w:spacing w:val="1"/>
                <w:kern w:val="0"/>
                <w:sz w:val="28"/>
                <w:szCs w:val="28"/>
                <w:highlight w:val="none"/>
                <w:lang w:eastAsia="zh-CN"/>
              </w:rPr>
              <w:t>浙江金穗工程项目管理有限公司</w:t>
            </w:r>
          </w:p>
        </w:tc>
      </w:tr>
      <w:tr>
        <w:tblPrEx>
          <w:tblCellMar>
            <w:top w:w="0" w:type="dxa"/>
            <w:left w:w="108" w:type="dxa"/>
            <w:bottom w:w="0" w:type="dxa"/>
            <w:right w:w="108" w:type="dxa"/>
          </w:tblCellMar>
        </w:tblPrEx>
        <w:trPr>
          <w:trHeight w:val="397" w:hRule="atLeast"/>
          <w:jc w:val="center"/>
        </w:trPr>
        <w:tc>
          <w:tcPr>
            <w:tcW w:w="2356" w:type="dxa"/>
            <w:vAlign w:val="center"/>
          </w:tcPr>
          <w:p>
            <w:pPr>
              <w:spacing w:after="100" w:afterAutospacing="1" w:line="440" w:lineRule="exact"/>
              <w:rPr>
                <w:rFonts w:hint="eastAsia" w:ascii="仿宋" w:hAnsi="仿宋" w:eastAsia="仿宋" w:cs="仿宋"/>
                <w:sz w:val="28"/>
                <w:szCs w:val="28"/>
                <w:highlight w:val="none"/>
              </w:rPr>
            </w:pPr>
            <w:r>
              <w:rPr>
                <w:rFonts w:hint="eastAsia" w:ascii="仿宋" w:hAnsi="仿宋" w:eastAsia="仿宋" w:cs="仿宋"/>
                <w:spacing w:val="93"/>
                <w:kern w:val="0"/>
                <w:sz w:val="28"/>
                <w:szCs w:val="28"/>
                <w:highlight w:val="none"/>
                <w:fitText w:val="1680" w:id="1"/>
              </w:rPr>
              <w:t>监督单</w:t>
            </w:r>
            <w:r>
              <w:rPr>
                <w:rFonts w:hint="eastAsia" w:ascii="仿宋" w:hAnsi="仿宋" w:eastAsia="仿宋" w:cs="仿宋"/>
                <w:spacing w:val="1"/>
                <w:kern w:val="0"/>
                <w:sz w:val="28"/>
                <w:szCs w:val="28"/>
                <w:highlight w:val="none"/>
                <w:fitText w:val="1680" w:id="1"/>
              </w:rPr>
              <w:t>位</w:t>
            </w:r>
            <w:r>
              <w:rPr>
                <w:rFonts w:hint="eastAsia" w:ascii="仿宋" w:hAnsi="仿宋" w:eastAsia="仿宋" w:cs="仿宋"/>
                <w:sz w:val="28"/>
                <w:szCs w:val="28"/>
                <w:highlight w:val="none"/>
              </w:rPr>
              <w:t>：</w:t>
            </w:r>
          </w:p>
        </w:tc>
        <w:tc>
          <w:tcPr>
            <w:tcW w:w="5445" w:type="dxa"/>
          </w:tcPr>
          <w:p>
            <w:pPr>
              <w:spacing w:afterAutospacing="0" w:line="240" w:lineRule="auto"/>
              <w:rPr>
                <w:rFonts w:hint="eastAsia" w:ascii="仿宋" w:hAnsi="仿宋" w:eastAsia="仿宋" w:cs="仿宋"/>
                <w:spacing w:val="13"/>
                <w:w w:val="85"/>
                <w:kern w:val="0"/>
                <w:sz w:val="28"/>
                <w:szCs w:val="28"/>
                <w:highlight w:val="none"/>
                <w:fitText w:val="1680" w:id="190345957"/>
              </w:rPr>
            </w:pPr>
            <w:r>
              <w:rPr>
                <w:rFonts w:hint="eastAsia" w:ascii="仿宋" w:hAnsi="仿宋" w:eastAsia="仿宋" w:cs="仿宋"/>
                <w:spacing w:val="0"/>
                <w:w w:val="100"/>
                <w:kern w:val="0"/>
                <w:sz w:val="28"/>
                <w:szCs w:val="28"/>
                <w:highlight w:val="none"/>
                <w:fitText w:val="1680" w:id="190345957"/>
              </w:rPr>
              <w:t>诸暨市财政局</w:t>
            </w:r>
          </w:p>
        </w:tc>
      </w:tr>
      <w:tr>
        <w:tblPrEx>
          <w:tblCellMar>
            <w:top w:w="0" w:type="dxa"/>
            <w:left w:w="108" w:type="dxa"/>
            <w:bottom w:w="0" w:type="dxa"/>
            <w:right w:w="108" w:type="dxa"/>
          </w:tblCellMar>
        </w:tblPrEx>
        <w:trPr>
          <w:trHeight w:val="333" w:hRule="atLeast"/>
          <w:jc w:val="center"/>
        </w:trPr>
        <w:tc>
          <w:tcPr>
            <w:tcW w:w="7801" w:type="dxa"/>
            <w:gridSpan w:val="2"/>
          </w:tcPr>
          <w:p>
            <w:pPr>
              <w:spacing w:after="100" w:afterAutospacing="1"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二○二</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月</w:t>
            </w:r>
          </w:p>
        </w:tc>
      </w:tr>
    </w:tbl>
    <w:p>
      <w:pPr>
        <w:pStyle w:val="636"/>
        <w:rPr>
          <w:rFonts w:hint="eastAsia" w:ascii="仿宋" w:hAnsi="仿宋" w:eastAsia="仿宋" w:cs="仿宋"/>
          <w:highlight w:val="none"/>
        </w:rPr>
        <w:sectPr>
          <w:headerReference r:id="rId4" w:type="first"/>
          <w:headerReference r:id="rId3" w:type="default"/>
          <w:footerReference r:id="rId5" w:type="even"/>
          <w:pgSz w:w="11906" w:h="16838"/>
          <w:pgMar w:top="1474" w:right="1814" w:bottom="1474" w:left="1814" w:header="851" w:footer="992" w:gutter="0"/>
          <w:cols w:space="720" w:num="1"/>
          <w:titlePg/>
          <w:docGrid w:linePitch="312" w:charSpace="0"/>
        </w:sectPr>
      </w:pPr>
    </w:p>
    <w:p>
      <w:pPr>
        <w:pStyle w:val="636"/>
        <w:pageBreakBefore w:val="0"/>
        <w:widowControl w:val="0"/>
        <w:kinsoku/>
        <w:wordWrap/>
        <w:overflowPunct/>
        <w:topLinePunct w:val="0"/>
        <w:autoSpaceDE/>
        <w:autoSpaceDN/>
        <w:bidi w:val="0"/>
        <w:spacing w:before="0" w:after="0" w:line="360" w:lineRule="auto"/>
        <w:ind w:left="0" w:firstLine="0" w:firstLineChars="0"/>
        <w:textAlignment w:val="auto"/>
        <w:rPr>
          <w:rFonts w:hint="eastAsia" w:ascii="仿宋" w:hAnsi="仿宋" w:eastAsia="仿宋" w:cs="仿宋"/>
          <w:highlight w:val="none"/>
        </w:rPr>
      </w:pPr>
    </w:p>
    <w:p>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b/>
          <w:sz w:val="44"/>
          <w:szCs w:val="44"/>
          <w:highlight w:val="none"/>
        </w:rPr>
      </w:pPr>
      <w:bookmarkStart w:id="0" w:name="_Hlt91233176"/>
      <w:bookmarkEnd w:id="0"/>
      <w:bookmarkStart w:id="1" w:name="_Toc91899869"/>
      <w:r>
        <w:rPr>
          <w:rFonts w:hint="eastAsia" w:ascii="仿宋" w:hAnsi="仿宋" w:eastAsia="仿宋" w:cs="仿宋"/>
          <w:b/>
          <w:sz w:val="44"/>
          <w:szCs w:val="44"/>
          <w:highlight w:val="none"/>
        </w:rPr>
        <w:t>目录</w:t>
      </w:r>
    </w:p>
    <w:p>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b/>
          <w:sz w:val="44"/>
          <w:szCs w:val="44"/>
          <w:highlight w:val="none"/>
        </w:rPr>
      </w:pPr>
    </w:p>
    <w:p>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sz w:val="36"/>
          <w:szCs w:val="36"/>
          <w:highlight w:val="none"/>
        </w:rPr>
      </w:pPr>
      <w:r>
        <w:rPr>
          <w:rFonts w:hint="eastAsia" w:ascii="仿宋" w:hAnsi="仿宋" w:eastAsia="仿宋" w:cs="仿宋"/>
          <w:b/>
          <w:sz w:val="36"/>
          <w:szCs w:val="36"/>
          <w:highlight w:val="none"/>
        </w:rPr>
        <w:t>第一部分    招标公告</w:t>
      </w:r>
    </w:p>
    <w:p>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第二部分   </w:t>
      </w:r>
      <w:r>
        <w:rPr>
          <w:rFonts w:hint="eastAsia" w:ascii="仿宋" w:hAnsi="仿宋" w:eastAsia="仿宋" w:cs="仿宋"/>
          <w:b/>
          <w:sz w:val="36"/>
          <w:szCs w:val="36"/>
          <w:highlight w:val="none"/>
          <w:lang w:val="en-US" w:eastAsia="zh-CN"/>
        </w:rPr>
        <w:t xml:space="preserve"> </w:t>
      </w:r>
      <w:r>
        <w:rPr>
          <w:rFonts w:hint="eastAsia" w:ascii="仿宋" w:hAnsi="仿宋" w:eastAsia="仿宋" w:cs="仿宋"/>
          <w:b/>
          <w:sz w:val="36"/>
          <w:szCs w:val="36"/>
          <w:highlight w:val="none"/>
        </w:rPr>
        <w:t>投标须知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sz w:val="36"/>
          <w:szCs w:val="36"/>
          <w:highlight w:val="none"/>
        </w:rPr>
      </w:pPr>
      <w:r>
        <w:rPr>
          <w:rFonts w:hint="eastAsia" w:ascii="仿宋" w:hAnsi="仿宋" w:eastAsia="仿宋" w:cs="仿宋"/>
          <w:b/>
          <w:sz w:val="36"/>
          <w:szCs w:val="36"/>
          <w:highlight w:val="none"/>
        </w:rPr>
        <w:t>第三部分    招标项目范围及要求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sz w:val="36"/>
          <w:szCs w:val="36"/>
          <w:highlight w:val="none"/>
        </w:rPr>
      </w:pPr>
      <w:r>
        <w:rPr>
          <w:rFonts w:hint="eastAsia" w:ascii="仿宋" w:hAnsi="仿宋" w:eastAsia="仿宋" w:cs="仿宋"/>
          <w:b/>
          <w:sz w:val="36"/>
          <w:szCs w:val="36"/>
          <w:highlight w:val="none"/>
        </w:rPr>
        <w:t>第四部分    合同的主要条款</w:t>
      </w:r>
    </w:p>
    <w:p>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sz w:val="36"/>
          <w:szCs w:val="36"/>
          <w:highlight w:val="none"/>
        </w:rPr>
      </w:pPr>
      <w:r>
        <w:rPr>
          <w:rFonts w:hint="eastAsia" w:ascii="仿宋" w:hAnsi="仿宋" w:eastAsia="仿宋" w:cs="仿宋"/>
          <w:b/>
          <w:sz w:val="36"/>
          <w:szCs w:val="36"/>
          <w:highlight w:val="none"/>
        </w:rPr>
        <w:t>第五部分    评标方法及标准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仿宋" w:hAnsi="仿宋" w:eastAsia="仿宋" w:cs="仿宋"/>
          <w:b/>
          <w:sz w:val="36"/>
          <w:szCs w:val="36"/>
          <w:highlight w:val="none"/>
        </w:rPr>
      </w:pPr>
      <w:r>
        <w:rPr>
          <w:rFonts w:hint="eastAsia" w:ascii="仿宋" w:hAnsi="仿宋" w:eastAsia="仿宋" w:cs="仿宋"/>
          <w:b/>
          <w:sz w:val="36"/>
          <w:szCs w:val="36"/>
          <w:highlight w:val="none"/>
        </w:rPr>
        <w:t>第六部分    投标文件及其附件格式</w:t>
      </w:r>
    </w:p>
    <w:p>
      <w:pPr>
        <w:spacing w:line="360" w:lineRule="auto"/>
        <w:ind w:firstLine="549" w:firstLineChars="229"/>
        <w:rPr>
          <w:rFonts w:hint="eastAsia" w:ascii="仿宋" w:hAnsi="仿宋" w:eastAsia="仿宋" w:cs="仿宋"/>
          <w:sz w:val="24"/>
          <w:highlight w:val="none"/>
        </w:rPr>
      </w:pPr>
    </w:p>
    <w:p>
      <w:pPr>
        <w:spacing w:line="360" w:lineRule="auto"/>
        <w:ind w:firstLine="549" w:firstLineChars="229"/>
        <w:rPr>
          <w:rFonts w:hint="eastAsia" w:ascii="仿宋" w:hAnsi="仿宋" w:eastAsia="仿宋" w:cs="仿宋"/>
          <w:sz w:val="24"/>
          <w:highlight w:val="none"/>
        </w:rPr>
      </w:pPr>
    </w:p>
    <w:p>
      <w:pPr>
        <w:spacing w:line="360" w:lineRule="auto"/>
        <w:ind w:firstLine="549" w:firstLineChars="229"/>
        <w:rPr>
          <w:rFonts w:hint="eastAsia" w:ascii="仿宋" w:hAnsi="仿宋" w:eastAsia="仿宋" w:cs="仿宋"/>
          <w:sz w:val="24"/>
          <w:highlight w:val="none"/>
        </w:rPr>
      </w:pPr>
    </w:p>
    <w:p>
      <w:pPr>
        <w:spacing w:line="360" w:lineRule="auto"/>
        <w:ind w:firstLine="549" w:firstLineChars="229"/>
        <w:rPr>
          <w:rFonts w:hint="eastAsia" w:ascii="仿宋" w:hAnsi="仿宋" w:eastAsia="仿宋" w:cs="仿宋"/>
          <w:sz w:val="24"/>
          <w:highlight w:val="none"/>
        </w:rPr>
      </w:pPr>
    </w:p>
    <w:bookmarkEnd w:id="1"/>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bookmarkStart w:id="2" w:name="第二部分"/>
      <w:bookmarkStart w:id="3" w:name="_Toc91899870"/>
      <w:bookmarkStart w:id="4" w:name="_Toc9189987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r>
        <w:rPr>
          <w:rFonts w:hint="eastAsia" w:ascii="仿宋" w:hAnsi="仿宋" w:eastAsia="仿宋" w:cs="仿宋"/>
          <w:b/>
          <w:sz w:val="36"/>
          <w:szCs w:val="20"/>
          <w:highlight w:val="none"/>
        </w:rPr>
        <w:t>第一部分 招标公告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项目概况</w:t>
      </w:r>
      <w:r>
        <w:rPr>
          <w:rFonts w:hint="eastAsia" w:ascii="仿宋" w:hAnsi="仿宋" w:eastAsia="仿宋" w:cs="仿宋"/>
          <w:color w:val="auto"/>
          <w:sz w:val="24"/>
          <w:highlight w:val="none"/>
          <w:lang w:eastAsia="zh-CN"/>
        </w:rPr>
        <w:t>：</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shd w:val="clear" w:color="auto" w:fill="FFFFFF"/>
          <w:lang w:eastAsia="zh-CN"/>
        </w:rPr>
        <w:t>诸暨市市场监督管理局2024年度食品定量检测服务采购项目</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招标项目的潜在投标人应在政采云平台（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6"/>
          <w:rFonts w:hint="eastAsia" w:ascii="仿宋" w:hAnsi="仿宋" w:eastAsia="仿宋" w:cs="仿宋"/>
          <w:snapToGrid/>
          <w:color w:val="auto"/>
          <w:kern w:val="2"/>
          <w:sz w:val="24"/>
          <w:szCs w:val="24"/>
          <w:highlight w:val="none"/>
        </w:rPr>
        <w:t>https://www.zcygov.cn/）获取（下载）招标文件，并于20</w:t>
      </w:r>
      <w:r>
        <w:rPr>
          <w:rStyle w:val="76"/>
          <w:rFonts w:hint="eastAsia" w:ascii="仿宋" w:hAnsi="仿宋" w:eastAsia="仿宋" w:cs="仿宋"/>
          <w:snapToGrid/>
          <w:color w:val="auto"/>
          <w:kern w:val="2"/>
          <w:sz w:val="24"/>
          <w:szCs w:val="24"/>
          <w:highlight w:val="none"/>
          <w:lang w:val="en-US" w:eastAsia="zh-CN"/>
        </w:rPr>
        <w:t>24</w:t>
      </w:r>
      <w:r>
        <w:rPr>
          <w:rStyle w:val="76"/>
          <w:rFonts w:hint="eastAsia" w:ascii="仿宋" w:hAnsi="仿宋" w:eastAsia="仿宋" w:cs="仿宋"/>
          <w:snapToGrid/>
          <w:color w:val="auto"/>
          <w:kern w:val="2"/>
          <w:sz w:val="24"/>
          <w:szCs w:val="24"/>
          <w:highlight w:val="none"/>
        </w:rPr>
        <w:t>年</w:t>
      </w:r>
      <w:r>
        <w:rPr>
          <w:rStyle w:val="76"/>
          <w:rFonts w:hint="eastAsia" w:ascii="仿宋" w:hAnsi="仿宋" w:eastAsia="仿宋" w:cs="仿宋"/>
          <w:snapToGrid/>
          <w:color w:val="auto"/>
          <w:kern w:val="2"/>
          <w:sz w:val="24"/>
          <w:szCs w:val="24"/>
          <w:highlight w:val="none"/>
          <w:lang w:val="en-US" w:eastAsia="zh-CN"/>
        </w:rPr>
        <w:t>2月7日9</w:t>
      </w:r>
      <w:r>
        <w:rPr>
          <w:rStyle w:val="76"/>
          <w:rFonts w:hint="eastAsia" w:ascii="仿宋" w:hAnsi="仿宋" w:eastAsia="仿宋" w:cs="仿宋"/>
          <w:snapToGrid/>
          <w:color w:val="auto"/>
          <w:kern w:val="2"/>
          <w:sz w:val="24"/>
          <w:szCs w:val="24"/>
          <w:highlight w:val="none"/>
        </w:rPr>
        <w:t>点</w:t>
      </w:r>
      <w:r>
        <w:rPr>
          <w:rStyle w:val="76"/>
          <w:rFonts w:hint="eastAsia" w:ascii="仿宋" w:hAnsi="仿宋" w:eastAsia="仿宋" w:cs="仿宋"/>
          <w:snapToGrid/>
          <w:color w:val="auto"/>
          <w:kern w:val="2"/>
          <w:sz w:val="24"/>
          <w:szCs w:val="24"/>
          <w:highlight w:val="none"/>
          <w:lang w:val="en-US" w:eastAsia="zh-CN"/>
        </w:rPr>
        <w:t>00</w:t>
      </w:r>
      <w:r>
        <w:rPr>
          <w:rStyle w:val="76"/>
          <w:rFonts w:hint="eastAsia" w:ascii="仿宋" w:hAnsi="仿宋" w:eastAsia="仿宋" w:cs="仿宋"/>
          <w:snapToGrid/>
          <w:color w:val="auto"/>
          <w:kern w:val="2"/>
          <w:sz w:val="24"/>
          <w:szCs w:val="24"/>
          <w:highlight w:val="none"/>
        </w:rPr>
        <w:t>分</w:t>
      </w:r>
      <w:r>
        <w:rPr>
          <w:rStyle w:val="76"/>
          <w:rFonts w:hint="eastAsia" w:ascii="仿宋" w:hAnsi="仿宋" w:eastAsia="仿宋" w:cs="仿宋"/>
          <w:bCs/>
          <w:snapToGrid/>
          <w:color w:val="auto"/>
          <w:kern w:val="2"/>
          <w:sz w:val="24"/>
          <w:szCs w:val="24"/>
          <w:highlight w:val="none"/>
        </w:rPr>
        <w:t>00秒</w:t>
      </w:r>
      <w:r>
        <w:rPr>
          <w:rStyle w:val="76"/>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pPr>
        <w:pageBreakBefore w:val="0"/>
        <w:widowControl w:val="0"/>
        <w:numPr>
          <w:ilvl w:val="0"/>
          <w:numId w:val="1"/>
        </w:numPr>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项目基本情况                                        </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项目编号：</w:t>
      </w:r>
      <w:r>
        <w:rPr>
          <w:rFonts w:hint="eastAsia" w:ascii="仿宋" w:hAnsi="仿宋" w:eastAsia="仿宋" w:cs="仿宋"/>
          <w:b/>
          <w:color w:val="auto"/>
          <w:sz w:val="24"/>
          <w:highlight w:val="none"/>
          <w:lang w:val="en-US" w:eastAsia="zh-CN"/>
        </w:rPr>
        <w:t>JSZJ2024-01-05</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项目名称：</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eastAsia="zh-CN"/>
        </w:rPr>
        <w:t>诸暨市市场监督管理局2024年度食品定量检测服务采购项目</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
          <w:color w:val="auto"/>
          <w:sz w:val="24"/>
          <w:highlight w:val="none"/>
        </w:rPr>
        <w:t>预算金额（元）：</w:t>
      </w:r>
      <w:r>
        <w:rPr>
          <w:rFonts w:hint="eastAsia" w:ascii="仿宋" w:hAnsi="仿宋" w:eastAsia="仿宋" w:cs="仿宋"/>
          <w:bCs/>
          <w:color w:val="auto"/>
          <w:sz w:val="24"/>
          <w:highlight w:val="none"/>
          <w:lang w:val="en-US" w:eastAsia="zh-CN"/>
        </w:rPr>
        <w:t>标的1：287万元</w:t>
      </w:r>
    </w:p>
    <w:p>
      <w:pPr>
        <w:pStyle w:val="79"/>
        <w:ind w:firstLine="1920" w:firstLineChars="800"/>
        <w:rPr>
          <w:rFonts w:hint="default"/>
          <w:highlight w:val="none"/>
          <w:lang w:val="en-US" w:eastAsia="zh-CN"/>
        </w:rPr>
      </w:pPr>
      <w:r>
        <w:rPr>
          <w:rFonts w:hint="eastAsia" w:ascii="仿宋" w:hAnsi="仿宋" w:eastAsia="仿宋" w:cs="仿宋"/>
          <w:bCs/>
          <w:color w:val="auto"/>
          <w:sz w:val="24"/>
          <w:highlight w:val="none"/>
          <w:lang w:val="en-US" w:eastAsia="zh-CN"/>
        </w:rPr>
        <w:t>标的2：123万元</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
          <w:color w:val="auto"/>
          <w:sz w:val="24"/>
          <w:highlight w:val="none"/>
        </w:rPr>
        <w:t>最高限价（元）：</w:t>
      </w:r>
      <w:r>
        <w:rPr>
          <w:rFonts w:hint="eastAsia" w:ascii="仿宋" w:hAnsi="仿宋" w:eastAsia="仿宋" w:cs="仿宋"/>
          <w:bCs/>
          <w:color w:val="auto"/>
          <w:sz w:val="24"/>
          <w:highlight w:val="none"/>
          <w:lang w:val="en-US" w:eastAsia="zh-CN"/>
        </w:rPr>
        <w:t>标的1：287万元</w:t>
      </w:r>
    </w:p>
    <w:p>
      <w:pPr>
        <w:pStyle w:val="79"/>
        <w:ind w:firstLine="1920" w:firstLineChars="8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标的2：123万元</w:t>
      </w:r>
    </w:p>
    <w:p>
      <w:pPr>
        <w:pStyle w:val="79"/>
        <w:ind w:left="0" w:leftChars="0" w:firstLine="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采购需求：</w:t>
      </w:r>
    </w:p>
    <w:p>
      <w:pPr>
        <w:pageBreakBefore w:val="0"/>
        <w:widowControl w:val="0"/>
        <w:kinsoku/>
        <w:wordWrap/>
        <w:overflowPunct/>
        <w:topLinePunct w:val="0"/>
        <w:autoSpaceDE/>
        <w:autoSpaceDN/>
        <w:bidi w:val="0"/>
        <w:spacing w:line="360" w:lineRule="auto"/>
        <w:ind w:left="1439" w:leftChars="228" w:hanging="960" w:hangingChars="4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标项一：诸暨市市场监督管理局2024年度食品定量检测服务采购项目－标的1</w:t>
      </w:r>
    </w:p>
    <w:p>
      <w:pPr>
        <w:pageBreakBefore w:val="0"/>
        <w:widowControl w:val="0"/>
        <w:kinsoku/>
        <w:wordWrap/>
        <w:overflowPunct/>
        <w:topLinePunct w:val="0"/>
        <w:autoSpaceDE/>
        <w:autoSpaceDN/>
        <w:bidi w:val="0"/>
        <w:spacing w:line="360" w:lineRule="auto"/>
        <w:ind w:left="0" w:firstLine="480" w:firstLineChars="200"/>
        <w:textAlignment w:val="auto"/>
        <w:rPr>
          <w:rFonts w:hint="default" w:ascii="仿宋" w:hAnsi="仿宋" w:eastAsia="仿宋" w:cs="仿宋"/>
          <w:bCs/>
          <w:color w:val="auto"/>
          <w:sz w:val="24"/>
          <w:highlight w:val="none"/>
          <w:lang w:val="en-US"/>
        </w:rPr>
      </w:pPr>
      <w:r>
        <w:rPr>
          <w:rFonts w:hint="eastAsia" w:ascii="仿宋" w:hAnsi="仿宋" w:eastAsia="仿宋" w:cs="仿宋"/>
          <w:bCs/>
          <w:color w:val="auto"/>
          <w:sz w:val="24"/>
          <w:highlight w:val="none"/>
          <w:lang w:val="en-US" w:eastAsia="zh-CN"/>
        </w:rPr>
        <w:t>预算金额：287万元</w:t>
      </w:r>
    </w:p>
    <w:p>
      <w:pPr>
        <w:pageBreakBefore w:val="0"/>
        <w:widowControl w:val="0"/>
        <w:kinsoku/>
        <w:wordWrap/>
        <w:overflowPunct/>
        <w:topLinePunct w:val="0"/>
        <w:autoSpaceDE/>
        <w:autoSpaceDN/>
        <w:bidi w:val="0"/>
        <w:spacing w:line="360" w:lineRule="auto"/>
        <w:ind w:left="1439" w:leftChars="228" w:hanging="960" w:hangingChars="4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标项二：诸暨市市场监督管理局2024年度食品定量检测服务采购项目-标的2</w:t>
      </w:r>
    </w:p>
    <w:p>
      <w:pPr>
        <w:pageBreakBefore w:val="0"/>
        <w:widowControl w:val="0"/>
        <w:kinsoku/>
        <w:wordWrap/>
        <w:overflowPunct/>
        <w:topLinePunct w:val="0"/>
        <w:autoSpaceDE/>
        <w:autoSpaceDN/>
        <w:bidi w:val="0"/>
        <w:spacing w:line="360" w:lineRule="auto"/>
        <w:ind w:left="0" w:firstLine="480" w:firstLineChars="200"/>
        <w:textAlignment w:val="auto"/>
        <w:rPr>
          <w:rFonts w:hint="default" w:ascii="仿宋" w:hAnsi="仿宋" w:eastAsia="仿宋" w:cs="仿宋"/>
          <w:bCs/>
          <w:color w:val="auto"/>
          <w:sz w:val="24"/>
          <w:highlight w:val="none"/>
          <w:lang w:val="en-US"/>
        </w:rPr>
      </w:pPr>
      <w:r>
        <w:rPr>
          <w:rFonts w:hint="eastAsia" w:ascii="仿宋" w:hAnsi="仿宋" w:eastAsia="仿宋" w:cs="仿宋"/>
          <w:bCs/>
          <w:color w:val="auto"/>
          <w:sz w:val="24"/>
          <w:highlight w:val="none"/>
          <w:lang w:val="en-US" w:eastAsia="zh-CN"/>
        </w:rPr>
        <w:t>预算金额：123万元</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主要内容：</w:t>
      </w:r>
      <w:r>
        <w:rPr>
          <w:rFonts w:hint="eastAsia" w:ascii="仿宋" w:hAnsi="仿宋" w:eastAsia="仿宋" w:cs="仿宋"/>
          <w:bCs/>
          <w:color w:val="auto"/>
          <w:sz w:val="24"/>
          <w:highlight w:val="none"/>
          <w:lang w:val="en-US" w:eastAsia="zh-CN"/>
        </w:rPr>
        <w:t>诸暨市市场监督管理局拟通过公开招标方式确定2家食品安全检测机构作为大宗食品定点委托检验机构，承担本局2024年度组织开展的食品安全监督抽检（含保健食品抽检）、风险监测、应急检验、专项抽检、重大活动保障检测等工作共计每年约5000批次左右的检测任务，具体实际批次按上级文件规定执行，具体服务名单待中标后由采购人提供。本次采购共分为二个标段，每个标段确定1家食品安全检测机构。</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
          <w:color w:val="auto"/>
          <w:sz w:val="24"/>
          <w:highlight w:val="none"/>
        </w:rPr>
        <w:t>合同履行期限</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1年</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
          <w:color w:val="auto"/>
          <w:highlight w:val="none"/>
        </w:rPr>
      </w:pPr>
      <w:r>
        <w:rPr>
          <w:rFonts w:hint="eastAsia" w:ascii="仿宋" w:hAnsi="仿宋" w:eastAsia="仿宋" w:cs="仿宋"/>
          <w:b/>
          <w:color w:val="auto"/>
          <w:sz w:val="24"/>
          <w:highlight w:val="none"/>
        </w:rPr>
        <w:t>本项目接受联合体投标：</w:t>
      </w:r>
      <w:r>
        <w:rPr>
          <w:rFonts w:hint="eastAsia" w:ascii="仿宋" w:hAnsi="仿宋" w:eastAsia="仿宋" w:cs="仿宋"/>
          <w:b/>
          <w:color w:val="auto"/>
          <w:kern w:val="2"/>
          <w:sz w:val="24"/>
          <w:szCs w:val="24"/>
          <w:highlight w:val="none"/>
          <w:lang w:val="en-US" w:eastAsia="zh-CN" w:bidi="ar-SA"/>
        </w:rPr>
        <w:t>☐</w:t>
      </w:r>
      <w:r>
        <w:rPr>
          <w:rFonts w:hint="eastAsia" w:ascii="仿宋" w:hAnsi="仿宋" w:eastAsia="仿宋" w:cs="仿宋"/>
          <w:b/>
          <w:color w:val="auto"/>
          <w:sz w:val="24"/>
          <w:highlight w:val="none"/>
        </w:rPr>
        <w:t>是，</w:t>
      </w:r>
      <w:r>
        <w:rPr>
          <w:rFonts w:hint="eastAsia" w:ascii="仿宋" w:hAnsi="仿宋" w:eastAsia="仿宋" w:cs="仿宋"/>
          <w:b/>
          <w:color w:val="auto"/>
          <w:sz w:val="24"/>
          <w:highlight w:val="none"/>
        </w:rPr>
        <w:sym w:font="Wingdings 2" w:char="0052"/>
      </w:r>
      <w:r>
        <w:rPr>
          <w:rFonts w:hint="eastAsia" w:ascii="仿宋" w:hAnsi="仿宋" w:eastAsia="仿宋" w:cs="仿宋"/>
          <w:b/>
          <w:color w:val="auto"/>
          <w:sz w:val="24"/>
          <w:highlight w:val="none"/>
        </w:rPr>
        <w:t>否。</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、中国政府采购网（www.ccgp.gov.cn）列入失信被执行人、重大税收违法案件当事人名单、政府采购严重违法失信行为记录名单；</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本项目不接受联合体投标或者投标人不以联合体形式投标的，则不需要提供</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 xml:space="preserve"> ；</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MS Gothic" w:hAnsi="MS Gothic" w:eastAsia="仿宋" w:cs="仿宋"/>
          <w:color w:val="auto"/>
          <w:kern w:val="0"/>
          <w:sz w:val="24"/>
          <w:szCs w:val="24"/>
          <w:highlight w:val="none"/>
          <w:lang w:val="en-US" w:eastAsia="zh-CN" w:bidi="ar-SA"/>
        </w:rPr>
        <w:sym w:font="Wingdings 2" w:char="0052"/>
      </w:r>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MS Gothic" w:hAnsi="MS Gothic"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w:t>
      </w:r>
    </w:p>
    <w:p>
      <w:pPr>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2月7日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2月7日9</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2月7日9</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 w:eastAsia="zh-CN"/>
        </w:rPr>
        <w:t>政策落实根据财政部门要求更新）</w:t>
      </w:r>
      <w:r>
        <w:rPr>
          <w:rFonts w:hint="eastAsia" w:ascii="仿宋" w:hAnsi="仿宋" w:eastAsia="仿宋" w:cs="仿宋"/>
          <w:color w:val="auto"/>
          <w:sz w:val="24"/>
          <w:highlight w:val="none"/>
        </w:rPr>
        <w:t>。</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询问列表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鼓励供应商在线提起质疑，路径为：政采云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质疑列表。质疑供应商对在线质疑答复不满意的，可在线提起投诉，路径为：浙江政府服务网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政府采购投诉处理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在线办理。</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点击“商家入驻”，进行政府采购供应商资料填写；申领CA数字证书---申领流程详见“浙江政府采购网-下载专区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电子交易客户端-CA驱动和申领流程”；安装“政采云电子交易客户端”----前往“浙江政府采购网-下载专区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导入投标文件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标书关联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标书检查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电子签名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帮助文档</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供应商”。（3）招标文件公告期限与招标公告的公告期限一致。</w:t>
      </w:r>
    </w:p>
    <w:p>
      <w:pPr>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pPr>
        <w:pStyle w:val="5"/>
        <w:pageBreakBefore w:val="0"/>
        <w:widowControl w:val="0"/>
        <w:numPr>
          <w:ilvl w:val="0"/>
          <w:numId w:val="0"/>
        </w:numPr>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szCs w:val="24"/>
          <w:highlight w:val="none"/>
        </w:rPr>
      </w:pPr>
      <w:bookmarkStart w:id="5" w:name="_Toc28359096"/>
      <w:bookmarkStart w:id="6" w:name="_Toc35393637"/>
      <w:bookmarkStart w:id="7" w:name="_Toc28359019"/>
      <w:bookmarkStart w:id="8" w:name="_Toc35393806"/>
      <w:r>
        <w:rPr>
          <w:rFonts w:hint="eastAsia" w:ascii="仿宋" w:hAnsi="仿宋" w:eastAsia="仿宋" w:cs="仿宋"/>
          <w:color w:val="auto"/>
          <w:sz w:val="24"/>
          <w:szCs w:val="24"/>
          <w:highlight w:val="none"/>
        </w:rPr>
        <w:t>1.采购人信息</w:t>
      </w:r>
      <w:bookmarkEnd w:id="5"/>
      <w:bookmarkEnd w:id="6"/>
      <w:bookmarkEnd w:id="7"/>
      <w:bookmarkEnd w:id="8"/>
      <w:r>
        <w:rPr>
          <w:rFonts w:hint="eastAsia" w:ascii="仿宋" w:hAnsi="仿宋" w:eastAsia="仿宋" w:cs="仿宋"/>
          <w:color w:val="auto"/>
          <w:sz w:val="24"/>
          <w:szCs w:val="24"/>
          <w:highlight w:val="none"/>
        </w:rPr>
        <w:t>：</w:t>
      </w:r>
    </w:p>
    <w:p>
      <w:pPr>
        <w:pStyle w:val="59"/>
        <w:keepNext w:val="0"/>
        <w:keepLines w:val="0"/>
        <w:pageBreakBefore w:val="0"/>
        <w:widowControl/>
        <w:kinsoku/>
        <w:wordWrap/>
        <w:overflowPunct/>
        <w:topLinePunct/>
        <w:autoSpaceDE/>
        <w:autoSpaceDN/>
        <w:bidi w:val="0"/>
        <w:adjustRightInd/>
        <w:snapToGrid/>
        <w:spacing w:before="75" w:beforeAutospacing="0" w:after="75" w:afterAutospacing="0"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i w:val="0"/>
          <w:iCs w:val="0"/>
          <w:caps w:val="0"/>
          <w:color w:val="000000"/>
          <w:spacing w:val="0"/>
          <w:kern w:val="2"/>
          <w:sz w:val="24"/>
          <w:szCs w:val="24"/>
          <w:highlight w:val="none"/>
          <w:lang w:val="en-US" w:eastAsia="zh-CN" w:bidi="ar-SA"/>
        </w:rPr>
        <w:t>诸暨市市场监督管理局</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left="0" w:righ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诸暨市</w:t>
      </w:r>
      <w:r>
        <w:rPr>
          <w:rFonts w:hint="eastAsia" w:ascii="仿宋" w:hAnsi="仿宋" w:eastAsia="仿宋" w:cs="仿宋"/>
          <w:color w:val="auto"/>
          <w:sz w:val="24"/>
          <w:highlight w:val="none"/>
          <w:lang w:val="en-US" w:eastAsia="zh-CN"/>
        </w:rPr>
        <w:t>暨东路70号</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left="0" w:right="0" w:firstLine="480" w:firstLineChars="200"/>
        <w:textAlignment w:val="auto"/>
        <w:rPr>
          <w:rFonts w:hint="default" w:ascii="仿宋" w:hAnsi="仿宋" w:eastAsia="仿宋" w:cs="仿宋"/>
          <w:color w:val="auto"/>
          <w:sz w:val="24"/>
          <w:highlight w:val="none"/>
          <w:lang w:val="en-US" w:eastAsia="zh-CN"/>
        </w:rPr>
      </w:pPr>
      <w:bookmarkStart w:id="9" w:name="_Toc28359097"/>
      <w:bookmarkStart w:id="10" w:name="_Toc35393638"/>
      <w:bookmarkStart w:id="11" w:name="_Toc35393807"/>
      <w:bookmarkStart w:id="12" w:name="_Toc28359020"/>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蒋志祥</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right="0" w:firstLine="480" w:firstLineChars="200"/>
        <w:textAlignment w:val="auto"/>
        <w:rPr>
          <w:rFonts w:hint="default"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rPr>
        <w:t>项目联系方式：</w:t>
      </w:r>
      <w:r>
        <w:rPr>
          <w:rFonts w:hint="eastAsia" w:ascii="仿宋" w:hAnsi="仿宋" w:eastAsia="仿宋" w:cs="仿宋"/>
          <w:color w:val="auto"/>
          <w:sz w:val="24"/>
          <w:highlight w:val="none"/>
          <w:lang w:val="en-US" w:eastAsia="zh-CN"/>
        </w:rPr>
        <w:t> 0575-87013114</w:t>
      </w:r>
    </w:p>
    <w:p>
      <w:pPr>
        <w:pStyle w:val="59"/>
        <w:spacing w:before="75" w:beforeAutospacing="0" w:after="75" w:afterAutospacing="0" w:line="420" w:lineRule="exact"/>
        <w:ind w:firstLine="480" w:firstLineChars="200"/>
        <w:rPr>
          <w:rFonts w:hint="default" w:ascii="仿宋" w:hAnsi="仿宋" w:eastAsia="仿宋" w:cs="仿宋"/>
          <w:color w:val="auto"/>
          <w:highlight w:val="none"/>
          <w:u w:val="single"/>
          <w:lang w:val="en-US" w:eastAsia="zh-CN"/>
        </w:rPr>
      </w:pPr>
      <w:r>
        <w:rPr>
          <w:rFonts w:hint="eastAsia" w:ascii="仿宋" w:hAnsi="仿宋" w:eastAsia="仿宋" w:cs="仿宋"/>
          <w:color w:val="auto"/>
          <w:highlight w:val="none"/>
        </w:rPr>
        <w:t>质疑联系人：</w:t>
      </w:r>
      <w:r>
        <w:rPr>
          <w:rFonts w:hint="eastAsia" w:ascii="仿宋" w:hAnsi="仿宋" w:eastAsia="仿宋" w:cs="仿宋"/>
          <w:color w:val="auto"/>
          <w:highlight w:val="none"/>
          <w:lang w:val="en-US" w:eastAsia="zh-CN"/>
        </w:rPr>
        <w:t>崔晶晶</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w:t>
      </w:r>
      <w:r>
        <w:rPr>
          <w:rFonts w:hint="eastAsia" w:ascii="仿宋" w:hAnsi="仿宋" w:eastAsia="仿宋" w:cs="仿宋"/>
          <w:color w:val="auto"/>
          <w:sz w:val="24"/>
          <w:highlight w:val="none"/>
          <w:lang w:eastAsia="zh-CN"/>
        </w:rPr>
        <w:t> 0575-87561323　</w:t>
      </w:r>
    </w:p>
    <w:p>
      <w:pPr>
        <w:pStyle w:val="5"/>
        <w:pageBreakBefore w:val="0"/>
        <w:widowControl w:val="0"/>
        <w:numPr>
          <w:ilvl w:val="0"/>
          <w:numId w:val="0"/>
        </w:numPr>
        <w:kinsoku/>
        <w:wordWrap/>
        <w:overflowPunct/>
        <w:topLinePunct w:val="0"/>
        <w:autoSpaceDE/>
        <w:autoSpaceDN/>
        <w:bidi w:val="0"/>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2.采购代理机构信息</w:t>
      </w:r>
      <w:bookmarkEnd w:id="9"/>
      <w:bookmarkEnd w:id="10"/>
      <w:bookmarkEnd w:id="11"/>
      <w:bookmarkEnd w:id="12"/>
      <w:r>
        <w:rPr>
          <w:rFonts w:hint="eastAsia" w:ascii="仿宋" w:hAnsi="仿宋" w:eastAsia="仿宋" w:cs="仿宋"/>
          <w:color w:val="auto"/>
          <w:sz w:val="24"/>
          <w:szCs w:val="24"/>
          <w:highlight w:val="none"/>
        </w:rPr>
        <w:t>：</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名    称：浙江金穗工程项目管理有限公司                     </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 诸暨市暨</w:t>
      </w:r>
      <w:r>
        <w:rPr>
          <w:rFonts w:hint="eastAsia" w:ascii="仿宋" w:hAnsi="仿宋" w:eastAsia="仿宋" w:cs="仿宋"/>
          <w:color w:val="auto"/>
          <w:sz w:val="24"/>
          <w:highlight w:val="none"/>
          <w:lang w:val="en-US" w:eastAsia="zh-CN"/>
        </w:rPr>
        <w:t>南</w:t>
      </w:r>
      <w:r>
        <w:rPr>
          <w:rFonts w:hint="eastAsia" w:ascii="仿宋" w:hAnsi="仿宋" w:eastAsia="仿宋" w:cs="仿宋"/>
          <w:color w:val="auto"/>
          <w:sz w:val="24"/>
          <w:highlight w:val="none"/>
        </w:rPr>
        <w:t>路21号乐家大厦2幢12楼东</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项目联系人（询问）：蔡琴娣</w:t>
      </w:r>
    </w:p>
    <w:p>
      <w:pPr>
        <w:pStyle w:val="59"/>
        <w:keepNext w:val="0"/>
        <w:keepLines w:val="0"/>
        <w:pageBreakBefore w:val="0"/>
        <w:widowControl/>
        <w:suppressLineNumbers w:val="0"/>
        <w:kinsoku/>
        <w:wordWrap/>
        <w:overflowPunct/>
        <w:topLinePunct w:val="0"/>
        <w:bidi w:val="0"/>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项目联系方式（询问）：13757552689</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质疑联系人：李奔          </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w:t>
      </w:r>
      <w:r>
        <w:rPr>
          <w:rFonts w:hint="eastAsia" w:ascii="仿宋" w:hAnsi="仿宋" w:eastAsia="仿宋" w:cs="仿宋"/>
          <w:color w:val="auto"/>
          <w:sz w:val="24"/>
          <w:highlight w:val="none"/>
          <w:lang w:val="en-US" w:eastAsia="zh-CN"/>
        </w:rPr>
        <w:t>13738117598</w:t>
      </w:r>
    </w:p>
    <w:p>
      <w:pPr>
        <w:pageBreakBefore w:val="0"/>
        <w:widowControl w:val="0"/>
        <w:kinsoku/>
        <w:wordWrap/>
        <w:overflowPunct/>
        <w:topLinePunct w:val="0"/>
        <w:autoSpaceDE/>
        <w:autoSpaceDN/>
        <w:bidi w:val="0"/>
        <w:spacing w:line="360" w:lineRule="auto"/>
        <w:ind w:left="0" w:firstLine="482" w:firstLineChars="200"/>
        <w:textAlignment w:val="auto"/>
        <w:rPr>
          <w:rFonts w:hint="eastAsia" w:ascii="仿宋" w:hAnsi="仿宋" w:eastAsia="仿宋" w:cs="仿宋"/>
          <w:b/>
          <w:color w:val="auto"/>
          <w:sz w:val="24"/>
          <w:highlight w:val="none"/>
        </w:rPr>
      </w:pPr>
      <w:bookmarkStart w:id="13" w:name="_Toc35393808"/>
      <w:bookmarkStart w:id="14" w:name="_Toc28359098"/>
      <w:bookmarkStart w:id="15" w:name="_Toc28359021"/>
      <w:bookmarkStart w:id="16" w:name="_Toc35393639"/>
      <w:r>
        <w:rPr>
          <w:rFonts w:hint="eastAsia" w:ascii="仿宋" w:hAnsi="仿宋" w:eastAsia="仿宋" w:cs="仿宋"/>
          <w:b/>
          <w:bCs/>
          <w:color w:val="auto"/>
          <w:sz w:val="24"/>
          <w:highlight w:val="none"/>
        </w:rPr>
        <w:t>3.</w:t>
      </w:r>
      <w:r>
        <w:rPr>
          <w:rFonts w:hint="eastAsia" w:ascii="仿宋" w:hAnsi="仿宋" w:eastAsia="仿宋" w:cs="仿宋"/>
          <w:b/>
          <w:color w:val="auto"/>
          <w:sz w:val="24"/>
          <w:highlight w:val="none"/>
        </w:rPr>
        <w:t xml:space="preserve"> 同级政府采购监督管理部门：            </w:t>
      </w:r>
    </w:p>
    <w:bookmarkEnd w:id="13"/>
    <w:bookmarkEnd w:id="14"/>
    <w:bookmarkEnd w:id="15"/>
    <w:bookmarkEnd w:id="16"/>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称：诸暨市财政局</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诸暨市人民中路356号 </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吕康玮</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监督投诉电话：0575-87111685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        </w:t>
      </w:r>
    </w:p>
    <w:p>
      <w:pPr>
        <w:pageBreakBefore w:val="0"/>
        <w:widowControl w:val="0"/>
        <w:kinsoku/>
        <w:wordWrap/>
        <w:overflowPunct/>
        <w:topLinePunct w:val="0"/>
        <w:autoSpaceDE/>
        <w:autoSpaceDN/>
        <w:bidi w:val="0"/>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6"/>
          <w:szCs w:val="20"/>
          <w:highlight w:val="none"/>
        </w:rPr>
      </w:pPr>
      <w:r>
        <w:rPr>
          <w:rFonts w:hint="eastAsia" w:ascii="仿宋" w:hAnsi="仿宋" w:eastAsia="仿宋" w:cs="仿宋"/>
          <w:b/>
          <w:sz w:val="36"/>
          <w:szCs w:val="20"/>
          <w:highlight w:val="none"/>
        </w:rPr>
        <w:t>第二部分</w:t>
      </w:r>
      <w:bookmarkEnd w:id="2"/>
      <w:r>
        <w:rPr>
          <w:rFonts w:hint="eastAsia" w:ascii="仿宋" w:hAnsi="仿宋" w:eastAsia="仿宋" w:cs="仿宋"/>
          <w:b/>
          <w:sz w:val="36"/>
          <w:szCs w:val="20"/>
          <w:highlight w:val="none"/>
        </w:rPr>
        <w:t xml:space="preserve"> 投标须知</w:t>
      </w:r>
      <w:bookmarkEnd w:id="3"/>
    </w:p>
    <w:p>
      <w:pPr>
        <w:adjustRightInd/>
        <w:spacing w:line="360" w:lineRule="auto"/>
        <w:ind w:firstLine="3845" w:firstLineChars="1197"/>
        <w:outlineLvl w:val="0"/>
        <w:rPr>
          <w:rFonts w:hint="eastAsia" w:ascii="仿宋" w:hAnsi="仿宋" w:eastAsia="仿宋" w:cs="仿宋"/>
          <w:b/>
          <w:sz w:val="32"/>
          <w:szCs w:val="20"/>
          <w:highlight w:val="none"/>
        </w:rPr>
      </w:pPr>
      <w:r>
        <w:rPr>
          <w:rFonts w:hint="eastAsia" w:ascii="仿宋" w:hAnsi="仿宋" w:eastAsia="仿宋" w:cs="仿宋"/>
          <w:b/>
          <w:sz w:val="32"/>
          <w:szCs w:val="20"/>
          <w:highlight w:val="none"/>
        </w:rPr>
        <w:t>前附表</w:t>
      </w:r>
    </w:p>
    <w:tbl>
      <w:tblPr>
        <w:tblStyle w:val="6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55"/>
        <w:gridCol w:w="7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8370" w:type="dxa"/>
            <w:gridSpan w:val="2"/>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8370" w:type="dxa"/>
            <w:gridSpan w:val="2"/>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u w:val="single"/>
              </w:rPr>
            </w:pPr>
            <w:r>
              <w:rPr>
                <w:rFonts w:hint="eastAsia" w:ascii="仿宋" w:hAnsi="仿宋" w:eastAsia="仿宋" w:cs="仿宋"/>
                <w:b/>
                <w:sz w:val="24"/>
                <w:highlight w:val="none"/>
              </w:rPr>
              <w:t>投标人按照项目要求特许资格、资信证明文件（如果有）：</w:t>
            </w:r>
          </w:p>
          <w:p>
            <w:pPr>
              <w:keepNext w:val="0"/>
              <w:keepLines w:val="0"/>
              <w:pageBreakBefore w:val="0"/>
              <w:widowControl w:val="0"/>
              <w:kinsoku/>
              <w:wordWrap/>
              <w:overflowPunct/>
              <w:topLinePunct w:val="0"/>
              <w:bidi w:val="0"/>
              <w:adjustRightInd w:val="0"/>
              <w:spacing w:line="440" w:lineRule="exact"/>
              <w:ind w:left="0" w:leftChars="0" w:right="0" w:rightChars="0" w:firstLine="480" w:firstLineChars="200"/>
              <w:rPr>
                <w:rFonts w:hint="eastAsia" w:ascii="仿宋" w:hAnsi="仿宋" w:eastAsia="仿宋" w:cs="仿宋"/>
                <w:b/>
                <w:sz w:val="24"/>
                <w:highlight w:val="none"/>
              </w:rPr>
            </w:pPr>
            <w:r>
              <w:rPr>
                <w:rFonts w:hint="eastAsia" w:ascii="仿宋" w:hAnsi="仿宋" w:eastAsia="仿宋" w:cs="仿宋"/>
                <w:sz w:val="24"/>
                <w:highlight w:val="none"/>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8370" w:type="dxa"/>
            <w:gridSpan w:val="2"/>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资格审查方式：</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1.资格后审。</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w:t>
            </w:r>
            <w:r>
              <w:rPr>
                <w:rFonts w:hint="eastAsia" w:ascii="仿宋" w:hAnsi="仿宋" w:eastAsia="仿宋" w:cs="仿宋"/>
                <w:b/>
                <w:sz w:val="24"/>
                <w:highlight w:val="none"/>
                <w:lang w:eastAsia="zh-CN"/>
              </w:rPr>
              <w:t>；</w:t>
            </w:r>
            <w:r>
              <w:rPr>
                <w:rFonts w:hint="eastAsia" w:ascii="仿宋" w:hAnsi="仿宋" w:eastAsia="仿宋" w:cs="仿宋"/>
                <w:b/>
                <w:sz w:val="24"/>
                <w:highlight w:val="none"/>
              </w:rPr>
              <w:t>2.如由第三方代理社保事项的，则需提供加盖投标人公章的委托代理协议复印件）。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8370" w:type="dxa"/>
            <w:gridSpan w:val="2"/>
            <w:vAlign w:val="center"/>
          </w:tcPr>
          <w:p>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sz w:val="24"/>
                <w:highlight w:val="none"/>
              </w:rPr>
            </w:pPr>
            <w:r>
              <w:rPr>
                <w:rFonts w:hint="eastAsia" w:ascii="仿宋" w:hAnsi="仿宋" w:eastAsia="仿宋" w:cs="仿宋"/>
                <w:b/>
                <w:sz w:val="24"/>
                <w:highlight w:val="none"/>
              </w:rPr>
              <w:t>投标有效期：</w:t>
            </w:r>
            <w:r>
              <w:rPr>
                <w:rFonts w:hint="eastAsia" w:ascii="仿宋" w:hAnsi="仿宋" w:eastAsia="仿宋" w:cs="仿宋"/>
                <w:sz w:val="24"/>
                <w:highlight w:val="none"/>
              </w:rPr>
              <w:t>投标有效期为从提交投标文件的截止之日起90天。</w:t>
            </w:r>
            <w:r>
              <w:rPr>
                <w:rFonts w:hint="eastAsia" w:ascii="仿宋" w:hAnsi="仿宋" w:eastAsia="仿宋" w:cs="仿宋"/>
                <w:b/>
                <w:sz w:val="24"/>
                <w:highlight w:val="none"/>
              </w:rPr>
              <w:t>投标人的投标文件中承</w:t>
            </w:r>
            <w:r>
              <w:rPr>
                <w:rFonts w:hint="eastAsia" w:ascii="仿宋" w:hAnsi="仿宋" w:eastAsia="仿宋" w:cs="仿宋"/>
                <w:b/>
                <w:sz w:val="24"/>
                <w:szCs w:val="21"/>
                <w:highlight w:val="none"/>
              </w:rPr>
              <w:t>诺的投标有效期少于招标文件中载明的投标有效期的，投标无效。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8370" w:type="dxa"/>
            <w:gridSpan w:val="2"/>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b/>
                <w:sz w:val="24"/>
                <w:highlight w:val="none"/>
              </w:rPr>
              <w:t>转包：</w:t>
            </w:r>
            <w:r>
              <w:rPr>
                <w:rFonts w:hint="eastAsia" w:ascii="仿宋" w:hAnsi="仿宋" w:eastAsia="仿宋" w:cs="仿宋"/>
                <w:sz w:val="24"/>
                <w:highlight w:val="none"/>
              </w:rPr>
              <w:t>本项目不得转包。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8370" w:type="dxa"/>
            <w:gridSpan w:val="2"/>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b/>
                <w:sz w:val="24"/>
                <w:highlight w:val="none"/>
              </w:rPr>
              <w:t>分包：</w:t>
            </w:r>
            <w:r>
              <w:rPr>
                <w:rFonts w:hint="eastAsia" w:ascii="仿宋" w:hAnsi="仿宋" w:eastAsia="仿宋" w:cs="仿宋"/>
                <w:kern w:val="0"/>
                <w:sz w:val="24"/>
                <w:highlight w:val="none"/>
              </w:rPr>
              <w:t>☐ A</w:t>
            </w:r>
            <w:r>
              <w:rPr>
                <w:rFonts w:hint="eastAsia" w:ascii="仿宋" w:hAnsi="仿宋" w:eastAsia="仿宋" w:cs="仿宋"/>
                <w:sz w:val="24"/>
                <w:highlight w:val="none"/>
              </w:rPr>
              <w:t>同意将非主体、非关键性的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工作分包。</w:t>
            </w:r>
          </w:p>
          <w:p>
            <w:pPr>
              <w:keepNext w:val="0"/>
              <w:keepLines w:val="0"/>
              <w:pageBreakBefore w:val="0"/>
              <w:widowControl w:val="0"/>
              <w:kinsoku/>
              <w:wordWrap/>
              <w:overflowPunct/>
              <w:topLinePunct w:val="0"/>
              <w:bidi w:val="0"/>
              <w:adjustRightInd w:val="0"/>
              <w:spacing w:line="440" w:lineRule="exact"/>
              <w:ind w:left="0" w:leftChars="0" w:right="0" w:rightChars="0" w:firstLine="720" w:firstLineChars="300"/>
              <w:rPr>
                <w:rFonts w:hint="eastAsia" w:ascii="仿宋" w:hAnsi="仿宋" w:eastAsia="仿宋" w:cs="仿宋"/>
                <w:b/>
                <w:sz w:val="24"/>
                <w:highlight w:val="none"/>
              </w:rPr>
            </w:pPr>
            <w:r>
              <w:rPr>
                <w:rFonts w:hint="eastAsia" w:ascii="仿宋" w:hAnsi="仿宋" w:eastAsia="仿宋" w:cs="仿宋"/>
                <w:kern w:val="0"/>
                <w:sz w:val="24"/>
                <w:highlight w:val="none"/>
                <w:lang w:eastAsia="zh-CN"/>
              </w:rPr>
              <w:sym w:font="Wingdings 2" w:char="0052"/>
            </w:r>
            <w:r>
              <w:rPr>
                <w:rFonts w:hint="eastAsia" w:ascii="仿宋" w:hAnsi="仿宋" w:eastAsia="仿宋" w:cs="仿宋"/>
                <w:kern w:val="0"/>
                <w:sz w:val="24"/>
                <w:highlight w:val="none"/>
              </w:rPr>
              <w:t xml:space="preserve"> B</w:t>
            </w:r>
            <w:r>
              <w:rPr>
                <w:rFonts w:hint="eastAsia" w:ascii="仿宋" w:hAnsi="仿宋" w:eastAsia="仿宋" w:cs="仿宋"/>
                <w:sz w:val="24"/>
                <w:highlight w:val="none"/>
              </w:rPr>
              <w:t>不同意分包。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8370" w:type="dxa"/>
            <w:gridSpan w:val="2"/>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b/>
                <w:sz w:val="24"/>
                <w:highlight w:val="none"/>
              </w:rPr>
              <w:t>投标文件份数：</w:t>
            </w:r>
            <w:r>
              <w:rPr>
                <w:rFonts w:hint="eastAsia" w:ascii="仿宋" w:hAnsi="仿宋" w:eastAsia="仿宋" w:cs="仿宋"/>
                <w:sz w:val="24"/>
                <w:highlight w:val="none"/>
              </w:rPr>
              <w:t>本项目实行网上投标，供应商于“政采云”上提供电子投标文件。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8370" w:type="dxa"/>
            <w:gridSpan w:val="2"/>
            <w:vAlign w:val="center"/>
          </w:tcPr>
          <w:p>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b/>
                <w:sz w:val="24"/>
                <w:highlight w:val="none"/>
              </w:rPr>
            </w:pPr>
            <w:r>
              <w:rPr>
                <w:rFonts w:hint="eastAsia" w:ascii="仿宋" w:hAnsi="仿宋" w:eastAsia="仿宋" w:cs="仿宋"/>
                <w:b/>
                <w:sz w:val="24"/>
                <w:highlight w:val="none"/>
              </w:rPr>
              <w:t>开标前答疑会或现场考察：</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kern w:val="0"/>
                <w:sz w:val="24"/>
                <w:highlight w:val="none"/>
                <w:lang w:eastAsia="zh-CN"/>
              </w:rPr>
              <w:sym w:font="Wingdings 2" w:char="0052"/>
            </w:r>
            <w:r>
              <w:rPr>
                <w:rFonts w:hint="eastAsia" w:ascii="仿宋" w:hAnsi="仿宋" w:eastAsia="仿宋" w:cs="仿宋"/>
                <w:kern w:val="0"/>
                <w:sz w:val="24"/>
                <w:highlight w:val="none"/>
              </w:rPr>
              <w:t>A</w:t>
            </w:r>
            <w:r>
              <w:rPr>
                <w:rFonts w:hint="eastAsia" w:ascii="仿宋" w:hAnsi="仿宋" w:eastAsia="仿宋" w:cs="仿宋"/>
                <w:sz w:val="24"/>
                <w:highlight w:val="none"/>
              </w:rPr>
              <w:t>不组织。</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仿宋" w:hAnsi="仿宋" w:eastAsia="仿宋" w:cs="仿宋"/>
                <w:b/>
                <w:sz w:val="24"/>
                <w:highlight w:val="none"/>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B组织，</w:t>
            </w:r>
            <w:r>
              <w:rPr>
                <w:rFonts w:hint="eastAsia" w:ascii="仿宋" w:hAnsi="仿宋" w:eastAsia="仿宋" w:cs="仿宋"/>
                <w:sz w:val="24"/>
                <w:highlight w:val="none"/>
              </w:rPr>
              <w:t>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rPr>
              <w:t>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，联系人：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，联系方式：</w:t>
            </w:r>
            <w:r>
              <w:rPr>
                <w:rFonts w:hint="eastAsia" w:ascii="仿宋" w:hAnsi="仿宋" w:eastAsia="仿宋" w:cs="仿宋"/>
                <w:sz w:val="24"/>
                <w:highlight w:val="none"/>
                <w:u w:val="single"/>
              </w:rPr>
              <w:t xml:space="preserve">      </w:t>
            </w:r>
            <w:r>
              <w:rPr>
                <w:rFonts w:hint="eastAsia" w:ascii="仿宋" w:hAnsi="仿宋" w:eastAsia="仿宋" w:cs="仿宋"/>
                <w:sz w:val="24"/>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8370" w:type="dxa"/>
            <w:gridSpan w:val="2"/>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样品提供：</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kern w:val="0"/>
                <w:sz w:val="24"/>
                <w:highlight w:val="none"/>
                <w:lang w:eastAsia="zh-CN"/>
              </w:rPr>
              <w:sym w:font="Wingdings 2" w:char="0052"/>
            </w:r>
            <w:r>
              <w:rPr>
                <w:rFonts w:hint="eastAsia" w:ascii="仿宋" w:hAnsi="仿宋" w:eastAsia="仿宋" w:cs="仿宋"/>
                <w:kern w:val="0"/>
                <w:sz w:val="24"/>
                <w:highlight w:val="none"/>
              </w:rPr>
              <w:t>A</w:t>
            </w:r>
            <w:r>
              <w:rPr>
                <w:rFonts w:hint="eastAsia" w:ascii="仿宋" w:hAnsi="仿宋" w:eastAsia="仿宋" w:cs="仿宋"/>
                <w:sz w:val="24"/>
                <w:highlight w:val="none"/>
              </w:rPr>
              <w:t>不要求提供。</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kern w:val="0"/>
                <w:sz w:val="24"/>
                <w:highlight w:val="none"/>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B要求提供，</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snapToGrid w:val="0"/>
                <w:kern w:val="28"/>
                <w:sz w:val="24"/>
                <w:highlight w:val="none"/>
              </w:rPr>
              <w:t>样品：</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rPr>
              <w:t>；</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snapToGrid w:val="0"/>
                <w:kern w:val="28"/>
                <w:sz w:val="24"/>
                <w:highlight w:val="none"/>
              </w:rPr>
              <w:t>样品制作的标准和要求：</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rPr>
              <w:t>；</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kern w:val="0"/>
                <w:sz w:val="24"/>
                <w:highlight w:val="none"/>
              </w:rPr>
            </w:pPr>
            <w:r>
              <w:rPr>
                <w:rFonts w:hint="eastAsia" w:ascii="仿宋" w:hAnsi="仿宋" w:eastAsia="仿宋" w:cs="仿宋"/>
                <w:kern w:val="0"/>
                <w:sz w:val="24"/>
                <w:highlight w:val="none"/>
              </w:rPr>
              <w:t>（3）样品的评审方法以及评审标准</w:t>
            </w:r>
            <w:r>
              <w:rPr>
                <w:rFonts w:hint="eastAsia" w:ascii="仿宋" w:hAnsi="仿宋" w:eastAsia="仿宋" w:cs="仿宋"/>
                <w:snapToGrid w:val="0"/>
                <w:kern w:val="28"/>
                <w:sz w:val="24"/>
                <w:highlight w:val="none"/>
              </w:rPr>
              <w:t>：详见</w:t>
            </w:r>
            <w:r>
              <w:rPr>
                <w:rFonts w:hint="eastAsia" w:ascii="仿宋" w:hAnsi="仿宋" w:eastAsia="仿宋" w:cs="仿宋"/>
                <w:sz w:val="24"/>
                <w:highlight w:val="none"/>
                <w:u w:val="single"/>
              </w:rPr>
              <w:t>评标办法</w:t>
            </w:r>
            <w:r>
              <w:rPr>
                <w:rFonts w:hint="eastAsia" w:ascii="仿宋" w:hAnsi="仿宋" w:eastAsia="仿宋" w:cs="仿宋"/>
                <w:kern w:val="0"/>
                <w:sz w:val="24"/>
                <w:highlight w:val="none"/>
              </w:rPr>
              <w:t>；</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kern w:val="0"/>
                <w:sz w:val="24"/>
                <w:highlight w:val="none"/>
              </w:rPr>
            </w:pPr>
            <w:r>
              <w:rPr>
                <w:rFonts w:hint="eastAsia" w:ascii="仿宋" w:hAnsi="仿宋" w:eastAsia="仿宋" w:cs="仿宋"/>
                <w:kern w:val="0"/>
                <w:sz w:val="24"/>
                <w:highlight w:val="none"/>
              </w:rPr>
              <w:t>（4）是否需要随样品提交检测报告：</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否；□是，检测机构的要求</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rPr>
              <w:t>；检测内容</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rPr>
              <w:t>。</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（5）提供样品的时间：</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rPr>
              <w:t>；地点：</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rPr>
              <w:t>；联系人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28"/>
                <w:sz w:val="24"/>
                <w:highlight w:val="none"/>
              </w:rPr>
              <w:t>联系电话：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。请投标人在上述时间内提供样品并按规定位置安装完毕。超过截止时间的，采购人或采购代理机构将不予接收，并将清场并封闭样品现场。</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 xml:space="preserve"> (6</w:t>
            </w:r>
            <w:r>
              <w:rPr>
                <w:rFonts w:hint="eastAsia" w:ascii="仿宋" w:hAnsi="仿宋" w:eastAsia="仿宋" w:cs="仿宋"/>
                <w:sz w:val="24"/>
                <w:highlight w:val="none"/>
                <w:lang w:eastAsia="zh-CN"/>
              </w:rPr>
              <w:t>）</w:t>
            </w:r>
            <w:r>
              <w:rPr>
                <w:rFonts w:hint="eastAsia" w:ascii="仿宋" w:hAnsi="仿宋" w:eastAsia="仿宋" w:cs="仿宋"/>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jc w:val="left"/>
              <w:rPr>
                <w:rFonts w:hint="eastAsia" w:ascii="仿宋" w:hAnsi="仿宋" w:eastAsia="仿宋" w:cs="仿宋"/>
                <w:b/>
                <w:sz w:val="24"/>
                <w:highlight w:val="none"/>
              </w:rPr>
            </w:pPr>
            <w:r>
              <w:rPr>
                <w:rFonts w:hint="eastAsia" w:ascii="仿宋" w:hAnsi="仿宋" w:eastAsia="仿宋" w:cs="仿宋"/>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8370" w:type="dxa"/>
            <w:gridSpan w:val="2"/>
            <w:vAlign w:val="center"/>
          </w:tcPr>
          <w:p>
            <w:pPr>
              <w:spacing w:beforeLines="0" w:afterLines="0" w:line="440" w:lineRule="exact"/>
              <w:rPr>
                <w:rFonts w:hint="eastAsia" w:ascii="仿宋_GB2312" w:hAnsi="宋体" w:eastAsia="仿宋_GB2312"/>
                <w:b/>
                <w:color w:val="000000"/>
                <w:sz w:val="24"/>
                <w:szCs w:val="24"/>
                <w:highlight w:val="none"/>
              </w:rPr>
            </w:pPr>
            <w:r>
              <w:rPr>
                <w:rFonts w:hint="eastAsia" w:ascii="仿宋_GB2312" w:hAnsi="宋体" w:eastAsia="仿宋_GB2312"/>
                <w:b/>
                <w:color w:val="000000"/>
                <w:sz w:val="24"/>
                <w:szCs w:val="24"/>
                <w:highlight w:val="none"/>
              </w:rPr>
              <w:t>方案讲解演示：</w:t>
            </w:r>
          </w:p>
          <w:p>
            <w:pPr>
              <w:spacing w:beforeLines="0" w:afterLines="0"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2" w:char="0052"/>
            </w:r>
            <w:r>
              <w:rPr>
                <w:rFonts w:hint="eastAsia" w:ascii="仿宋" w:hAnsi="仿宋" w:eastAsia="仿宋" w:cs="仿宋"/>
                <w:sz w:val="24"/>
                <w:szCs w:val="24"/>
                <w:highlight w:val="none"/>
              </w:rPr>
              <w:t>A无方案讲解演示。</w:t>
            </w:r>
          </w:p>
          <w:p>
            <w:pPr>
              <w:spacing w:beforeLines="0" w:afterLines="0" w:line="44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t>□B有方案讲解演示：</w:t>
            </w:r>
          </w:p>
          <w:p>
            <w:pPr>
              <w:spacing w:beforeLines="0" w:afterLines="0" w:line="44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（1）在评标时安排每个供应商进行方案讲解演示。每个供应商时间不超过</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zh-CN"/>
              </w:rPr>
              <w:t>分钟（编制时可根据项目情况进行调整），讲解次序以投标文件解密时间先后次序为准。讲解演示结束后按要求解答评标委员会提问。</w:t>
            </w:r>
          </w:p>
          <w:p>
            <w:pPr>
              <w:spacing w:beforeLines="0" w:afterLines="0" w:line="44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（2）方案讲解演示可选择以下其中一种方式：</w:t>
            </w:r>
          </w:p>
          <w:p>
            <w:pPr>
              <w:spacing w:beforeLines="0" w:afterLines="0" w:line="44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方式一：政采云平台在线讲解演示。政采云平台在线讲解需供应商根据政采云平台操作要求做好准备工作，提前完善软硬件配置环境。</w:t>
            </w:r>
          </w:p>
          <w:p>
            <w:pPr>
              <w:spacing w:beforeLines="0" w:afterLines="0" w:line="44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方式二：现场讲解演示。现场讲解地点为</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r>
              <w:rPr>
                <w:rFonts w:hint="eastAsia" w:ascii="仿宋" w:hAnsi="仿宋" w:eastAsia="仿宋" w:cs="仿宋"/>
                <w:kern w:val="0"/>
                <w:sz w:val="24"/>
                <w:highlight w:val="none"/>
                <w:lang w:val="zh-CN"/>
              </w:rPr>
              <w:t>讲解演示人员不超过</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lang w:val="zh-CN"/>
              </w:rPr>
              <w:t>人</w:t>
            </w:r>
            <w:r>
              <w:rPr>
                <w:rFonts w:hint="eastAsia" w:ascii="仿宋" w:hAnsi="仿宋" w:eastAsia="仿宋" w:cs="仿宋"/>
                <w:color w:val="auto"/>
                <w:kern w:val="0"/>
                <w:sz w:val="24"/>
                <w:highlight w:val="none"/>
                <w:lang w:val="zh-CN"/>
              </w:rPr>
              <w:t>（编制时可根据项目情况进行调整）。</w:t>
            </w:r>
            <w:r>
              <w:rPr>
                <w:rFonts w:hint="eastAsia" w:ascii="仿宋" w:hAnsi="仿宋" w:eastAsia="仿宋" w:cs="仿宋"/>
                <w:sz w:val="24"/>
                <w:szCs w:val="24"/>
                <w:highlight w:val="none"/>
                <w:lang w:val="zh-CN"/>
              </w:rPr>
              <w:t>讲解演示所用电脑等设备由供应商自备。现场讲解演示人员进场时提供讲解人员名单（加盖公章或授权代表签名）及身份证明，否则不得讲解演示。</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szCs w:val="24"/>
                <w:highlight w:val="none"/>
                <w:lang w:val="zh-CN"/>
              </w:rPr>
              <w:t>注：因供应商自身原因导致无法演示或者演示效果不理想的，责任自负。因平台原因导致本项目方案讲解演示环节无法顺利开展，按照《浙江省政府采购项目电子交易管理暂行办法》相关规定执行。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855" w:type="dxa"/>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进口产品</w:t>
            </w:r>
          </w:p>
        </w:tc>
        <w:tc>
          <w:tcPr>
            <w:tcW w:w="7515"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kern w:val="0"/>
                <w:sz w:val="24"/>
                <w:highlight w:val="none"/>
              </w:rPr>
            </w:pPr>
            <w:r>
              <w:rPr>
                <w:rFonts w:hint="eastAsia" w:ascii="仿宋" w:hAnsi="仿宋" w:eastAsia="仿宋" w:cs="仿宋"/>
                <w:kern w:val="0"/>
                <w:sz w:val="24"/>
                <w:highlight w:val="none"/>
                <w:lang w:eastAsia="zh-CN"/>
              </w:rPr>
              <w:sym w:font="Wingdings 2" w:char="0052"/>
            </w:r>
            <w:r>
              <w:rPr>
                <w:rFonts w:hint="eastAsia" w:ascii="仿宋" w:hAnsi="仿宋" w:eastAsia="仿宋" w:cs="仿宋"/>
                <w:kern w:val="0"/>
                <w:sz w:val="24"/>
                <w:highlight w:val="none"/>
              </w:rPr>
              <w:t>本项目不允许采购进口产品。</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855" w:type="dxa"/>
            <w:vAlign w:val="center"/>
          </w:tcPr>
          <w:p>
            <w:pPr>
              <w:keepNext w:val="0"/>
              <w:keepLines w:val="0"/>
              <w:pageBreakBefore w:val="0"/>
              <w:widowControl w:val="0"/>
              <w:kinsoku/>
              <w:wordWrap/>
              <w:overflowPunct/>
              <w:topLinePunct w:val="0"/>
              <w:bidi w:val="0"/>
              <w:adjustRightInd w:val="0"/>
              <w:snapToGrid w:val="0"/>
              <w:spacing w:line="440" w:lineRule="exact"/>
              <w:ind w:left="14" w:leftChars="0" w:right="0" w:rightChars="0" w:hanging="14" w:hangingChars="7"/>
              <w:rPr>
                <w:rFonts w:hint="eastAsia" w:ascii="仿宋" w:hAnsi="仿宋" w:eastAsia="仿宋" w:cs="仿宋"/>
                <w:b/>
                <w:spacing w:val="-20"/>
                <w:sz w:val="24"/>
                <w:highlight w:val="none"/>
              </w:rPr>
            </w:pPr>
            <w:r>
              <w:rPr>
                <w:rFonts w:hint="eastAsia" w:ascii="仿宋" w:hAnsi="仿宋" w:eastAsia="仿宋" w:cs="仿宋"/>
                <w:b/>
                <w:spacing w:val="-20"/>
                <w:sz w:val="24"/>
                <w:highlight w:val="none"/>
              </w:rPr>
              <w:t>项目属性与核心产品</w:t>
            </w:r>
          </w:p>
        </w:tc>
        <w:tc>
          <w:tcPr>
            <w:tcW w:w="7515"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kern w:val="0"/>
                <w:sz w:val="24"/>
                <w:highlight w:val="none"/>
              </w:rPr>
              <w:t>☐A</w:t>
            </w:r>
            <w:r>
              <w:rPr>
                <w:rFonts w:hint="eastAsia" w:ascii="仿宋" w:hAnsi="仿宋" w:eastAsia="仿宋" w:cs="仿宋"/>
                <w:sz w:val="24"/>
                <w:highlight w:val="none"/>
              </w:rPr>
              <w:t>货物类，单一产品或</w:t>
            </w:r>
            <w:r>
              <w:rPr>
                <w:rFonts w:hint="eastAsia" w:ascii="仿宋" w:hAnsi="仿宋" w:eastAsia="仿宋" w:cs="仿宋"/>
                <w:kern w:val="0"/>
                <w:sz w:val="24"/>
                <w:highlight w:val="none"/>
              </w:rPr>
              <w:t>核心产品为：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kern w:val="0"/>
                <w:sz w:val="24"/>
                <w:highlight w:val="none"/>
                <w:lang w:eastAsia="zh-CN"/>
              </w:rPr>
              <w:sym w:font="Wingdings 2" w:char="0052"/>
            </w:r>
            <w:r>
              <w:rPr>
                <w:rFonts w:hint="eastAsia" w:ascii="仿宋" w:hAnsi="仿宋" w:eastAsia="仿宋" w:cs="仿宋"/>
                <w:kern w:val="0"/>
                <w:sz w:val="24"/>
                <w:highlight w:val="none"/>
              </w:rPr>
              <w:t>B</w:t>
            </w:r>
            <w:r>
              <w:rPr>
                <w:rFonts w:hint="eastAsia" w:ascii="仿宋" w:hAnsi="仿宋" w:eastAsia="仿宋" w:cs="仿宋"/>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855" w:type="dxa"/>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hanging="1"/>
              <w:jc w:val="center"/>
              <w:rPr>
                <w:rFonts w:hint="eastAsia" w:ascii="仿宋" w:hAnsi="仿宋" w:eastAsia="仿宋" w:cs="仿宋"/>
                <w:b/>
                <w:spacing w:val="-20"/>
                <w:sz w:val="24"/>
                <w:highlight w:val="none"/>
              </w:rPr>
            </w:pPr>
            <w:r>
              <w:rPr>
                <w:rFonts w:hint="eastAsia" w:ascii="仿宋" w:hAnsi="仿宋" w:eastAsia="仿宋" w:cs="仿宋"/>
                <w:b/>
                <w:spacing w:val="-20"/>
                <w:sz w:val="24"/>
                <w:highlight w:val="none"/>
              </w:rPr>
              <w:t>采购标的对应的中小企业划分标准所属行业</w:t>
            </w:r>
          </w:p>
        </w:tc>
        <w:tc>
          <w:tcPr>
            <w:tcW w:w="7515" w:type="dxa"/>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highlight w:val="none"/>
              </w:rPr>
            </w:pPr>
            <w:r>
              <w:rPr>
                <w:rFonts w:hint="eastAsia" w:ascii="仿宋" w:hAnsi="仿宋" w:eastAsia="仿宋" w:cs="仿宋"/>
                <w:kern w:val="0"/>
                <w:sz w:val="24"/>
                <w:highlight w:val="none"/>
              </w:rPr>
              <w:t>（1）标的：</w:t>
            </w:r>
            <w:r>
              <w:rPr>
                <w:rFonts w:hint="eastAsia" w:ascii="仿宋" w:hAnsi="仿宋" w:eastAsia="仿宋" w:cs="仿宋"/>
                <w:sz w:val="24"/>
                <w:szCs w:val="24"/>
                <w:highlight w:val="none"/>
                <w:u w:val="single"/>
                <w:shd w:val="clear" w:color="auto" w:fill="FFFFFF"/>
                <w:lang w:eastAsia="zh-CN"/>
              </w:rPr>
              <w:t>诸暨市市场监督管理局2024年度食品定量检测服务采购项目</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lang w:val="en-US" w:eastAsia="zh-CN"/>
              </w:rPr>
              <w:t xml:space="preserve"> 其他未列明</w:t>
            </w:r>
            <w:r>
              <w:rPr>
                <w:rFonts w:hint="eastAsia" w:ascii="仿宋" w:hAnsi="仿宋" w:eastAsia="仿宋" w:cs="仿宋"/>
                <w:kern w:val="0"/>
                <w:sz w:val="24"/>
                <w:highlight w:val="none"/>
                <w:u w:val="none"/>
                <w:lang w:val="en-US" w:eastAsia="zh-CN"/>
              </w:rPr>
              <w:t>行业</w:t>
            </w:r>
            <w:r>
              <w:rPr>
                <w:rFonts w:hint="eastAsia" w:ascii="仿宋" w:hAnsi="仿宋" w:eastAsia="仿宋" w:cs="仿宋"/>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restart"/>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855" w:type="dxa"/>
            <w:vMerge w:val="restart"/>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投标人信用信息事项</w:t>
            </w:r>
          </w:p>
        </w:tc>
        <w:tc>
          <w:tcPr>
            <w:tcW w:w="7515" w:type="dxa"/>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信用信息查询渠道及截止时间：</w:t>
            </w:r>
            <w:r>
              <w:rPr>
                <w:rFonts w:hint="eastAsia" w:ascii="仿宋" w:hAnsi="仿宋" w:eastAsia="仿宋" w:cs="仿宋"/>
                <w:sz w:val="24"/>
                <w:highlight w:val="none"/>
              </w:rPr>
              <w:t>采购人或采购人委托的评审小组或采购代理机构将通过“信用中国”网站</w:t>
            </w:r>
            <w:r>
              <w:rPr>
                <w:rFonts w:hint="eastAsia" w:ascii="仿宋" w:hAnsi="仿宋" w:eastAsia="仿宋" w:cs="仿宋"/>
                <w:sz w:val="24"/>
                <w:highlight w:val="none"/>
                <w:lang w:eastAsia="zh-CN"/>
              </w:rPr>
              <w:t>（</w:t>
            </w:r>
            <w:r>
              <w:rPr>
                <w:rFonts w:hint="eastAsia" w:ascii="仿宋" w:hAnsi="仿宋" w:eastAsia="仿宋" w:cs="仿宋"/>
                <w:sz w:val="24"/>
                <w:highlight w:val="none"/>
              </w:rPr>
              <w:t>www.creditchina.gov.cn)、中国政府采购网</w:t>
            </w:r>
            <w:r>
              <w:rPr>
                <w:rFonts w:hint="eastAsia" w:ascii="仿宋" w:hAnsi="仿宋" w:eastAsia="仿宋" w:cs="仿宋"/>
                <w:sz w:val="24"/>
                <w:highlight w:val="none"/>
                <w:lang w:eastAsia="zh-CN"/>
              </w:rPr>
              <w:t>（</w:t>
            </w:r>
            <w:r>
              <w:rPr>
                <w:rFonts w:hint="eastAsia" w:ascii="仿宋" w:hAnsi="仿宋" w:eastAsia="仿宋" w:cs="仿宋"/>
                <w:sz w:val="24"/>
                <w:highlight w:val="none"/>
              </w:rPr>
              <w:t>www.ccgp.gov.cn</w:t>
            </w:r>
            <w:r>
              <w:rPr>
                <w:rFonts w:hint="eastAsia" w:ascii="仿宋" w:hAnsi="仿宋" w:eastAsia="仿宋" w:cs="仿宋"/>
                <w:sz w:val="24"/>
                <w:highlight w:val="none"/>
                <w:lang w:eastAsia="zh-CN"/>
              </w:rPr>
              <w:t>）</w:t>
            </w:r>
            <w:r>
              <w:rPr>
                <w:rFonts w:hint="eastAsia" w:ascii="仿宋" w:hAnsi="仿宋" w:eastAsia="仿宋" w:cs="仿宋"/>
                <w:sz w:val="24"/>
                <w:highlight w:val="none"/>
              </w:rPr>
              <w:t>渠道查询投标人</w:t>
            </w:r>
            <w:r>
              <w:rPr>
                <w:rFonts w:hint="eastAsia" w:ascii="仿宋" w:hAnsi="仿宋" w:eastAsia="仿宋" w:cs="仿宋"/>
                <w:b/>
                <w:sz w:val="24"/>
                <w:highlight w:val="none"/>
              </w:rPr>
              <w:t>开标当天</w:t>
            </w:r>
            <w:r>
              <w:rPr>
                <w:rFonts w:hint="eastAsia" w:ascii="仿宋" w:hAnsi="仿宋" w:eastAsia="仿宋" w:cs="仿宋"/>
                <w:sz w:val="24"/>
                <w:highlight w:val="none"/>
              </w:rPr>
              <w:t>的信用记录。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p>
        </w:tc>
        <w:tc>
          <w:tcPr>
            <w:tcW w:w="855" w:type="dxa"/>
            <w:vMerge w:val="continue"/>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p>
        </w:tc>
        <w:tc>
          <w:tcPr>
            <w:tcW w:w="7515" w:type="dxa"/>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信用信息查询记录和证据留存的具体方式：</w:t>
            </w:r>
            <w:r>
              <w:rPr>
                <w:rFonts w:hint="eastAsia" w:ascii="仿宋" w:hAnsi="仿宋" w:eastAsia="仿宋" w:cs="仿宋"/>
                <w:sz w:val="24"/>
                <w:highlight w:val="none"/>
              </w:rPr>
              <w:t>采购人或采购人委托的评审小组或采购代理机构现场查询投标人的信用记录，查询结果经确认后与采购文件一起存档。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p>
        </w:tc>
        <w:tc>
          <w:tcPr>
            <w:tcW w:w="855" w:type="dxa"/>
            <w:vMerge w:val="continue"/>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p>
        </w:tc>
        <w:tc>
          <w:tcPr>
            <w:tcW w:w="7515" w:type="dxa"/>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b/>
                <w:sz w:val="24"/>
                <w:highlight w:val="none"/>
              </w:rPr>
              <w:t>信用信息的使用规则：</w:t>
            </w:r>
            <w:r>
              <w:rPr>
                <w:rFonts w:hint="eastAsia" w:ascii="仿宋" w:hAnsi="仿宋" w:eastAsia="仿宋" w:cs="仿宋"/>
                <w:sz w:val="24"/>
                <w:highlight w:val="none"/>
              </w:rPr>
              <w:t>经查询列入失信被执行人名单、重大税收违法案件当事人名单、政府采购严重违法失信行为记录名单的投标人将被拒绝参与政府采购活动。</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sz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8370" w:type="dxa"/>
            <w:gridSpan w:val="2"/>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扰乱公共资源交易市场秩序行为：</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不诚信参加公共资源交易活动，扰乱市场秩序，被绍兴市公共资源交易平台责令整改、暂停交易的投标人，在此期间将被拒绝参与政府采购活动。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15</w:t>
            </w:r>
          </w:p>
        </w:tc>
        <w:tc>
          <w:tcPr>
            <w:tcW w:w="8370" w:type="dxa"/>
            <w:gridSpan w:val="2"/>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需要落实的政府采购政策：包括保护环境、节约能源、促进中小企业发展等。详见招标文件第二部分总则。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16</w:t>
            </w:r>
          </w:p>
        </w:tc>
        <w:tc>
          <w:tcPr>
            <w:tcW w:w="8370" w:type="dxa"/>
            <w:gridSpan w:val="2"/>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更正补充公告请自行登录浙江政府采购网或绍兴公共资源交易网查看下载。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 xml:space="preserve">17                                                                                                                                                                                                                                                                                                                                                                                                                                                                                                                                                                                                                                                                                                                                                                                                                                                                                                                                                                                                                                                                                                                                                                                                                                                                                                                                        </w:t>
            </w:r>
          </w:p>
        </w:tc>
        <w:tc>
          <w:tcPr>
            <w:tcW w:w="8370" w:type="dxa"/>
            <w:gridSpan w:val="2"/>
            <w:vAlign w:val="center"/>
          </w:tcPr>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投标与开标注意事项：</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1.本项目实行网上投标，采用电子投标文件。若供应商参与投标，自行承担投标一切费用。</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注：供应商CA相关操作可参考政采云平台</w:t>
            </w:r>
            <w:r>
              <w:rPr>
                <w:rFonts w:hint="eastAsia" w:ascii="仿宋" w:hAnsi="仿宋" w:eastAsia="仿宋" w:cs="仿宋"/>
                <w:highlight w:val="none"/>
              </w:rPr>
              <w:t>https://www.zcygov.cn/</w:t>
            </w:r>
            <w:r>
              <w:rPr>
                <w:rFonts w:hint="eastAsia" w:ascii="仿宋" w:hAnsi="仿宋" w:eastAsia="仿宋" w:cs="仿宋"/>
                <w:sz w:val="24"/>
                <w:highlight w:val="none"/>
              </w:rPr>
              <w:t>《CA申领操作指南》和《CA管理操作指南》。完成CA数字证书办理在资料齐全的情况下预计7个工作日左右，建议供应商获取招标文件后立即办理。</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3.投标文件制作、递交、解密：</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3.1应按照本项目招标文件和政采云平台的要求编制、加密传输投标文件。供应商在使用系统进行投标的过程中遇到涉及平台使用的任何问题，可致电政采云平台技术支持热线咨询，联系方式：95763。</w:t>
            </w:r>
          </w:p>
          <w:p>
            <w:pPr>
              <w:keepNext w:val="0"/>
              <w:keepLines w:val="0"/>
              <w:pageBreakBefore w:val="0"/>
              <w:widowControl w:val="0"/>
              <w:kinsoku/>
              <w:wordWrap/>
              <w:overflowPunct/>
              <w:topLinePunct w:val="0"/>
              <w:bidi w:val="0"/>
              <w:adjustRightInd w:val="0"/>
              <w:snapToGrid w:val="0"/>
              <w:spacing w:line="440" w:lineRule="exact"/>
              <w:ind w:left="0" w:leftChars="0" w:right="0" w:rightChars="0"/>
              <w:jc w:val="left"/>
              <w:rPr>
                <w:rFonts w:hint="eastAsia" w:ascii="仿宋" w:hAnsi="仿宋" w:eastAsia="仿宋" w:cs="仿宋"/>
                <w:sz w:val="24"/>
                <w:highlight w:val="none"/>
              </w:rPr>
            </w:pPr>
            <w:r>
              <w:rPr>
                <w:rFonts w:hint="eastAsia" w:ascii="仿宋" w:hAnsi="仿宋" w:eastAsia="仿宋" w:cs="仿宋"/>
                <w:sz w:val="24"/>
                <w:highlight w:val="none"/>
              </w:rPr>
              <w:t>3.2投标人通过“政采云”平台制作电子投标文件，投标文件制作详见供应商-政府采购项目电子交易操作指南。</w:t>
            </w:r>
          </w:p>
          <w:p>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3.3开标时间后30分钟内供应商可以登录“政采云”平台，用“项目采购</w:t>
            </w:r>
            <w:r>
              <w:rPr>
                <w:rFonts w:hint="eastAsia" w:ascii="仿宋" w:hAnsi="仿宋" w:eastAsia="仿宋" w:cs="仿宋"/>
                <w:sz w:val="24"/>
                <w:highlight w:val="none"/>
                <w:lang w:eastAsia="zh-CN"/>
              </w:rPr>
              <w:t>－</w:t>
            </w:r>
            <w:r>
              <w:rPr>
                <w:rFonts w:hint="eastAsia" w:ascii="仿宋" w:hAnsi="仿宋" w:eastAsia="仿宋" w:cs="仿宋"/>
                <w:sz w:val="24"/>
                <w:highlight w:val="none"/>
              </w:rPr>
              <w:t>开标评标”功能进行解密投标文件。若供应商</w:t>
            </w:r>
            <w:r>
              <w:rPr>
                <w:rFonts w:hint="eastAsia" w:ascii="仿宋" w:hAnsi="仿宋" w:eastAsia="仿宋" w:cs="仿宋"/>
                <w:b/>
                <w:sz w:val="24"/>
                <w:highlight w:val="none"/>
                <w:u w:val="single"/>
              </w:rPr>
              <w:t>未按时解密的</w:t>
            </w:r>
            <w:r>
              <w:rPr>
                <w:rFonts w:hint="eastAsia" w:ascii="仿宋" w:hAnsi="仿宋" w:eastAsia="仿宋" w:cs="仿宋"/>
                <w:sz w:val="24"/>
                <w:highlight w:val="none"/>
              </w:rPr>
              <w:t>，</w:t>
            </w:r>
            <w:r>
              <w:rPr>
                <w:rFonts w:hint="eastAsia" w:ascii="仿宋" w:hAnsi="仿宋" w:eastAsia="仿宋" w:cs="仿宋"/>
                <w:b/>
                <w:sz w:val="24"/>
                <w:highlight w:val="none"/>
                <w:u w:val="single"/>
              </w:rPr>
              <w:t>视为投标文件撤回</w:t>
            </w:r>
            <w:r>
              <w:rPr>
                <w:rFonts w:hint="eastAsia" w:ascii="仿宋" w:hAnsi="仿宋" w:eastAsia="仿宋" w:cs="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restart"/>
            <w:vAlign w:val="center"/>
          </w:tcPr>
          <w:p>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18</w:t>
            </w:r>
          </w:p>
        </w:tc>
        <w:tc>
          <w:tcPr>
            <w:tcW w:w="8370" w:type="dxa"/>
            <w:gridSpan w:val="2"/>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特别说明：</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napToGrid w:val="0"/>
                <w:kern w:val="28"/>
                <w:sz w:val="24"/>
                <w:highlight w:val="none"/>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continue"/>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p>
        </w:tc>
        <w:tc>
          <w:tcPr>
            <w:tcW w:w="8370" w:type="dxa"/>
            <w:gridSpan w:val="2"/>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napToGrid w:val="0"/>
                <w:kern w:val="28"/>
                <w:sz w:val="24"/>
                <w:highlight w:val="none"/>
              </w:rPr>
            </w:pPr>
            <w:r>
              <w:rPr>
                <w:rFonts w:hint="eastAsia" w:ascii="仿宋" w:hAnsi="仿宋" w:eastAsia="仿宋" w:cs="仿宋"/>
                <w:kern w:val="0"/>
                <w:sz w:val="24"/>
                <w:highlight w:val="none"/>
              </w:rPr>
              <w:t>☐</w:t>
            </w:r>
            <w:r>
              <w:rPr>
                <w:rFonts w:hint="eastAsia" w:ascii="仿宋" w:hAnsi="仿宋" w:eastAsia="仿宋" w:cs="仿宋"/>
                <w:snapToGrid w:val="0"/>
                <w:kern w:val="28"/>
                <w:sz w:val="24"/>
                <w:highlight w:val="none"/>
              </w:rPr>
              <w:t>联合体投标的，联合体各方均需按招标文件第五部分评标标准要求提供资信证明文件，否则视为不符合相关要求。</w:t>
            </w:r>
          </w:p>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kern w:val="0"/>
                <w:sz w:val="24"/>
                <w:highlight w:val="none"/>
              </w:rPr>
              <w:t>☐</w:t>
            </w:r>
            <w:r>
              <w:rPr>
                <w:rFonts w:hint="eastAsia" w:ascii="仿宋" w:hAnsi="仿宋" w:eastAsia="仿宋" w:cs="仿宋"/>
                <w:snapToGrid w:val="0"/>
                <w:kern w:val="28"/>
                <w:sz w:val="24"/>
                <w:highlight w:val="none"/>
              </w:rPr>
              <w:t>联合体投标的，联合体中有一方或者联合体成员根据分工按招标文件第五部分评标标准要求提供资信证明文件的，视为符合相关要求。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0" w:type="dxa"/>
            <w:vAlign w:val="center"/>
          </w:tcPr>
          <w:p>
            <w:pPr>
              <w:snapToGrid w:val="0"/>
              <w:spacing w:line="336" w:lineRule="auto"/>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19</w:t>
            </w:r>
          </w:p>
        </w:tc>
        <w:tc>
          <w:tcPr>
            <w:tcW w:w="8370" w:type="dxa"/>
            <w:gridSpan w:val="2"/>
            <w:vAlign w:val="center"/>
          </w:tcPr>
          <w:p>
            <w:pPr>
              <w:spacing w:line="336" w:lineRule="auto"/>
              <w:rPr>
                <w:rFonts w:hint="eastAsia" w:ascii="仿宋" w:hAnsi="仿宋" w:eastAsia="仿宋" w:cs="仿宋"/>
                <w:b/>
                <w:sz w:val="24"/>
                <w:highlight w:val="none"/>
              </w:rPr>
            </w:pPr>
            <w:r>
              <w:rPr>
                <w:rFonts w:hint="eastAsia" w:ascii="仿宋" w:hAnsi="仿宋" w:eastAsia="仿宋" w:cs="仿宋"/>
                <w:b/>
                <w:sz w:val="24"/>
                <w:highlight w:val="none"/>
              </w:rPr>
              <w:t>采购代理服务费：</w:t>
            </w:r>
          </w:p>
          <w:p>
            <w:pPr>
              <w:numPr>
                <w:ilvl w:val="0"/>
                <w:numId w:val="2"/>
              </w:numPr>
              <w:spacing w:line="240" w:lineRule="auto"/>
              <w:rPr>
                <w:rFonts w:hint="eastAsia" w:ascii="仿宋" w:hAnsi="仿宋" w:eastAsia="仿宋" w:cs="仿宋"/>
                <w:snapToGrid w:val="0"/>
                <w:kern w:val="28"/>
                <w:sz w:val="24"/>
                <w:highlight w:val="none"/>
                <w:lang w:val="en-US" w:eastAsia="zh-CN"/>
              </w:rPr>
            </w:pPr>
            <w:r>
              <w:rPr>
                <w:rFonts w:hint="eastAsia" w:ascii="仿宋" w:hAnsi="仿宋" w:eastAsia="仿宋" w:cs="仿宋"/>
                <w:snapToGrid w:val="0"/>
                <w:kern w:val="28"/>
                <w:sz w:val="24"/>
                <w:highlight w:val="none"/>
                <w:lang w:val="en-US" w:eastAsia="zh-CN"/>
              </w:rPr>
              <w:t>招标代理服务费由中标人支付，具体收费标准按下列公式计算，差额定率累进法计算：</w:t>
            </w:r>
          </w:p>
          <w:tbl>
            <w:tblPr>
              <w:tblStyle w:val="62"/>
              <w:tblW w:w="4971" w:type="pct"/>
              <w:tblCellSpacing w:w="0" w:type="dxa"/>
              <w:tblInd w:w="-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789"/>
              <w:gridCol w:w="1101"/>
              <w:gridCol w:w="1101"/>
              <w:gridCol w:w="10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1" w:hRule="atLeast"/>
                <w:tblCellSpacing w:w="0" w:type="dxa"/>
              </w:trPr>
              <w:tc>
                <w:tcPr>
                  <w:tcW w:w="4799"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中标金额（万元）</w:t>
                  </w:r>
                </w:p>
              </w:tc>
              <w:tc>
                <w:tcPr>
                  <w:tcW w:w="1103" w:type="dxa"/>
                  <w:noWrap w:val="0"/>
                  <w:vAlign w:val="center"/>
                </w:tcPr>
                <w:p>
                  <w:pPr>
                    <w:pStyle w:val="59"/>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货物招标</w:t>
                  </w:r>
                </w:p>
              </w:tc>
              <w:tc>
                <w:tcPr>
                  <w:tcW w:w="1103"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服务招标</w:t>
                  </w:r>
                </w:p>
              </w:tc>
              <w:tc>
                <w:tcPr>
                  <w:tcW w:w="1088"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4799"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100以下</w:t>
                  </w:r>
                </w:p>
              </w:tc>
              <w:tc>
                <w:tcPr>
                  <w:tcW w:w="1103"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1.5％</w:t>
                  </w:r>
                </w:p>
              </w:tc>
              <w:tc>
                <w:tcPr>
                  <w:tcW w:w="1103"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1.5％</w:t>
                  </w:r>
                </w:p>
              </w:tc>
              <w:tc>
                <w:tcPr>
                  <w:tcW w:w="1088"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4799"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100—500</w:t>
                  </w:r>
                </w:p>
              </w:tc>
              <w:tc>
                <w:tcPr>
                  <w:tcW w:w="1103"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1.1％</w:t>
                  </w:r>
                </w:p>
              </w:tc>
              <w:tc>
                <w:tcPr>
                  <w:tcW w:w="1103"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0.8％</w:t>
                  </w:r>
                </w:p>
              </w:tc>
              <w:tc>
                <w:tcPr>
                  <w:tcW w:w="1088"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4799"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500—1000</w:t>
                  </w:r>
                </w:p>
              </w:tc>
              <w:tc>
                <w:tcPr>
                  <w:tcW w:w="1103"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0.8％</w:t>
                  </w:r>
                </w:p>
              </w:tc>
              <w:tc>
                <w:tcPr>
                  <w:tcW w:w="1103"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0.45％</w:t>
                  </w:r>
                </w:p>
              </w:tc>
              <w:tc>
                <w:tcPr>
                  <w:tcW w:w="1088" w:type="dxa"/>
                  <w:noWrap w:val="0"/>
                  <w:vAlign w:val="center"/>
                </w:tcPr>
                <w:p>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0.55％</w:t>
                  </w:r>
                </w:p>
              </w:tc>
            </w:tr>
          </w:tbl>
          <w:p>
            <w:pPr>
              <w:pStyle w:val="79"/>
              <w:numPr>
                <w:ilvl w:val="0"/>
                <w:numId w:val="0"/>
              </w:numPr>
              <w:rPr>
                <w:rFonts w:hint="eastAsia" w:ascii="仿宋" w:hAnsi="仿宋" w:eastAsia="仿宋" w:cs="仿宋"/>
                <w:kern w:val="2"/>
                <w:sz w:val="21"/>
                <w:szCs w:val="24"/>
                <w:highlight w:val="none"/>
                <w:lang w:val="en-US" w:eastAsia="zh-CN" w:bidi="ar-SA"/>
              </w:rPr>
            </w:pPr>
            <w:r>
              <w:rPr>
                <w:rFonts w:hint="eastAsia" w:ascii="仿宋" w:hAnsi="仿宋" w:eastAsia="仿宋" w:cs="仿宋"/>
                <w:snapToGrid w:val="0"/>
                <w:kern w:val="28"/>
                <w:sz w:val="24"/>
                <w:szCs w:val="24"/>
                <w:highlight w:val="none"/>
                <w:lang w:val="en-US" w:eastAsia="zh-CN" w:bidi="ar-SA"/>
              </w:rPr>
              <w:t>2.以上费用由供应商在领取入围通知书前付清。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解释：凡涉及本招标文件的解释权属于采购人。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sz w:val="24"/>
                <w:highlight w:val="none"/>
              </w:rPr>
            </w:pPr>
            <w:r>
              <w:rPr>
                <w:rFonts w:hint="eastAsia" w:ascii="仿宋" w:hAnsi="仿宋" w:eastAsia="仿宋" w:cs="仿宋"/>
                <w:b/>
                <w:sz w:val="24"/>
                <w:highlight w:val="none"/>
              </w:rPr>
              <w:t>注：中标人放弃中标资格或因质疑、投诉被取消中标资格或不能履行合同的，本项目重新组织采购。</w:t>
            </w:r>
          </w:p>
        </w:tc>
      </w:tr>
      <w:bookmarkEnd w:id="4"/>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2"/>
          <w:szCs w:val="32"/>
          <w:highlight w:val="none"/>
        </w:rPr>
      </w:pPr>
      <w:bookmarkStart w:id="17" w:name="第三部分"/>
      <w:bookmarkStart w:id="18" w:name="_Toc164416483"/>
      <w:r>
        <w:rPr>
          <w:rFonts w:hint="eastAsia" w:ascii="仿宋" w:hAnsi="仿宋" w:eastAsia="仿宋" w:cs="仿宋"/>
          <w:b/>
          <w:sz w:val="32"/>
          <w:szCs w:val="32"/>
          <w:highlight w:val="none"/>
        </w:rPr>
        <w:t>一、总则</w:t>
      </w:r>
    </w:p>
    <w:p>
      <w:pPr>
        <w:keepNext w:val="0"/>
        <w:keepLines w:val="0"/>
        <w:pageBreakBefore w:val="0"/>
        <w:kinsoku/>
        <w:wordWrap/>
        <w:overflowPunct/>
        <w:topLinePunct w:val="0"/>
        <w:autoSpaceDE/>
        <w:autoSpaceDN/>
        <w:bidi w:val="0"/>
        <w:snapToGrid w:val="0"/>
        <w:spacing w:beforeAutospacing="0" w:line="440" w:lineRule="exact"/>
        <w:ind w:left="0" w:leftChars="0" w:firstLine="0" w:firstLineChars="0"/>
        <w:jc w:val="left"/>
        <w:textAlignment w:val="auto"/>
        <w:outlineLvl w:val="1"/>
        <w:rPr>
          <w:rFonts w:hint="eastAsia" w:ascii="仿宋" w:hAnsi="仿宋" w:eastAsia="仿宋" w:cs="仿宋"/>
          <w:b/>
          <w:sz w:val="24"/>
          <w:highlight w:val="none"/>
        </w:rPr>
      </w:pPr>
      <w:r>
        <w:rPr>
          <w:rFonts w:hint="eastAsia" w:ascii="仿宋" w:hAnsi="仿宋" w:eastAsia="仿宋" w:cs="仿宋"/>
          <w:b/>
          <w:sz w:val="24"/>
          <w:highlight w:val="none"/>
        </w:rPr>
        <w:t>1.适用范围</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本招标文件适用于该项目的招标、投标、开标、资格审查及信用信息查询、评标、定标、合同、验收等行为（</w:t>
      </w:r>
      <w:r>
        <w:rPr>
          <w:rFonts w:hint="eastAsia" w:ascii="仿宋" w:hAnsi="仿宋" w:eastAsia="仿宋" w:cs="仿宋"/>
          <w:sz w:val="24"/>
          <w:highlight w:val="none"/>
          <w:lang w:eastAsia="zh-CN"/>
        </w:rPr>
        <w:t>法律法规</w:t>
      </w:r>
      <w:r>
        <w:rPr>
          <w:rFonts w:hint="eastAsia" w:ascii="仿宋" w:hAnsi="仿宋" w:eastAsia="仿宋" w:cs="仿宋"/>
          <w:sz w:val="24"/>
          <w:highlight w:val="none"/>
        </w:rPr>
        <w:t>另有规定的，从其规定）。</w:t>
      </w:r>
    </w:p>
    <w:p>
      <w:pPr>
        <w:keepNext w:val="0"/>
        <w:keepLines w:val="0"/>
        <w:pageBreakBefore w:val="0"/>
        <w:kinsoku/>
        <w:wordWrap/>
        <w:overflowPunct/>
        <w:topLinePunct w:val="0"/>
        <w:autoSpaceDE/>
        <w:autoSpaceDN/>
        <w:bidi w:val="0"/>
        <w:adjustRightInd/>
        <w:spacing w:beforeAutospacing="0" w:line="440" w:lineRule="exact"/>
        <w:ind w:left="0" w:leftChars="0" w:firstLine="0" w:firstLineChars="0"/>
        <w:textAlignment w:val="auto"/>
        <w:outlineLvl w:val="0"/>
        <w:rPr>
          <w:rFonts w:hint="eastAsia" w:ascii="仿宋" w:hAnsi="仿宋" w:eastAsia="仿宋" w:cs="仿宋"/>
          <w:b/>
          <w:sz w:val="24"/>
          <w:highlight w:val="none"/>
        </w:rPr>
      </w:pPr>
      <w:r>
        <w:rPr>
          <w:rFonts w:hint="eastAsia" w:ascii="仿宋" w:hAnsi="仿宋" w:eastAsia="仿宋" w:cs="仿宋"/>
          <w:b/>
          <w:sz w:val="24"/>
          <w:highlight w:val="none"/>
        </w:rPr>
        <w:t>2.定义</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2.1 “采购人”系指招标公告中载明的本项目的采购人。</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2.2 “</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”系指招标公告中载明的本项目的</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2.3 “投标人”“供应商”系指是指响应招标、参加投标竞争的法人、其他组织或者自然人。</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2.4</w:t>
      </w:r>
      <w:r>
        <w:rPr>
          <w:rFonts w:hint="eastAsia" w:ascii="仿宋" w:hAnsi="仿宋" w:eastAsia="仿宋" w:cs="仿宋"/>
          <w:sz w:val="24"/>
          <w:highlight w:val="none"/>
        </w:rPr>
        <w:t>“监督单位”系指政府采购法定监督管理部门</w:t>
      </w:r>
      <w:r>
        <w:rPr>
          <w:rFonts w:hint="eastAsia" w:ascii="仿宋" w:hAnsi="仿宋" w:eastAsia="仿宋" w:cs="仿宋"/>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 xml:space="preserve"> “负责人”系指法人企业的法定负责人，或其他组织为法律、行政法规规定代表单位行使职权的主要负责人，或自然人本人。</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“电子交易平台”</w:t>
      </w:r>
      <w:r>
        <w:rPr>
          <w:rFonts w:hint="eastAsia" w:ascii="仿宋" w:hAnsi="仿宋" w:eastAsia="仿宋" w:cs="仿宋"/>
          <w:sz w:val="24"/>
          <w:highlight w:val="none"/>
          <w:lang w:val="en-US" w:eastAsia="zh-CN"/>
        </w:rPr>
        <w:t>系</w:t>
      </w:r>
      <w:r>
        <w:rPr>
          <w:rFonts w:hint="eastAsia" w:ascii="仿宋" w:hAnsi="仿宋" w:eastAsia="仿宋" w:cs="仿宋"/>
          <w:sz w:val="24"/>
          <w:highlight w:val="none"/>
        </w:rPr>
        <w:t>指本项目政府采购活动所依托的政府采购云平台（https://www.zcygov.cn/）。</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“★”系指实质性指标要求条款，“▲” 系指主要性能指标要求条款。如任意一条打“★”的指标出现负偏离视为实质性不响应招标文件要求，作无效投标处理；如任意一条打“▲”的指标出现负偏离按评分标准作扣分处理。“</w:t>
      </w:r>
      <w:r>
        <w:rPr>
          <w:rFonts w:hint="eastAsia" w:ascii="仿宋" w:hAnsi="仿宋" w:eastAsia="仿宋" w:cs="仿宋"/>
          <w:kern w:val="0"/>
          <w:sz w:val="24"/>
          <w:highlight w:val="none"/>
          <w:lang w:eastAsia="zh-CN"/>
        </w:rPr>
        <w:t>☑</w:t>
      </w:r>
      <w:r>
        <w:rPr>
          <w:rFonts w:hint="eastAsia" w:ascii="仿宋" w:hAnsi="仿宋" w:eastAsia="仿宋" w:cs="仿宋"/>
          <w:sz w:val="24"/>
          <w:highlight w:val="none"/>
        </w:rPr>
        <w:t>”系指适用本项目的要求，“☐”系指不适用本项目的要求。</w:t>
      </w:r>
    </w:p>
    <w:p>
      <w:pPr>
        <w:spacing w:line="440" w:lineRule="exact"/>
        <w:rPr>
          <w:rFonts w:ascii="仿宋_GB2312" w:hAnsi="仿宋" w:eastAsia="仿宋_GB2312"/>
          <w:b/>
          <w:sz w:val="24"/>
          <w:highlight w:val="none"/>
        </w:rPr>
      </w:pPr>
      <w:r>
        <w:rPr>
          <w:rFonts w:hint="eastAsia" w:ascii="仿宋_GB2312" w:hAnsi="仿宋" w:eastAsia="仿宋_GB2312"/>
          <w:b/>
          <w:sz w:val="24"/>
          <w:highlight w:val="none"/>
        </w:rPr>
        <w:t>3.采购项目需要落实的政府采购政策</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pacing w:line="440" w:lineRule="exact"/>
        <w:rPr>
          <w:rFonts w:ascii="仿宋_GB2312" w:hAnsi="仿宋" w:eastAsia="仿宋_GB2312"/>
          <w:sz w:val="24"/>
          <w:highlight w:val="none"/>
        </w:rPr>
      </w:pPr>
      <w:r>
        <w:rPr>
          <w:rFonts w:ascii="仿宋_GB2312" w:hAnsi="仿宋" w:eastAsia="仿宋_GB2312"/>
          <w:sz w:val="24"/>
          <w:highlight w:val="none"/>
        </w:rPr>
        <w:t xml:space="preserve">3.2 </w:t>
      </w:r>
      <w:r>
        <w:rPr>
          <w:rFonts w:hint="eastAsia" w:ascii="仿宋_GB2312" w:hAnsi="仿宋" w:eastAsia="仿宋_GB2312"/>
          <w:sz w:val="24"/>
          <w:highlight w:val="none"/>
        </w:rPr>
        <w:t>支持绿色发展</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spacing w:line="440" w:lineRule="exact"/>
        <w:rPr>
          <w:rFonts w:ascii="仿宋_GB2312" w:hAnsi="仿宋" w:eastAsia="仿宋_GB2312"/>
          <w:b/>
          <w:sz w:val="24"/>
          <w:highlight w:val="none"/>
        </w:rPr>
      </w:pPr>
      <w:r>
        <w:rPr>
          <w:rFonts w:hint="eastAsia" w:ascii="仿宋_GB2312" w:hAnsi="仿宋" w:eastAsia="仿宋_GB2312"/>
          <w:sz w:val="24"/>
          <w:highlight w:val="none"/>
        </w:rPr>
        <w:t>★3.2.2</w:t>
      </w:r>
      <w:r>
        <w:rPr>
          <w:rFonts w:hint="eastAsia" w:ascii="仿宋_GB2312" w:hAnsi="仿宋" w:eastAsia="仿宋_GB2312"/>
          <w:b/>
          <w:sz w:val="24"/>
          <w:highlight w:val="none"/>
        </w:rPr>
        <w:t>采购人拟采购的产品属于政府强制采购的节能产品品目清单范围的，投标人未按招标文件要求提供国家确定的认证机构出具的、处于有效期之内的节能产品认证证书，投标无效。</w:t>
      </w:r>
    </w:p>
    <w:p>
      <w:pPr>
        <w:spacing w:line="440" w:lineRule="exact"/>
        <w:rPr>
          <w:rFonts w:ascii="仿宋_GB2312" w:hAnsi="仿宋" w:eastAsia="仿宋_GB2312"/>
          <w:sz w:val="24"/>
          <w:highlight w:val="none"/>
        </w:rPr>
      </w:pPr>
      <w:r>
        <w:rPr>
          <w:rFonts w:ascii="仿宋_GB2312" w:hAnsi="仿宋" w:eastAsia="仿宋_GB2312"/>
          <w:sz w:val="24"/>
          <w:highlight w:val="none"/>
        </w:rPr>
        <w:t>3.2.</w:t>
      </w:r>
      <w:r>
        <w:rPr>
          <w:rFonts w:hint="eastAsia" w:ascii="仿宋_GB2312" w:hAnsi="仿宋" w:eastAsia="仿宋_GB2312"/>
          <w:sz w:val="24"/>
          <w:highlight w:val="none"/>
        </w:rPr>
        <w:t>3</w:t>
      </w:r>
      <w:r>
        <w:rPr>
          <w:rFonts w:ascii="仿宋_GB2312" w:hAnsi="仿宋" w:eastAsia="仿宋_GB2312"/>
          <w:sz w:val="24"/>
          <w:highlight w:val="none"/>
        </w:rPr>
        <w:t xml:space="preserve"> </w:t>
      </w:r>
      <w:r>
        <w:rPr>
          <w:rFonts w:hint="eastAsia" w:ascii="仿宋_GB2312" w:hAnsi="仿宋" w:eastAsia="仿宋_GB2312"/>
          <w:sz w:val="24"/>
          <w:highlight w:val="none"/>
        </w:rPr>
        <w:t>纳入政府采购管理的修缮、装修类项目采购建材的，采购单位</w:t>
      </w:r>
      <w:r>
        <w:rPr>
          <w:rFonts w:hint="eastAsia" w:ascii="仿宋_GB2312" w:hAnsi="仿宋" w:eastAsia="仿宋_GB2312"/>
          <w:sz w:val="24"/>
          <w:highlight w:val="none"/>
          <w:lang w:eastAsia="zh-CN"/>
        </w:rPr>
        <w:t>应</w:t>
      </w:r>
      <w:r>
        <w:rPr>
          <w:rFonts w:hint="eastAsia" w:ascii="仿宋_GB2312" w:hAnsi="仿宋" w:eastAsia="仿宋_GB2312"/>
          <w:sz w:val="24"/>
          <w:highlight w:val="none"/>
        </w:rPr>
        <w:t>将绿色建材性能、指标等作为实质性条件纳入采购文件和合同，具体性能指标要求</w:t>
      </w:r>
      <w:r>
        <w:rPr>
          <w:rFonts w:hint="eastAsia" w:ascii="仿宋_GB2312" w:hAnsi="仿宋" w:eastAsia="仿宋_GB2312"/>
          <w:sz w:val="24"/>
          <w:highlight w:val="none"/>
          <w:lang w:eastAsia="zh-CN"/>
        </w:rPr>
        <w:t>按照</w:t>
      </w:r>
      <w:r>
        <w:rPr>
          <w:rFonts w:hint="eastAsia" w:ascii="仿宋_GB2312" w:hAnsi="仿宋" w:eastAsia="仿宋_GB2312"/>
          <w:sz w:val="24"/>
          <w:highlight w:val="none"/>
        </w:rPr>
        <w:t>相关绿色建材政府采购需求标准</w:t>
      </w:r>
      <w:r>
        <w:rPr>
          <w:rFonts w:hint="eastAsia" w:ascii="仿宋_GB2312" w:hAnsi="仿宋" w:eastAsia="仿宋_GB2312"/>
          <w:sz w:val="24"/>
          <w:highlight w:val="none"/>
          <w:lang w:eastAsia="zh-CN"/>
        </w:rPr>
        <w:t>执行</w:t>
      </w:r>
      <w:r>
        <w:rPr>
          <w:rFonts w:hint="eastAsia" w:ascii="仿宋_GB2312" w:hAnsi="仿宋" w:eastAsia="仿宋_GB2312"/>
          <w:sz w:val="24"/>
          <w:highlight w:val="none"/>
        </w:rPr>
        <w:t>。</w:t>
      </w:r>
    </w:p>
    <w:p>
      <w:pPr>
        <w:spacing w:line="440" w:lineRule="exact"/>
        <w:rPr>
          <w:rFonts w:ascii="仿宋_GB2312" w:hAnsi="仿宋" w:eastAsia="仿宋_GB2312"/>
          <w:sz w:val="24"/>
          <w:highlight w:val="none"/>
        </w:rPr>
      </w:pPr>
      <w:r>
        <w:rPr>
          <w:rFonts w:ascii="仿宋_GB2312" w:hAnsi="仿宋" w:eastAsia="仿宋_GB2312"/>
          <w:sz w:val="24"/>
          <w:highlight w:val="none"/>
        </w:rPr>
        <w:t>3.2.</w:t>
      </w:r>
      <w:r>
        <w:rPr>
          <w:rFonts w:hint="eastAsia" w:ascii="仿宋_GB2312" w:hAnsi="仿宋" w:eastAsia="仿宋_GB2312"/>
          <w:sz w:val="24"/>
          <w:highlight w:val="none"/>
        </w:rPr>
        <w:t>4为助力打好污染防治攻坚战，推广使用绿色包装，政府采购货物、工程和服务项目中涉及商品包装和快递包装的，供应商提供产品及相关快递服务的具体包装要求要参考《商品包装政府采购需求标准（试行）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仿宋_GB2312" w:hAnsi="仿宋" w:eastAsia="仿宋_GB2312"/>
          <w:sz w:val="24"/>
          <w:highlight w:val="none"/>
          <w:lang w:eastAsia="zh-CN"/>
        </w:rPr>
        <w:t>》《</w:t>
      </w:r>
      <w:r>
        <w:rPr>
          <w:rFonts w:hint="eastAsia" w:ascii="仿宋_GB2312" w:hAnsi="仿宋" w:eastAsia="仿宋_GB2312"/>
          <w:sz w:val="24"/>
          <w:highlight w:val="none"/>
        </w:rPr>
        <w:t>快递包装政府采购需求标准（试行）》。</w:t>
      </w:r>
    </w:p>
    <w:p>
      <w:pPr>
        <w:spacing w:line="440" w:lineRule="exact"/>
        <w:rPr>
          <w:rFonts w:hint="eastAsia" w:ascii="仿宋" w:hAnsi="仿宋" w:eastAsia="仿宋" w:cs="仿宋"/>
          <w:sz w:val="24"/>
          <w:highlight w:val="none"/>
        </w:rPr>
      </w:pPr>
      <w:r>
        <w:rPr>
          <w:rFonts w:hint="eastAsia" w:ascii="仿宋_GB2312" w:hAnsi="宋体" w:eastAsia="仿宋_GB2312"/>
          <w:sz w:val="24"/>
          <w:highlight w:val="none"/>
          <w:lang w:val="en-US" w:eastAsia="zh-CN"/>
        </w:rPr>
        <w:t>3.2.5</w:t>
      </w:r>
      <w:r>
        <w:rPr>
          <w:rFonts w:hint="eastAsia" w:ascii="仿宋" w:hAnsi="仿宋" w:eastAsia="仿宋" w:cs="仿宋"/>
          <w:sz w:val="24"/>
          <w:highlight w:val="none"/>
        </w:rPr>
        <w:t>根据《绍兴市柴油动力移动源排气污染防治办法》第九条、第十三条的规定，使用的柴油动力移动源（柴油货车、非道路移动机械）必须符合低排放要求并已向生态环境部门申领绿色编码，在进入作业现场前须如实向</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登记报备绿色编码，未申领绿色编码的柴油动力移动源不得进入作业现场施工。</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3.3</w:t>
      </w:r>
      <w:r>
        <w:rPr>
          <w:rFonts w:hint="eastAsia" w:ascii="仿宋_GB2312" w:hAnsi="仿宋" w:eastAsia="仿宋_GB2312"/>
          <w:bCs/>
          <w:sz w:val="24"/>
          <w:highlight w:val="none"/>
        </w:rPr>
        <w:t>小微</w:t>
      </w:r>
      <w:r>
        <w:rPr>
          <w:rFonts w:hint="eastAsia" w:ascii="仿宋_GB2312" w:hAnsi="仿宋" w:eastAsia="仿宋_GB2312"/>
          <w:sz w:val="24"/>
          <w:highlight w:val="none"/>
        </w:rPr>
        <w:t>企业价格扣除</w:t>
      </w:r>
    </w:p>
    <w:p>
      <w:pPr>
        <w:spacing w:line="440" w:lineRule="exact"/>
        <w:rPr>
          <w:rFonts w:ascii="仿宋_GB2312" w:hAnsi="仿宋" w:eastAsia="仿宋_GB2312"/>
          <w:bCs/>
          <w:sz w:val="24"/>
          <w:highlight w:val="none"/>
        </w:rPr>
      </w:pPr>
      <w:r>
        <w:rPr>
          <w:rFonts w:hint="eastAsia" w:ascii="仿宋_GB2312" w:hAnsi="仿宋" w:eastAsia="仿宋_GB2312"/>
          <w:sz w:val="24"/>
          <w:highlight w:val="none"/>
        </w:rPr>
        <w:t>3.3.1小微企业是指</w:t>
      </w:r>
      <w:r>
        <w:rPr>
          <w:rFonts w:hint="eastAsia" w:ascii="仿宋_GB2312" w:hAnsi="仿宋" w:eastAsia="仿宋_GB2312"/>
          <w:bCs/>
          <w:sz w:val="24"/>
          <w:highlight w:val="none"/>
        </w:rPr>
        <w:t>在中华人民共和国境内依法设立，依据国务院批准的中小企业划分标准确定的小型企业和微型企业，但与大企业的负责人为同一人，或者与大企业存在直接控股、管理关系的除外。</w:t>
      </w:r>
    </w:p>
    <w:p>
      <w:pPr>
        <w:spacing w:line="440" w:lineRule="exact"/>
        <w:ind w:firstLine="480" w:firstLineChars="200"/>
        <w:rPr>
          <w:rFonts w:ascii="仿宋_GB2312" w:hAnsi="仿宋" w:eastAsia="仿宋_GB2312"/>
          <w:bCs/>
          <w:sz w:val="24"/>
          <w:highlight w:val="none"/>
        </w:rPr>
      </w:pPr>
      <w:r>
        <w:rPr>
          <w:rFonts w:hint="eastAsia" w:ascii="仿宋_GB2312" w:hAnsi="仿宋" w:eastAsia="仿宋_GB2312"/>
          <w:bCs/>
          <w:sz w:val="24"/>
          <w:highlight w:val="none"/>
        </w:rPr>
        <w:t>符合中小企业划分标准的个体工商户，在政府采购活动中视同中小企业。</w:t>
      </w:r>
    </w:p>
    <w:p>
      <w:pPr>
        <w:spacing w:line="440" w:lineRule="exact"/>
        <w:rPr>
          <w:rFonts w:ascii="仿宋_GB2312" w:hAnsi="仿宋" w:eastAsia="仿宋_GB2312"/>
          <w:bCs/>
          <w:sz w:val="24"/>
          <w:highlight w:val="none"/>
        </w:rPr>
      </w:pPr>
      <w:r>
        <w:rPr>
          <w:rFonts w:hint="eastAsia" w:ascii="仿宋_GB2312" w:hAnsi="仿宋" w:eastAsia="仿宋_GB2312"/>
          <w:bCs/>
          <w:sz w:val="24"/>
          <w:highlight w:val="none"/>
        </w:rPr>
        <w:t>3.3.2在货物采购项目中，货物由小微企业制造，即货物由小微企业生产且使用该小微企业商号或者注册商标。</w:t>
      </w:r>
      <w:r>
        <w:rPr>
          <w:rFonts w:hint="eastAsia" w:ascii="仿宋_GB2312" w:hAnsi="仿宋" w:eastAsia="仿宋_GB2312"/>
          <w:b/>
          <w:bCs/>
          <w:sz w:val="24"/>
          <w:highlight w:val="none"/>
        </w:rPr>
        <w:t>供应商提供的货物既有中小企业制造货物，也有大型企业制造货物的，不享受中小企业扶持政策。</w:t>
      </w:r>
    </w:p>
    <w:p>
      <w:pPr>
        <w:spacing w:line="440" w:lineRule="exact"/>
        <w:rPr>
          <w:rFonts w:ascii="仿宋_GB2312" w:hAnsi="仿宋" w:eastAsia="仿宋_GB2312"/>
          <w:bCs/>
          <w:sz w:val="24"/>
          <w:highlight w:val="none"/>
        </w:rPr>
      </w:pPr>
      <w:r>
        <w:rPr>
          <w:rFonts w:hint="eastAsia" w:ascii="仿宋_GB2312" w:hAnsi="仿宋" w:eastAsia="仿宋_GB2312"/>
          <w:bCs/>
          <w:sz w:val="24"/>
          <w:highlight w:val="none"/>
        </w:rPr>
        <w:t>3.3.3在服务采购项目中，服务由小微企业承接，即提供服务的人员为小微企业依照《中华人民共和国劳动合同法》订立劳动合同的从业人员。</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3.3.4小微企业应按照招标文件格式要求提供《中小企业声明函》。</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3.3.5对于经主管预算单位统筹后未预留份额专门面向中小企业采购的采购项目，以及预留份额项目中的非预留部分采购包，采购人、采购代理机构将对符合规定的小微企业报价给予10</w:t>
      </w:r>
      <w:r>
        <w:rPr>
          <w:rFonts w:hint="eastAsia" w:ascii="仿宋_GB2312" w:hAnsi="仿宋" w:eastAsia="仿宋_GB2312"/>
          <w:sz w:val="24"/>
          <w:highlight w:val="none"/>
          <w:lang w:val="en-US" w:eastAsia="zh-CN"/>
        </w:rPr>
        <w:t>%</w:t>
      </w:r>
      <w:r>
        <w:rPr>
          <w:rFonts w:hint="eastAsia" w:ascii="仿宋_GB2312" w:hAnsi="仿宋" w:eastAsia="仿宋_GB2312"/>
          <w:sz w:val="24"/>
          <w:highlight w:val="none"/>
        </w:rPr>
        <w:t>的扣除</w:t>
      </w:r>
      <w:r>
        <w:rPr>
          <w:rFonts w:hint="eastAsia" w:ascii="仿宋_GB2312" w:hAnsi="仿宋" w:eastAsia="仿宋_GB2312"/>
          <w:sz w:val="24"/>
          <w:highlight w:val="none"/>
          <w:lang w:eastAsia="zh-CN"/>
        </w:rPr>
        <w:t>（由采购人或其委托代理机构根据项目情况自行确定扣除比例）</w:t>
      </w:r>
      <w:r>
        <w:rPr>
          <w:rFonts w:hint="eastAsia" w:ascii="仿宋_GB2312" w:hAnsi="仿宋" w:eastAsia="仿宋_GB2312"/>
          <w:sz w:val="24"/>
          <w:highlight w:val="none"/>
        </w:rPr>
        <w:t>，用扣除后的价格参加评审。</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w:t>
      </w:r>
      <w:r>
        <w:rPr>
          <w:rFonts w:hint="eastAsia" w:ascii="仿宋_GB2312" w:hAnsi="仿宋" w:eastAsia="仿宋_GB2312"/>
          <w:sz w:val="24"/>
          <w:highlight w:val="none"/>
          <w:lang w:val="en-US" w:eastAsia="zh-CN"/>
        </w:rPr>
        <w:t>%—6</w:t>
      </w:r>
      <w:r>
        <w:rPr>
          <w:rFonts w:hint="eastAsia" w:ascii="仿宋_GB2312" w:hAnsi="仿宋" w:eastAsia="仿宋_GB2312"/>
          <w:sz w:val="24"/>
          <w:highlight w:val="none"/>
        </w:rPr>
        <w:t>%的扣除</w:t>
      </w:r>
      <w:r>
        <w:rPr>
          <w:rFonts w:hint="eastAsia" w:ascii="仿宋_GB2312" w:hAnsi="仿宋" w:eastAsia="仿宋_GB2312"/>
          <w:sz w:val="24"/>
          <w:highlight w:val="none"/>
          <w:lang w:eastAsia="zh-CN"/>
        </w:rPr>
        <w:t>（由采购人或其委托代理机构根据项目情况自行确定扣除比例）</w:t>
      </w:r>
      <w:r>
        <w:rPr>
          <w:rFonts w:hint="eastAsia" w:ascii="仿宋_GB2312" w:hAnsi="仿宋" w:eastAsia="仿宋_GB2312"/>
          <w:sz w:val="24"/>
          <w:highlight w:val="none"/>
        </w:rPr>
        <w:t>，用扣除后的价格参加评审。组成联合体或者接受分包的小微企业与联合体内其他企业、分包企业之间存在直接控股、管理关系的，不享受价格扣除优惠政策。</w:t>
      </w:r>
    </w:p>
    <w:p>
      <w:pPr>
        <w:spacing w:line="440" w:lineRule="exact"/>
        <w:ind w:firstLine="482" w:firstLineChars="200"/>
        <w:rPr>
          <w:rFonts w:ascii="仿宋_GB2312" w:hAnsi="仿宋" w:eastAsia="仿宋_GB2312"/>
          <w:b/>
          <w:sz w:val="24"/>
          <w:highlight w:val="none"/>
        </w:rPr>
      </w:pPr>
      <w:r>
        <w:rPr>
          <w:rFonts w:hint="eastAsia" w:ascii="仿宋_GB2312" w:hAnsi="仿宋" w:eastAsia="仿宋_GB2312"/>
          <w:b/>
          <w:sz w:val="24"/>
          <w:highlight w:val="none"/>
        </w:rPr>
        <w:t>以联合体形式参加政府采购活动， 联合体各方均为中小企业的，联合体视同中小企业。其中，联合体各方均为小微企业的，联合体视同小微企业。</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3.3.7符合《关于促进残疾人就业政府采购政策的通知》（财库〔2017〕141号）规定的条件并提供《残疾人福利性单位声明函》的残疾人福利性单位视同小微企业；</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3.3.8符合《关于政府采购支持监狱企业发展有关问题的通知》（财库[2014]68号）规定的监狱企业并提供由省级以上监狱管理局、戒毒管理局（含新疆生产建设兵团）出具的属于监狱企业证明文件的，视同为小微企业。</w:t>
      </w:r>
    </w:p>
    <w:p>
      <w:pPr>
        <w:spacing w:line="440" w:lineRule="exact"/>
        <w:rPr>
          <w:rFonts w:ascii="仿宋_GB2312" w:hAnsi="仿宋" w:eastAsia="仿宋_GB2312"/>
          <w:sz w:val="24"/>
          <w:highlight w:val="none"/>
        </w:rPr>
      </w:pPr>
      <w:r>
        <w:rPr>
          <w:rFonts w:ascii="仿宋_GB2312" w:hAnsi="仿宋" w:eastAsia="仿宋_GB2312"/>
          <w:sz w:val="24"/>
          <w:highlight w:val="none"/>
        </w:rPr>
        <w:t>3.4</w:t>
      </w:r>
      <w:r>
        <w:rPr>
          <w:rFonts w:hint="eastAsia" w:ascii="仿宋_GB2312" w:eastAsia="仿宋_GB2312"/>
          <w:bCs/>
          <w:sz w:val="24"/>
          <w:highlight w:val="none"/>
        </w:rPr>
        <w:t>支持科技创新发展</w:t>
      </w:r>
    </w:p>
    <w:p>
      <w:pPr>
        <w:spacing w:line="440" w:lineRule="exact"/>
        <w:ind w:firstLine="480" w:firstLineChars="200"/>
        <w:rPr>
          <w:rFonts w:ascii="仿宋_GB2312" w:hAnsi="仿宋" w:eastAsia="仿宋_GB2312"/>
          <w:sz w:val="24"/>
          <w:highlight w:val="none"/>
        </w:rPr>
      </w:pPr>
      <w:r>
        <w:rPr>
          <w:rFonts w:hint="eastAsia" w:ascii="仿宋_GB2312" w:hAnsi="仿宋" w:eastAsia="仿宋_GB2312"/>
          <w:sz w:val="24"/>
          <w:highlight w:val="none"/>
        </w:rPr>
        <w:t>对省级以上主管部门认定的首台套产品，自纳入《省推广应用指导目录》起三年内参加政府采购活动，视同已具备相应销售业绩，业绩分为满分。</w:t>
      </w:r>
    </w:p>
    <w:p>
      <w:pPr>
        <w:spacing w:line="336" w:lineRule="auto"/>
        <w:rPr>
          <w:rFonts w:ascii="仿宋" w:hAnsi="仿宋" w:eastAsia="仿宋" w:cs="仿宋"/>
          <w:sz w:val="24"/>
          <w:highlight w:val="none"/>
        </w:rPr>
      </w:pPr>
      <w:r>
        <w:rPr>
          <w:rFonts w:hint="eastAsia" w:ascii="仿宋" w:hAnsi="仿宋" w:eastAsia="仿宋" w:cs="仿宋"/>
          <w:sz w:val="24"/>
          <w:highlight w:val="none"/>
        </w:rPr>
        <w:t>3.5平等对待内外资企业和符合条件的破产重整企业</w:t>
      </w:r>
    </w:p>
    <w:p>
      <w:pPr>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平等对待内外资企业和符合条件的破产重整企业，切实保障企业公平竞争，平等维护企业的合法利益。</w:t>
      </w:r>
    </w:p>
    <w:p>
      <w:pPr>
        <w:spacing w:line="440" w:lineRule="exact"/>
        <w:rPr>
          <w:rFonts w:ascii="仿宋_GB2312" w:hAnsi="仿宋" w:eastAsia="仿宋_GB2312"/>
          <w:sz w:val="24"/>
          <w:highlight w:val="none"/>
        </w:rPr>
      </w:pPr>
      <w:r>
        <w:rPr>
          <w:rFonts w:hint="eastAsia" w:ascii="仿宋_GB2312" w:hAnsi="宋体" w:eastAsia="仿宋_GB2312"/>
          <w:sz w:val="24"/>
          <w:highlight w:val="none"/>
        </w:rPr>
        <w:t>★</w:t>
      </w:r>
      <w:r>
        <w:rPr>
          <w:rFonts w:hint="eastAsia" w:ascii="仿宋_GB2312" w:hAnsi="仿宋" w:eastAsia="仿宋_GB2312"/>
          <w:sz w:val="24"/>
          <w:highlight w:val="none"/>
        </w:rPr>
        <w:t>4.特别说明：</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4.1供应商投标所使用的资格、信誉、荣誉、业绩与企业认证必须为投标单位所拥有。供应商投标所使用的采购项目实施人员必须为投标单位正式员工。</w:t>
      </w:r>
    </w:p>
    <w:p>
      <w:pPr>
        <w:spacing w:line="440" w:lineRule="exact"/>
        <w:rPr>
          <w:rFonts w:ascii="仿宋_GB2312" w:hAnsi="仿宋" w:eastAsia="仿宋_GB2312"/>
          <w:sz w:val="24"/>
          <w:highlight w:val="none"/>
        </w:rPr>
      </w:pPr>
      <w:r>
        <w:rPr>
          <w:rFonts w:hint="eastAsia" w:ascii="仿宋_GB2312" w:hAnsi="仿宋" w:eastAsia="仿宋_GB2312"/>
          <w:sz w:val="24"/>
          <w:highlight w:val="none"/>
        </w:rPr>
        <w:t>4.2供应商应仔细阅读招标文件的所有内容，按照招标文件的要求提交投标文件，并对所提供的全部资料的真实性承担法律责任。</w:t>
      </w:r>
    </w:p>
    <w:p>
      <w:pPr>
        <w:spacing w:line="440" w:lineRule="exact"/>
        <w:rPr>
          <w:rFonts w:hint="eastAsia"/>
          <w:highlight w:val="none"/>
        </w:rPr>
      </w:pPr>
      <w:r>
        <w:rPr>
          <w:rFonts w:hint="eastAsia" w:ascii="仿宋_GB2312" w:hAnsi="仿宋" w:eastAsia="仿宋_GB2312"/>
          <w:sz w:val="24"/>
          <w:highlight w:val="none"/>
        </w:rPr>
        <w:t>4.3供应商在投标活动中提供任何虚假材料</w:t>
      </w:r>
      <w:r>
        <w:rPr>
          <w:rFonts w:hint="eastAsia" w:ascii="仿宋_GB2312" w:hAnsi="仿宋" w:eastAsia="仿宋_GB2312"/>
          <w:sz w:val="24"/>
          <w:highlight w:val="none"/>
          <w:lang w:eastAsia="zh-CN"/>
        </w:rPr>
        <w:t>，</w:t>
      </w:r>
      <w:r>
        <w:rPr>
          <w:rFonts w:hint="eastAsia" w:ascii="仿宋_GB2312" w:hAnsi="仿宋" w:eastAsia="仿宋_GB2312"/>
          <w:sz w:val="24"/>
          <w:highlight w:val="none"/>
        </w:rPr>
        <w:t>其投标无效，并报监管部门查处；中标后发现的</w:t>
      </w:r>
      <w:r>
        <w:rPr>
          <w:rFonts w:hint="eastAsia" w:ascii="仿宋_GB2312" w:hAnsi="仿宋" w:eastAsia="仿宋_GB2312"/>
          <w:sz w:val="24"/>
          <w:highlight w:val="none"/>
          <w:lang w:eastAsia="zh-CN"/>
        </w:rPr>
        <w:t>，</w:t>
      </w:r>
      <w:r>
        <w:rPr>
          <w:rFonts w:hint="eastAsia" w:ascii="仿宋_GB2312" w:hAnsi="仿宋" w:eastAsia="仿宋_GB2312"/>
          <w:sz w:val="24"/>
          <w:highlight w:val="none"/>
        </w:rPr>
        <w:t>中标人须依照《中华人民共和国消费者权益保护法》规定赔偿采购人，且民事赔偿并不免除违法供应商的行政与刑事责任。</w:t>
      </w:r>
    </w:p>
    <w:p>
      <w:pPr>
        <w:pStyle w:val="79"/>
        <w:rPr>
          <w:rFonts w:hint="eastAsia"/>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二、招标文件</w:t>
      </w:r>
    </w:p>
    <w:p>
      <w:pPr>
        <w:keepNext w:val="0"/>
        <w:keepLines w:val="0"/>
        <w:pageBreakBefore w:val="0"/>
        <w:kinsoku/>
        <w:wordWrap/>
        <w:overflowPunct/>
        <w:topLinePunct w:val="0"/>
        <w:autoSpaceDE/>
        <w:autoSpaceDN/>
        <w:bidi w:val="0"/>
        <w:snapToGri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1．招标方式</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 本次招标采用公开招标方式进行。</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1.2 如某一标项投标人或实质性响应招标文件的投标人不足三家时，由采购人重新组织招标或按有关规定实施。</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1.3 本次招标设定限价，即招标公告中公布的各标项预算金额或最高限价（各标项之间的预算金额不能互相调整）。</w:t>
      </w:r>
    </w:p>
    <w:p>
      <w:pPr>
        <w:keepNext w:val="0"/>
        <w:keepLines w:val="0"/>
        <w:pageBreakBefore w:val="0"/>
        <w:kinsoku/>
        <w:wordWrap/>
        <w:overflowPunct/>
        <w:topLinePunct w:val="0"/>
        <w:autoSpaceDE/>
        <w:autoSpaceDN/>
        <w:bidi w:val="0"/>
        <w:snapToGrid w:val="0"/>
        <w:spacing w:line="440" w:lineRule="exact"/>
        <w:ind w:left="0" w:leftChars="0"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2.授权委托</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本项目为电子投标项目，投标人的法定代表人或其授权代表或个体工商户不需要参加现场投标和开标。</w:t>
      </w:r>
    </w:p>
    <w:p>
      <w:pPr>
        <w:keepNext w:val="0"/>
        <w:keepLines w:val="0"/>
        <w:pageBreakBefore w:val="0"/>
        <w:kinsoku/>
        <w:wordWrap/>
        <w:overflowPunct/>
        <w:topLinePunct w:val="0"/>
        <w:autoSpaceDE/>
        <w:autoSpaceDN/>
        <w:bidi w:val="0"/>
        <w:snapToGri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3. 投标费用</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投标人应自行承担编制投标文件及参加本次投标所涉及的一切费用。不管投标结果如何，招标人对上述费用不负任何责任。</w:t>
      </w:r>
    </w:p>
    <w:p>
      <w:pPr>
        <w:keepNext w:val="0"/>
        <w:keepLines w:val="0"/>
        <w:pageBreakBefore w:val="0"/>
        <w:kinsoku/>
        <w:wordWrap/>
        <w:overflowPunct/>
        <w:topLinePunct w:val="0"/>
        <w:autoSpaceDE/>
        <w:autoSpaceDN/>
        <w:bidi w:val="0"/>
        <w:snapToGri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4. 招标文件的修改</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4.1招标文件包括本招标文件及所有的招标答疑记录（澄清、修改）和发出的补充通知。</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4.2招标文件的澄清 </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投标人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投标人。</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4.3招标文件的修改</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4.3.1在投标截止时间前，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4.3.2为使投标人有足够的时间按修改文件要求修正投标文件，招标人可酌情推迟投标截止时间和开标时间，并将此变更通知投标人。在这种情况下，招标人与投标人以前在投标截止期方面的全部权力、责任和义务，将适用于延长后的投标截止期。</w:t>
      </w:r>
    </w:p>
    <w:p>
      <w:pPr>
        <w:keepNext w:val="0"/>
        <w:keepLines w:val="0"/>
        <w:pageBreakBefore w:val="0"/>
        <w:kinsoku/>
        <w:wordWrap/>
        <w:overflowPunct/>
        <w:topLinePunct w:val="0"/>
        <w:autoSpaceDE/>
        <w:autoSpaceDN/>
        <w:bidi w:val="0"/>
        <w:snapToGri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5.参考品牌</w:t>
      </w:r>
    </w:p>
    <w:p>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招标文件如涉及各类品牌、型号，则所述品牌、型号是结合实际现有情况的推荐性参考方案，投标方也可根据招标文件的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pPr>
        <w:pStyle w:val="25"/>
        <w:keepNext w:val="0"/>
        <w:keepLines w:val="0"/>
        <w:pageBreakBefore w:val="0"/>
        <w:widowControl w:val="0"/>
        <w:kinsoku/>
        <w:wordWrap/>
        <w:overflowPunct/>
        <w:topLinePunct w:val="0"/>
        <w:bidi w:val="0"/>
        <w:snapToGrid/>
        <w:spacing w:beforeAutospacing="0" w:line="360" w:lineRule="auto"/>
        <w:ind w:left="0" w:leftChars="0"/>
        <w:jc w:val="center"/>
        <w:textAlignment w:val="auto"/>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三、投标</w:t>
      </w:r>
      <w:r>
        <w:rPr>
          <w:rFonts w:hint="eastAsia" w:ascii="仿宋" w:hAnsi="仿宋" w:eastAsia="仿宋" w:cs="仿宋"/>
          <w:b/>
          <w:sz w:val="32"/>
          <w:szCs w:val="32"/>
          <w:highlight w:val="none"/>
          <w:lang w:eastAsia="zh-CN"/>
        </w:rPr>
        <w:t>文件</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0" w:firstLineChars="0"/>
        <w:jc w:val="left"/>
        <w:textAlignment w:val="auto"/>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投标文件的语言、计量单位、形式及效力</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1.1投标人应仔细阅读招标文件中的所有内容，按照招标文件要求，详细编制投标文件，并保证投标文件的正确性和真实性。</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1.2 投标文件以及投标方与招标方就有关投标事宜的所有来往函电，均应以中文书写（技术术语除外）。</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1.3 投标计量单位，除招标文件中有特殊要求外，应采用中华人民共和国法定计量单位，货币单位：人民币元。</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1.4不按招标文件的要求提供的投标文件可能导致被拒绝。</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1.5投标文件的形式和效力</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723" w:firstLineChars="3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1.5.1投标文件为电子投标文件，电子投标文件按“政采云供应商项目采购</w:t>
      </w:r>
      <w:r>
        <w:rPr>
          <w:rFonts w:hint="eastAsia" w:ascii="仿宋" w:hAnsi="仿宋" w:eastAsia="仿宋" w:cs="仿宋"/>
          <w:b/>
          <w:sz w:val="24"/>
          <w:highlight w:val="none"/>
          <w:lang w:eastAsia="zh-CN"/>
        </w:rPr>
        <w:t>－</w:t>
      </w:r>
      <w:r>
        <w:rPr>
          <w:rFonts w:hint="eastAsia" w:ascii="仿宋" w:hAnsi="仿宋" w:eastAsia="仿宋" w:cs="仿宋"/>
          <w:b/>
          <w:sz w:val="24"/>
          <w:highlight w:val="none"/>
        </w:rPr>
        <w:t>电子招投标操作指南”及本招标文件要求制作、加密传输。</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723" w:firstLineChars="300"/>
        <w:jc w:val="left"/>
        <w:textAlignment w:val="auto"/>
        <w:rPr>
          <w:rFonts w:hint="eastAsia" w:ascii="仿宋" w:hAnsi="仿宋" w:eastAsia="仿宋" w:cs="仿宋"/>
          <w:b/>
          <w:sz w:val="24"/>
          <w:highlight w:val="none"/>
          <w:u w:val="single"/>
        </w:rPr>
      </w:pPr>
      <w:r>
        <w:rPr>
          <w:rFonts w:hint="eastAsia" w:ascii="仿宋" w:hAnsi="仿宋" w:eastAsia="仿宋" w:cs="仿宋"/>
          <w:b/>
          <w:sz w:val="24"/>
          <w:highlight w:val="none"/>
          <w:u w:val="single"/>
        </w:rPr>
        <w:t>1.5.2投标文件的效力：</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723" w:firstLineChars="300"/>
        <w:jc w:val="left"/>
        <w:textAlignment w:val="auto"/>
        <w:rPr>
          <w:rFonts w:hint="eastAsia" w:ascii="仿宋" w:hAnsi="仿宋" w:eastAsia="仿宋" w:cs="仿宋"/>
          <w:b/>
          <w:sz w:val="24"/>
          <w:highlight w:val="none"/>
          <w:u w:val="single"/>
        </w:rPr>
      </w:pPr>
      <w:r>
        <w:rPr>
          <w:rFonts w:hint="eastAsia" w:ascii="仿宋" w:hAnsi="仿宋" w:eastAsia="仿宋" w:cs="仿宋"/>
          <w:b/>
          <w:sz w:val="24"/>
          <w:highlight w:val="none"/>
          <w:u w:val="single"/>
        </w:rPr>
        <w:t>投标文件未在投标截止时间前完成传输的，视为投标文件撤回；投标文件未按时解密，亦视为投标文件撤回。</w:t>
      </w:r>
    </w:p>
    <w:p>
      <w:pPr>
        <w:pStyle w:val="34"/>
        <w:keepNext w:val="0"/>
        <w:keepLines w:val="0"/>
        <w:pageBreakBefore w:val="0"/>
        <w:widowControl w:val="0"/>
        <w:kinsoku/>
        <w:wordWrap/>
        <w:overflowPunct/>
        <w:topLinePunct w:val="0"/>
        <w:autoSpaceDE/>
        <w:autoSpaceDN/>
        <w:bidi w:val="0"/>
        <w:adjustRightInd w:val="0"/>
        <w:spacing w:beforeAutospacing="0" w:line="4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投标文件的组成</w:t>
      </w:r>
    </w:p>
    <w:p>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w:t>
      </w:r>
      <w:r>
        <w:rPr>
          <w:rFonts w:hint="eastAsia" w:ascii="仿宋" w:hAnsi="仿宋" w:eastAsia="仿宋" w:cs="仿宋"/>
          <w:color w:val="auto"/>
          <w:sz w:val="24"/>
          <w:highlight w:val="none"/>
          <w:lang w:eastAsia="zh-CN"/>
        </w:rPr>
        <w:t>“资格文件”“商务技术（资信）文件资料”“</w:t>
      </w:r>
      <w:r>
        <w:rPr>
          <w:rFonts w:hint="eastAsia" w:ascii="仿宋" w:hAnsi="仿宋" w:eastAsia="仿宋" w:cs="仿宋"/>
          <w:color w:val="auto"/>
          <w:sz w:val="24"/>
          <w:highlight w:val="none"/>
        </w:rPr>
        <w:t>报价文件资料”</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部分组成，其中</w:t>
      </w:r>
      <w:r>
        <w:rPr>
          <w:rFonts w:hint="eastAsia" w:ascii="仿宋" w:hAnsi="仿宋" w:eastAsia="仿宋" w:cs="仿宋"/>
          <w:b/>
          <w:color w:val="auto"/>
          <w:sz w:val="24"/>
          <w:highlight w:val="none"/>
        </w:rPr>
        <w:t>电子投标文件中所</w:t>
      </w:r>
      <w:r>
        <w:rPr>
          <w:rFonts w:hint="eastAsia" w:ascii="仿宋" w:hAnsi="仿宋" w:eastAsia="仿宋" w:cs="仿宋"/>
          <w:b/>
          <w:color w:val="auto"/>
          <w:sz w:val="24"/>
          <w:highlight w:val="none"/>
          <w:lang w:eastAsia="zh-CN"/>
        </w:rPr>
        <w:t>需</w:t>
      </w:r>
      <w:r>
        <w:rPr>
          <w:rFonts w:hint="eastAsia" w:ascii="仿宋" w:hAnsi="仿宋" w:eastAsia="仿宋" w:cs="仿宋"/>
          <w:b/>
          <w:color w:val="auto"/>
          <w:sz w:val="24"/>
          <w:highlight w:val="none"/>
        </w:rPr>
        <w:t>加盖公章部分均应采用电子签章。</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val="zh-CN"/>
        </w:rPr>
        <w:t>.1资格文件：</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.1.1符合参加政府采购活动应当具备的一般条件的承诺函；</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2.1.2联合协议（如果有）；</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落实政府采购政策需满足的资格要求（如果有）；</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本项目的特定资格要求（如果有）。</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2.</w:t>
      </w:r>
      <w:r>
        <w:rPr>
          <w:rFonts w:hint="eastAsia" w:ascii="仿宋" w:hAnsi="仿宋" w:eastAsia="仿宋" w:cs="仿宋"/>
          <w:b/>
          <w:color w:val="auto"/>
          <w:sz w:val="24"/>
          <w:highlight w:val="none"/>
        </w:rPr>
        <w:t>2商务技术</w:t>
      </w:r>
      <w:r>
        <w:rPr>
          <w:rFonts w:hint="eastAsia" w:ascii="仿宋" w:hAnsi="仿宋" w:eastAsia="仿宋" w:cs="仿宋"/>
          <w:b/>
          <w:color w:val="auto"/>
          <w:sz w:val="24"/>
          <w:highlight w:val="none"/>
          <w:lang w:val="zh-CN"/>
        </w:rPr>
        <w:t>文件：</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.2.1投标函；</w:t>
      </w:r>
      <w:r>
        <w:rPr>
          <w:rFonts w:hint="eastAsia" w:ascii="仿宋" w:hAnsi="仿宋" w:eastAsia="仿宋" w:cs="仿宋"/>
          <w:color w:val="auto"/>
          <w:sz w:val="24"/>
          <w:highlight w:val="none"/>
          <w:lang w:val="zh-CN"/>
        </w:rPr>
        <w:t xml:space="preserve"> </w:t>
      </w:r>
    </w:p>
    <w:p>
      <w:pPr>
        <w:snapToGrid w:val="0"/>
        <w:spacing w:line="336"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2.2.2法定代表人授权委托书；</w:t>
      </w:r>
    </w:p>
    <w:p>
      <w:pPr>
        <w:snapToGrid w:val="0"/>
        <w:spacing w:line="336"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2.2.3授权代表社保证明；</w:t>
      </w:r>
    </w:p>
    <w:p>
      <w:pPr>
        <w:snapToGrid w:val="0"/>
        <w:spacing w:line="336"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2.2.4法定代表人身份证明书；</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2.2.5供应商在投标文件技术偏离说明表中，应对项目技术规范和服务要求中所提出各项要求进行答复、说明和解释。如果供应商在技术偏离表中注明无偏离，评标结束后、签订采购合同前又认为其实际产品与投标技术需求不一致的，视为供应商在投标有效期内对其投标文件进行了实质性修改，采购机构将把这一情况报送采购监管部门。</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2.2.6廉政承诺书（格式见第六部分附件）；</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2.2.7提供相关标段成功案例。应有需方名称及联系电话，提供最终用户合同复印件（加盖单位公章）如无独立法人资格的分公司（如金融、保险、通讯等特定行业的全国性企业所设立的区域性分支机构）参加投标的，投标时提供的人员、业绩、荣誉、知识产权、项目案例等，必须为投标分公司本身所具有，总公司或其他分公司的人员、业绩、荣誉、知识产权、项目案例等，不能作为该投标分公司的文件予以确认。）；</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2.2.8供应商应提供针对项目的完整技术解决方案：</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针对本项目的完整技术解决方案和实施方案；详细阐述项目方案的实现思路及关键技术；符合本项目对当前和未来发展的要求；以及对功能设计和实施计划的建议；</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如果本项目涉及硬件设备采购，还需提供相关设备完整配置方案（设备名称、品牌、规格型号、数量、主要技术参数等），提供主要投标产品的技术参数证明材料（如原厂技术说明、官网截图、产品彩页等），明确表示该项指标所涉及的软硬件是标准配置还是选择配置（所有技术指标表述均应采用中文，如当前公布的技术指标只有英文表述的，必须由供应商作出中文注释，否则任何含糊不清的表述导致投标小组技术扣分直至认定为投标无效都将是供应商的责任）。</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本项目如需采购政府强制采购的节能产品的或投标人提供的产品是环境标志产品，投标人须按格式提供节能产品、环境标志产品认证证书复印件。</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2.2.9针对本项目建设的详细实施计划。本项目详细工作实施组织方案，包括（但不限于）以下内容：组织机构、工作时间进度表、工作程序和步骤、管理和协调方法、关键步骤的思路和要点。</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2.2.10项目验收之前、验收之后的维护方案；针对本项目的维护方案，包括本地（绍兴）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2.2.11供应商售后服务证明材料：合作单位营业执照或供应商在本地（绍兴市行政区域范围内）设立的项目部、办公室、办事处等机构的证明材料或供应商作出的成交后提供本地化服务的承诺；</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2.2.12供应商为完成本项目组建的工作小组名单，每个专业人员的情况和人员数应该明确表示，明确各阶段投入人数，在提交的投标文件中安排的人员，须为公司的固定职员；每个参加项目人员的履历表应随投标文件一并提交，主要内容包括学历、技术职称、工作特长、经验与业绩（包括从事相关项目的经验，对每一个项目有一个简要的描述，该人员参与的时间以及在项目中的责任），资质情况等。</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2.2.13优惠条件：供应商承诺给予采购人的各种优惠条件，包括设备价格、运输、保险、安装调试、付款条件、技术服务、售后服务等方面的优惠；当优惠条件涉及“报价单”中的各项费用时，必须与最后报价相统一；（如有）</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2.2.14备品备件清单（含随机自带的备品备件和质保期后供采购人选择的备品备件及配套零部件，明细备品备件及价格，且供货价格不高于成交价格；成交货物设备应提供易损部件的备件和整机备品）；（如果有）</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2.2.15培训计划（如有）；</w:t>
      </w:r>
    </w:p>
    <w:p>
      <w:pPr>
        <w:snapToGrid w:val="0"/>
        <w:spacing w:line="336"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2.2.16验收方案；</w:t>
      </w:r>
    </w:p>
    <w:p>
      <w:pPr>
        <w:snapToGrid w:val="0"/>
        <w:spacing w:line="336" w:lineRule="auto"/>
        <w:ind w:firstLine="720" w:firstLineChars="300"/>
        <w:rPr>
          <w:rFonts w:hint="eastAsia" w:ascii="仿宋" w:hAnsi="仿宋" w:eastAsia="仿宋" w:cs="仿宋"/>
          <w:color w:val="auto"/>
          <w:sz w:val="24"/>
          <w:highlight w:val="none"/>
          <w:u w:val="wav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u w:val="wave"/>
        </w:rPr>
        <w:t>未尽事宜请各投标单位按评分标准和相对应标项相关要求制作；</w:t>
      </w:r>
    </w:p>
    <w:p>
      <w:pPr>
        <w:snapToGrid w:val="0"/>
        <w:spacing w:line="336" w:lineRule="auto"/>
        <w:ind w:firstLine="720" w:firstLineChars="300"/>
        <w:rPr>
          <w:rFonts w:hint="default"/>
          <w:color w:val="auto"/>
          <w:highlight w:val="none"/>
          <w:lang w:val="zh-CN" w:eastAsia="zh-CN"/>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投标人需要说明的其他文件和说明（格式自拟）。</w:t>
      </w: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 xml:space="preserve">2.3报价文件：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2.3.1开标一览表（报价表）；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2.3.2中小企业声明函（如果有）；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2.3.3 残疾人福利性单位声明函（如果有）。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0"/>
        <w:textAlignment w:val="auto"/>
        <w:rPr>
          <w:rFonts w:hint="eastAsia" w:ascii="仿宋" w:hAnsi="仿宋" w:eastAsia="仿宋" w:cs="仿宋"/>
          <w:b/>
          <w:bCs/>
          <w:color w:val="auto"/>
          <w:sz w:val="24"/>
          <w:highlight w:val="none"/>
        </w:rPr>
      </w:pPr>
      <w:r>
        <w:rPr>
          <w:rFonts w:hint="default" w:ascii="仿宋" w:hAnsi="仿宋" w:eastAsia="仿宋" w:cs="仿宋"/>
          <w:b/>
          <w:bCs/>
          <w:color w:val="auto"/>
          <w:sz w:val="24"/>
          <w:highlight w:val="none"/>
          <w:lang w:val="en-US"/>
        </w:rPr>
        <w:t>3.</w:t>
      </w:r>
      <w:r>
        <w:rPr>
          <w:rFonts w:hint="eastAsia" w:ascii="仿宋" w:hAnsi="仿宋" w:eastAsia="仿宋" w:cs="仿宋"/>
          <w:b/>
          <w:bCs/>
          <w:color w:val="auto"/>
          <w:sz w:val="24"/>
          <w:highlight w:val="none"/>
          <w:lang w:val="en-US" w:eastAsia="zh-CN"/>
        </w:rPr>
        <w:t>投标报价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3.1供应商应按招标文件中《开标一览表》等附表要求填写。</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3.2报价为采购人可以合格使用产品的价格，包括货款、包装、运输、保险、货到就位以及安装、调试、培训、保修及产品知识产权等一切费用。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3.3招标文件未列明，而供应商认为必需的费用也需列入报价。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3" w:firstLineChars="300"/>
        <w:textAlignment w:val="auto"/>
        <w:rPr>
          <w:rFonts w:ascii="仿宋" w:hAnsi="仿宋" w:eastAsia="仿宋" w:cs="仿宋"/>
          <w:b/>
          <w:szCs w:val="24"/>
          <w:highlight w:val="none"/>
        </w:rPr>
      </w:pPr>
      <w:r>
        <w:rPr>
          <w:rFonts w:hint="default" w:ascii="仿宋" w:hAnsi="仿宋" w:eastAsia="仿宋" w:cs="仿宋"/>
          <w:b/>
          <w:bCs/>
          <w:color w:val="auto"/>
          <w:sz w:val="24"/>
          <w:highlight w:val="none"/>
          <w:lang w:val="en-US" w:eastAsia="zh-CN"/>
        </w:rPr>
        <w:t>3.4投标报价只允许有一个报价，有选择的报价将不予接受（除指定外）</w:t>
      </w:r>
      <w:r>
        <w:rPr>
          <w:rFonts w:hint="default" w:ascii="仿宋" w:hAnsi="仿宋" w:eastAsia="仿宋" w:cs="仿宋"/>
          <w:b/>
          <w:bCs/>
          <w:color w:val="auto"/>
          <w:sz w:val="24"/>
          <w:highlight w:val="none"/>
          <w:lang w:val="en-US"/>
        </w:rPr>
        <w:t>。</w:t>
      </w:r>
      <w:r>
        <w:rPr>
          <w:rFonts w:ascii="仿宋" w:hAnsi="仿宋" w:eastAsia="仿宋" w:cs="仿宋"/>
          <w:b/>
          <w:kern w:val="0"/>
          <w:szCs w:val="24"/>
          <w:highlight w:val="none"/>
        </w:rPr>
        <w:t>4.</w:t>
      </w:r>
      <w:r>
        <w:rPr>
          <w:rFonts w:hint="eastAsia" w:ascii="仿宋" w:hAnsi="仿宋" w:eastAsia="仿宋" w:cs="仿宋"/>
          <w:b/>
          <w:kern w:val="0"/>
          <w:szCs w:val="24"/>
          <w:highlight w:val="none"/>
          <w:lang w:val="zh-CN"/>
        </w:rPr>
        <w:t xml:space="preserve"> </w:t>
      </w:r>
      <w:r>
        <w:rPr>
          <w:rFonts w:hint="eastAsia" w:ascii="仿宋" w:hAnsi="仿宋" w:eastAsia="仿宋" w:cs="仿宋"/>
          <w:b/>
          <w:szCs w:val="24"/>
          <w:highlight w:val="none"/>
        </w:rPr>
        <w:t>投标文件的编制</w:t>
      </w:r>
      <w:r>
        <w:rPr>
          <w:rFonts w:hint="eastAsia" w:ascii="仿宋" w:hAnsi="仿宋" w:eastAsia="仿宋" w:cs="仿宋"/>
          <w:b/>
          <w:szCs w:val="24"/>
          <w:highlight w:val="none"/>
          <w:lang w:eastAsia="zh-CN"/>
        </w:rPr>
        <w:t>和</w:t>
      </w:r>
      <w:r>
        <w:rPr>
          <w:rFonts w:hint="eastAsia" w:ascii="仿宋" w:hAnsi="仿宋" w:eastAsia="仿宋" w:cs="仿宋"/>
          <w:b/>
          <w:sz w:val="24"/>
          <w:highlight w:val="none"/>
        </w:rPr>
        <w:t>签署</w:t>
      </w:r>
    </w:p>
    <w:p>
      <w:pPr>
        <w:snapToGrid w:val="0"/>
        <w:spacing w:line="440" w:lineRule="exact"/>
        <w:ind w:firstLine="480" w:firstLineChars="200"/>
        <w:jc w:val="left"/>
        <w:rPr>
          <w:rFonts w:ascii="仿宋" w:hAnsi="仿宋" w:eastAsia="仿宋" w:cs="仿宋"/>
          <w:sz w:val="24"/>
          <w:highlight w:val="none"/>
        </w:rPr>
      </w:pPr>
      <w:r>
        <w:rPr>
          <w:rFonts w:ascii="仿宋" w:hAnsi="仿宋" w:eastAsia="仿宋" w:cs="仿宋"/>
          <w:sz w:val="24"/>
          <w:highlight w:val="none"/>
        </w:rPr>
        <w:t>4</w:t>
      </w:r>
      <w:r>
        <w:rPr>
          <w:rFonts w:hint="eastAsia" w:ascii="仿宋" w:hAnsi="仿宋" w:eastAsia="仿宋" w:cs="仿宋"/>
          <w:sz w:val="24"/>
          <w:highlight w:val="none"/>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napToGrid w:val="0"/>
        <w:spacing w:line="440" w:lineRule="exact"/>
        <w:ind w:firstLine="480" w:firstLineChars="200"/>
        <w:jc w:val="left"/>
        <w:rPr>
          <w:rFonts w:ascii="仿宋" w:hAnsi="仿宋" w:eastAsia="仿宋" w:cs="仿宋"/>
          <w:sz w:val="24"/>
          <w:highlight w:val="none"/>
          <w:lang w:val="zh-CN"/>
        </w:rPr>
      </w:pPr>
      <w:r>
        <w:rPr>
          <w:rFonts w:ascii="仿宋" w:hAnsi="仿宋" w:eastAsia="仿宋" w:cs="仿宋"/>
          <w:sz w:val="24"/>
          <w:highlight w:val="none"/>
        </w:rPr>
        <w:t>4</w:t>
      </w:r>
      <w:r>
        <w:rPr>
          <w:rFonts w:hint="eastAsia" w:ascii="仿宋" w:hAnsi="仿宋" w:eastAsia="仿宋" w:cs="仿宋"/>
          <w:sz w:val="24"/>
          <w:highlight w:val="none"/>
          <w:lang w:val="zh-CN"/>
        </w:rPr>
        <w:t>.2投标人进行电子投标应安装客户端软件—“政采云电子交易客户端”，并按照招标文件和电子交易平台的要求编制并加密投标文件。投标人未按规定加密的投标文件，电子交易平台将拒收并提示。</w:t>
      </w:r>
    </w:p>
    <w:p>
      <w:pPr>
        <w:snapToGrid w:val="0"/>
        <w:spacing w:line="440" w:lineRule="exact"/>
        <w:ind w:firstLine="480" w:firstLineChars="200"/>
        <w:jc w:val="left"/>
        <w:rPr>
          <w:rFonts w:ascii="仿宋" w:hAnsi="仿宋" w:eastAsia="仿宋" w:cs="仿宋"/>
          <w:sz w:val="24"/>
          <w:highlight w:val="none"/>
          <w:lang w:val="zh-CN"/>
        </w:rPr>
      </w:pPr>
      <w:r>
        <w:rPr>
          <w:rFonts w:ascii="仿宋" w:hAnsi="仿宋" w:eastAsia="仿宋" w:cs="仿宋"/>
          <w:sz w:val="24"/>
          <w:highlight w:val="none"/>
        </w:rPr>
        <w:t>4</w:t>
      </w:r>
      <w:r>
        <w:rPr>
          <w:rFonts w:hint="eastAsia" w:ascii="仿宋" w:hAnsi="仿宋" w:eastAsia="仿宋" w:cs="仿宋"/>
          <w:sz w:val="24"/>
          <w:highlight w:val="none"/>
          <w:lang w:val="zh-CN"/>
        </w:rPr>
        <w:t>.3使用“政采云电子交易客户端”需要提前申领CA数字证书，申领流程请自行前往“浙江政府采购网-下载专区－电子交易客户端-CA驱动和申领流程”进行查阅。</w:t>
      </w:r>
    </w:p>
    <w:p>
      <w:pPr>
        <w:snapToGrid w:val="0"/>
        <w:spacing w:line="440" w:lineRule="exact"/>
        <w:ind w:firstLine="480" w:firstLineChars="200"/>
        <w:jc w:val="left"/>
        <w:rPr>
          <w:rFonts w:ascii="仿宋" w:hAnsi="仿宋" w:eastAsia="仿宋" w:cs="仿宋"/>
          <w:sz w:val="24"/>
          <w:highlight w:val="none"/>
          <w:lang w:val="zh-CN"/>
        </w:rPr>
      </w:pPr>
      <w:r>
        <w:rPr>
          <w:rFonts w:hint="eastAsia" w:ascii="仿宋" w:hAnsi="仿宋" w:eastAsia="仿宋" w:cs="仿宋"/>
          <w:sz w:val="24"/>
          <w:highlight w:val="none"/>
          <w:lang w:val="en-US" w:eastAsia="zh-CN"/>
        </w:rPr>
        <w:t>4.4</w:t>
      </w:r>
      <w:r>
        <w:rPr>
          <w:rFonts w:hint="eastAsia" w:ascii="仿宋" w:hAnsi="仿宋" w:eastAsia="仿宋" w:cs="仿宋"/>
          <w:sz w:val="24"/>
          <w:highlight w:val="none"/>
          <w:lang w:val="zh-CN"/>
        </w:rPr>
        <w:t>投标文件按照招标文件第六部分格式要求进行签署、盖章。投标人的投标文件未按照招标文件要求签署、盖章的，其投标无效。</w:t>
      </w:r>
    </w:p>
    <w:p>
      <w:pPr>
        <w:snapToGrid w:val="0"/>
        <w:spacing w:line="440" w:lineRule="exact"/>
        <w:ind w:firstLine="480" w:firstLineChars="200"/>
        <w:jc w:val="left"/>
        <w:rPr>
          <w:rFonts w:ascii="仿宋" w:hAnsi="仿宋" w:eastAsia="仿宋" w:cs="仿宋"/>
          <w:sz w:val="24"/>
          <w:highlight w:val="none"/>
          <w:lang w:val="zh-CN"/>
        </w:rPr>
      </w:pPr>
      <w:r>
        <w:rPr>
          <w:rFonts w:hint="eastAsia" w:ascii="仿宋" w:hAnsi="仿宋" w:eastAsia="仿宋" w:cs="仿宋"/>
          <w:sz w:val="24"/>
          <w:highlight w:val="none"/>
          <w:lang w:val="en-US" w:eastAsia="zh-CN"/>
        </w:rPr>
        <w:t>4.5</w:t>
      </w:r>
      <w:r>
        <w:rPr>
          <w:rFonts w:hint="eastAsia" w:ascii="仿宋" w:hAnsi="仿宋" w:eastAsia="仿宋" w:cs="仿宋"/>
          <w:sz w:val="24"/>
          <w:highlight w:val="none"/>
          <w:lang w:val="zh-CN"/>
        </w:rPr>
        <w:t>为确保网上操作合法、有效和安全，投标人应当在投标截止时间前完成在“政府采购云平台”的身份认证，确保在电子投标过程中能够对相关数据电文进行加密和使用电子签名。</w:t>
      </w:r>
    </w:p>
    <w:p>
      <w:pPr>
        <w:snapToGrid w:val="0"/>
        <w:spacing w:line="440" w:lineRule="exact"/>
        <w:ind w:firstLine="480" w:firstLineChars="200"/>
        <w:jc w:val="left"/>
        <w:rPr>
          <w:rFonts w:ascii="仿宋" w:hAnsi="仿宋" w:eastAsia="仿宋" w:cs="仿宋"/>
          <w:sz w:val="24"/>
          <w:highlight w:val="none"/>
          <w:lang w:val="zh-CN"/>
        </w:rPr>
      </w:pPr>
      <w:r>
        <w:rPr>
          <w:rFonts w:hint="eastAsia" w:ascii="仿宋" w:hAnsi="仿宋" w:eastAsia="仿宋" w:cs="仿宋"/>
          <w:sz w:val="24"/>
          <w:highlight w:val="none"/>
          <w:lang w:val="en-US" w:eastAsia="zh-CN"/>
        </w:rPr>
        <w:t>4.6</w:t>
      </w:r>
      <w:r>
        <w:rPr>
          <w:rFonts w:hint="eastAsia" w:ascii="仿宋" w:hAnsi="仿宋" w:eastAsia="仿宋" w:cs="仿宋"/>
          <w:sz w:val="24"/>
          <w:highlight w:val="none"/>
          <w:lang w:val="zh-CN"/>
        </w:rPr>
        <w:t>招标文件对投标文件签署、盖章的要求适用于电子签名。</w:t>
      </w:r>
    </w:p>
    <w:p>
      <w:pPr>
        <w:pStyle w:val="131"/>
        <w:spacing w:before="0" w:line="440" w:lineRule="exact"/>
        <w:ind w:firstLine="0" w:firstLineChars="0"/>
        <w:rPr>
          <w:rFonts w:ascii="仿宋" w:hAnsi="仿宋" w:eastAsia="仿宋" w:cs="仿宋"/>
          <w:b/>
          <w:szCs w:val="24"/>
          <w:highlight w:val="none"/>
        </w:rPr>
      </w:pPr>
      <w:r>
        <w:rPr>
          <w:rFonts w:hint="eastAsia" w:ascii="仿宋" w:hAnsi="仿宋" w:eastAsia="仿宋" w:cs="仿宋"/>
          <w:b/>
          <w:szCs w:val="24"/>
          <w:highlight w:val="none"/>
          <w:lang w:val="en-US" w:eastAsia="zh-CN"/>
        </w:rPr>
        <w:t>5</w:t>
      </w:r>
      <w:r>
        <w:rPr>
          <w:rFonts w:ascii="仿宋" w:hAnsi="仿宋" w:eastAsia="仿宋" w:cs="仿宋"/>
          <w:b/>
          <w:szCs w:val="24"/>
          <w:highlight w:val="none"/>
        </w:rPr>
        <w:t>.</w:t>
      </w:r>
      <w:r>
        <w:rPr>
          <w:rFonts w:hint="eastAsia" w:ascii="仿宋" w:hAnsi="仿宋" w:eastAsia="仿宋" w:cs="仿宋"/>
          <w:b/>
          <w:szCs w:val="24"/>
          <w:highlight w:val="none"/>
        </w:rPr>
        <w:t xml:space="preserve"> 投标文件的提交、补充、修改、撤回</w:t>
      </w:r>
    </w:p>
    <w:p>
      <w:pPr>
        <w:snapToGrid w:val="0"/>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ascii="仿宋" w:hAnsi="仿宋" w:eastAsia="仿宋" w:cs="仿宋"/>
          <w:sz w:val="24"/>
          <w:highlight w:val="none"/>
        </w:rPr>
        <w:t>.</w:t>
      </w:r>
      <w:r>
        <w:rPr>
          <w:rFonts w:hint="eastAsia" w:ascii="仿宋" w:hAnsi="仿宋" w:eastAsia="仿宋" w:cs="仿宋"/>
          <w:sz w:val="24"/>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snapToGrid w:val="0"/>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ascii="仿宋" w:hAnsi="仿宋" w:eastAsia="仿宋" w:cs="仿宋"/>
          <w:sz w:val="24"/>
          <w:highlight w:val="none"/>
        </w:rPr>
        <w:t>.</w:t>
      </w:r>
      <w:r>
        <w:rPr>
          <w:rFonts w:hint="eastAsia" w:ascii="仿宋" w:hAnsi="仿宋" w:eastAsia="仿宋" w:cs="仿宋"/>
          <w:sz w:val="24"/>
          <w:highlight w:val="none"/>
        </w:rPr>
        <w:t>2电子交易平台收到投标文件，将妥善保存并即时向供应商发出确认回执通知。在投标截止时间前，除供应商补充、修改或者撤回投标文件外，任何单位和个人不得解密或提取投标文件。</w:t>
      </w:r>
    </w:p>
    <w:p>
      <w:pPr>
        <w:snapToGrid w:val="0"/>
        <w:spacing w:line="4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ascii="仿宋" w:hAnsi="仿宋" w:eastAsia="仿宋" w:cs="仿宋"/>
          <w:sz w:val="24"/>
          <w:highlight w:val="none"/>
        </w:rPr>
        <w:t>.</w:t>
      </w:r>
      <w:r>
        <w:rPr>
          <w:rFonts w:hint="eastAsia" w:ascii="仿宋" w:hAnsi="仿宋" w:eastAsia="仿宋" w:cs="仿宋"/>
          <w:sz w:val="24"/>
          <w:highlight w:val="none"/>
        </w:rPr>
        <w:t>3采购人、采购代理机构可以视情况延长投标文件提交的截止时间。在上述情况下，采购代理机构与投标人以前在投标截止期方面的全部权利、责任和义务，将适用于延长至新的投标截止期。</w:t>
      </w:r>
    </w:p>
    <w:p>
      <w:pPr>
        <w:adjustRightInd w:val="0"/>
        <w:spacing w:line="440" w:lineRule="exact"/>
        <w:ind w:left="0" w:leftChars="0" w:firstLine="0" w:firstLineChars="0"/>
        <w:jc w:val="both"/>
        <w:rPr>
          <w:rFonts w:hint="eastAsia" w:ascii="仿宋" w:hAnsi="仿宋" w:eastAsia="仿宋" w:cs="仿宋"/>
          <w:b/>
          <w:sz w:val="32"/>
          <w:highlight w:val="none"/>
        </w:rPr>
      </w:pPr>
      <w:r>
        <w:rPr>
          <w:rFonts w:hint="eastAsia" w:ascii="仿宋" w:hAnsi="仿宋" w:eastAsia="仿宋" w:cs="仿宋"/>
          <w:b/>
          <w:bCs/>
          <w:i w:val="0"/>
          <w:iCs w:val="0"/>
          <w:color w:val="auto"/>
          <w:kern w:val="2"/>
          <w:sz w:val="24"/>
          <w:szCs w:val="24"/>
          <w:highlight w:val="none"/>
          <w:vertAlign w:val="baseline"/>
          <w:lang w:val="en-US" w:eastAsia="zh-CN" w:bidi="ar-SA"/>
        </w:rPr>
        <w:t>6</w:t>
      </w:r>
      <w:r>
        <w:rPr>
          <w:rFonts w:hint="default" w:ascii="仿宋" w:hAnsi="仿宋" w:eastAsia="仿宋" w:cs="仿宋"/>
          <w:b/>
          <w:bCs/>
          <w:i w:val="0"/>
          <w:iCs w:val="0"/>
          <w:color w:val="auto"/>
          <w:kern w:val="2"/>
          <w:sz w:val="24"/>
          <w:szCs w:val="24"/>
          <w:highlight w:val="none"/>
          <w:vertAlign w:val="baseline"/>
          <w:lang w:val="en-US" w:eastAsia="zh-CN" w:bidi="ar-SA"/>
        </w:rPr>
        <w:t>.投标有效期</w:t>
      </w:r>
    </w:p>
    <w:p>
      <w:pPr>
        <w:adjustRightInd w:val="0"/>
        <w:snapToGrid w:val="0"/>
        <w:spacing w:line="440" w:lineRule="exact"/>
        <w:ind w:firstLine="480" w:firstLineChars="200"/>
        <w:jc w:val="left"/>
        <w:rPr>
          <w:rFonts w:hint="eastAsia" w:ascii="仿宋" w:hAnsi="仿宋" w:eastAsia="仿宋" w:cs="仿宋"/>
          <w:b/>
          <w:sz w:val="32"/>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6</w:t>
      </w:r>
      <w:r>
        <w:rPr>
          <w:rFonts w:hint="default" w:ascii="仿宋" w:hAnsi="仿宋" w:eastAsia="仿宋" w:cs="仿宋"/>
          <w:b w:val="0"/>
          <w:bCs w:val="0"/>
          <w:i w:val="0"/>
          <w:iCs w:val="0"/>
          <w:color w:val="auto"/>
          <w:kern w:val="2"/>
          <w:sz w:val="24"/>
          <w:szCs w:val="24"/>
          <w:highlight w:val="none"/>
          <w:vertAlign w:val="baseline"/>
          <w:lang w:val="en-US" w:eastAsia="zh-CN" w:bidi="ar-SA"/>
        </w:rPr>
        <w:t>.1投标有效期为从提交投标文件的截止之日起90天。投标人的投标文件中承诺的投标有效期少于招标文件中载明的投标有效期的，投标无效。</w:t>
      </w:r>
    </w:p>
    <w:p>
      <w:pPr>
        <w:adjustRightInd w:val="0"/>
        <w:snapToGrid w:val="0"/>
        <w:spacing w:line="440" w:lineRule="exact"/>
        <w:ind w:firstLine="480" w:firstLineChars="200"/>
        <w:jc w:val="left"/>
        <w:rPr>
          <w:rFonts w:hint="eastAsia" w:ascii="仿宋" w:hAnsi="仿宋" w:eastAsia="仿宋" w:cs="仿宋"/>
          <w:b/>
          <w:sz w:val="32"/>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6</w:t>
      </w:r>
      <w:r>
        <w:rPr>
          <w:rFonts w:hint="default" w:ascii="仿宋" w:hAnsi="仿宋" w:eastAsia="仿宋" w:cs="仿宋"/>
          <w:b w:val="0"/>
          <w:bCs w:val="0"/>
          <w:i w:val="0"/>
          <w:iCs w:val="0"/>
          <w:color w:val="auto"/>
          <w:kern w:val="2"/>
          <w:sz w:val="24"/>
          <w:szCs w:val="24"/>
          <w:highlight w:val="none"/>
          <w:vertAlign w:val="baseline"/>
          <w:lang w:val="en-US" w:eastAsia="zh-CN" w:bidi="ar-SA"/>
        </w:rPr>
        <w:t>.2投标文件合格投递后，自投标截止日期起，在投标有效期内有效。</w:t>
      </w:r>
    </w:p>
    <w:p>
      <w:pPr>
        <w:pStyle w:val="131"/>
        <w:keepNext w:val="0"/>
        <w:keepLines w:val="0"/>
        <w:pageBreakBefore w:val="0"/>
        <w:widowControl w:val="0"/>
        <w:kinsoku/>
        <w:wordWrap/>
        <w:overflowPunct/>
        <w:topLinePunct w:val="0"/>
        <w:autoSpaceDE/>
        <w:autoSpaceDN/>
        <w:bidi w:val="0"/>
        <w:adjustRightInd w:val="0"/>
        <w:snapToGrid/>
        <w:spacing w:before="0" w:beforeAutospacing="0" w:line="360" w:lineRule="auto"/>
        <w:ind w:left="0" w:leftChars="0" w:firstLine="643"/>
        <w:textAlignment w:val="auto"/>
        <w:rPr>
          <w:rFonts w:hint="eastAsia" w:ascii="仿宋" w:hAnsi="仿宋" w:eastAsia="仿宋" w:cs="仿宋"/>
          <w:b/>
          <w:sz w:val="32"/>
          <w:highlight w:val="none"/>
        </w:rPr>
      </w:pPr>
      <w:r>
        <w:rPr>
          <w:rFonts w:hint="eastAsia" w:ascii="仿宋" w:hAnsi="仿宋" w:eastAsia="仿宋" w:cs="仿宋"/>
          <w:b w:val="0"/>
          <w:bCs w:val="0"/>
          <w:i w:val="0"/>
          <w:iCs w:val="0"/>
          <w:color w:val="auto"/>
          <w:kern w:val="2"/>
          <w:sz w:val="24"/>
          <w:szCs w:val="24"/>
          <w:highlight w:val="none"/>
          <w:vertAlign w:val="baseline"/>
          <w:lang w:val="en-US" w:eastAsia="zh-CN" w:bidi="ar-SA"/>
        </w:rPr>
        <w:t>6</w:t>
      </w:r>
      <w:r>
        <w:rPr>
          <w:rFonts w:hint="default" w:ascii="仿宋" w:hAnsi="仿宋" w:eastAsia="仿宋" w:cs="仿宋"/>
          <w:b w:val="0"/>
          <w:bCs w:val="0"/>
          <w:i w:val="0"/>
          <w:iCs w:val="0"/>
          <w:color w:val="auto"/>
          <w:kern w:val="2"/>
          <w:sz w:val="24"/>
          <w:szCs w:val="24"/>
          <w:highlight w:val="none"/>
          <w:vertAlign w:val="baseline"/>
          <w:lang w:val="en-US" w:eastAsia="zh-CN" w:bidi="ar-SA"/>
        </w:rPr>
        <w:t>.3在原定投标有效期满之前，如果出现特殊情况，采购代理机构可以以书面形式通知投标人延长投标有效期。投标人同意延长的，不得要求或被允许修改其投标文件，投标人拒绝延长的，其投标无效。</w:t>
      </w:r>
    </w:p>
    <w:p>
      <w:pPr>
        <w:pStyle w:val="131"/>
        <w:keepNext w:val="0"/>
        <w:keepLines w:val="0"/>
        <w:pageBreakBefore w:val="0"/>
        <w:widowControl w:val="0"/>
        <w:kinsoku/>
        <w:wordWrap/>
        <w:overflowPunct/>
        <w:topLinePunct w:val="0"/>
        <w:autoSpaceDE/>
        <w:autoSpaceDN/>
        <w:bidi w:val="0"/>
        <w:adjustRightInd w:val="0"/>
        <w:snapToGrid/>
        <w:spacing w:before="0" w:beforeAutospacing="0" w:line="360" w:lineRule="auto"/>
        <w:ind w:left="0" w:leftChars="0" w:firstLine="643"/>
        <w:textAlignment w:val="auto"/>
        <w:rPr>
          <w:rFonts w:hint="eastAsia" w:ascii="仿宋" w:hAnsi="仿宋" w:eastAsia="仿宋" w:cs="仿宋"/>
          <w:b/>
          <w:sz w:val="32"/>
          <w:highlight w:val="none"/>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sz w:val="32"/>
          <w:szCs w:val="32"/>
          <w:highlight w:val="none"/>
        </w:rPr>
      </w:pPr>
      <w:bookmarkStart w:id="19" w:name="_Toc91899903"/>
      <w:r>
        <w:rPr>
          <w:rFonts w:hint="eastAsia" w:ascii="仿宋" w:hAnsi="仿宋" w:eastAsia="仿宋" w:cs="仿宋"/>
          <w:b/>
          <w:sz w:val="32"/>
          <w:szCs w:val="32"/>
          <w:highlight w:val="none"/>
        </w:rPr>
        <w:t>四、开标和评标</w:t>
      </w:r>
    </w:p>
    <w:p>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1．电子招投标开标及评审程序</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1.1投标截止时间后，主持人宣布开标会开始。</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1.2投标人登录政采云平台，用“项目采购－开标评标”功能对电子投标文件进行在线解密。在线解密电子投标文件时间为开标时间起30分钟内。</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1.3评标委员会对资格和商务技术响应文件进行评审。</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1.4主持人宣布商务技术得分及无效（废）投标情形（如有），公布经商务技术（资信）评审符合招标文件要求的投标人名单及其商务技术得分。</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1.5启封报价文件资料，主持人宣读投标人名称、投标价格和投标文件的其他内容。未宣读的投标报价和招标文件未允许提供的备选投标方案等实质性内容，评标时不予承认。</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1.6评标委员会对投标文件报价文件资料进行评审，核准投标报价及计算价格分，汇总商务技术分、价格分，根据得分排序确定中标候选人。</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1.7主持人公布评标结果。</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特别说明：政采云公司如对电子化开标及评审程序有调整的，按调整后的程序操作。</w:t>
      </w:r>
    </w:p>
    <w:p>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2.采购过程中出现以下情形，导致电子交易平台无法正常运行，或者无法保证电子交易的公平、公正和安全时，采购组织机构可中止电子交易活动：</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2.1电子交易平台发生故障而无法登录访问的； </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2.2电子交易平台应用或数据库出现错误，不能进行正常操作的；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2.3电子交易平台发现严重安全漏洞，有潜在泄密危险的；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2.4病毒发作导致不能进行正常操作的； </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2.5其他无法保证电子交易的公平、公正和安全的情况。</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3．评标</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3.1评标委员会由招标采购单位依法组建，负责评标活动。评标委员会遵循公开、公平、公正、科学合理、竞争择优的原则。</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3.2评标委员会由采购人代表和有关方面的专家组成，成员人数为五人以上单数。</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3.3评标委员会负责对投标人资格的最终审定。</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3.4评标委员会可以要求投标人对其投标文件中含义不明确的内容作必要的澄清或者说明，但澄清或者说明不得超过投标文件的范围或者改变投标文件的实质性内容。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供应商通过政采云平台交换的数据电文必须进行电子签章。</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3.6评标委员会对投标文件的判定，只依据投标文件和招标文件内容本身，不依据任何外来证明。</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sz w:val="24"/>
          <w:highlight w:val="none"/>
          <w:lang w:val="en-US" w:eastAsia="zh-CN"/>
        </w:rPr>
        <w:t>3.7评标委员会不向落标方解释落标的原因。</w:t>
      </w:r>
    </w:p>
    <w:p>
      <w:pPr>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4．投标文件的初审鉴定</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4.1资格性审查</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4.1.1依据法律法规和招标文件规定，采购人或采购人代表对投标人进行资格审查，以确定投标人是否具备投标资格。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4.2符合性审查</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4.3如果投标文件实质不响应招标文件的各项要求，评标委员会将予以拒绝，并且不允许投标人通过修改或撤销其不符合要求的差异或保留，使之成为具有实质性响应的投标。</w:t>
      </w:r>
    </w:p>
    <w:p>
      <w:pPr>
        <w:keepNext w:val="0"/>
        <w:keepLines w:val="0"/>
        <w:pageBreakBefore w:val="0"/>
        <w:kinsoku/>
        <w:wordWrap/>
        <w:overflowPunct/>
        <w:topLinePunct w:val="0"/>
        <w:autoSpaceDE/>
        <w:autoSpaceDN/>
        <w:bidi w:val="0"/>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kern w:val="0"/>
          <w:sz w:val="24"/>
          <w:highlight w:val="none"/>
        </w:rPr>
        <w:t xml:space="preserve">5. </w:t>
      </w:r>
      <w:r>
        <w:rPr>
          <w:rFonts w:hint="eastAsia" w:ascii="仿宋" w:hAnsi="仿宋" w:eastAsia="仿宋" w:cs="仿宋"/>
          <w:b/>
          <w:sz w:val="24"/>
          <w:highlight w:val="none"/>
        </w:rPr>
        <w:t>投标文件报价出现前后不一致的，按照下列规定修正：</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5.1投标文件中开标一览表（报价表）内容与投标文件中相应内容不一致的，以开标一览表（报价表）为准；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p>
      <w:pPr>
        <w:keepNext w:val="0"/>
        <w:keepLines w:val="0"/>
        <w:pageBreakBefore w:val="0"/>
        <w:kinsoku/>
        <w:wordWrap/>
        <w:overflowPunct/>
        <w:topLinePunct w:val="0"/>
        <w:autoSpaceDE/>
        <w:autoSpaceDN/>
        <w:bidi w:val="0"/>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6.投标文件的评审、比较和否决</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6.1评标委员会将对在实质上响应招标文件要求的投标文件进行评估和比较。</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6.2在评审过程中，评标委员会可以书面形式要求投标人就投标文件含义不明确的内容可对其通过政采云平台进行书面说明并提供相关材料，但不得超过投标文件的范围或者改变投标文件的实质性内容。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6.3在评标过程中，如发现与招标文件要求相偏离的，评标委员会可对其偏离情形进行必要的核实。</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6.4在评审过程中，如属于实质性偏离或符合无效响应条件的，应当询问相关投标人，并可对其通过政采云平台进行线上确认，但不允许对偏离条款进行补充、修正或撤回。</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6.5比较与评价。评标委员会应当按照评标标准，对符合性审查合格的投标文件进行商务和技术评估，综合比较与评价。</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6.6汇总（商务技术得分情况）。评标委员会各成员应当独立对每个投标人的商务技术（资信）文件进行评价，并汇总商务技术得分情况。</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6.7 报价审核。对符合采购需求且通过商务技术（资信）评审的投标人的报价的合理性、准确性等进行审查核实。</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6.7.1评标委员会认为投标人的报价明显低于其他通过符合性审查的投标人报价，有可能影响产品质量或者不能诚信履约的，应当要求其在评标现场合理的时间内通过政采云平台提供线上说明，必要时提交相关证明材料。</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6.7.2根据财政部发布的《政府采购促进中小企业发展暂行办法》规定，对于非专门面向中小企业的项目，对小型和微型企业产品的价格给予一定的扣除，用扣除后的价格参与评审。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6.7.3如需投标价格修正，按财政部87号令第五十九条的规定对投标价格进行修正。</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6.8评标委员会依据招标文件规定的评标标准和方法，对投标文件进行评审和比较后，向采购人或其委托的采购代理机构提供书面评标报告，并按得分高低排序推荐中标候选供应商。</w:t>
      </w:r>
    </w:p>
    <w:p>
      <w:pPr>
        <w:pStyle w:val="17"/>
        <w:keepNext w:val="0"/>
        <w:keepLines w:val="0"/>
        <w:pageBreakBefore w:val="0"/>
        <w:widowControl w:val="0"/>
        <w:tabs>
          <w:tab w:val="clear" w:pos="390"/>
          <w:tab w:val="clear" w:pos="454"/>
        </w:tabs>
        <w:kinsoku/>
        <w:wordWrap/>
        <w:overflowPunct/>
        <w:topLinePunct w:val="0"/>
        <w:autoSpaceDE/>
        <w:autoSpaceDN/>
        <w:bidi w:val="0"/>
        <w:spacing w:after="0" w:line="440" w:lineRule="exact"/>
        <w:ind w:left="0" w:firstLine="0"/>
        <w:textAlignment w:val="auto"/>
        <w:rPr>
          <w:rFonts w:hint="eastAsia" w:ascii="仿宋" w:hAnsi="仿宋" w:eastAsia="仿宋" w:cs="仿宋"/>
          <w:b/>
          <w:highlight w:val="none"/>
        </w:rPr>
      </w:pPr>
      <w:r>
        <w:rPr>
          <w:rFonts w:hint="eastAsia" w:ascii="仿宋" w:hAnsi="仿宋" w:eastAsia="仿宋" w:cs="仿宋"/>
          <w:b/>
          <w:highlight w:val="none"/>
        </w:rPr>
        <w:t>7.投标文件的澄清</w:t>
      </w:r>
    </w:p>
    <w:p>
      <w:pPr>
        <w:pStyle w:val="17"/>
        <w:keepNext w:val="0"/>
        <w:keepLines w:val="0"/>
        <w:pageBreakBefore w:val="0"/>
        <w:widowControl w:val="0"/>
        <w:tabs>
          <w:tab w:val="clear" w:pos="390"/>
          <w:tab w:val="clear" w:pos="454"/>
        </w:tabs>
        <w:kinsoku/>
        <w:wordWrap/>
        <w:overflowPunct/>
        <w:topLinePunct w:val="0"/>
        <w:autoSpaceDE/>
        <w:autoSpaceDN/>
        <w:bidi w:val="0"/>
        <w:spacing w:after="0" w:line="440" w:lineRule="exact"/>
        <w:ind w:left="0" w:firstLine="480" w:firstLineChars="200"/>
        <w:textAlignment w:val="auto"/>
        <w:rPr>
          <w:rFonts w:hint="eastAsia" w:ascii="仿宋" w:hAnsi="仿宋" w:eastAsia="仿宋" w:cs="仿宋"/>
          <w:highlight w:val="none"/>
        </w:rPr>
      </w:pPr>
      <w:r>
        <w:rPr>
          <w:rFonts w:hint="eastAsia" w:ascii="仿宋" w:hAnsi="仿宋" w:eastAsia="仿宋" w:cs="仿宋"/>
          <w:szCs w:val="24"/>
          <w:highlight w:val="none"/>
        </w:rPr>
        <w:t>对投标文件中含义不明、表述不一致或有明显计算错误等内容，评标委员会将对投标人进行询标，并可要求投标人作澄清，作为投标文件的补充部分，但澄清的内容不得改变投标文件的实质性内容。</w:t>
      </w:r>
    </w:p>
    <w:p>
      <w:pPr>
        <w:pStyle w:val="34"/>
        <w:keepNext w:val="0"/>
        <w:keepLines w:val="0"/>
        <w:pageBreakBefore w:val="0"/>
        <w:kinsoku/>
        <w:wordWrap/>
        <w:overflowPunct/>
        <w:topLinePunct w:val="0"/>
        <w:autoSpaceDE/>
        <w:autoSpaceDN/>
        <w:bidi w:val="0"/>
        <w:snapToGrid w:val="0"/>
        <w:spacing w:line="440" w:lineRule="exact"/>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8.无效投标的情形</w:t>
      </w:r>
    </w:p>
    <w:p>
      <w:pPr>
        <w:keepNext w:val="0"/>
        <w:keepLines w:val="0"/>
        <w:pageBreakBefore w:val="0"/>
        <w:tabs>
          <w:tab w:val="left" w:pos="4085"/>
        </w:tabs>
        <w:kinsoku/>
        <w:wordWrap/>
        <w:overflowPunct/>
        <w:topLinePunct w:val="0"/>
        <w:autoSpaceDE/>
        <w:autoSpaceDN/>
        <w:bidi w:val="0"/>
        <w:snapToGrid w:val="0"/>
        <w:spacing w:line="44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投标文件有下列情形之一的作无效投标处理：</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8.1未按照招标文件规定要求电子签章、签字或盖章的；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8.2单位负责人为同一人或者存在直接控股、管理关系的不同供应商参加同一合同项下的政府采购活动的（均无效）；</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 xml:space="preserve">8.3为采购项目提供整体设计、规范编制或者项目管理、监理、检测等服务的供应商参加该采购项目的其他采购活动的； </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8.4投标人未提供招标文件中规定的基本资格条件书面承诺函的，或投标人未提供有效的特定资格证明文件的，视为投标人不具备招标文件中规定的资格要求；</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8.5《法定代表人身份证明书》与提供的身份证复印件信息不符的；《法定代表人授权委托书》与提供的身份证复印件信息不符的；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8.6《法定代表人授权委托书》或《法定代表人身份证明书》填写不全、错误、未电子签章</w:t>
      </w:r>
      <w:r>
        <w:rPr>
          <w:rFonts w:hint="eastAsia" w:ascii="仿宋" w:hAnsi="仿宋" w:eastAsia="仿宋" w:cs="仿宋"/>
          <w:b/>
          <w:sz w:val="24"/>
          <w:highlight w:val="none"/>
          <w:lang w:eastAsia="zh-CN"/>
        </w:rPr>
        <w:t>（</w:t>
      </w:r>
      <w:r>
        <w:rPr>
          <w:rFonts w:hint="eastAsia" w:ascii="仿宋" w:hAnsi="仿宋" w:eastAsia="仿宋" w:cs="仿宋"/>
          <w:b/>
          <w:sz w:val="24"/>
          <w:highlight w:val="none"/>
        </w:rPr>
        <w:t>《法定代表人授权委托书》要求“电子签章”和“签字或盖章”缺一不可）的；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8.7授权代表非投标单位正式职工的（以社保证明为准，如授权代表为离退休返聘人员的，需提供退休证明及单位聘用证明），法定代表人及个体工商户除外；</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8.8投标文件中的投标函无投标人的电子签章或填写不全的；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8.9报价一经涂改，未在涂改处加盖投标单位公章或者未经法定代表人或其授权代表签字或盖章的；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8.10未按招标文件规定的格式填写，或对招标服务或技术或产品等要求未详细应答或应答内容不全、有缺失的</w:t>
      </w:r>
      <w:r>
        <w:rPr>
          <w:rFonts w:hint="eastAsia" w:ascii="仿宋" w:hAnsi="仿宋" w:eastAsia="仿宋" w:cs="仿宋"/>
          <w:b/>
          <w:sz w:val="24"/>
          <w:highlight w:val="none"/>
          <w:lang w:eastAsia="zh-CN"/>
        </w:rPr>
        <w:t>，</w:t>
      </w:r>
      <w:r>
        <w:rPr>
          <w:rFonts w:hint="eastAsia" w:ascii="仿宋" w:hAnsi="仿宋" w:eastAsia="仿宋" w:cs="仿宋"/>
          <w:b/>
          <w:sz w:val="24"/>
          <w:highlight w:val="none"/>
        </w:rPr>
        <w:t>经评标委员会认定为无法评审的；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8.11出现同一标的物或本次招标产品</w:t>
      </w:r>
      <w:r>
        <w:rPr>
          <w:rFonts w:hint="eastAsia" w:ascii="仿宋" w:hAnsi="仿宋" w:eastAsia="仿宋" w:cs="仿宋"/>
          <w:b/>
          <w:sz w:val="24"/>
          <w:highlight w:val="none"/>
          <w:lang w:eastAsia="zh-CN"/>
        </w:rPr>
        <w:t>（</w:t>
      </w:r>
      <w:r>
        <w:rPr>
          <w:rFonts w:hint="eastAsia" w:ascii="仿宋" w:hAnsi="仿宋" w:eastAsia="仿宋" w:cs="仿宋"/>
          <w:b/>
          <w:sz w:val="24"/>
          <w:highlight w:val="none"/>
        </w:rPr>
        <w:t>服务</w:t>
      </w:r>
      <w:r>
        <w:rPr>
          <w:rFonts w:hint="eastAsia" w:ascii="仿宋" w:hAnsi="仿宋" w:eastAsia="仿宋" w:cs="仿宋"/>
          <w:b/>
          <w:sz w:val="24"/>
          <w:highlight w:val="none"/>
          <w:lang w:eastAsia="zh-CN"/>
        </w:rPr>
        <w:t>）</w:t>
      </w:r>
      <w:r>
        <w:rPr>
          <w:rFonts w:hint="eastAsia" w:ascii="仿宋" w:hAnsi="仿宋" w:eastAsia="仿宋" w:cs="仿宋"/>
          <w:b/>
          <w:sz w:val="24"/>
          <w:highlight w:val="none"/>
        </w:rPr>
        <w:t>内的主要产品</w:t>
      </w:r>
      <w:r>
        <w:rPr>
          <w:rFonts w:hint="eastAsia" w:ascii="仿宋" w:hAnsi="仿宋" w:eastAsia="仿宋" w:cs="仿宋"/>
          <w:b/>
          <w:sz w:val="24"/>
          <w:highlight w:val="none"/>
          <w:lang w:eastAsia="zh-CN"/>
        </w:rPr>
        <w:t>（</w:t>
      </w:r>
      <w:r>
        <w:rPr>
          <w:rFonts w:hint="eastAsia" w:ascii="仿宋" w:hAnsi="仿宋" w:eastAsia="仿宋" w:cs="仿宋"/>
          <w:b/>
          <w:sz w:val="24"/>
          <w:highlight w:val="none"/>
        </w:rPr>
        <w:t>重要组成部分</w:t>
      </w:r>
      <w:r>
        <w:rPr>
          <w:rFonts w:hint="eastAsia" w:ascii="仿宋" w:hAnsi="仿宋" w:eastAsia="仿宋" w:cs="仿宋"/>
          <w:b/>
          <w:sz w:val="24"/>
          <w:highlight w:val="none"/>
          <w:lang w:eastAsia="zh-CN"/>
        </w:rPr>
        <w:t>）</w:t>
      </w:r>
      <w:r>
        <w:rPr>
          <w:rFonts w:hint="eastAsia" w:ascii="仿宋" w:hAnsi="仿宋" w:eastAsia="仿宋" w:cs="仿宋"/>
          <w:b/>
          <w:sz w:val="24"/>
          <w:highlight w:val="none"/>
        </w:rPr>
        <w:t>出现商务技术（资信）文件资料、报价文件资料描述不一致或前后描述不一致，经评标委员会认定后为无法评审的；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8.12《技术偏离说明表》不真实填写或弄虚作假的；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8.13投标文件含有采购人不能接受的附加条件；</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8.14评标委员会认为投标人的报价明显低于其他通过符合性审查投标人的报价，有可能影响产品质量或者不能诚信履约的，未能按要求提供书面说明或者提交相关证明材料证明其报价合理性的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8.15报价超过招标文件中规定的预算金额或最高限价的；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8.16投标文件“商务技术（资信）文件资料”部分中出现《开标一览表》相关内容的；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8.17采购人拟采购的产品属于政府强制采购的节能产品品目清单范围的，投标人未按招标文件要求提供国家确定的认证机构出具的、处于有效期之内的节能产品认证证书的；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8.18《开标一览表》填写不完整或字迹不能辨认或有漏项的，经评标委员会认定属于重大偏差的；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8.19投标人对根据修正原则修正后的报价不确认的；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8.20投标人提供虚假材料投标的（包括但不限于以下情节）；</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8.20.1使用伪造、变造的许可证件；</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8.20.2提供虚假的财务状况或者业绩；</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8.20.3提供虚假的项目负责人或者主要技术人员简历、劳动关系证明；</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8.20.4提供虚假的信用状况；</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8.20.5其他弄虚作假的行为。</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8.21下列情形之一的，视为投标人串通投标，其投标无效：</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8.21.1不同投标人的投标文件由同一单位或者个人编制；</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8.21.2不同投标人委托同一单位或者个人办理投标事宜；</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8.21.3不同投标人的投标文件载明的项目管理成员或者联系人员为同一人；</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8.21.4不同投标人的投标文件异常一致或者投标报价呈规律性差异；</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8.21.5不同投标人的投标文件相互混装；</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8.21.6有二份及二份以上投标文件的相互之间有特别相同或相似之处，且经询标澄清投标人无令人信服的理由和可靠证据证明其合理性的，经评标委员会半数以上成员确认有串通投标嫌疑的；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8.22有下列情形之一的，属于恶意串通，其投标无效：</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8.22.1供应商直接或者间接从采购人或者采购机构处获得其他供应商的相关情况并修改其投标文件或者响应文件；</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8.22.2供应商按照采购人或者采购机构的授意撤换、修改投标文件或者响应文件；</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8.22.3供应商之间协商报价、技术方案等投标文件或者响应文件的实质性内容；</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8.22.4属于同一集团、协会、商会等组织成员的供应商按照该组织要求协同参加政府采购活动；</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8.22.5供应商之间事先约定由某一特定供应商中标、成交；</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8.22.6供应商之间商定部分供应商放弃参加政府采购活动或者放弃中标、成交；</w:t>
      </w:r>
    </w:p>
    <w:p>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8.22.7供应商与采购人或者采购机构之间、供应商相互之间，为谋求特定供应商中标、成交或者排斥其他供应商的其他串通行为。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8.23评标委员会认定有重大偏差或实质性不响应招标文件要求的；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8.24投标文件出现不是唯一的、有选择性投标报价的；</w:t>
      </w:r>
    </w:p>
    <w:p>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highlight w:val="none"/>
        </w:rPr>
      </w:pPr>
      <w:r>
        <w:rPr>
          <w:rFonts w:hint="eastAsia" w:ascii="仿宋" w:hAnsi="仿宋" w:eastAsia="仿宋" w:cs="仿宋"/>
          <w:b/>
          <w:sz w:val="24"/>
          <w:highlight w:val="none"/>
        </w:rPr>
        <w:t>8.25其他违反</w:t>
      </w:r>
      <w:r>
        <w:rPr>
          <w:rFonts w:hint="eastAsia" w:ascii="仿宋" w:hAnsi="仿宋" w:eastAsia="仿宋" w:cs="仿宋"/>
          <w:b/>
          <w:sz w:val="24"/>
          <w:highlight w:val="none"/>
          <w:lang w:eastAsia="zh-CN"/>
        </w:rPr>
        <w:t>法律法规</w:t>
      </w:r>
      <w:r>
        <w:rPr>
          <w:rFonts w:hint="eastAsia" w:ascii="仿宋" w:hAnsi="仿宋" w:eastAsia="仿宋" w:cs="仿宋"/>
          <w:b/>
          <w:sz w:val="24"/>
          <w:highlight w:val="none"/>
        </w:rPr>
        <w:t>的情形。</w:t>
      </w:r>
    </w:p>
    <w:p>
      <w:pPr>
        <w:keepNext w:val="0"/>
        <w:keepLines w:val="0"/>
        <w:pageBreakBefore w:val="0"/>
        <w:kinsoku/>
        <w:wordWrap/>
        <w:overflowPunct/>
        <w:topLinePunct w:val="0"/>
        <w:autoSpaceDE/>
        <w:autoSpaceDN/>
        <w:bidi w:val="0"/>
        <w:snapToGrid w:val="0"/>
        <w:spacing w:line="440" w:lineRule="exac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rPr>
        <w:t>9. 评标过程保密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9.1</w:t>
      </w:r>
      <w:r>
        <w:rPr>
          <w:rFonts w:hint="eastAsia" w:ascii="仿宋" w:hAnsi="仿宋" w:eastAsia="仿宋" w:cs="仿宋"/>
          <w:sz w:val="24"/>
          <w:highlight w:val="none"/>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9.2 在评标期间，投标人企图影响招标人或</w:t>
      </w:r>
      <w:r>
        <w:rPr>
          <w:rFonts w:hint="eastAsia" w:ascii="仿宋" w:hAnsi="仿宋" w:eastAsia="仿宋" w:cs="仿宋"/>
          <w:sz w:val="24"/>
          <w:highlight w:val="none"/>
        </w:rPr>
        <w:t>评标委员会</w:t>
      </w:r>
      <w:r>
        <w:rPr>
          <w:rFonts w:hint="eastAsia" w:ascii="仿宋" w:hAnsi="仿宋" w:eastAsia="仿宋" w:cs="仿宋"/>
          <w:kern w:val="0"/>
          <w:sz w:val="24"/>
          <w:highlight w:val="none"/>
        </w:rPr>
        <w:t>的任何活动，都将导致投标被拒绝，并由其承担相应的法律责任。</w:t>
      </w:r>
    </w:p>
    <w:bookmarkEnd w:id="19"/>
    <w:p>
      <w:pPr>
        <w:pStyle w:val="34"/>
        <w:keepNext w:val="0"/>
        <w:keepLines w:val="0"/>
        <w:pageBreakBefore w:val="0"/>
        <w:widowControl w:val="0"/>
        <w:kinsoku/>
        <w:wordWrap/>
        <w:overflowPunct/>
        <w:topLinePunct w:val="0"/>
        <w:autoSpaceDE/>
        <w:autoSpaceDN/>
        <w:bidi w:val="0"/>
        <w:adjustRightInd w:val="0"/>
        <w:spacing w:line="360" w:lineRule="auto"/>
        <w:ind w:firstLine="726"/>
        <w:jc w:val="center"/>
        <w:textAlignment w:val="auto"/>
        <w:rPr>
          <w:rFonts w:hint="eastAsia" w:ascii="仿宋" w:hAnsi="仿宋" w:eastAsia="仿宋" w:cs="仿宋"/>
          <w:b/>
          <w:sz w:val="32"/>
          <w:szCs w:val="32"/>
          <w:highlight w:val="none"/>
        </w:rPr>
      </w:pPr>
      <w:bookmarkStart w:id="20" w:name="_Hlt68072990"/>
      <w:bookmarkEnd w:id="20"/>
      <w:bookmarkStart w:id="21" w:name="_Hlt74714665"/>
      <w:bookmarkEnd w:id="21"/>
      <w:bookmarkStart w:id="22" w:name="_Hlt68072998"/>
      <w:bookmarkEnd w:id="22"/>
      <w:bookmarkStart w:id="23" w:name="_Hlt75236101"/>
      <w:bookmarkEnd w:id="23"/>
      <w:bookmarkStart w:id="24" w:name="_Hlt68073093"/>
      <w:bookmarkEnd w:id="24"/>
      <w:bookmarkStart w:id="25" w:name="_Hlt74707468"/>
      <w:bookmarkEnd w:id="25"/>
      <w:bookmarkStart w:id="26" w:name="_Hlt68403820"/>
      <w:bookmarkEnd w:id="26"/>
      <w:bookmarkStart w:id="27" w:name="_Hlt74730295"/>
      <w:bookmarkEnd w:id="27"/>
      <w:bookmarkStart w:id="28" w:name="_Hlt75236290"/>
      <w:bookmarkEnd w:id="28"/>
      <w:bookmarkStart w:id="29" w:name="_Hlt75236011"/>
      <w:bookmarkEnd w:id="29"/>
      <w:bookmarkStart w:id="30" w:name="_Hlt68057669"/>
      <w:bookmarkEnd w:id="30"/>
      <w:bookmarkStart w:id="31" w:name="_Hlt74729768"/>
      <w:bookmarkEnd w:id="31"/>
      <w:bookmarkStart w:id="32" w:name="_Toc84325929"/>
      <w:bookmarkStart w:id="33" w:name="_Toc81372953"/>
      <w:bookmarkStart w:id="34" w:name="_Toc81372776"/>
      <w:r>
        <w:rPr>
          <w:rFonts w:hint="eastAsia" w:ascii="仿宋" w:hAnsi="仿宋" w:eastAsia="仿宋" w:cs="仿宋"/>
          <w:b/>
          <w:sz w:val="32"/>
          <w:szCs w:val="32"/>
          <w:highlight w:val="none"/>
        </w:rPr>
        <w:t>五、授予合同</w:t>
      </w:r>
    </w:p>
    <w:bookmarkEnd w:id="32"/>
    <w:bookmarkEnd w:id="33"/>
    <w:bookmarkEnd w:id="34"/>
    <w:p>
      <w:pPr>
        <w:pStyle w:val="17"/>
        <w:keepNext w:val="0"/>
        <w:keepLines w:val="0"/>
        <w:pageBreakBefore w:val="0"/>
        <w:tabs>
          <w:tab w:val="clear" w:pos="390"/>
          <w:tab w:val="clear" w:pos="454"/>
        </w:tabs>
        <w:kinsoku/>
        <w:wordWrap/>
        <w:overflowPunct/>
        <w:topLinePunct w:val="0"/>
        <w:autoSpaceDE/>
        <w:autoSpaceDN/>
        <w:bidi w:val="0"/>
        <w:snapToGrid/>
        <w:spacing w:after="0" w:line="440" w:lineRule="exact"/>
        <w:ind w:left="0" w:firstLine="0"/>
        <w:textAlignment w:val="auto"/>
        <w:rPr>
          <w:rFonts w:hint="eastAsia" w:ascii="仿宋" w:hAnsi="仿宋" w:eastAsia="仿宋" w:cs="仿宋"/>
          <w:b/>
          <w:szCs w:val="24"/>
          <w:highlight w:val="none"/>
        </w:rPr>
      </w:pPr>
      <w:r>
        <w:rPr>
          <w:rFonts w:hint="eastAsia" w:ascii="仿宋" w:hAnsi="仿宋" w:eastAsia="仿宋" w:cs="仿宋"/>
          <w:b/>
          <w:szCs w:val="24"/>
          <w:highlight w:val="none"/>
        </w:rPr>
        <w:t>1.中标条件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1.1投标文件基本符合招标文件要求；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1.2投标人有很好</w:t>
      </w:r>
      <w:r>
        <w:rPr>
          <w:rFonts w:hint="eastAsia" w:ascii="仿宋" w:hAnsi="仿宋" w:eastAsia="仿宋" w:cs="仿宋"/>
          <w:sz w:val="24"/>
          <w:highlight w:val="none"/>
          <w:lang w:eastAsia="zh-CN"/>
        </w:rPr>
        <w:t>地</w:t>
      </w:r>
      <w:r>
        <w:rPr>
          <w:rFonts w:hint="eastAsia" w:ascii="仿宋" w:hAnsi="仿宋" w:eastAsia="仿宋" w:cs="仿宋"/>
          <w:sz w:val="24"/>
          <w:highlight w:val="none"/>
        </w:rPr>
        <w:t>执行合同的能力；</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1.3实施方案最合理并对招标人最为有利，最大限度满足招标文件的要求；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1.4投标人能够提供质量技术、商务经济占综合优势的系统及服务。</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1.5招标人将把中标通知书授予最佳投标者，但最低价不是中标的绝对保证。</w:t>
      </w:r>
    </w:p>
    <w:p>
      <w:pPr>
        <w:keepNext w:val="0"/>
        <w:keepLines w:val="0"/>
        <w:pageBreakBefore w:val="0"/>
        <w:kinsoku/>
        <w:wordWrap/>
        <w:overflowPunct/>
        <w:topLinePunct w:val="0"/>
        <w:autoSpaceDE/>
        <w:autoSpaceDN/>
        <w:bidi w:val="0"/>
        <w:snapToGrid/>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2.中标确认</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2.1采购人应当自收到评标报告之日起５个工作日内，在评标报告确定的中标候选人名单中按顺序确定中标人。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2.2采购人在收到评标报告5个工作日内未按评标报告推荐的中标候选人顺序确定中标人，视同按评标报告推荐的顺序确定的中标候选人为中标人。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2.3采购人应在确认中标人前再次对资格条件和相关证件材料进一步查验核实。</w:t>
      </w:r>
    </w:p>
    <w:p>
      <w:pPr>
        <w:keepNext w:val="0"/>
        <w:keepLines w:val="0"/>
        <w:pageBreakBefore w:val="0"/>
        <w:kinsoku/>
        <w:wordWrap/>
        <w:overflowPunct/>
        <w:topLinePunct w:val="0"/>
        <w:autoSpaceDE/>
        <w:autoSpaceDN/>
        <w:bidi w:val="0"/>
        <w:snapToGrid/>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3．中标通知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3.1采购代理机构对中标结果在指定媒体（浙江政府采购网</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"http://www.zjzfcg.gov.cn"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http://zfcg.czt.zj.gov.cn/</w:t>
      </w:r>
      <w:r>
        <w:rPr>
          <w:rFonts w:hint="eastAsia" w:ascii="仿宋" w:hAnsi="仿宋" w:eastAsia="仿宋" w:cs="仿宋"/>
          <w:sz w:val="24"/>
          <w:highlight w:val="none"/>
        </w:rPr>
        <w:fldChar w:fldCharType="end"/>
      </w:r>
      <w:r>
        <w:rPr>
          <w:rFonts w:hint="eastAsia" w:ascii="仿宋" w:hAnsi="仿宋" w:eastAsia="仿宋" w:cs="仿宋"/>
          <w:sz w:val="24"/>
          <w:highlight w:val="none"/>
        </w:rPr>
        <w:t>、绍兴公共资源交易网</w:t>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HYPERLINK "http://ggb.sx.gov.cn"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http://ggb.sx.gov.cn</w:t>
      </w:r>
      <w:r>
        <w:rPr>
          <w:rFonts w:hint="eastAsia" w:ascii="仿宋" w:hAnsi="仿宋" w:eastAsia="仿宋" w:cs="仿宋"/>
          <w:sz w:val="24"/>
          <w:highlight w:val="none"/>
        </w:rPr>
        <w:fldChar w:fldCharType="end"/>
      </w:r>
      <w:r>
        <w:rPr>
          <w:rFonts w:hint="eastAsia" w:ascii="仿宋" w:hAnsi="仿宋" w:eastAsia="仿宋" w:cs="仿宋"/>
          <w:sz w:val="24"/>
          <w:highlight w:val="none"/>
        </w:rPr>
        <w:t>）发布中标公告，中标公告期限为1个工作日。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zh-CN"/>
        </w:rPr>
      </w:pPr>
      <w:r>
        <w:rPr>
          <w:rFonts w:hint="eastAsia" w:ascii="仿宋" w:hAnsi="仿宋" w:eastAsia="仿宋" w:cs="仿宋"/>
          <w:sz w:val="24"/>
          <w:highlight w:val="none"/>
        </w:rPr>
        <w:t>3.2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r>
        <w:rPr>
          <w:rFonts w:hint="eastAsia" w:ascii="仿宋" w:hAnsi="仿宋" w:eastAsia="仿宋" w:cs="仿宋"/>
          <w:sz w:val="24"/>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3.3采购代理机构对中标结果不作任何说明和解释，也不回答任何提问。</w:t>
      </w:r>
    </w:p>
    <w:p>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4</w:t>
      </w:r>
      <w:r>
        <w:rPr>
          <w:rFonts w:hint="eastAsia" w:ascii="仿宋" w:hAnsi="仿宋" w:eastAsia="仿宋" w:cs="仿宋"/>
          <w:b/>
          <w:sz w:val="24"/>
          <w:highlight w:val="none"/>
        </w:rPr>
        <w:t>．履约保证金</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采购人在签订合同时，按规定可向中标人收取不高于中标额的1%的履约保证金，采购人不得以供应商事先提交履约保证金作为签订合同的条件。鼓励采购人根据项目特点、供应商诚信等情况免收履约保证金或降低缴纳比例。</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4.2项目验收结束后，采购人应及时退还履约保证金。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4.3供应商以银行、保险公司出具保函形式提交履约保证金的，采购人不得拒收。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4.4政府采购货物和服务项目不得收取质量保证金。</w:t>
      </w:r>
    </w:p>
    <w:p>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．合同签订及备案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5.1中标人应当在中标通知书发出之日起30天内与采购人签订合同，自采购合同签订之日起</w:t>
      </w:r>
      <w:r>
        <w:rPr>
          <w:rFonts w:hint="eastAsia" w:ascii="仿宋" w:hAnsi="仿宋" w:eastAsia="仿宋" w:cs="仿宋"/>
          <w:b/>
          <w:bCs/>
          <w:sz w:val="24"/>
          <w:highlight w:val="none"/>
          <w:lang w:val="en-US" w:eastAsia="zh-CN"/>
        </w:rPr>
        <w:t>3个工作日内</w:t>
      </w:r>
      <w:r>
        <w:rPr>
          <w:rFonts w:hint="eastAsia" w:ascii="仿宋" w:hAnsi="仿宋" w:eastAsia="仿宋" w:cs="仿宋"/>
          <w:sz w:val="24"/>
          <w:highlight w:val="none"/>
          <w:lang w:val="en-US" w:eastAsia="zh-CN"/>
        </w:rPr>
        <w:t>，通过电子交易平台进行备案。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5.2如中标人为联合体的，由联合体成员各方法定代表人或其授权代表与采购人代表签订合同。</w:t>
      </w:r>
    </w:p>
    <w:p>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.验收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6.2采购人可以邀请参加本项目的其他投标人或者第三方机构参与验收。参与验收的投标人或者第三方机构的意见作为验收书的参考资料一并存档。</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6.3 采购人负责加强对中标人的履约管理，并按照采购合同约定，及时向中标人支付采购资金。对于中标人违反采购合同约定的行为，采购人应当及时处理，依法追究其违约责任。</w:t>
      </w:r>
    </w:p>
    <w:p>
      <w:pPr>
        <w:keepNext w:val="0"/>
        <w:keepLines w:val="0"/>
        <w:pageBreakBefore w:val="0"/>
        <w:kinsoku/>
        <w:wordWrap/>
        <w:overflowPunct/>
        <w:topLinePunct w:val="0"/>
        <w:autoSpaceDE/>
        <w:autoSpaceDN/>
        <w:bidi w:val="0"/>
        <w:adjustRightInd w:val="0"/>
        <w:spacing w:line="440" w:lineRule="exact"/>
        <w:ind w:firstLine="0" w:firstLineChars="0"/>
        <w:jc w:val="left"/>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7</w:t>
      </w:r>
      <w:r>
        <w:rPr>
          <w:rFonts w:hint="eastAsia" w:ascii="仿宋" w:hAnsi="仿宋" w:eastAsia="仿宋" w:cs="仿宋"/>
          <w:b/>
          <w:sz w:val="24"/>
          <w:highlight w:val="none"/>
        </w:rPr>
        <w:t>.售后服务考核</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采购机构将联合政府采购监管部门不定期对合同的履约情况进行检查，发现未按合同规定进行履约的，有弄虚作假，偷工减料，以次充好等情形，达不到国家、行业有关标准和商务技术（资信）文件规定的，一经查实，由政府采购监督管理部门给予相应处罚。</w:t>
      </w:r>
    </w:p>
    <w:p>
      <w:pPr>
        <w:keepNext w:val="0"/>
        <w:keepLines w:val="0"/>
        <w:pageBreakBefore w:val="0"/>
        <w:widowControl w:val="0"/>
        <w:tabs>
          <w:tab w:val="left" w:pos="0"/>
        </w:tabs>
        <w:kinsoku/>
        <w:wordWrap/>
        <w:overflowPunct/>
        <w:topLinePunct w:val="0"/>
        <w:autoSpaceDE/>
        <w:autoSpaceDN/>
        <w:bidi w:val="0"/>
        <w:adjustRightInd w:val="0"/>
        <w:spacing w:line="360" w:lineRule="auto"/>
        <w:ind w:firstLine="480"/>
        <w:textAlignment w:val="auto"/>
        <w:rPr>
          <w:rFonts w:hint="eastAsia" w:ascii="仿宋" w:hAnsi="仿宋" w:eastAsia="仿宋" w:cs="仿宋"/>
          <w:kern w:val="0"/>
          <w:sz w:val="24"/>
          <w:highlight w:val="none"/>
        </w:rPr>
      </w:pPr>
    </w:p>
    <w:p>
      <w:pPr>
        <w:adjustRightInd/>
        <w:spacing w:line="336" w:lineRule="auto"/>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六、</w:t>
      </w:r>
      <w:r>
        <w:rPr>
          <w:rFonts w:hint="default" w:ascii="仿宋" w:hAnsi="仿宋" w:eastAsia="仿宋" w:cs="仿宋"/>
          <w:b/>
          <w:bCs/>
          <w:i w:val="0"/>
          <w:iCs w:val="0"/>
          <w:color w:val="auto"/>
          <w:kern w:val="2"/>
          <w:sz w:val="32"/>
          <w:szCs w:val="20"/>
          <w:highlight w:val="none"/>
          <w:vertAlign w:val="baseline"/>
          <w:lang w:val="en-US" w:eastAsia="zh-CN" w:bidi="ar-SA"/>
        </w:rPr>
        <w:t>询问、质疑与投诉</w:t>
      </w:r>
    </w:p>
    <w:p>
      <w:pPr>
        <w:adjustRightInd w:val="0"/>
        <w:spacing w:line="336" w:lineRule="auto"/>
        <w:jc w:val="both"/>
        <w:rPr>
          <w:rFonts w:hint="eastAsia" w:ascii="仿宋" w:hAnsi="仿宋" w:eastAsia="仿宋" w:cs="仿宋"/>
          <w:b/>
          <w:sz w:val="32"/>
          <w:szCs w:val="32"/>
          <w:highlight w:val="none"/>
        </w:rPr>
      </w:pPr>
      <w:r>
        <w:rPr>
          <w:rFonts w:hint="default" w:ascii="仿宋" w:hAnsi="仿宋" w:eastAsia="仿宋" w:cs="仿宋"/>
          <w:b/>
          <w:bCs/>
          <w:i w:val="0"/>
          <w:iCs w:val="0"/>
          <w:color w:val="auto"/>
          <w:kern w:val="2"/>
          <w:sz w:val="24"/>
          <w:szCs w:val="20"/>
          <w:highlight w:val="none"/>
          <w:vertAlign w:val="baseline"/>
          <w:lang w:val="en-US" w:eastAsia="zh-CN" w:bidi="ar-SA"/>
        </w:rPr>
        <w:t>1.在线询问、质疑、投诉</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根据《浙江省财政厅关于进一步促进政府采购公平竞争打造最优营商环境的通知》（浙财采监（2021）22号）文件关于“健全行政裁决机制”要求，鼓励供应商在线提起询问，路径为：政采云</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项目采购</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询问质疑投诉</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询问列表；鼓励供应商在线提起质疑，路径为：政采云</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项目采购</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询问质疑投诉</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质疑列表。质疑供应商对在线质疑答复不满意的，可在线提起投诉，路径为：浙江政府服务网</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政府采购投诉处理</w:t>
      </w:r>
      <w:r>
        <w:rPr>
          <w:rFonts w:hint="eastAsia" w:ascii="仿宋" w:hAnsi="仿宋" w:eastAsia="仿宋" w:cs="仿宋"/>
          <w:b w:val="0"/>
          <w:bCs w:val="0"/>
          <w:i w:val="0"/>
          <w:iCs w:val="0"/>
          <w:color w:val="auto"/>
          <w:kern w:val="2"/>
          <w:sz w:val="24"/>
          <w:szCs w:val="20"/>
          <w:highlight w:val="none"/>
          <w:vertAlign w:val="baseline"/>
          <w:lang w:val="en-US" w:eastAsia="zh-CN" w:bidi="ar-SA"/>
        </w:rPr>
        <w:t>－</w:t>
      </w:r>
      <w:r>
        <w:rPr>
          <w:rFonts w:hint="default" w:ascii="仿宋" w:hAnsi="仿宋" w:eastAsia="仿宋" w:cs="仿宋"/>
          <w:b w:val="0"/>
          <w:bCs w:val="0"/>
          <w:i w:val="0"/>
          <w:iCs w:val="0"/>
          <w:color w:val="auto"/>
          <w:kern w:val="2"/>
          <w:sz w:val="24"/>
          <w:szCs w:val="20"/>
          <w:highlight w:val="none"/>
          <w:vertAlign w:val="baseline"/>
          <w:lang w:val="en-US" w:eastAsia="zh-CN" w:bidi="ar-SA"/>
        </w:rPr>
        <w:t>在线办理。</w:t>
      </w:r>
    </w:p>
    <w:p>
      <w:pPr>
        <w:adjustRightInd w:val="0"/>
        <w:spacing w:line="336" w:lineRule="auto"/>
        <w:jc w:val="both"/>
        <w:rPr>
          <w:rFonts w:hint="eastAsia" w:ascii="仿宋" w:hAnsi="仿宋" w:eastAsia="仿宋" w:cs="仿宋"/>
          <w:b/>
          <w:sz w:val="32"/>
          <w:szCs w:val="32"/>
          <w:highlight w:val="none"/>
        </w:rPr>
      </w:pPr>
      <w:r>
        <w:rPr>
          <w:rFonts w:hint="default" w:ascii="仿宋" w:hAnsi="仿宋" w:eastAsia="仿宋" w:cs="仿宋"/>
          <w:b/>
          <w:bCs/>
          <w:i w:val="0"/>
          <w:iCs w:val="0"/>
          <w:color w:val="auto"/>
          <w:kern w:val="2"/>
          <w:sz w:val="24"/>
          <w:szCs w:val="24"/>
          <w:highlight w:val="none"/>
          <w:vertAlign w:val="baseline"/>
          <w:lang w:val="en-US" w:eastAsia="zh-CN" w:bidi="ar-SA"/>
        </w:rPr>
        <w:t>2. 供应商询问</w:t>
      </w:r>
    </w:p>
    <w:p>
      <w:pPr>
        <w:autoSpaceDE w:val="0"/>
        <w:autoSpaceDN w:val="0"/>
        <w:adjustRightInd w:val="0"/>
        <w:spacing w:line="336" w:lineRule="auto"/>
        <w:ind w:firstLine="480" w:firstLineChars="200"/>
        <w:jc w:val="left"/>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0"/>
          <w:sz w:val="24"/>
          <w:szCs w:val="24"/>
          <w:highlight w:val="none"/>
          <w:vertAlign w:val="baseline"/>
          <w:lang w:val="zh-CN" w:eastAsia="zh-CN" w:bidi="ar-SA"/>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djustRightInd w:val="0"/>
        <w:spacing w:line="336" w:lineRule="auto"/>
        <w:jc w:val="both"/>
        <w:rPr>
          <w:rFonts w:hint="eastAsia" w:ascii="仿宋" w:hAnsi="仿宋" w:eastAsia="仿宋" w:cs="仿宋"/>
          <w:b/>
          <w:sz w:val="32"/>
          <w:szCs w:val="32"/>
          <w:highlight w:val="none"/>
        </w:rPr>
      </w:pPr>
      <w:r>
        <w:rPr>
          <w:rFonts w:hint="default" w:ascii="仿宋" w:hAnsi="仿宋" w:eastAsia="仿宋" w:cs="仿宋"/>
          <w:b/>
          <w:bCs/>
          <w:i w:val="0"/>
          <w:iCs w:val="0"/>
          <w:color w:val="auto"/>
          <w:kern w:val="2"/>
          <w:sz w:val="24"/>
          <w:szCs w:val="24"/>
          <w:highlight w:val="none"/>
          <w:vertAlign w:val="baseline"/>
          <w:lang w:val="en-US" w:eastAsia="zh-CN" w:bidi="ar-SA"/>
        </w:rPr>
        <w:t>3. 供应商质疑</w:t>
      </w:r>
    </w:p>
    <w:p>
      <w:pPr>
        <w:adjustRightInd w:val="0"/>
        <w:spacing w:line="336" w:lineRule="auto"/>
        <w:ind w:firstLine="482" w:firstLineChars="200"/>
        <w:jc w:val="both"/>
        <w:rPr>
          <w:rFonts w:hint="eastAsia" w:ascii="仿宋" w:hAnsi="仿宋" w:eastAsia="仿宋" w:cs="仿宋"/>
          <w:b/>
          <w:sz w:val="32"/>
          <w:szCs w:val="32"/>
          <w:highlight w:val="none"/>
        </w:rPr>
      </w:pPr>
      <w:r>
        <w:rPr>
          <w:rFonts w:hint="default" w:ascii="仿宋" w:hAnsi="仿宋" w:eastAsia="仿宋" w:cs="仿宋"/>
          <w:b/>
          <w:bCs/>
          <w:i w:val="0"/>
          <w:iCs w:val="0"/>
          <w:color w:val="auto"/>
          <w:kern w:val="0"/>
          <w:sz w:val="24"/>
          <w:szCs w:val="20"/>
          <w:highlight w:val="none"/>
          <w:vertAlign w:val="baseline"/>
          <w:lang w:val="zh-CN" w:eastAsia="zh-CN" w:bidi="ar-SA"/>
        </w:rPr>
        <w:t>3</w:t>
      </w:r>
      <w:r>
        <w:rPr>
          <w:rFonts w:hint="default" w:ascii="仿宋" w:hAnsi="仿宋" w:eastAsia="仿宋" w:cs="仿宋"/>
          <w:b/>
          <w:bCs/>
          <w:i w:val="0"/>
          <w:iCs w:val="0"/>
          <w:color w:val="auto"/>
          <w:kern w:val="2"/>
          <w:sz w:val="24"/>
          <w:szCs w:val="20"/>
          <w:highlight w:val="none"/>
          <w:vertAlign w:val="baseline"/>
          <w:lang w:val="en-US" w:eastAsia="zh-CN" w:bidi="ar-SA"/>
        </w:rPr>
        <w:t>.1质疑提出时效</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3.1.1提出质疑的供应商应当是参与所质疑项目采购活动的供应商。潜在供应商已依法获取其可质疑的采购文件的，可以对该文件提出质疑。</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0"/>
          <w:sz w:val="24"/>
          <w:szCs w:val="20"/>
          <w:highlight w:val="none"/>
          <w:vertAlign w:val="baseline"/>
          <w:lang w:val="zh-CN" w:eastAsia="zh-CN" w:bidi="ar-SA"/>
        </w:rPr>
        <w:t>3</w:t>
      </w:r>
      <w:r>
        <w:rPr>
          <w:rFonts w:hint="default" w:ascii="仿宋" w:hAnsi="仿宋" w:eastAsia="仿宋" w:cs="仿宋"/>
          <w:b w:val="0"/>
          <w:bCs w:val="0"/>
          <w:i w:val="0"/>
          <w:iCs w:val="0"/>
          <w:color w:val="auto"/>
          <w:kern w:val="2"/>
          <w:sz w:val="24"/>
          <w:szCs w:val="20"/>
          <w:highlight w:val="none"/>
          <w:vertAlign w:val="baseline"/>
          <w:lang w:val="en-US" w:eastAsia="zh-CN" w:bidi="ar-SA"/>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widowControl/>
        <w:adjustRightInd w:val="0"/>
        <w:snapToGrid w:val="0"/>
        <w:spacing w:line="336" w:lineRule="auto"/>
        <w:ind w:firstLine="434" w:firstLineChars="181"/>
        <w:jc w:val="both"/>
        <w:rPr>
          <w:rFonts w:hint="eastAsia" w:ascii="仿宋" w:hAnsi="仿宋" w:eastAsia="仿宋" w:cs="仿宋"/>
          <w:b/>
          <w:sz w:val="32"/>
          <w:szCs w:val="32"/>
          <w:highlight w:val="none"/>
        </w:rPr>
      </w:pPr>
      <w:r>
        <w:rPr>
          <w:rFonts w:hint="default" w:ascii="仿宋" w:hAnsi="仿宋" w:eastAsia="仿宋" w:cs="仿宋"/>
          <w:b w:val="0"/>
          <w:bCs w:val="0"/>
          <w:i w:val="0"/>
          <w:iCs w:val="0"/>
          <w:snapToGrid/>
          <w:color w:val="auto"/>
          <w:kern w:val="2"/>
          <w:sz w:val="24"/>
          <w:szCs w:val="20"/>
          <w:highlight w:val="none"/>
          <w:vertAlign w:val="baseline"/>
          <w:lang w:val="en-US" w:eastAsia="zh-CN" w:bidi="ar-SA"/>
        </w:rPr>
        <w:t>3.1.2.1对采购文件提出质疑的，质疑期限为供应商获得采购文件之日或者采购文件公告期限届满之日起计算，采购文件在获取截止之日后获得的，应当自采购文件公告期限届满之日起计算。</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3.1.2.2对采购过程提出质疑的，质疑期限为各采购程序环节结束之日起计算。</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3.1.2.3对采购结果提出质疑的，质疑期限自采购结果公告期限届满之日起计算。</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3.1.2.4对同一采购程序环节的质疑，供应商须一次性提出。</w:t>
      </w:r>
    </w:p>
    <w:p>
      <w:pPr>
        <w:adjustRightInd w:val="0"/>
        <w:spacing w:line="336" w:lineRule="auto"/>
        <w:ind w:firstLine="482" w:firstLineChars="200"/>
        <w:jc w:val="both"/>
        <w:rPr>
          <w:rFonts w:hint="eastAsia" w:ascii="仿宋" w:hAnsi="仿宋" w:eastAsia="仿宋" w:cs="仿宋"/>
          <w:b/>
          <w:sz w:val="32"/>
          <w:szCs w:val="32"/>
          <w:highlight w:val="none"/>
        </w:rPr>
      </w:pPr>
      <w:r>
        <w:rPr>
          <w:rFonts w:hint="default" w:ascii="仿宋" w:hAnsi="仿宋" w:eastAsia="仿宋" w:cs="仿宋"/>
          <w:b/>
          <w:bCs/>
          <w:i w:val="0"/>
          <w:iCs w:val="0"/>
          <w:color w:val="auto"/>
          <w:kern w:val="0"/>
          <w:sz w:val="24"/>
          <w:szCs w:val="20"/>
          <w:highlight w:val="none"/>
          <w:vertAlign w:val="baseline"/>
          <w:lang w:val="zh-CN" w:eastAsia="zh-CN" w:bidi="ar-SA"/>
        </w:rPr>
        <w:t>3.</w:t>
      </w:r>
      <w:r>
        <w:rPr>
          <w:rFonts w:hint="default" w:ascii="仿宋" w:hAnsi="仿宋" w:eastAsia="仿宋" w:cs="仿宋"/>
          <w:b/>
          <w:bCs/>
          <w:i w:val="0"/>
          <w:iCs w:val="0"/>
          <w:color w:val="auto"/>
          <w:kern w:val="0"/>
          <w:sz w:val="24"/>
          <w:szCs w:val="20"/>
          <w:highlight w:val="none"/>
          <w:vertAlign w:val="baseline"/>
          <w:lang w:val="en-US" w:eastAsia="zh-CN" w:bidi="ar-SA"/>
        </w:rPr>
        <w:t>2</w:t>
      </w:r>
      <w:r>
        <w:rPr>
          <w:rFonts w:hint="default" w:ascii="仿宋" w:hAnsi="仿宋" w:eastAsia="仿宋" w:cs="仿宋"/>
          <w:b/>
          <w:bCs/>
          <w:i w:val="0"/>
          <w:iCs w:val="0"/>
          <w:color w:val="auto"/>
          <w:kern w:val="0"/>
          <w:sz w:val="24"/>
          <w:szCs w:val="20"/>
          <w:highlight w:val="none"/>
          <w:vertAlign w:val="baseline"/>
          <w:lang w:val="zh-CN" w:eastAsia="zh-CN" w:bidi="ar-SA"/>
        </w:rPr>
        <w:t>质疑函</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3.2.1供应商提出质疑应当提交质疑函和必要的证明材料。质疑函应当包括下列内容：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供应商的姓名或者名称、地址、邮编、联系人及联系电话；</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质疑项目的名称、编号；</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具体、明确的质疑事项和与质疑事项相关的请求；</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事实依据；</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必要的法律依据；</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提出质疑的日期。</w:t>
      </w:r>
    </w:p>
    <w:p>
      <w:pPr>
        <w:keepNext w:val="0"/>
        <w:keepLines w:val="0"/>
        <w:pageBreakBefore w:val="0"/>
        <w:widowControl w:val="0"/>
        <w:kinsoku/>
        <w:wordWrap/>
        <w:overflowPunct/>
        <w:topLinePunct w:val="0"/>
        <w:autoSpaceDE/>
        <w:autoSpaceDN/>
        <w:bidi w:val="0"/>
        <w:adjustRightInd w:val="0"/>
        <w:snapToGrid/>
        <w:spacing w:line="288" w:lineRule="auto"/>
        <w:ind w:firstLine="480" w:firstLineChars="200"/>
        <w:jc w:val="both"/>
        <w:textAlignment w:val="auto"/>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供应商提交的质疑函需一式三份。供应商为自然人的，应当由本人签字；供应商为法人或者其他组织的，应当由法定代表人、主要负责人，或者其授权代表签字或者盖章，并加盖公章。</w:t>
      </w:r>
    </w:p>
    <w:p>
      <w:pPr>
        <w:adjustRightInd w:val="0"/>
        <w:spacing w:line="336" w:lineRule="auto"/>
        <w:ind w:firstLine="482" w:firstLineChars="200"/>
        <w:jc w:val="both"/>
        <w:rPr>
          <w:rFonts w:hint="eastAsia" w:ascii="仿宋" w:hAnsi="仿宋" w:eastAsia="仿宋" w:cs="仿宋"/>
          <w:b/>
          <w:sz w:val="32"/>
          <w:szCs w:val="32"/>
          <w:highlight w:val="none"/>
        </w:rPr>
      </w:pPr>
      <w:r>
        <w:rPr>
          <w:rFonts w:hint="default" w:ascii="仿宋" w:hAnsi="仿宋" w:eastAsia="仿宋" w:cs="仿宋"/>
          <w:b/>
          <w:bCs/>
          <w:i w:val="0"/>
          <w:iCs w:val="0"/>
          <w:color w:val="auto"/>
          <w:kern w:val="2"/>
          <w:sz w:val="24"/>
          <w:szCs w:val="20"/>
          <w:highlight w:val="none"/>
          <w:vertAlign w:val="baseline"/>
          <w:lang w:val="en-US" w:eastAsia="zh-CN" w:bidi="ar-SA"/>
        </w:rPr>
        <w:t>质疑函范本及制作说明详见附件1。</w:t>
      </w:r>
    </w:p>
    <w:p>
      <w:pPr>
        <w:adjustRightInd w:val="0"/>
        <w:spacing w:line="336" w:lineRule="auto"/>
        <w:jc w:val="both"/>
        <w:rPr>
          <w:rFonts w:hint="eastAsia" w:ascii="仿宋" w:hAnsi="仿宋" w:eastAsia="仿宋" w:cs="仿宋"/>
          <w:b/>
          <w:sz w:val="32"/>
          <w:szCs w:val="32"/>
          <w:highlight w:val="none"/>
        </w:rPr>
      </w:pPr>
      <w:r>
        <w:rPr>
          <w:rFonts w:hint="default" w:ascii="仿宋" w:hAnsi="仿宋" w:eastAsia="仿宋" w:cs="仿宋"/>
          <w:b/>
          <w:bCs/>
          <w:i w:val="0"/>
          <w:iCs w:val="0"/>
          <w:color w:val="auto"/>
          <w:kern w:val="2"/>
          <w:sz w:val="24"/>
          <w:szCs w:val="24"/>
          <w:highlight w:val="none"/>
          <w:vertAlign w:val="baseline"/>
          <w:lang w:val="en-US" w:eastAsia="zh-CN" w:bidi="ar-SA"/>
        </w:rPr>
        <w:t>4.供应商投诉</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4.1质疑供应商对采购人或采购代理机构的答复不满意或者采购人、采购代理机构未在规定的时间内作出答复的，可以在答复期满后十五个工作日内向同级政府采购监督管理部门提出投诉。</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4.2供应商投诉的事项不得超出已质疑事项的范围，基于质疑答复内容提出的投诉事项除外。</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4.3供应商投诉应当有明确的请求和必要的证明材料。</w:t>
      </w:r>
    </w:p>
    <w:p>
      <w:pPr>
        <w:adjustRightInd w:val="0"/>
        <w:spacing w:line="336" w:lineRule="auto"/>
        <w:ind w:firstLine="480" w:firstLineChars="200"/>
        <w:jc w:val="both"/>
        <w:rPr>
          <w:rFonts w:hint="eastAsia" w:ascii="仿宋" w:hAnsi="仿宋" w:eastAsia="仿宋" w:cs="仿宋"/>
          <w:b/>
          <w:sz w:val="32"/>
          <w:szCs w:val="32"/>
          <w:highlight w:val="none"/>
        </w:rPr>
      </w:pPr>
      <w:r>
        <w:rPr>
          <w:rFonts w:hint="default" w:ascii="仿宋" w:hAnsi="仿宋" w:eastAsia="仿宋" w:cs="仿宋"/>
          <w:b w:val="0"/>
          <w:bCs w:val="0"/>
          <w:i w:val="0"/>
          <w:iCs w:val="0"/>
          <w:color w:val="auto"/>
          <w:kern w:val="2"/>
          <w:sz w:val="24"/>
          <w:szCs w:val="20"/>
          <w:highlight w:val="none"/>
          <w:vertAlign w:val="baseline"/>
          <w:lang w:val="en-US" w:eastAsia="zh-CN" w:bidi="ar-SA"/>
        </w:rPr>
        <w:t>4.4以联合体形式参加政府采购活动的，其投诉应当由组成联合体的所有供应商共同提出。</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仿宋" w:hAnsi="仿宋" w:eastAsia="仿宋" w:cs="仿宋"/>
          <w:b/>
          <w:sz w:val="32"/>
          <w:szCs w:val="32"/>
          <w:highlight w:val="none"/>
        </w:rPr>
      </w:pPr>
      <w:r>
        <w:rPr>
          <w:rFonts w:hint="default" w:ascii="仿宋" w:hAnsi="仿宋" w:eastAsia="仿宋" w:cs="仿宋"/>
          <w:b/>
          <w:bCs/>
          <w:i w:val="0"/>
          <w:iCs w:val="0"/>
          <w:color w:val="auto"/>
          <w:kern w:val="2"/>
          <w:sz w:val="24"/>
          <w:szCs w:val="20"/>
          <w:highlight w:val="none"/>
          <w:vertAlign w:val="baseline"/>
          <w:lang w:val="en-US" w:eastAsia="zh-CN" w:bidi="ar-SA"/>
        </w:rPr>
        <w:t>投诉书范本及制作说明详见附件2。</w:t>
      </w:r>
    </w:p>
    <w:p>
      <w:pPr>
        <w:pStyle w:val="25"/>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仿宋" w:hAnsi="仿宋" w:eastAsia="仿宋" w:cs="仿宋"/>
          <w:highlight w:val="none"/>
        </w:rPr>
        <w:sectPr>
          <w:footerReference r:id="rId6" w:type="default"/>
          <w:pgSz w:w="11906" w:h="16838"/>
          <w:pgMar w:top="1474" w:right="1814" w:bottom="1474" w:left="1814" w:header="851" w:footer="992" w:gutter="0"/>
          <w:pgNumType w:fmt="decimal"/>
          <w:cols w:space="720" w:num="1"/>
          <w:docGrid w:linePitch="312" w:charSpace="0"/>
        </w:sectPr>
      </w:pPr>
    </w:p>
    <w:bookmarkEnd w:id="17"/>
    <w:bookmarkEnd w:id="18"/>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sz w:val="36"/>
          <w:szCs w:val="36"/>
          <w:highlight w:val="none"/>
        </w:rPr>
      </w:pPr>
      <w:bookmarkStart w:id="35" w:name="第四部分"/>
      <w:r>
        <w:rPr>
          <w:rFonts w:hint="eastAsia" w:ascii="仿宋" w:hAnsi="仿宋" w:eastAsia="仿宋" w:cs="仿宋"/>
          <w:b/>
          <w:sz w:val="36"/>
          <w:szCs w:val="36"/>
          <w:highlight w:val="none"/>
        </w:rPr>
        <w:t>第三部分   招标项目范围及要求</w:t>
      </w:r>
    </w:p>
    <w:bookmarkEnd w:id="35"/>
    <w:p>
      <w:pPr>
        <w:ind w:firstLine="422" w:firstLineChars="200"/>
        <w:rPr>
          <w:rFonts w:hint="eastAsia" w:ascii="宋体" w:hAnsi="宋体"/>
          <w:b/>
          <w:bCs/>
          <w:highlight w:val="none"/>
        </w:rPr>
      </w:pPr>
      <w:bookmarkStart w:id="36" w:name="第五部分"/>
      <w:bookmarkStart w:id="37" w:name="_Toc86217003"/>
      <w:r>
        <w:rPr>
          <w:rFonts w:hint="eastAsia" w:ascii="宋体" w:hAnsi="宋体"/>
          <w:b/>
          <w:bCs/>
          <w:highlight w:val="none"/>
        </w:rPr>
        <w:t>1、采购内容及要求</w:t>
      </w:r>
    </w:p>
    <w:p>
      <w:pPr>
        <w:ind w:firstLine="422" w:firstLineChars="200"/>
        <w:rPr>
          <w:rFonts w:hint="eastAsia" w:ascii="宋体" w:hAnsi="宋体"/>
          <w:highlight w:val="none"/>
        </w:rPr>
      </w:pPr>
      <w:r>
        <w:rPr>
          <w:rFonts w:hint="eastAsia" w:ascii="宋体" w:hAnsi="宋体"/>
          <w:b/>
          <w:bCs/>
          <w:highlight w:val="none"/>
        </w:rPr>
        <w:t>1</w:t>
      </w:r>
      <w:r>
        <w:rPr>
          <w:rFonts w:hint="eastAsia" w:ascii="宋体" w:hAnsi="宋体"/>
          <w:highlight w:val="none"/>
        </w:rPr>
        <w:t>.</w:t>
      </w:r>
      <w:r>
        <w:rPr>
          <w:rFonts w:hint="eastAsia" w:ascii="宋体" w:hAnsi="宋体"/>
          <w:b/>
          <w:bCs/>
          <w:highlight w:val="none"/>
        </w:rPr>
        <w:t xml:space="preserve">1 </w:t>
      </w:r>
      <w:r>
        <w:rPr>
          <w:rFonts w:hint="eastAsia" w:ascii="宋体" w:hAnsi="宋体"/>
          <w:highlight w:val="none"/>
        </w:rPr>
        <w:t>适用范围</w:t>
      </w:r>
    </w:p>
    <w:p>
      <w:pPr>
        <w:ind w:firstLine="420" w:firstLineChars="200"/>
        <w:rPr>
          <w:rFonts w:hint="eastAsia" w:ascii="宋体" w:hAnsi="宋体"/>
          <w:highlight w:val="none"/>
        </w:rPr>
      </w:pPr>
      <w:r>
        <w:rPr>
          <w:rFonts w:hint="eastAsia" w:ascii="宋体" w:hAnsi="宋体"/>
          <w:highlight w:val="none"/>
        </w:rPr>
        <w:t>本招标文件仅适用于本投标邀请中所叙述项目。</w:t>
      </w:r>
    </w:p>
    <w:p>
      <w:pPr>
        <w:ind w:firstLine="422" w:firstLineChars="200"/>
        <w:rPr>
          <w:rFonts w:hint="eastAsia" w:ascii="宋体" w:hAnsi="宋体"/>
          <w:highlight w:val="none"/>
        </w:rPr>
      </w:pPr>
      <w:r>
        <w:rPr>
          <w:rFonts w:hint="eastAsia" w:ascii="宋体" w:hAnsi="宋体"/>
          <w:b/>
          <w:bCs/>
          <w:highlight w:val="none"/>
        </w:rPr>
        <w:t xml:space="preserve">1.2 </w:t>
      </w:r>
      <w:r>
        <w:rPr>
          <w:rFonts w:hint="eastAsia" w:ascii="宋体" w:hAnsi="宋体"/>
          <w:highlight w:val="none"/>
        </w:rPr>
        <w:t>采购内容</w:t>
      </w:r>
    </w:p>
    <w:tbl>
      <w:tblPr>
        <w:tblStyle w:val="62"/>
        <w:tblW w:w="846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75"/>
        <w:gridCol w:w="1276"/>
        <w:gridCol w:w="1134"/>
        <w:gridCol w:w="979"/>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bCs/>
                <w:highlight w:val="none"/>
              </w:rPr>
            </w:pPr>
            <w:r>
              <w:rPr>
                <w:rFonts w:hint="eastAsia" w:ascii="宋体" w:hAnsi="宋体"/>
                <w:bCs/>
                <w:highlight w:val="none"/>
                <w:lang w:eastAsia="zh-CN"/>
              </w:rPr>
              <w:t>项目</w:t>
            </w:r>
            <w:r>
              <w:rPr>
                <w:rFonts w:hint="eastAsia" w:ascii="宋体" w:hAnsi="宋体"/>
                <w:bCs/>
                <w:highlight w:val="none"/>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rPr>
              <w:t>规格型号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宋体" w:hAnsi="宋体"/>
                <w:bCs/>
                <w:highlight w:val="none"/>
              </w:rPr>
            </w:pPr>
          </w:p>
          <w:p>
            <w:pPr>
              <w:ind w:firstLine="210" w:firstLineChars="100"/>
              <w:jc w:val="center"/>
              <w:rPr>
                <w:rFonts w:ascii="宋体" w:hAnsi="宋体"/>
                <w:bCs/>
                <w:highlight w:val="none"/>
              </w:rPr>
            </w:pPr>
            <w:r>
              <w:rPr>
                <w:rFonts w:hint="eastAsia" w:ascii="宋体" w:hAnsi="宋体"/>
                <w:bCs/>
                <w:highlight w:val="none"/>
              </w:rPr>
              <w:t>预算</w:t>
            </w:r>
          </w:p>
          <w:p>
            <w:pPr>
              <w:jc w:val="both"/>
              <w:rPr>
                <w:rFonts w:ascii="宋体" w:hAnsi="宋体"/>
                <w:bCs/>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rPr>
              <w:t>服务期限</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bCs/>
                <w:highlight w:val="none"/>
                <w:lang w:val="en-US" w:eastAsia="zh-CN"/>
              </w:rPr>
            </w:pPr>
            <w:r>
              <w:rPr>
                <w:rFonts w:hint="eastAsia" w:ascii="宋体" w:hAnsi="宋体"/>
                <w:bCs/>
                <w:sz w:val="24"/>
                <w:szCs w:val="24"/>
                <w:highlight w:val="none"/>
              </w:rPr>
              <w:t>诸暨市市场监督管理局202</w:t>
            </w:r>
            <w:r>
              <w:rPr>
                <w:rFonts w:hint="eastAsia" w:ascii="宋体" w:hAnsi="宋体"/>
                <w:bCs/>
                <w:sz w:val="24"/>
                <w:szCs w:val="24"/>
                <w:highlight w:val="none"/>
                <w:lang w:val="en-US" w:eastAsia="zh-CN"/>
              </w:rPr>
              <w:t>4</w:t>
            </w:r>
            <w:r>
              <w:rPr>
                <w:rFonts w:hint="eastAsia" w:ascii="宋体" w:hAnsi="宋体"/>
                <w:bCs/>
                <w:sz w:val="24"/>
                <w:szCs w:val="24"/>
                <w:highlight w:val="none"/>
              </w:rPr>
              <w:t>年度食品定量检测服务采购项目</w:t>
            </w:r>
            <w:r>
              <w:rPr>
                <w:rFonts w:hint="eastAsia" w:ascii="宋体" w:hAnsi="宋体"/>
                <w:bCs/>
                <w:sz w:val="24"/>
                <w:szCs w:val="24"/>
                <w:highlight w:val="none"/>
                <w:lang w:eastAsia="zh-CN"/>
              </w:rPr>
              <w:t>－</w:t>
            </w:r>
            <w:r>
              <w:rPr>
                <w:rFonts w:hint="eastAsia" w:ascii="宋体" w:hAnsi="宋体"/>
                <w:bCs/>
                <w:sz w:val="24"/>
                <w:szCs w:val="24"/>
                <w:highlight w:val="none"/>
                <w:lang w:val="en-US" w:eastAsia="zh-CN"/>
              </w:rPr>
              <w:t>标的1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rPr>
              <w:t>具体详见技术参数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highlight w:val="none"/>
              </w:rPr>
            </w:pPr>
            <w:r>
              <w:rPr>
                <w:rFonts w:hint="eastAsia" w:ascii="宋体" w:hAnsi="宋体"/>
                <w:bCs/>
                <w:highlight w:val="none"/>
              </w:rPr>
              <w:t>约</w:t>
            </w:r>
            <w:r>
              <w:rPr>
                <w:rFonts w:hint="eastAsia" w:ascii="宋体" w:hAnsi="宋体"/>
                <w:bCs/>
                <w:highlight w:val="none"/>
                <w:lang w:val="en-US" w:eastAsia="zh-CN"/>
              </w:rPr>
              <w:t>35</w:t>
            </w:r>
            <w:r>
              <w:rPr>
                <w:rFonts w:hint="eastAsia" w:ascii="宋体" w:hAnsi="宋体"/>
                <w:bCs/>
                <w:highlight w:val="none"/>
              </w:rPr>
              <w:t>00批次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lang w:val="en-US" w:eastAsia="zh-CN"/>
              </w:rPr>
              <w:t>287</w:t>
            </w:r>
            <w:r>
              <w:rPr>
                <w:rFonts w:hint="eastAsia" w:ascii="宋体" w:hAnsi="宋体"/>
                <w:bCs/>
                <w:highlight w:val="none"/>
              </w:rPr>
              <w:t>万元</w:t>
            </w: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rPr>
              <w:t>1年</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Cs/>
                <w:highlight w:val="none"/>
              </w:rPr>
            </w:pPr>
            <w:r>
              <w:rPr>
                <w:rFonts w:hint="eastAsia" w:ascii="宋体" w:hAnsi="宋体"/>
                <w:bCs/>
                <w:highlight w:val="none"/>
              </w:rPr>
              <w:t>按单价招标，按实结算。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Cs/>
                <w:highlight w:val="none"/>
                <w:lang w:val="en-US"/>
              </w:rPr>
            </w:pPr>
            <w:r>
              <w:rPr>
                <w:rFonts w:hint="eastAsia" w:ascii="宋体" w:hAnsi="宋体"/>
                <w:bCs/>
                <w:highlight w:val="none"/>
              </w:rPr>
              <w:t>诸暨市市场监督管理局202</w:t>
            </w:r>
            <w:r>
              <w:rPr>
                <w:rFonts w:hint="eastAsia" w:ascii="宋体" w:hAnsi="宋体"/>
                <w:bCs/>
                <w:highlight w:val="none"/>
                <w:lang w:val="en-US" w:eastAsia="zh-CN"/>
              </w:rPr>
              <w:t>4</w:t>
            </w:r>
            <w:r>
              <w:rPr>
                <w:rFonts w:hint="eastAsia" w:ascii="宋体" w:hAnsi="宋体"/>
                <w:bCs/>
                <w:highlight w:val="none"/>
              </w:rPr>
              <w:t>年度食品定量检测服务采购项目</w:t>
            </w:r>
            <w:r>
              <w:rPr>
                <w:rFonts w:hint="eastAsia" w:ascii="宋体" w:hAnsi="宋体"/>
                <w:bCs/>
                <w:sz w:val="24"/>
                <w:szCs w:val="24"/>
                <w:highlight w:val="none"/>
                <w:lang w:val="en-US" w:eastAsia="zh-CN"/>
              </w:rPr>
              <w:t>-标的2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highlight w:val="none"/>
              </w:rPr>
            </w:pPr>
            <w:r>
              <w:rPr>
                <w:rFonts w:hint="eastAsia" w:ascii="宋体" w:hAnsi="宋体"/>
                <w:bCs/>
                <w:highlight w:val="none"/>
              </w:rPr>
              <w:t>具体详见技术参数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highlight w:val="none"/>
              </w:rPr>
            </w:pPr>
            <w:r>
              <w:rPr>
                <w:rFonts w:hint="eastAsia" w:ascii="宋体" w:hAnsi="宋体"/>
                <w:bCs/>
                <w:highlight w:val="none"/>
              </w:rPr>
              <w:t>约</w:t>
            </w:r>
            <w:r>
              <w:rPr>
                <w:rFonts w:hint="eastAsia" w:ascii="宋体" w:hAnsi="宋体"/>
                <w:bCs/>
                <w:highlight w:val="none"/>
                <w:lang w:val="en-US" w:eastAsia="zh-CN"/>
              </w:rPr>
              <w:t>150</w:t>
            </w:r>
            <w:r>
              <w:rPr>
                <w:rFonts w:hint="eastAsia" w:ascii="宋体" w:hAnsi="宋体"/>
                <w:bCs/>
                <w:highlight w:val="none"/>
              </w:rPr>
              <w:t>0批次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highlight w:val="none"/>
              </w:rPr>
            </w:pPr>
            <w:r>
              <w:rPr>
                <w:rFonts w:hint="eastAsia" w:ascii="宋体" w:hAnsi="宋体"/>
                <w:bCs/>
                <w:highlight w:val="none"/>
                <w:lang w:val="en-US" w:eastAsia="zh-CN"/>
              </w:rPr>
              <w:t>123</w:t>
            </w:r>
            <w:r>
              <w:rPr>
                <w:rFonts w:hint="eastAsia" w:ascii="宋体" w:hAnsi="宋体"/>
                <w:bCs/>
                <w:highlight w:val="none"/>
              </w:rPr>
              <w:t>万元</w:t>
            </w: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highlight w:val="none"/>
              </w:rPr>
            </w:pPr>
            <w:r>
              <w:rPr>
                <w:rFonts w:hint="eastAsia" w:ascii="宋体" w:hAnsi="宋体"/>
                <w:bCs/>
                <w:highlight w:val="none"/>
              </w:rPr>
              <w:t>1年</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Cs/>
                <w:highlight w:val="none"/>
              </w:rPr>
            </w:pPr>
            <w:r>
              <w:rPr>
                <w:rFonts w:hint="eastAsia" w:ascii="宋体" w:hAnsi="宋体"/>
                <w:bCs/>
                <w:highlight w:val="none"/>
              </w:rPr>
              <w:t>按单价招标，按实结算。</w:t>
            </w:r>
          </w:p>
        </w:tc>
      </w:tr>
    </w:tbl>
    <w:p>
      <w:pPr>
        <w:ind w:firstLine="422" w:firstLineChars="200"/>
        <w:rPr>
          <w:rFonts w:hint="eastAsia" w:ascii="宋体" w:hAnsi="宋体"/>
          <w:highlight w:val="none"/>
        </w:rPr>
      </w:pPr>
      <w:r>
        <w:rPr>
          <w:rFonts w:hint="eastAsia" w:ascii="宋体" w:hAnsi="宋体"/>
          <w:b/>
          <w:bCs/>
          <w:highlight w:val="none"/>
        </w:rPr>
        <w:t>1.3项目基本情况</w:t>
      </w:r>
    </w:p>
    <w:p>
      <w:pPr>
        <w:ind w:firstLine="420" w:firstLineChars="200"/>
        <w:rPr>
          <w:rFonts w:hint="eastAsia" w:ascii="宋体" w:hAnsi="宋体"/>
          <w:b w:val="0"/>
          <w:bCs/>
          <w:sz w:val="21"/>
          <w:szCs w:val="21"/>
          <w:highlight w:val="none"/>
          <w:lang w:val="en-US" w:eastAsia="zh-CN"/>
        </w:rPr>
      </w:pPr>
      <w:r>
        <w:rPr>
          <w:rFonts w:hint="eastAsia" w:ascii="宋体" w:hAnsi="宋体"/>
          <w:highlight w:val="none"/>
        </w:rPr>
        <w:t>1.3.1诸暨市市场监督管理局拟通过公开招标方式确定</w:t>
      </w:r>
      <w:r>
        <w:rPr>
          <w:rFonts w:hint="eastAsia" w:ascii="宋体" w:hAnsi="宋体"/>
          <w:highlight w:val="none"/>
          <w:lang w:val="en-US" w:eastAsia="zh-CN"/>
        </w:rPr>
        <w:t>2</w:t>
      </w:r>
      <w:r>
        <w:rPr>
          <w:rFonts w:hint="eastAsia" w:ascii="宋体" w:hAnsi="宋体"/>
          <w:highlight w:val="none"/>
        </w:rPr>
        <w:t>家食品安全检测机构作为大宗食品定点委托检验机构，承担本局202</w:t>
      </w:r>
      <w:r>
        <w:rPr>
          <w:rFonts w:hint="eastAsia" w:ascii="宋体" w:hAnsi="宋体"/>
          <w:highlight w:val="none"/>
          <w:lang w:val="en-US" w:eastAsia="zh-CN"/>
        </w:rPr>
        <w:t>4</w:t>
      </w:r>
      <w:r>
        <w:rPr>
          <w:rFonts w:hint="eastAsia" w:ascii="宋体" w:hAnsi="宋体"/>
          <w:highlight w:val="none"/>
        </w:rPr>
        <w:t>年度组织开展的食品安全监督抽检（含保健食品抽检）、风险监测、应急检验、专项抽检、重大活动保障检测等工作共计每年约</w:t>
      </w:r>
      <w:r>
        <w:rPr>
          <w:rFonts w:hint="eastAsia" w:ascii="宋体" w:hAnsi="宋体"/>
          <w:highlight w:val="none"/>
          <w:lang w:val="en-US" w:eastAsia="zh-CN"/>
        </w:rPr>
        <w:t>50</w:t>
      </w:r>
      <w:r>
        <w:rPr>
          <w:rFonts w:hint="eastAsia" w:ascii="宋体" w:hAnsi="宋体"/>
          <w:highlight w:val="none"/>
        </w:rPr>
        <w:t>00批次左右的检测任务，具体实际批次按上级文件规定执行</w:t>
      </w:r>
      <w:r>
        <w:rPr>
          <w:rFonts w:hint="eastAsia" w:ascii="宋体" w:hAnsi="宋体"/>
          <w:highlight w:val="none"/>
          <w:lang w:eastAsia="zh-CN"/>
        </w:rPr>
        <w:t>，</w:t>
      </w:r>
      <w:r>
        <w:rPr>
          <w:rFonts w:hint="eastAsia" w:ascii="宋体" w:hAnsi="宋体"/>
          <w:highlight w:val="none"/>
          <w:lang w:val="en-US" w:eastAsia="zh-CN"/>
        </w:rPr>
        <w:t>具体服务名单待中标后由采购人提供</w:t>
      </w:r>
      <w:r>
        <w:rPr>
          <w:rFonts w:hint="eastAsia" w:ascii="宋体" w:hAnsi="宋体"/>
          <w:highlight w:val="none"/>
        </w:rPr>
        <w:t>。</w:t>
      </w:r>
      <w:r>
        <w:rPr>
          <w:rFonts w:hint="eastAsia" w:ascii="宋体" w:hAnsi="宋体"/>
          <w:highlight w:val="none"/>
          <w:lang w:val="en-US" w:eastAsia="zh-CN"/>
        </w:rPr>
        <w:t>本次采购共分为二个标段，每个标段确定1家食品安全检测机构。标段一的预算资金为287万元，批次要求为不少于3500批次；标段二的预算资金为123万元，批次要求为不少于1500批次。</w:t>
      </w:r>
      <w:r>
        <w:rPr>
          <w:rFonts w:hint="eastAsia" w:hAnsi="宋体"/>
          <w:b w:val="0"/>
          <w:bCs/>
          <w:color w:val="auto"/>
          <w:sz w:val="21"/>
          <w:szCs w:val="21"/>
          <w:highlight w:val="none"/>
          <w:u w:val="none"/>
        </w:rPr>
        <w:t>第一中标候选人承接</w:t>
      </w:r>
      <w:r>
        <w:rPr>
          <w:rFonts w:hint="eastAsia" w:hAnsi="宋体"/>
          <w:b w:val="0"/>
          <w:bCs/>
          <w:color w:val="auto"/>
          <w:sz w:val="21"/>
          <w:szCs w:val="21"/>
          <w:highlight w:val="none"/>
          <w:u w:val="none"/>
          <w:lang w:eastAsia="zh-CN"/>
        </w:rPr>
        <w:t>标段一</w:t>
      </w:r>
      <w:r>
        <w:rPr>
          <w:rFonts w:hint="eastAsia" w:hAnsi="宋体"/>
          <w:b w:val="0"/>
          <w:bCs/>
          <w:color w:val="auto"/>
          <w:sz w:val="21"/>
          <w:szCs w:val="21"/>
          <w:highlight w:val="none"/>
          <w:u w:val="none"/>
          <w:lang w:val="en-US" w:eastAsia="zh-CN"/>
        </w:rPr>
        <w:t>的</w:t>
      </w:r>
      <w:r>
        <w:rPr>
          <w:rFonts w:hint="eastAsia" w:hAnsi="宋体"/>
          <w:b w:val="0"/>
          <w:bCs/>
          <w:color w:val="auto"/>
          <w:sz w:val="21"/>
          <w:szCs w:val="21"/>
          <w:highlight w:val="none"/>
          <w:u w:val="none"/>
        </w:rPr>
        <w:t>食品定量检验检测工作，第二中标候选人承接</w:t>
      </w:r>
      <w:r>
        <w:rPr>
          <w:rFonts w:hint="eastAsia" w:hAnsi="宋体"/>
          <w:b w:val="0"/>
          <w:bCs/>
          <w:color w:val="auto"/>
          <w:sz w:val="21"/>
          <w:szCs w:val="21"/>
          <w:highlight w:val="none"/>
          <w:u w:val="none"/>
          <w:lang w:eastAsia="zh-CN"/>
        </w:rPr>
        <w:t>标段二</w:t>
      </w:r>
      <w:r>
        <w:rPr>
          <w:rFonts w:hint="eastAsia" w:hAnsi="宋体"/>
          <w:b w:val="0"/>
          <w:bCs/>
          <w:color w:val="auto"/>
          <w:sz w:val="21"/>
          <w:szCs w:val="21"/>
          <w:highlight w:val="none"/>
          <w:u w:val="none"/>
          <w:lang w:val="en-US" w:eastAsia="zh-CN"/>
        </w:rPr>
        <w:t>的</w:t>
      </w:r>
      <w:r>
        <w:rPr>
          <w:rFonts w:hint="eastAsia" w:hAnsi="宋体"/>
          <w:b w:val="0"/>
          <w:bCs/>
          <w:color w:val="auto"/>
          <w:sz w:val="21"/>
          <w:szCs w:val="21"/>
          <w:highlight w:val="none"/>
          <w:u w:val="none"/>
        </w:rPr>
        <w:t>食品定量检验检测工作</w:t>
      </w:r>
      <w:r>
        <w:rPr>
          <w:rFonts w:hint="eastAsia" w:ascii="宋体" w:hAnsi="宋体"/>
          <w:b w:val="0"/>
          <w:bCs/>
          <w:sz w:val="21"/>
          <w:szCs w:val="21"/>
          <w:highlight w:val="none"/>
          <w:lang w:val="en-US" w:eastAsia="zh-CN"/>
        </w:rPr>
        <w:t>。</w:t>
      </w:r>
    </w:p>
    <w:p>
      <w:pPr>
        <w:ind w:firstLine="420" w:firstLineChars="200"/>
        <w:rPr>
          <w:rFonts w:hint="eastAsia" w:ascii="宋体" w:hAnsi="宋体"/>
          <w:highlight w:val="none"/>
        </w:rPr>
      </w:pPr>
      <w:r>
        <w:rPr>
          <w:rFonts w:hint="eastAsia" w:ascii="宋体" w:hAnsi="宋体"/>
          <w:highlight w:val="none"/>
        </w:rPr>
        <w:t>1.3.2抽检范围覆盖诸暨市行政区所有区域，</w:t>
      </w:r>
      <w:r>
        <w:rPr>
          <w:rFonts w:hint="eastAsia" w:ascii="宋体" w:hAnsi="宋体"/>
          <w:highlight w:val="none"/>
          <w:lang w:val="en-US" w:eastAsia="zh-CN"/>
        </w:rPr>
        <w:t>各标段的实际抽检区域在中标合同中明确</w:t>
      </w:r>
      <w:r>
        <w:rPr>
          <w:rFonts w:hint="eastAsia" w:ascii="宋体" w:hAnsi="宋体"/>
          <w:highlight w:val="none"/>
        </w:rPr>
        <w:t>。</w:t>
      </w:r>
    </w:p>
    <w:p>
      <w:pPr>
        <w:widowControl/>
        <w:snapToGrid w:val="0"/>
        <w:ind w:firstLine="420" w:firstLineChars="200"/>
        <w:jc w:val="left"/>
        <w:rPr>
          <w:rFonts w:hint="eastAsia" w:ascii="宋体" w:hAnsi="宋体"/>
          <w:highlight w:val="none"/>
        </w:rPr>
      </w:pPr>
      <w:r>
        <w:rPr>
          <w:rFonts w:hint="eastAsia" w:ascii="宋体" w:hAnsi="宋体"/>
          <w:highlight w:val="none"/>
        </w:rPr>
        <w:t>1.3.3检测周期约为15天，紧急情况时按业主要求提供报告，每个周期抽检前安排各检测机构抽检任务。</w:t>
      </w:r>
    </w:p>
    <w:p>
      <w:pPr>
        <w:ind w:firstLine="420" w:firstLineChars="200"/>
        <w:rPr>
          <w:rFonts w:hint="eastAsia" w:ascii="宋体" w:hAnsi="宋体"/>
          <w:highlight w:val="none"/>
        </w:rPr>
      </w:pPr>
      <w:r>
        <w:rPr>
          <w:rFonts w:hint="eastAsia" w:ascii="宋体" w:hAnsi="宋体"/>
          <w:highlight w:val="none"/>
        </w:rPr>
        <w:t>1.3.4中标的食品安全检测机构服务有效期限截</w:t>
      </w:r>
      <w:r>
        <w:rPr>
          <w:rFonts w:hint="eastAsia" w:ascii="宋体" w:hAnsi="宋体"/>
          <w:highlight w:val="none"/>
          <w:lang w:eastAsia="zh-CN"/>
        </w:rPr>
        <w:t>至</w:t>
      </w:r>
      <w:bookmarkStart w:id="164" w:name="_GoBack"/>
      <w:bookmarkEnd w:id="164"/>
      <w:r>
        <w:rPr>
          <w:rFonts w:hint="eastAsia" w:ascii="宋体" w:hAnsi="宋体"/>
          <w:highlight w:val="none"/>
        </w:rPr>
        <w:t>202</w:t>
      </w:r>
      <w:r>
        <w:rPr>
          <w:rFonts w:hint="eastAsia" w:ascii="宋体" w:hAnsi="宋体"/>
          <w:highlight w:val="none"/>
          <w:lang w:val="en-US" w:eastAsia="zh-CN"/>
        </w:rPr>
        <w:t>4</w:t>
      </w:r>
      <w:r>
        <w:rPr>
          <w:rFonts w:hint="eastAsia" w:ascii="宋体" w:hAnsi="宋体"/>
          <w:highlight w:val="none"/>
        </w:rPr>
        <w:t>年度大宗食品抽检工作项目完成。</w:t>
      </w:r>
    </w:p>
    <w:p>
      <w:pPr>
        <w:spacing w:line="440" w:lineRule="exact"/>
        <w:ind w:firstLine="420" w:firstLineChars="200"/>
        <w:rPr>
          <w:rFonts w:hint="eastAsia" w:ascii="宋体" w:hAnsi="宋体"/>
          <w:color w:val="FF0000"/>
          <w:highlight w:val="none"/>
        </w:rPr>
      </w:pPr>
      <w:r>
        <w:rPr>
          <w:rFonts w:hint="eastAsia" w:ascii="宋体" w:hAnsi="宋体"/>
          <w:color w:val="FF0000"/>
          <w:highlight w:val="none"/>
        </w:rPr>
        <w:t xml:space="preserve"> </w:t>
      </w:r>
    </w:p>
    <w:p>
      <w:pPr>
        <w:rPr>
          <w:rFonts w:hint="eastAsia" w:ascii="宋体" w:hAnsi="宋体"/>
          <w:b/>
          <w:highlight w:val="none"/>
        </w:rPr>
      </w:pPr>
      <w:r>
        <w:rPr>
          <w:rFonts w:hint="eastAsia" w:ascii="宋体" w:hAnsi="宋体"/>
          <w:b/>
          <w:highlight w:val="none"/>
        </w:rPr>
        <w:t xml:space="preserve"> 1.4检测期限要求：</w:t>
      </w:r>
    </w:p>
    <w:p>
      <w:pPr>
        <w:ind w:firstLine="420" w:firstLineChars="200"/>
        <w:rPr>
          <w:rFonts w:hint="eastAsia" w:ascii="宋体" w:hAnsi="宋体"/>
          <w:highlight w:val="none"/>
        </w:rPr>
      </w:pPr>
      <w:r>
        <w:rPr>
          <w:rFonts w:hint="eastAsia" w:ascii="宋体" w:hAnsi="宋体"/>
          <w:highlight w:val="none"/>
        </w:rPr>
        <w:t>1.4.1应在接到采购人检测通知后2天内，组织安排好相关人员及车辆，负责或辅助抽样。</w:t>
      </w:r>
    </w:p>
    <w:p>
      <w:pPr>
        <w:ind w:firstLine="420" w:firstLineChars="200"/>
        <w:rPr>
          <w:rFonts w:hint="eastAsia" w:ascii="宋体" w:hAnsi="宋体"/>
          <w:highlight w:val="none"/>
        </w:rPr>
      </w:pPr>
      <w:r>
        <w:rPr>
          <w:rFonts w:hint="eastAsia" w:ascii="宋体" w:hAnsi="宋体"/>
          <w:highlight w:val="none"/>
        </w:rPr>
        <w:t>1.4.2 样品采集完成后或现场交接样品后应快速送检（5小时内必须送达），以确保采样样品的新鲜度。</w:t>
      </w:r>
    </w:p>
    <w:p>
      <w:pPr>
        <w:ind w:firstLine="420" w:firstLineChars="200"/>
        <w:rPr>
          <w:rFonts w:hint="eastAsia" w:ascii="宋体" w:hAnsi="宋体"/>
          <w:highlight w:val="none"/>
        </w:rPr>
      </w:pPr>
      <w:r>
        <w:rPr>
          <w:rFonts w:hint="eastAsia" w:ascii="宋体" w:hAnsi="宋体"/>
          <w:highlight w:val="none"/>
        </w:rPr>
        <w:t>▲1.4.3中标单位将自动承担应急委托任务。</w:t>
      </w:r>
    </w:p>
    <w:p>
      <w:pPr>
        <w:ind w:firstLine="420" w:firstLineChars="200"/>
        <w:rPr>
          <w:rFonts w:hint="eastAsia" w:ascii="宋体" w:hAnsi="宋体"/>
          <w:highlight w:val="none"/>
        </w:rPr>
      </w:pPr>
      <w:r>
        <w:rPr>
          <w:rFonts w:hint="eastAsia" w:ascii="宋体" w:hAnsi="宋体"/>
          <w:highlight w:val="none"/>
        </w:rPr>
        <w:t>▲1.4.4在抽样后，15日内出具相应检测报告，紧急情况时按业主要求提供</w:t>
      </w:r>
      <w:r>
        <w:rPr>
          <w:rFonts w:hint="eastAsia" w:ascii="宋体" w:hAnsi="宋体"/>
          <w:highlight w:val="none"/>
          <w:lang w:val="en-US" w:eastAsia="zh-CN"/>
        </w:rPr>
        <w:t>检测</w:t>
      </w:r>
      <w:r>
        <w:rPr>
          <w:rFonts w:hint="eastAsia" w:ascii="宋体" w:hAnsi="宋体"/>
          <w:highlight w:val="none"/>
        </w:rPr>
        <w:t>报告。</w:t>
      </w:r>
    </w:p>
    <w:p>
      <w:pPr>
        <w:ind w:firstLine="422" w:firstLineChars="200"/>
        <w:rPr>
          <w:rFonts w:hint="eastAsia" w:ascii="宋体" w:hAnsi="宋体"/>
          <w:b/>
          <w:highlight w:val="none"/>
        </w:rPr>
      </w:pPr>
      <w:r>
        <w:rPr>
          <w:rFonts w:hint="eastAsia" w:ascii="宋体" w:hAnsi="宋体"/>
          <w:b/>
          <w:highlight w:val="none"/>
        </w:rPr>
        <w:t>1.5检验检测内容及要求：</w:t>
      </w:r>
    </w:p>
    <w:p>
      <w:pPr>
        <w:ind w:firstLine="420" w:firstLineChars="200"/>
        <w:rPr>
          <w:rFonts w:hint="eastAsia" w:ascii="宋体" w:hAnsi="宋体"/>
          <w:b/>
          <w:highlight w:val="none"/>
        </w:rPr>
      </w:pPr>
      <w:r>
        <w:rPr>
          <w:rFonts w:hint="eastAsia" w:ascii="宋体" w:hAnsi="宋体"/>
          <w:highlight w:val="none"/>
        </w:rPr>
        <w:t>各类食品的检验依据为食品安全国家标准，对没有食品安全国家标准的，可按照食品卫生标准、食品质量标准和有关食品的行业标准，食品安全地方标准，企业标准、产品标签明示值或国家明文规定的限量值及国家指定的特定检验方法等进行检验。</w:t>
      </w:r>
    </w:p>
    <w:p>
      <w:pPr>
        <w:spacing w:line="440" w:lineRule="exact"/>
        <w:ind w:firstLine="420" w:firstLineChars="200"/>
        <w:rPr>
          <w:rFonts w:hint="eastAsia" w:ascii="宋体"/>
          <w:highlight w:val="none"/>
        </w:rPr>
      </w:pPr>
      <w:r>
        <w:rPr>
          <w:rFonts w:hint="eastAsia" w:ascii="宋体" w:hAnsi="宋体"/>
          <w:highlight w:val="none"/>
        </w:rPr>
        <w:t>1.5.1 应根据采购人和合同的要求按时完成相应产品的抽验工作。</w:t>
      </w:r>
    </w:p>
    <w:p>
      <w:pPr>
        <w:widowControl/>
        <w:snapToGrid w:val="0"/>
        <w:spacing w:line="360" w:lineRule="auto"/>
        <w:ind w:firstLine="420" w:firstLineChars="200"/>
        <w:jc w:val="left"/>
        <w:rPr>
          <w:rFonts w:hint="eastAsia" w:ascii="宋体" w:hAnsi="宋体"/>
          <w:b/>
          <w:highlight w:val="none"/>
        </w:rPr>
      </w:pPr>
      <w:r>
        <w:rPr>
          <w:rFonts w:hint="eastAsia" w:ascii="宋体" w:hAnsi="宋体"/>
          <w:highlight w:val="none"/>
        </w:rPr>
        <w:t xml:space="preserve">▲1.5.2 </w:t>
      </w:r>
      <w:r>
        <w:rPr>
          <w:rFonts w:hint="eastAsia" w:ascii="宋体" w:hAnsi="宋体"/>
          <w:b/>
          <w:highlight w:val="none"/>
        </w:rPr>
        <w:t>出具的检测报告应具有相关执法效力，并对检测结果做出科学分析，完成相应的数据汇总、总结报告、数据导出等，报送给采购人。中标方未经</w:t>
      </w:r>
      <w:r>
        <w:rPr>
          <w:rFonts w:hint="eastAsia" w:ascii="宋体" w:hAnsi="宋体"/>
          <w:b/>
          <w:highlight w:val="none"/>
          <w:lang w:val="en-US" w:eastAsia="zh-CN"/>
        </w:rPr>
        <w:t>采购人</w:t>
      </w:r>
      <w:r>
        <w:rPr>
          <w:rFonts w:hint="eastAsia" w:ascii="宋体" w:hAnsi="宋体"/>
          <w:b/>
          <w:highlight w:val="none"/>
        </w:rPr>
        <w:t>同意不得擅自将检验结果告知被抽检单位，一经发现立即终止合同。</w:t>
      </w:r>
    </w:p>
    <w:p>
      <w:pPr>
        <w:spacing w:line="440" w:lineRule="exact"/>
        <w:ind w:firstLine="420" w:firstLineChars="200"/>
        <w:rPr>
          <w:rFonts w:hint="eastAsia" w:ascii="宋体"/>
          <w:highlight w:val="none"/>
        </w:rPr>
      </w:pPr>
      <w:r>
        <w:rPr>
          <w:rFonts w:hint="eastAsia" w:ascii="宋体" w:hAnsi="宋体"/>
          <w:highlight w:val="none"/>
        </w:rPr>
        <w:t>1.5.3 若需要复检的，则应由采购人</w:t>
      </w:r>
      <w:r>
        <w:rPr>
          <w:rFonts w:hint="eastAsia" w:ascii="宋体" w:hAnsi="宋体"/>
          <w:highlight w:val="none"/>
          <w:lang w:val="en-US" w:eastAsia="zh-CN"/>
        </w:rPr>
        <w:t>按照文件要求组织</w:t>
      </w:r>
      <w:r>
        <w:rPr>
          <w:rFonts w:hint="eastAsia" w:ascii="宋体" w:hAnsi="宋体"/>
          <w:highlight w:val="none"/>
        </w:rPr>
        <w:t>复检。</w:t>
      </w:r>
    </w:p>
    <w:p>
      <w:pPr>
        <w:spacing w:line="440" w:lineRule="exact"/>
        <w:ind w:firstLine="422" w:firstLineChars="200"/>
        <w:rPr>
          <w:rFonts w:hint="eastAsia" w:ascii="宋体"/>
          <w:b/>
          <w:highlight w:val="none"/>
        </w:rPr>
      </w:pPr>
      <w:r>
        <w:rPr>
          <w:rFonts w:hint="eastAsia" w:ascii="宋体" w:hAnsi="宋体"/>
          <w:b/>
          <w:highlight w:val="none"/>
        </w:rPr>
        <w:t>1.5.4 若提交的报告经复检后，更改结果的，由原检测单位支付并承担相应的复检费用，并记一次不合格，三次不合格终止合同。</w:t>
      </w:r>
    </w:p>
    <w:p>
      <w:pPr>
        <w:spacing w:line="440" w:lineRule="exact"/>
        <w:ind w:firstLine="420" w:firstLineChars="200"/>
        <w:rPr>
          <w:rFonts w:hint="eastAsia" w:ascii="宋体" w:hAnsi="宋体"/>
          <w:highlight w:val="none"/>
        </w:rPr>
      </w:pPr>
      <w:r>
        <w:rPr>
          <w:rFonts w:hint="eastAsia" w:ascii="宋体" w:hAnsi="宋体"/>
          <w:highlight w:val="none"/>
        </w:rPr>
        <w:t>1.5.5 具体每类食品检测项目、依据、检测方法，以《国家食品安全监督抽检实施细则202</w:t>
      </w:r>
      <w:r>
        <w:rPr>
          <w:rFonts w:hint="eastAsia" w:ascii="宋体" w:hAnsi="宋体"/>
          <w:highlight w:val="none"/>
          <w:lang w:val="en-US" w:eastAsia="zh-CN"/>
        </w:rPr>
        <w:t>3</w:t>
      </w:r>
      <w:r>
        <w:rPr>
          <w:rFonts w:hint="eastAsia" w:ascii="宋体" w:hAnsi="宋体"/>
          <w:highlight w:val="none"/>
        </w:rPr>
        <w:t>年版》为基础，</w:t>
      </w:r>
      <w:r>
        <w:rPr>
          <w:rFonts w:hint="eastAsia" w:ascii="宋体" w:hAnsi="宋体"/>
          <w:highlight w:val="none"/>
          <w:lang w:val="en-US" w:eastAsia="zh-CN"/>
        </w:rPr>
        <w:t>原则上不允许随意增加细则外的检测项目。如遇特殊情况，确需增加细则外的检测项目，需要采购单位审批同意后才能实施。</w:t>
      </w:r>
      <w:r>
        <w:rPr>
          <w:rFonts w:hint="eastAsia" w:ascii="宋体" w:hAnsi="宋体"/>
          <w:highlight w:val="none"/>
        </w:rPr>
        <w:t>增加的检测项目依据、检测方法必须符合食品安全国家标准，对没有食品安全国家标准的，可按照食品卫生标准、食品质量标准和有关食品的行业标准，食品安全地方标准，企业标准、产品标签明示值或国家明文规定的限量值及国家指定的特定检验方法等进行检验。</w:t>
      </w:r>
    </w:p>
    <w:p>
      <w:pPr>
        <w:snapToGrid w:val="0"/>
        <w:spacing w:line="440" w:lineRule="exact"/>
        <w:ind w:firstLine="240" w:firstLineChars="100"/>
        <w:rPr>
          <w:rFonts w:hint="default" w:ascii="Times New Roman" w:hAnsi="宋体" w:eastAsia="宋体" w:cs="Times New Roman"/>
          <w:color w:val="000000"/>
          <w:sz w:val="21"/>
          <w:szCs w:val="21"/>
          <w:highlight w:val="none"/>
          <w:lang w:val="en-US" w:eastAsia="zh-CN"/>
        </w:rPr>
      </w:pPr>
      <w:r>
        <w:rPr>
          <w:rFonts w:hint="eastAsia" w:hAnsi="宋体"/>
          <w:color w:val="auto"/>
          <w:sz w:val="24"/>
          <w:highlight w:val="none"/>
          <w:lang w:val="en-US" w:eastAsia="zh-CN"/>
        </w:rPr>
        <w:t xml:space="preserve">1.5.6 </w:t>
      </w:r>
      <w:r>
        <w:rPr>
          <w:rFonts w:hint="eastAsia" w:hAnsi="宋体"/>
          <w:color w:val="auto"/>
          <w:sz w:val="21"/>
          <w:szCs w:val="21"/>
          <w:highlight w:val="none"/>
        </w:rPr>
        <w:t>具体检测内容及项目分配：各中标单位原则上根据本次采购结果</w:t>
      </w:r>
      <w:r>
        <w:rPr>
          <w:rFonts w:hint="eastAsia" w:hAnsi="宋体"/>
          <w:color w:val="auto"/>
          <w:sz w:val="21"/>
          <w:szCs w:val="21"/>
          <w:highlight w:val="none"/>
          <w:lang w:val="en-US" w:eastAsia="zh-CN"/>
        </w:rPr>
        <w:t>各自承担标段里的工作内容，如碰到承担机构无法及时响应等特殊情况，采购人有权调整个别项目的分派任务，（检验费用按调整后承检机构中标折扣率进行计算，中标单位需无条件服从）</w:t>
      </w:r>
      <w:r>
        <w:rPr>
          <w:rFonts w:hint="eastAsia" w:hAnsi="宋体"/>
          <w:color w:val="auto"/>
          <w:sz w:val="21"/>
          <w:szCs w:val="21"/>
          <w:highlight w:val="none"/>
          <w:lang w:eastAsia="zh-CN"/>
        </w:rPr>
        <w:t>，</w:t>
      </w:r>
      <w:r>
        <w:rPr>
          <w:rFonts w:hint="eastAsia" w:hAnsi="宋体"/>
          <w:color w:val="000000"/>
          <w:sz w:val="21"/>
          <w:szCs w:val="21"/>
          <w:highlight w:val="none"/>
          <w:lang w:val="en-US" w:eastAsia="zh-CN"/>
        </w:rPr>
        <w:t>分派原则为：从标段一中标人开始</w:t>
      </w:r>
      <w:r>
        <w:rPr>
          <w:rFonts w:hint="eastAsia" w:ascii="Times New Roman" w:hAnsi="宋体" w:eastAsia="宋体" w:cs="Times New Roman"/>
          <w:color w:val="000000"/>
          <w:sz w:val="21"/>
          <w:szCs w:val="21"/>
          <w:highlight w:val="none"/>
          <w:lang w:val="en-US" w:eastAsia="zh-CN"/>
        </w:rPr>
        <w:t>响应承检</w:t>
      </w:r>
      <w:r>
        <w:rPr>
          <w:rFonts w:hint="eastAsia" w:hAnsi="宋体"/>
          <w:color w:val="000000"/>
          <w:sz w:val="21"/>
          <w:szCs w:val="21"/>
          <w:highlight w:val="none"/>
          <w:lang w:val="en-US" w:eastAsia="zh-CN"/>
        </w:rPr>
        <w:t>，如标段一中标人</w:t>
      </w:r>
      <w:r>
        <w:rPr>
          <w:rFonts w:hint="eastAsia" w:ascii="Times New Roman" w:hAnsi="宋体" w:eastAsia="宋体" w:cs="Times New Roman"/>
          <w:color w:val="000000"/>
          <w:sz w:val="21"/>
          <w:szCs w:val="21"/>
          <w:highlight w:val="none"/>
          <w:lang w:val="en-US" w:eastAsia="zh-CN"/>
        </w:rPr>
        <w:t>无法及时响应，标段二中标人响应承检）。</w:t>
      </w:r>
    </w:p>
    <w:p>
      <w:pPr>
        <w:spacing w:line="440" w:lineRule="exact"/>
        <w:ind w:firstLine="210" w:firstLineChars="100"/>
        <w:rPr>
          <w:rFonts w:hint="eastAsia"/>
          <w:sz w:val="30"/>
          <w:szCs w:val="30"/>
          <w:highlight w:val="none"/>
        </w:rPr>
      </w:pPr>
      <w:r>
        <w:rPr>
          <w:rFonts w:hint="eastAsia" w:ascii="宋体" w:hAnsi="宋体"/>
          <w:highlight w:val="none"/>
        </w:rPr>
        <w:t>1.5.</w:t>
      </w:r>
      <w:r>
        <w:rPr>
          <w:rFonts w:hint="eastAsia" w:ascii="宋体" w:hAnsi="宋体"/>
          <w:highlight w:val="none"/>
          <w:lang w:val="en-US" w:eastAsia="zh-CN"/>
        </w:rPr>
        <w:t>7</w:t>
      </w:r>
      <w:r>
        <w:rPr>
          <w:rFonts w:hint="eastAsia" w:ascii="宋体" w:hAnsi="宋体"/>
          <w:highlight w:val="none"/>
        </w:rPr>
        <w:t>投标人提供自有专门用于存放大宗食品检测业务档案场地情况、管理情况等，并提供相关证明材料</w:t>
      </w:r>
      <w:r>
        <w:rPr>
          <w:rFonts w:hint="eastAsia" w:ascii="宋体" w:hAnsi="宋体"/>
          <w:sz w:val="30"/>
          <w:szCs w:val="30"/>
          <w:highlight w:val="none"/>
        </w:rPr>
        <w:t>。</w:t>
      </w:r>
    </w:p>
    <w:p>
      <w:pPr>
        <w:spacing w:line="440" w:lineRule="exact"/>
        <w:ind w:firstLine="422" w:firstLineChars="200"/>
        <w:rPr>
          <w:rFonts w:ascii="宋体"/>
          <w:b/>
          <w:bCs/>
          <w:highlight w:val="none"/>
        </w:rPr>
      </w:pPr>
      <w:r>
        <w:rPr>
          <w:rFonts w:hint="eastAsia" w:ascii="宋体" w:hAnsi="宋体"/>
          <w:b/>
          <w:bCs/>
          <w:highlight w:val="none"/>
        </w:rPr>
        <w:t>1.6管理要求</w:t>
      </w:r>
    </w:p>
    <w:p>
      <w:pPr>
        <w:spacing w:line="440" w:lineRule="exact"/>
        <w:ind w:firstLine="420" w:firstLineChars="200"/>
        <w:rPr>
          <w:rFonts w:hint="eastAsia" w:ascii="宋体"/>
          <w:highlight w:val="none"/>
        </w:rPr>
      </w:pPr>
      <w:r>
        <w:rPr>
          <w:rFonts w:hint="eastAsia" w:ascii="宋体" w:hAnsi="宋体"/>
          <w:highlight w:val="none"/>
        </w:rPr>
        <w:t>1.6.1各中标人应接受诸暨市市场监督管理局的各项规定，切实享受各项权利，严格履行承诺的义务，为诸暨市食品安全工作做好服务，并接受以下各项管理要求：</w:t>
      </w:r>
    </w:p>
    <w:p>
      <w:pPr>
        <w:spacing w:line="440" w:lineRule="exact"/>
        <w:ind w:firstLine="420" w:firstLineChars="200"/>
        <w:rPr>
          <w:rFonts w:hint="eastAsia" w:ascii="宋体"/>
          <w:highlight w:val="none"/>
        </w:rPr>
      </w:pPr>
      <w:r>
        <w:rPr>
          <w:rFonts w:hint="eastAsia" w:ascii="宋体" w:hAnsi="宋体"/>
          <w:highlight w:val="none"/>
        </w:rPr>
        <w:t>（1）中标单位确定后，由采购人与中标人就大宗食品抽检项目签订协议书（详见后附）。</w:t>
      </w:r>
    </w:p>
    <w:p>
      <w:pPr>
        <w:spacing w:line="440" w:lineRule="exact"/>
        <w:ind w:firstLine="420" w:firstLineChars="200"/>
        <w:rPr>
          <w:rFonts w:hint="eastAsia" w:ascii="宋体"/>
          <w:highlight w:val="none"/>
        </w:rPr>
      </w:pPr>
      <w:r>
        <w:rPr>
          <w:rFonts w:hint="eastAsia" w:ascii="宋体" w:hAnsi="宋体"/>
          <w:highlight w:val="none"/>
        </w:rPr>
        <w:t>（2）中标单位遵守统一服务承诺，做好各项服务工作，认真履行义务。</w:t>
      </w:r>
    </w:p>
    <w:p>
      <w:pPr>
        <w:spacing w:line="440" w:lineRule="exact"/>
        <w:ind w:firstLine="420" w:firstLineChars="200"/>
        <w:rPr>
          <w:rFonts w:hint="eastAsia" w:ascii="宋体" w:hAnsi="宋体"/>
          <w:highlight w:val="none"/>
        </w:rPr>
      </w:pPr>
      <w:r>
        <w:rPr>
          <w:rFonts w:hint="eastAsia" w:ascii="宋体" w:hAnsi="宋体"/>
          <w:highlight w:val="none"/>
        </w:rPr>
        <w:t>（3）在服务期内，中标单位必须接受</w:t>
      </w:r>
      <w:r>
        <w:rPr>
          <w:rFonts w:hint="eastAsia" w:ascii="宋体" w:hAnsi="宋体"/>
          <w:bCs/>
          <w:highlight w:val="none"/>
        </w:rPr>
        <w:t>诸暨市市场监督管理局</w:t>
      </w:r>
      <w:r>
        <w:rPr>
          <w:rFonts w:hint="eastAsia" w:ascii="宋体" w:hAnsi="宋体"/>
          <w:highlight w:val="none"/>
        </w:rPr>
        <w:t>、监管部门及相关部门的管理。</w:t>
      </w:r>
    </w:p>
    <w:p>
      <w:pPr>
        <w:spacing w:line="440" w:lineRule="exact"/>
        <w:ind w:firstLine="420" w:firstLineChars="200"/>
        <w:rPr>
          <w:rFonts w:hint="eastAsia" w:ascii="宋体" w:hAnsi="宋体"/>
          <w:highlight w:val="none"/>
        </w:rPr>
      </w:pPr>
      <w:r>
        <w:rPr>
          <w:rFonts w:hint="eastAsia" w:ascii="宋体" w:hAnsi="宋体"/>
          <w:highlight w:val="none"/>
        </w:rPr>
        <w:t>（4）中标单位</w:t>
      </w:r>
      <w:r>
        <w:rPr>
          <w:rFonts w:hint="eastAsia" w:ascii="宋体" w:hAnsi="宋体"/>
          <w:highlight w:val="none"/>
          <w:lang w:eastAsia="zh-CN"/>
        </w:rPr>
        <w:t>必须将</w:t>
      </w:r>
      <w:r>
        <w:rPr>
          <w:rFonts w:hint="eastAsia" w:ascii="宋体" w:hAnsi="宋体"/>
          <w:highlight w:val="none"/>
        </w:rPr>
        <w:t>检测数据输入到国抽系统等诸暨市市场监管局指定的相关数据平台系统。</w:t>
      </w:r>
    </w:p>
    <w:p>
      <w:pPr>
        <w:spacing w:line="440" w:lineRule="exact"/>
        <w:ind w:firstLine="420" w:firstLineChars="200"/>
        <w:rPr>
          <w:rFonts w:hint="eastAsia" w:ascii="宋体"/>
          <w:highlight w:val="none"/>
        </w:rPr>
      </w:pPr>
      <w:r>
        <w:rPr>
          <w:rFonts w:hint="eastAsia" w:ascii="宋体" w:hAnsi="宋体"/>
          <w:highlight w:val="none"/>
        </w:rPr>
        <w:t>（5）业务建档制度：中标人须针对诸暨市大宗食品检测业务建立单独的业务档案资料，并按规定进行备案。</w:t>
      </w:r>
    </w:p>
    <w:p>
      <w:pPr>
        <w:spacing w:line="440" w:lineRule="exact"/>
        <w:ind w:firstLine="420" w:firstLineChars="200"/>
        <w:rPr>
          <w:rFonts w:hint="eastAsia" w:ascii="宋体" w:hAnsi="宋体"/>
          <w:highlight w:val="none"/>
        </w:rPr>
      </w:pPr>
      <w:r>
        <w:rPr>
          <w:rFonts w:hint="eastAsia" w:ascii="宋体" w:hAnsi="宋体"/>
          <w:highlight w:val="none"/>
        </w:rPr>
        <w:t>（6）投诉制度：</w:t>
      </w:r>
      <w:r>
        <w:rPr>
          <w:rFonts w:hint="eastAsia" w:ascii="宋体" w:hAnsi="宋体"/>
          <w:bCs/>
          <w:highlight w:val="none"/>
        </w:rPr>
        <w:t>诸暨市市场监督管理局</w:t>
      </w:r>
      <w:r>
        <w:rPr>
          <w:rFonts w:hint="eastAsia" w:ascii="宋体" w:hAnsi="宋体"/>
          <w:highlight w:val="none"/>
        </w:rPr>
        <w:t>及监管部门有权对检测机构监督投诉。</w:t>
      </w:r>
    </w:p>
    <w:p>
      <w:pPr>
        <w:pStyle w:val="2"/>
        <w:rPr>
          <w:rFonts w:hint="eastAsia"/>
          <w:highlight w:val="none"/>
        </w:rPr>
      </w:pPr>
    </w:p>
    <w:p>
      <w:pPr>
        <w:widowControl/>
        <w:snapToGrid w:val="0"/>
        <w:spacing w:line="440" w:lineRule="exact"/>
        <w:ind w:firstLine="420" w:firstLineChars="200"/>
        <w:jc w:val="left"/>
        <w:rPr>
          <w:rFonts w:hint="eastAsia" w:ascii="宋体" w:hAnsi="宋体"/>
          <w:b/>
          <w:highlight w:val="none"/>
        </w:rPr>
      </w:pPr>
      <w:r>
        <w:rPr>
          <w:rFonts w:hint="eastAsia" w:ascii="宋体" w:hAnsi="宋体"/>
          <w:highlight w:val="none"/>
        </w:rPr>
        <w:t>（7）</w:t>
      </w:r>
      <w:r>
        <w:rPr>
          <w:rFonts w:hint="eastAsia" w:ascii="宋体" w:hAnsi="宋体"/>
          <w:b/>
          <w:highlight w:val="none"/>
        </w:rPr>
        <w:t>违规处理：招标人可在中标人接收委托期间对检测机构是否规范操作进行监督检查，如发现违规事件，第一次书面警告；第二次</w:t>
      </w:r>
      <w:r>
        <w:rPr>
          <w:rFonts w:hint="eastAsia" w:ascii="宋体" w:hAnsi="宋体"/>
          <w:b/>
          <w:highlight w:val="none"/>
          <w:lang w:val="en-US" w:eastAsia="zh-CN"/>
        </w:rPr>
        <w:t>处违约金</w:t>
      </w:r>
      <w:r>
        <w:rPr>
          <w:rFonts w:hint="eastAsia" w:ascii="宋体" w:hAnsi="宋体"/>
          <w:b/>
          <w:highlight w:val="none"/>
        </w:rPr>
        <w:t>三千；第三次终止合同。如终止合同，履约保证金不予退还。</w:t>
      </w:r>
    </w:p>
    <w:p>
      <w:pPr>
        <w:widowControl/>
        <w:snapToGrid w:val="0"/>
        <w:spacing w:line="440" w:lineRule="exact"/>
        <w:ind w:firstLine="413" w:firstLineChars="196"/>
        <w:jc w:val="left"/>
        <w:rPr>
          <w:rFonts w:hint="eastAsia" w:ascii="宋体" w:hAnsi="宋体"/>
          <w:b/>
          <w:highlight w:val="none"/>
        </w:rPr>
      </w:pPr>
      <w:r>
        <w:rPr>
          <w:rFonts w:hint="eastAsia" w:ascii="宋体" w:hAnsi="宋体"/>
          <w:b/>
          <w:highlight w:val="none"/>
        </w:rPr>
        <w:t>2、履约保证金及付款方式</w:t>
      </w:r>
    </w:p>
    <w:p>
      <w:pPr>
        <w:widowControl/>
        <w:snapToGrid w:val="0"/>
        <w:spacing w:line="440" w:lineRule="exact"/>
        <w:ind w:firstLine="420" w:firstLineChars="200"/>
        <w:jc w:val="left"/>
        <w:rPr>
          <w:rFonts w:hint="eastAsia" w:ascii="宋体" w:hAnsi="宋体"/>
          <w:b/>
          <w:highlight w:val="none"/>
        </w:rPr>
      </w:pPr>
      <w:r>
        <w:rPr>
          <w:rFonts w:hint="eastAsia" w:ascii="宋体" w:hAnsi="宋体"/>
          <w:highlight w:val="none"/>
        </w:rPr>
        <w:t>项目实施前中标人须向采购人缴纳</w:t>
      </w:r>
      <w:r>
        <w:rPr>
          <w:rFonts w:hint="eastAsia" w:ascii="宋体" w:hAnsi="宋体"/>
          <w:color w:val="000000"/>
          <w:sz w:val="24"/>
          <w:szCs w:val="24"/>
          <w:highlight w:val="none"/>
        </w:rPr>
        <w:t>合同金额</w:t>
      </w:r>
      <w:r>
        <w:rPr>
          <w:rFonts w:hint="eastAsia" w:ascii="宋体" w:hAnsi="宋体"/>
          <w:b w:val="0"/>
          <w:bCs/>
          <w:highlight w:val="none"/>
          <w:lang w:val="en-US" w:eastAsia="zh-CN"/>
        </w:rPr>
        <w:t>1%</w:t>
      </w:r>
      <w:r>
        <w:rPr>
          <w:rFonts w:hint="eastAsia" w:ascii="宋体" w:hAnsi="宋体"/>
          <w:highlight w:val="none"/>
        </w:rPr>
        <w:t>的履约保证金，合同到期后7个工作</w:t>
      </w:r>
      <w:r>
        <w:rPr>
          <w:rFonts w:hint="eastAsia" w:ascii="宋体" w:hAnsi="宋体"/>
          <w:highlight w:val="none"/>
          <w:lang w:val="en-US" w:eastAsia="zh-CN"/>
        </w:rPr>
        <w:t>日</w:t>
      </w:r>
      <w:r>
        <w:rPr>
          <w:rFonts w:hint="eastAsia" w:ascii="宋体" w:hAnsi="宋体"/>
          <w:highlight w:val="none"/>
        </w:rPr>
        <w:t>内无息退回，服务费以年度为单位按月按实结算，具体为根据中标单价和实际检测数量按月结算，发票随支付金额及时提供，</w:t>
      </w:r>
      <w:r>
        <w:rPr>
          <w:rFonts w:hint="eastAsia" w:ascii="宋体" w:hAnsi="宋体"/>
          <w:b w:val="0"/>
          <w:bCs/>
          <w:highlight w:val="none"/>
        </w:rPr>
        <w:t>投标单位在收到中标单位的支付发票与支付清单后15个工作日内支付相应服务费用</w:t>
      </w:r>
      <w:r>
        <w:rPr>
          <w:rFonts w:hint="eastAsia" w:ascii="宋体" w:hAnsi="宋体"/>
          <w:highlight w:val="none"/>
        </w:rPr>
        <w:t>，12月</w:t>
      </w:r>
      <w:r>
        <w:rPr>
          <w:rFonts w:hint="eastAsia" w:ascii="宋体" w:hAnsi="宋体"/>
          <w:highlight w:val="none"/>
          <w:lang w:val="en-US" w:eastAsia="zh-CN"/>
        </w:rPr>
        <w:t>31日</w:t>
      </w:r>
      <w:r>
        <w:rPr>
          <w:rFonts w:hint="eastAsia" w:ascii="宋体" w:hAnsi="宋体"/>
          <w:highlight w:val="none"/>
        </w:rPr>
        <w:t>前把全年服务费用全部结清。总服务费金额不超过年度预算。</w:t>
      </w:r>
      <w:r>
        <w:rPr>
          <w:rFonts w:hint="eastAsia" w:ascii="宋体" w:hAnsi="宋体"/>
          <w:b w:val="0"/>
          <w:bCs/>
          <w:highlight w:val="none"/>
        </w:rPr>
        <w:t>如终止合同，未支付的服务费同时不予支付。</w:t>
      </w:r>
    </w:p>
    <w:p>
      <w:pPr>
        <w:pStyle w:val="894"/>
        <w:spacing w:afterLines="0"/>
        <w:ind w:firstLine="472" w:firstLineChars="196"/>
        <w:rPr>
          <w:rFonts w:hint="eastAsia" w:ascii="宋体" w:hAnsi="宋体"/>
          <w:b/>
          <w:highlight w:val="none"/>
        </w:rPr>
      </w:pPr>
      <w:r>
        <w:rPr>
          <w:rFonts w:hint="eastAsia" w:ascii="宋体" w:hAnsi="宋体"/>
          <w:b/>
          <w:highlight w:val="none"/>
        </w:rPr>
        <w:t>3、售后服务要求</w:t>
      </w:r>
    </w:p>
    <w:p>
      <w:pPr>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售后服务期限：中标人提供7*24免费的质量保证及售后服务，并有义务向甲方提供后续技术支持。供应商承诺优于本要求的，以优惠者为准。</w:t>
      </w:r>
    </w:p>
    <w:p>
      <w:pPr>
        <w:ind w:firstLine="42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中标供应商必须将</w:t>
      </w:r>
      <w:r>
        <w:rPr>
          <w:rFonts w:hint="eastAsia" w:ascii="宋体" w:hAnsi="宋体"/>
          <w:highlight w:val="none"/>
          <w:lang w:val="en-US" w:eastAsia="zh-CN"/>
        </w:rPr>
        <w:t>单位</w:t>
      </w:r>
      <w:r>
        <w:rPr>
          <w:rFonts w:hint="eastAsia" w:ascii="宋体" w:hAnsi="宋体"/>
          <w:highlight w:val="none"/>
        </w:rPr>
        <w:t>的服务热线明确告知采购人。</w:t>
      </w:r>
    </w:p>
    <w:p>
      <w:pPr>
        <w:pStyle w:val="894"/>
        <w:spacing w:afterLines="0"/>
        <w:ind w:firstLine="472" w:firstLineChars="196"/>
        <w:rPr>
          <w:rFonts w:hint="eastAsia" w:ascii="宋体" w:hAnsi="宋体"/>
          <w:b/>
          <w:highlight w:val="none"/>
        </w:rPr>
      </w:pPr>
      <w:r>
        <w:rPr>
          <w:rFonts w:hint="eastAsia" w:ascii="宋体" w:hAnsi="宋体"/>
          <w:b/>
          <w:highlight w:val="none"/>
        </w:rPr>
        <w:t>4、投标报价要求</w:t>
      </w:r>
    </w:p>
    <w:p>
      <w:pPr>
        <w:ind w:firstLine="413" w:firstLineChars="196"/>
        <w:rPr>
          <w:rFonts w:hint="eastAsia" w:ascii="宋体" w:hAnsi="宋体"/>
          <w:b/>
          <w:spacing w:val="6"/>
          <w:highlight w:val="none"/>
        </w:rPr>
      </w:pPr>
      <w:r>
        <w:rPr>
          <w:rFonts w:hint="eastAsia" w:ascii="宋体" w:hAnsi="宋体"/>
          <w:b/>
          <w:bCs/>
          <w:highlight w:val="none"/>
        </w:rPr>
        <w:t>（1）本次招标</w:t>
      </w:r>
      <w:r>
        <w:rPr>
          <w:rFonts w:hint="eastAsia" w:ascii="宋体" w:hAnsi="宋体"/>
          <w:b/>
          <w:bCs/>
          <w:color w:val="000000"/>
          <w:highlight w:val="none"/>
          <w:lang w:val="en-US" w:eastAsia="zh-CN"/>
        </w:rPr>
        <w:t>707</w:t>
      </w:r>
      <w:r>
        <w:rPr>
          <w:rFonts w:hint="eastAsia" w:ascii="宋体" w:hAnsi="宋体"/>
          <w:b/>
          <w:bCs/>
          <w:highlight w:val="none"/>
        </w:rPr>
        <w:t>个</w:t>
      </w:r>
      <w:r>
        <w:rPr>
          <w:rFonts w:hint="eastAsia" w:ascii="宋体" w:hAnsi="宋体"/>
          <w:b/>
          <w:spacing w:val="6"/>
          <w:highlight w:val="none"/>
        </w:rPr>
        <w:t>检验项目单价详见附件，</w:t>
      </w:r>
      <w:r>
        <w:rPr>
          <w:rFonts w:hint="eastAsia" w:ascii="宋体" w:hAnsi="宋体"/>
          <w:b/>
          <w:spacing w:val="6"/>
          <w:highlight w:val="none"/>
          <w:u w:val="single"/>
        </w:rPr>
        <w:t>投标报价采用单一折扣率报价（所有的单价报价只容许报一个折扣率，否则按无效报价处理），</w:t>
      </w:r>
      <w:r>
        <w:rPr>
          <w:rFonts w:hint="eastAsia" w:ascii="宋体" w:hAnsi="宋体"/>
          <w:b/>
          <w:highlight w:val="none"/>
        </w:rPr>
        <w:t>报价包括</w:t>
      </w:r>
      <w:r>
        <w:rPr>
          <w:rFonts w:hint="eastAsia" w:ascii="宋体" w:hAnsi="宋体"/>
          <w:b/>
          <w:spacing w:val="6"/>
          <w:highlight w:val="none"/>
        </w:rPr>
        <w:t>检测、买样、抽样或辅助抽样、利税</w:t>
      </w:r>
      <w:r>
        <w:rPr>
          <w:rFonts w:hint="eastAsia" w:ascii="宋体" w:hAnsi="宋体"/>
          <w:b/>
          <w:spacing w:val="6"/>
          <w:highlight w:val="none"/>
          <w:lang w:eastAsia="zh-CN"/>
        </w:rPr>
        <w:t>及</w:t>
      </w:r>
      <w:r>
        <w:rPr>
          <w:rFonts w:hint="eastAsia" w:ascii="宋体" w:hAnsi="宋体"/>
          <w:b/>
          <w:spacing w:val="6"/>
          <w:highlight w:val="none"/>
        </w:rPr>
        <w:t>专用工具、售后服务等在内的一切费用，投标报价不得超过单项最高限价。</w:t>
      </w:r>
    </w:p>
    <w:p>
      <w:pPr>
        <w:ind w:firstLine="437" w:firstLineChars="196"/>
        <w:rPr>
          <w:rFonts w:hint="eastAsia" w:ascii="宋体" w:hAnsi="宋体"/>
          <w:b/>
          <w:spacing w:val="6"/>
          <w:highlight w:val="none"/>
        </w:rPr>
      </w:pPr>
      <w:r>
        <w:rPr>
          <w:rFonts w:hint="eastAsia" w:ascii="宋体" w:hAnsi="宋体"/>
          <w:b/>
          <w:spacing w:val="6"/>
          <w:highlight w:val="none"/>
        </w:rPr>
        <w:t>（2）报价说明：例如本项目滑石粉单次检测最高限价为100元/次，投标人投标折扣率为90﹪，那么滑石粉单次检测报价为90元/次。</w:t>
      </w:r>
    </w:p>
    <w:p>
      <w:pPr>
        <w:ind w:firstLine="446" w:firstLineChars="200"/>
        <w:rPr>
          <w:rFonts w:hint="eastAsia" w:ascii="宋体" w:hAnsi="宋体"/>
          <w:b/>
          <w:color w:val="000000"/>
          <w:spacing w:val="6"/>
          <w:highlight w:val="none"/>
        </w:rPr>
      </w:pPr>
      <w:r>
        <w:rPr>
          <w:rFonts w:hint="eastAsia" w:ascii="宋体" w:hAnsi="宋体"/>
          <w:b/>
          <w:color w:val="000000"/>
          <w:spacing w:val="6"/>
          <w:highlight w:val="none"/>
        </w:rPr>
        <w:t>5、附件：202</w:t>
      </w:r>
      <w:r>
        <w:rPr>
          <w:rFonts w:hint="eastAsia" w:ascii="宋体" w:hAnsi="宋体"/>
          <w:b/>
          <w:color w:val="000000"/>
          <w:spacing w:val="6"/>
          <w:highlight w:val="none"/>
          <w:lang w:val="en-US" w:eastAsia="zh-CN"/>
        </w:rPr>
        <w:t>4</w:t>
      </w:r>
      <w:r>
        <w:rPr>
          <w:rFonts w:hint="eastAsia" w:ascii="宋体" w:hAnsi="宋体"/>
          <w:b/>
          <w:color w:val="000000"/>
          <w:spacing w:val="6"/>
          <w:highlight w:val="none"/>
        </w:rPr>
        <w:t>年度检验项目</w:t>
      </w:r>
      <w:r>
        <w:rPr>
          <w:rFonts w:hint="eastAsia" w:ascii="宋体" w:hAnsi="宋体"/>
          <w:b/>
          <w:color w:val="000000"/>
          <w:spacing w:val="6"/>
          <w:highlight w:val="none"/>
          <w:lang w:eastAsia="zh-CN"/>
        </w:rPr>
        <w:t>清单</w:t>
      </w:r>
      <w:r>
        <w:rPr>
          <w:rFonts w:hint="eastAsia" w:ascii="宋体" w:hAnsi="宋体"/>
          <w:b/>
          <w:color w:val="000000"/>
          <w:spacing w:val="6"/>
          <w:highlight w:val="none"/>
        </w:rPr>
        <w:t>。</w:t>
      </w:r>
    </w:p>
    <w:tbl>
      <w:tblPr>
        <w:tblStyle w:val="62"/>
        <w:tblpPr w:leftFromText="180" w:rightFromText="180" w:vertAnchor="text" w:horzAnchor="page" w:tblpX="1483" w:tblpY="295"/>
        <w:tblOverlap w:val="never"/>
        <w:tblW w:w="8550" w:type="dxa"/>
        <w:tblInd w:w="0" w:type="dxa"/>
        <w:tblLayout w:type="fixed"/>
        <w:tblCellMar>
          <w:top w:w="0" w:type="dxa"/>
          <w:left w:w="108" w:type="dxa"/>
          <w:bottom w:w="0" w:type="dxa"/>
          <w:right w:w="108" w:type="dxa"/>
        </w:tblCellMar>
      </w:tblPr>
      <w:tblGrid>
        <w:gridCol w:w="1087"/>
        <w:gridCol w:w="5295"/>
        <w:gridCol w:w="2168"/>
      </w:tblGrid>
      <w:tr>
        <w:tblPrEx>
          <w:tblCellMar>
            <w:top w:w="0" w:type="dxa"/>
            <w:left w:w="108" w:type="dxa"/>
            <w:bottom w:w="0" w:type="dxa"/>
            <w:right w:w="108" w:type="dxa"/>
          </w:tblCellMar>
        </w:tblPrEx>
        <w:trPr>
          <w:trHeight w:val="646" w:hRule="atLeast"/>
        </w:trPr>
        <w:tc>
          <w:tcPr>
            <w:tcW w:w="108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b/>
                <w:bCs/>
                <w:color w:val="000000"/>
                <w:sz w:val="21"/>
                <w:szCs w:val="21"/>
                <w:highlight w:val="none"/>
              </w:rPr>
            </w:pPr>
            <w:r>
              <w:rPr>
                <w:rFonts w:hint="eastAsia" w:cs="宋体"/>
                <w:b/>
                <w:bCs/>
                <w:color w:val="000000"/>
                <w:kern w:val="0"/>
                <w:sz w:val="21"/>
                <w:szCs w:val="21"/>
                <w:highlight w:val="none"/>
                <w:lang w:bidi="ar"/>
              </w:rPr>
              <w:t>序号</w:t>
            </w:r>
          </w:p>
        </w:tc>
        <w:tc>
          <w:tcPr>
            <w:tcW w:w="5295"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cs="宋体"/>
                <w:b/>
                <w:bCs/>
                <w:color w:val="000000"/>
                <w:sz w:val="21"/>
                <w:szCs w:val="21"/>
                <w:highlight w:val="none"/>
              </w:rPr>
            </w:pPr>
            <w:r>
              <w:rPr>
                <w:rFonts w:hint="eastAsia" w:cs="宋体"/>
                <w:b/>
                <w:bCs/>
                <w:color w:val="000000"/>
                <w:kern w:val="0"/>
                <w:sz w:val="21"/>
                <w:szCs w:val="21"/>
                <w:highlight w:val="none"/>
                <w:lang w:bidi="ar"/>
              </w:rPr>
              <w:t>检验项目</w:t>
            </w:r>
          </w:p>
        </w:tc>
        <w:tc>
          <w:tcPr>
            <w:tcW w:w="2168" w:type="dxa"/>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cs="宋体"/>
                <w:b/>
                <w:bCs/>
                <w:color w:val="000000"/>
                <w:sz w:val="21"/>
                <w:szCs w:val="21"/>
                <w:highlight w:val="none"/>
              </w:rPr>
            </w:pPr>
            <w:r>
              <w:rPr>
                <w:rFonts w:hint="eastAsia" w:cs="宋体"/>
                <w:b/>
                <w:bCs/>
                <w:color w:val="000000"/>
                <w:kern w:val="0"/>
                <w:sz w:val="21"/>
                <w:szCs w:val="21"/>
                <w:highlight w:val="none"/>
                <w:lang w:bidi="ar"/>
              </w:rPr>
              <w:t>检测费（元）</w:t>
            </w:r>
          </w:p>
        </w:tc>
      </w:tr>
      <w:tr>
        <w:tblPrEx>
          <w:tblCellMar>
            <w:top w:w="0" w:type="dxa"/>
            <w:left w:w="108" w:type="dxa"/>
            <w:bottom w:w="0" w:type="dxa"/>
            <w:right w:w="108" w:type="dxa"/>
          </w:tblCellMar>
        </w:tblPrEx>
        <w:trPr>
          <w:trHeight w:val="32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10-羟基-2-癸烯酸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2,4-滴</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3-氯-1,2-丙二醇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6-苄基腺嘌呤（6-BA）</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N，N-双去甲基西布曲明</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N-单去甲基西布曲明</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N</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二甲基亚硝胺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α-亚麻酸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α-亚麻酸供能比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β-苯乙醇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β-胡萝卜素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阿普唑仑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阿斯巴甜</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阿替洛尔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阿维菌素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艾氏剂</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艾司唑仑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安赛蜜</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氨苄青霉素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氨基酸态氮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氨基他达拉非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氨甲环酸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氨氯地平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铵盐（以占氨基酸态氮的百分比计）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奥沙西泮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巴比妥</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百菌清</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阪崎肠杆菌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饱和酸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倍硫磷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苯巴比妥</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苯并[a]芘</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苯丁锡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苯甲酸及其钠盐（以苯甲酸计）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苯醚甲环唑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苯霜灵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苯酰菌胺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苯线磷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苯唑西林</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吡虫啉</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苄青霉素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丙草胺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丙二醛</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丙森锌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丙酸睾酮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丙酸及其钠盐、钙盐（以丙酸计）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丙溴磷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不溶性膳食纤维</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不溶于水杂质</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草甘膦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茶多酚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产气荚膜梭菌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呈味核苷酸二钠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赤藓红</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虫螨腈</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虫酰肼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除虫脲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雌二醇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醋氯芬酸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哒螨灵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达氟沙星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大肠埃希氏菌O157:H7</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大肠菌群</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代森锰锌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单核细胞增生李斯特氏菌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胆碱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蛋白质</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稻瘟灵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滴滴涕</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狄氏剂</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敌百虫</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敌草快</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敌敌畏</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敌菌灵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敌瘟磷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地虫硫磷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地美硝唑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地塞米松</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地西泮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蒂巴因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碘</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淀粉</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靛蓝</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丁基羟基茴香醚（BHA）</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丁硫克百威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丁醚脲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啶虫脒</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啶酰菌胺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动物源性成分鉴定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豆蔻酸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毒杀芬</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毒死蜱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对硫磷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对羟基苯甲酸丙酯及其钠盐（以对羟基苯甲酸计）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104</w:t>
            </w:r>
          </w:p>
        </w:tc>
      </w:tr>
      <w:tr>
        <w:tblPrEx>
          <w:tblCellMar>
            <w:top w:w="0" w:type="dxa"/>
            <w:left w:w="108" w:type="dxa"/>
            <w:bottom w:w="0" w:type="dxa"/>
            <w:right w:w="108" w:type="dxa"/>
          </w:tblCellMar>
        </w:tblPrEx>
        <w:trPr>
          <w:trHeight w:val="741"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对羟基苯甲酸酯类及其钠盐（对羟基苯甲酸甲酯钠</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对羟基苯甲酸乙酯及其钠盐）（以对羟基苯甲酸计）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多菌灵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741"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多氯联苯（以PCB28、PCB52、PCB101、PCB118、PCB138、PCB153和PCB180总和计）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多西环素（强力霉素）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噁喹酸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噁霜灵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噁唑菌酮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恩诺沙星（以恩诺沙星与环丙沙星之和计）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二丁基羟基甲苯（BHT）</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二甲戊灵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二十二碳二烯酸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二十二碳六烯酸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二十二碳六烯酸与二十碳四烯酸的比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二十二碳六烯酸与总脂肪酸比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二十四碳一烯酸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二十四烷酸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二十碳四烯酸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二十碳四烯酸与总脂肪酸比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二十碳五烯酸与二十二碳六烯酸的比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二十碳烯酸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二氧化硫</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二氧化钛</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二氧化碳气容量</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伐地那非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反式脂肪酸（C18:1T）</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反式脂肪酸（C18:2T+C18:3T）</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反式脂肪酸与总脂肪酸比值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反式脂肪酸最高含量与总脂肪酸比值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泛酸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85</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防腐剂混合使用时各自用量占其最大使用量的比例之和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非洛地平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非糖固形物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非脂乳固体</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芬氟拉明</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酚酞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粪链球菌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呋喃它酮代谢物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呋喃妥因代谢物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呋喃西林代谢物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呋喃唑酮代谢物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呋塞米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氟胺氰菊酯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氟苯尼考</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氟苯脲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氟吡甲禾灵和高效氟吡甲禾灵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氟虫腈</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氟硅唑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氟化物（以F-计）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氟甲喹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氟菌唑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氟铃脲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氟罗沙星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氟氯氰菊酯和高效氟氯氰菊酯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138</w:t>
            </w:r>
          </w:p>
        </w:tc>
      </w:tr>
      <w:tr>
        <w:tblPrEx>
          <w:tblCellMar>
            <w:top w:w="0" w:type="dxa"/>
            <w:left w:w="108" w:type="dxa"/>
            <w:bottom w:w="0" w:type="dxa"/>
            <w:right w:w="108" w:type="dxa"/>
          </w:tblCellMar>
        </w:tblPrEx>
        <w:trPr>
          <w:trHeight w:val="90"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氟氰戊菊酯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氟酰脲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福美双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腐霉利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129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复原乳酸度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副溶血性弧菌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富马酸二甲酯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钙</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钙磷比值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159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干浸出物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干物质含量</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格列本脲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格列吡嗪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格列波脲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格列喹酮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格列美脲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格列齐特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镉（以Cd计）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铬（以Cr计）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169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功效/标志性成分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72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谷氨酸钠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固形物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癸酸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114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果糖和葡萄糖</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86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过氧化苯甲酰</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91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过氧化物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过氧化值（以脂肪计）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还原糖</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179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毫莫西地那非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耗氧量（以O</w:t>
            </w:r>
            <w:r>
              <w:rPr>
                <w:rStyle w:val="330"/>
                <w:rFonts w:hint="default"/>
                <w:highlight w:val="none"/>
                <w:lang w:bidi="ar"/>
              </w:rPr>
              <w:t>2</w:t>
            </w:r>
            <w:r>
              <w:rPr>
                <w:rStyle w:val="146"/>
                <w:rFonts w:hint="default"/>
                <w:highlight w:val="none"/>
                <w:lang w:bidi="ar"/>
              </w:rPr>
              <w:t>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禾草敌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109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核苷酸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红地那非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红霉素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162</w:t>
            </w:r>
          </w:p>
        </w:tc>
      </w:tr>
      <w:tr>
        <w:tblPrEx>
          <w:tblCellMar>
            <w:top w:w="0" w:type="dxa"/>
            <w:left w:w="108" w:type="dxa"/>
            <w:bottom w:w="0" w:type="dxa"/>
            <w:right w:w="108" w:type="dxa"/>
          </w:tblCellMar>
        </w:tblPrEx>
        <w:trPr>
          <w:trHeight w:val="90"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花生二烯酸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花生酸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花生一烯酸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滑石粉</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189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黄曲霉毒素B</w:t>
            </w:r>
            <w:r>
              <w:rPr>
                <w:rStyle w:val="330"/>
                <w:rFonts w:hint="default"/>
                <w:highlight w:val="none"/>
                <w:lang w:bidi="ar"/>
              </w:rPr>
              <w:t>1</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173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黄曲霉毒素M</w:t>
            </w:r>
            <w:r>
              <w:rPr>
                <w:rStyle w:val="330"/>
                <w:rFonts w:hint="default"/>
                <w:highlight w:val="none"/>
                <w:lang w:bidi="ar"/>
              </w:rPr>
              <w:t>1</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黄曲霉毒素M</w:t>
            </w:r>
            <w:r>
              <w:rPr>
                <w:rStyle w:val="330"/>
                <w:rFonts w:hint="default"/>
                <w:highlight w:val="none"/>
                <w:lang w:bidi="ar"/>
              </w:rPr>
              <w:t>1</w:t>
            </w:r>
            <w:r>
              <w:rPr>
                <w:rStyle w:val="146"/>
                <w:rFonts w:hint="default"/>
                <w:highlight w:val="none"/>
                <w:lang w:bidi="ar"/>
              </w:rPr>
              <w:t>或黄曲霉毒素B</w:t>
            </w:r>
            <w:r>
              <w:rPr>
                <w:rStyle w:val="330"/>
                <w:rFonts w:hint="default"/>
                <w:highlight w:val="none"/>
                <w:lang w:bidi="ar"/>
              </w:rPr>
              <w:t>1</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磺胺类（总量）</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300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灰分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挥发性酚（以苯酚计）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挥发性盐基氮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浑浊度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肌醇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极性组分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199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己酸乙酯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己烯雌酚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己唑醇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甲氨基阿维菌素苯甲酸盐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甲胺磷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甲拌磷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甲苯氟磺胺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甲苯磺丁脲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甲砜霉素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209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甲基毒死蜱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甲基对硫磷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甲基睾丸酮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甲基汞（以Hg计）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甲基立枯磷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甲基硫环磷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甲基硫菌灵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甲基异柳磷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甲萘威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甲氰菊酯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219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甲醛</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甲醛次硫酸氢钠（以甲醛计）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甲霜灵和精甲霜灵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甲硝唑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钾</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碱性橙21</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碱性橙22</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碱性橙Ⅱ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碱性嫩黄</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胶囊壳中的铬</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229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酵母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结晶紫</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芥酸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芥酸与总脂肪酸比值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界限指标-碘化物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界限指标-锂</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界限指标-偏硅酸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溶解性总固体</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界限指标-锶</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界限指标-硒</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239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界限指标-游离二氧化碳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金刚烷胺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金黄色葡萄球菌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金霉素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精噁唑禾草灵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警示语标注（限玻璃瓶装啤酒检测）</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久效磷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酒精度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菌落总数</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249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咖啡因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卡托普利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可待因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可可脂（以干物质计）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可溶性固形物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克百威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克菌丹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克伦特罗</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孔雀石绿</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喹螨醚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259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喹乙醇代谢物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莱克多巴胺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劳拉西泮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乐果</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利血平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联苯肼酯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联苯菊酯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亮蓝</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邻苯二甲酸二（2</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乙基）己酯（DEHP）</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邻苯二甲酸二丁酯（DBP）</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269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邻苯基苯酚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邻氯青霉素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林丹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林可霉素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磷胺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硫代艾地那非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硫丹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硫环磷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六六六</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279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罗丹明B</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罗通定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洛伐他汀</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洛伐他汀羟酸钠盐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洛硝哒唑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铝的残留量（干样品</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以Al计）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铝的残留量（以即食海蜇中Al计）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氯苯胺灵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氯苯那敏</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289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氯吡脲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氯丙嗪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氯氮卓</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氯氟氰菊酯和高效氯氟氰菊酯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氯美扎酮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氯氰菊酯和高效氯氰菊酯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氯硝西泮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299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氯唑磷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麻黄碱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174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马拉硫磷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马来酸罗格列酮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马来酸咪达唑仑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吗啡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麦芽糖</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螨</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没食子酸丙酯（PG）</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霉菌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309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霉菌和酵母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美伐他汀</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锰</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咪鲜胺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醚菊酯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米酵菌酸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嘧菌环胺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嘧菌酯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嘧霉胺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319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灭多威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灭菌丹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灭线磷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灭幼脲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木焦油酸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木糖醇含量（以干基计）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那红地那非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那可丁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那莫西地那非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纳他霉素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329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内吸磷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能量</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尼卡巴嗪残留标志物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尼莫地平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尼群地平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尼索地平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脲酶试验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镍（以Ni计）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柠檬黄</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339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柠檬酸钠含量（以干物质计）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凝冻强度（6.67%）</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牛磺酸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牛源性成分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363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纽甜</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诺氟沙星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哌唑嗪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培氟沙星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硼酸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硼酸盐（以B计）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349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七氯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铅（以Pb计）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羟基毫莫西地那非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羟基甲硝唑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羟甲基甲硝咪唑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羟脯氨酸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嗪氨灵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青藤碱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氢氯噻嗪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氢氰酸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359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氰化物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氰霜唑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氰戊菊酯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氰戊菊酯和S-氰戊菊酯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庆大霉素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炔螨特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群勃龙</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日落黄</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溶剂残留量</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溶血性链球菌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369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肉豆蔻酸占总脂肪的比值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乳固体</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乳酸菌数</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乳糖</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乳糖占碳水化合物总量比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瑞格列奈</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噻虫嗪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噻节因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噻菌灵</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噻螨酮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379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噻嗪酮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三甲胺氮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三聚氰胺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三氯甲烷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三氯杀螨醇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三氯蔗糖</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三唑醇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三唑磷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三唑仑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三唑酮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389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色度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色值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杀虫环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杀虫脒</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杀螟丹</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杀螟硫磷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杀扑磷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杀线威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沙丁胺醇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沙拉沙星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399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沙门氏菌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山梨酸及其钾盐（以山梨酸计）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山梨酸钾（以干基计）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山嵛酸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商业无菌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砷（以As计）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砷盐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生物苄呋菊酯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生物素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273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十七碳一烯酸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409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十七烷酸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十四碳以下脂肪酸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嗜渗酵母计数</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双氟沙星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双甲脒</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双乙酰</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霜霉威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水胺硫磷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水分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50</w:t>
            </w:r>
          </w:p>
        </w:tc>
      </w:tr>
      <w:tr>
        <w:tblPrEx>
          <w:tblCellMar>
            <w:top w:w="0" w:type="dxa"/>
            <w:left w:w="108" w:type="dxa"/>
            <w:bottom w:w="0" w:type="dxa"/>
            <w:right w:w="108" w:type="dxa"/>
          </w:tblCellMar>
        </w:tblPrEx>
        <w:trPr>
          <w:trHeight w:val="32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司可巴比妥</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2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419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司帕沙星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2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四环素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四氯化碳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四氯硝基苯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四螨嗪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苏丹红Ⅰ</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苏丹红Ⅱ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苏丹红Ⅲ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苏丹红Ⅳ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酸度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429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酸价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酸性橙Ⅱ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酸性红</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酸值（KOH）</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他达拉非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碳水化合物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糖精钠（以糖精计）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绦虫裂头蚴</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特丁基对苯二酚（TBHQ）</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特丁硫磷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439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涕灭威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替米考星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甜蜜素（以环己基氨基磺酸计）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铜</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铜绿假单胞菌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透光率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土霉素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褪黑素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449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脱氢乙酸及其钠盐（以脱氢乙酸计）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脱氧雪腐镰刀菌烯醇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维生素A</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维生素B1</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维生素B12</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维生素B2</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维生素B6</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维生素C</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维生素D</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维生素E</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459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维生素K1</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伪伐地那非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文拉法辛</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乌洛托品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无机砷（以As计）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五氯酚酸钠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五氯硝基苯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戊菌唑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戊唑醇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西布曲明</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469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西地那非</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西马特罗</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吸虫囊蚴</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硒</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烯草酮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烯酰吗啉</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锡（以Sn计）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苋菜红</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线虫幼虫</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相同色泽着色剂混合使用时各自用量占其最大使用量的比例之和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38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479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硝苯地平</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硝酸盐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63</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硝西泮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辛伐他汀</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辛硫磷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新红</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溴螨酯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溴氰菊酯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溴酸钾</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489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溴酸盐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亚胺硫磷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亚硫酸盐（以SO2计）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亚麻酸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亚硝酸盐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亚油酸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亚油酸供能比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亚油酸与α-亚麻酸比值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胭脂红</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烟酸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499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盐酸苯乙双胍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盐酸吡格列酮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盐酸丁二胍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盐酸二甲双胍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盐酸二氧丙嗪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盐酸可乐定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羊源性成分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363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氧氟沙星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氧乐果</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叶黄素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509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叶酸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214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依维菌素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乙二胺四乙酸二钠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乙霉威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乙酸乙酯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乙烯菌核利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乙烯利</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乙酰磺胺酸钾（安赛蜜）</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乙酰甲胺磷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异丙威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519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异菌脲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异戊巴比妥</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抑霉唑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阴离子合成洗涤剂</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银</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罂粟碱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荧光增白物质</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蝇毒磷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硬脂酸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油酸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529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游离矿酸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游离棉酚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诱惑红</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余氯（游离氯）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玉米赤霉醇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玉米赤霉烯酮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原麦汁浓度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月桂酸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月桂酸占总脂肪的比值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杂质度</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539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增效醚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扎来普隆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展青霉素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赭曲霉毒素A</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蔗糖</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蔗糖转化酶活性</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脂肪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志贺氏菌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治螟磷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终产品脂肪中月桂酸和肉豆蔻酸（十四烷酸）总量占总脂肪酸的比值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549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终产品中月桂酸和肉豆蔻酸（十四烷酸）总量占总脂肪酸的比值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重金属（以Pb计）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63</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棕榈酸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棕榈一烯酸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棕榈油酸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总汞（以Hg计）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总砷（以As计）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总酸（以乙酸计）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总糖</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559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组胺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99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左旋肉碱</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佐匹克隆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甲基嘧啶磷</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丁草胺</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氟酰胺</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羰基价</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180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界限指标</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吡蚜酮</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569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致病性微生物</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脂肪酸组成</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黄曲霉毒素（B1、B2、G1、G2）总量</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氨基甲酸乙酯</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甜菊糖苷</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阿力甜</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116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豪莫西地那非</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羟基豪莫西地那非</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总蒽醌</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软胶囊壳中的铬</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579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苯丙醇胺</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去甲伪麻黄碱</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174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伪麻黄碱</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174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甲基麻黄碱</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174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安非他明</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甲基安非他明</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分特拉明</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氯卡色林</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安非他酮</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普伐他汀</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589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氟西汀</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吲达帕胺</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苄基西布曲明</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豪莫西布曲明</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比沙可啶</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氯代西布曲明</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苯扎贝特</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布美他尼</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利莫那班</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非诺贝特</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599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奥利司他</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去甲基他达拉非</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硫代西地那非</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铝含量</w:t>
            </w:r>
          </w:p>
        </w:tc>
        <w:tc>
          <w:tcPr>
            <w:tcW w:w="2168" w:type="dxa"/>
            <w:tcBorders>
              <w:top w:val="nil"/>
              <w:left w:val="nil"/>
              <w:bottom w:val="single" w:color="000000" w:sz="8" w:space="0"/>
              <w:right w:val="single" w:color="000000" w:sz="8" w:space="0"/>
            </w:tcBorders>
            <w:noWrap w:val="0"/>
            <w:vAlign w:val="bottom"/>
          </w:tcPr>
          <w:p>
            <w:pPr>
              <w:widowControl/>
              <w:jc w:val="center"/>
              <w:textAlignment w:val="bottom"/>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65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棕榈烯酸/总脂肪酸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亚麻酸/总脂肪酸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花生酸/总脂肪酸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山嵛酸/总脂肪酸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油酸/总脂肪酸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亚油酸/总脂肪酸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609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花生酸+山嵛酸</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/总脂肪酸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茚虫威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丙二醇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洛美沙星</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4-氯苯氧乙酸钠（以4-氯苯氧乙酸计）</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吡唑醚菌酯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丙环唑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丙炔氟草胺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啶氧菌酯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多杀霉素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619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二嗪磷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粉唑醇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呋虫胺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伏杀硫磷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120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氟虫脲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氟啶脲</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氟环唑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氟磺胺草醚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金刚乙胺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腈苯唑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629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腈菌唑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抗蚜威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利巴韦林</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联苯三唑醇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硫线磷</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螺螨酯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氯苯嘧啶醇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氯嘧磺隆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咪鲜胺和咪鲜胺锰盐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109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醚菌酯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639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灭蝇胺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噻虫胺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噻虫啉</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三环唑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霜霉威和霜霉威盐酸盐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158</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特布他林</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肟菌酯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烯唑醇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乙螨唑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莠灭净</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649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唑虫酰胺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唑螨酯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辣椒素总量（天然辣椒素、二氢辣椒素、合成辣椒素）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360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多环芳烃（苯并[a]芘、苯并[a]蒽、苯并[b]荧蒽、䓛）</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400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乙基麦芽酚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刚果红</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84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磺胺二甲嘧啶</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160</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蜡样芽胞杆菌</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70</w:t>
            </w:r>
          </w:p>
        </w:tc>
      </w:tr>
      <w:tr>
        <w:tblPrEx>
          <w:tblCellMar>
            <w:top w:w="0" w:type="dxa"/>
            <w:left w:w="108" w:type="dxa"/>
            <w:bottom w:w="0" w:type="dxa"/>
            <w:right w:w="108" w:type="dxa"/>
          </w:tblCellMar>
        </w:tblPrEx>
        <w:trPr>
          <w:trHeight w:val="49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高氯酸盐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氯酸盐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659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核桃源性成分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杏仁源性成分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花生源性成分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大豆源性成分</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丙烯酰胺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200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唑虫酰胺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莠去津</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丙环唑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总酸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54</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唑螨酯</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130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669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氟苯尼考胺</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161</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番泻苷A</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番泻苷B</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大黄素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大黄酚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140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氯噻嗪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2"/>
                <w:sz w:val="21"/>
                <w:szCs w:val="21"/>
                <w:highlight w:val="none"/>
                <w:lang w:val="en-US" w:eastAsia="zh-CN" w:bidi="ar-SA"/>
              </w:rPr>
            </w:pPr>
            <w:r>
              <w:rPr>
                <w:rFonts w:hint="eastAsia" w:cs="宋体"/>
                <w:color w:val="000000"/>
                <w:kern w:val="0"/>
                <w:sz w:val="21"/>
                <w:szCs w:val="21"/>
                <w:highlight w:val="none"/>
                <w:lang w:bidi="ar"/>
              </w:rPr>
              <w:t>152</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壬基酚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双酚A</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100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氯化钠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200</w:t>
            </w:r>
          </w:p>
        </w:tc>
      </w:tr>
      <w:tr>
        <w:tblPrEx>
          <w:tblCellMar>
            <w:top w:w="0" w:type="dxa"/>
            <w:left w:w="108" w:type="dxa"/>
            <w:bottom w:w="0" w:type="dxa"/>
            <w:right w:w="108" w:type="dxa"/>
          </w:tblCellMar>
        </w:tblPrEx>
        <w:trPr>
          <w:trHeight w:val="34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氯化钾</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80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679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亚铁氰化钾</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以亚铁氰根计</w:t>
            </w:r>
            <w:r>
              <w:rPr>
                <w:rFonts w:hint="eastAsia" w:cs="宋体"/>
                <w:color w:val="000000"/>
                <w:kern w:val="0"/>
                <w:sz w:val="21"/>
                <w:szCs w:val="21"/>
                <w:highlight w:val="none"/>
                <w:lang w:eastAsia="zh-CN" w:bidi="ar"/>
              </w:rPr>
              <w:t>）</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80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680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崩解时限</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60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681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维生素K</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109</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sz w:val="21"/>
                <w:szCs w:val="21"/>
                <w:highlight w:val="none"/>
              </w:rPr>
            </w:pPr>
            <w:r>
              <w:rPr>
                <w:rFonts w:hint="eastAsia" w:cs="宋体"/>
                <w:color w:val="000000"/>
                <w:kern w:val="0"/>
                <w:sz w:val="21"/>
                <w:szCs w:val="21"/>
                <w:highlight w:val="none"/>
                <w:lang w:bidi="ar"/>
              </w:rPr>
              <w:t>682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长链不饱和脂肪酸中二十碳五烯酸</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20：5n-3</w:t>
            </w:r>
            <w:r>
              <w:rPr>
                <w:rFonts w:hint="eastAsia" w:cs="宋体"/>
                <w:color w:val="000000"/>
                <w:kern w:val="0"/>
                <w:sz w:val="21"/>
                <w:szCs w:val="21"/>
                <w:highlight w:val="none"/>
                <w:lang w:eastAsia="zh-CN" w:bidi="ar"/>
              </w:rPr>
              <w:t>）</w:t>
            </w:r>
            <w:r>
              <w:rPr>
                <w:rFonts w:hint="eastAsia" w:cs="宋体"/>
                <w:color w:val="000000"/>
                <w:kern w:val="0"/>
                <w:sz w:val="21"/>
                <w:szCs w:val="21"/>
                <w:highlight w:val="none"/>
                <w:lang w:bidi="ar"/>
              </w:rPr>
              <w:t>的量与二十二碳六烯酸的量的比</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95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683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香兰素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684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乙基香兰素</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150</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685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肌酸</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126</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686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钼</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57</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687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企业标准/注册的产品技术要求中规定的质量指标</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75</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688</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苯乙双胍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689</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吡咯列酮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690</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丁二胍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451"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691</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二甲双胍</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692</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二氧丙嗪</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693</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可乐定</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694</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罗格列酮</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695</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咪达唑仑</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696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脱羟基洛伐他丁</w:t>
            </w: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ascii="Times New Roman" w:hAnsi="Times New Roman" w:eastAsia="宋体" w:cs="宋体"/>
                <w:color w:val="000000"/>
                <w:kern w:val="0"/>
                <w:sz w:val="21"/>
                <w:szCs w:val="21"/>
                <w:highlight w:val="none"/>
                <w:lang w:val="en-US" w:eastAsia="zh-CN" w:bidi="ar"/>
              </w:rPr>
            </w:pPr>
            <w:r>
              <w:rPr>
                <w:rFonts w:hint="eastAsia" w:cs="宋体"/>
                <w:color w:val="000000"/>
                <w:kern w:val="0"/>
                <w:sz w:val="21"/>
                <w:szCs w:val="21"/>
                <w:highlight w:val="none"/>
                <w:lang w:bidi="ar"/>
              </w:rPr>
              <w:t>133</w:t>
            </w:r>
          </w:p>
        </w:tc>
      </w:tr>
      <w:tr>
        <w:tblPrEx>
          <w:tblCellMar>
            <w:top w:w="0" w:type="dxa"/>
            <w:left w:w="108" w:type="dxa"/>
            <w:bottom w:w="0" w:type="dxa"/>
            <w:right w:w="108" w:type="dxa"/>
          </w:tblCellMar>
        </w:tblPrEx>
        <w:trPr>
          <w:trHeight w:val="314"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706</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p>
        </w:tc>
      </w:tr>
      <w:tr>
        <w:tblPrEx>
          <w:tblCellMar>
            <w:top w:w="0" w:type="dxa"/>
            <w:left w:w="108" w:type="dxa"/>
            <w:bottom w:w="0" w:type="dxa"/>
            <w:right w:w="108" w:type="dxa"/>
          </w:tblCellMar>
        </w:tblPrEx>
        <w:trPr>
          <w:trHeight w:val="329" w:hRule="atLeast"/>
        </w:trPr>
        <w:tc>
          <w:tcPr>
            <w:tcW w:w="1087"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r>
              <w:rPr>
                <w:rFonts w:hint="eastAsia" w:cs="宋体"/>
                <w:color w:val="000000"/>
                <w:kern w:val="0"/>
                <w:sz w:val="21"/>
                <w:szCs w:val="21"/>
                <w:highlight w:val="none"/>
                <w:lang w:bidi="ar"/>
              </w:rPr>
              <w:t>707</w:t>
            </w:r>
          </w:p>
        </w:tc>
        <w:tc>
          <w:tcPr>
            <w:tcW w:w="5295"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p>
        </w:tc>
        <w:tc>
          <w:tcPr>
            <w:tcW w:w="2168" w:type="dxa"/>
            <w:tcBorders>
              <w:top w:val="nil"/>
              <w:left w:val="nil"/>
              <w:bottom w:val="single" w:color="000000" w:sz="8" w:space="0"/>
              <w:right w:val="single" w:color="000000" w:sz="8" w:space="0"/>
            </w:tcBorders>
            <w:noWrap w:val="0"/>
            <w:vAlign w:val="center"/>
          </w:tcPr>
          <w:p>
            <w:pPr>
              <w:widowControl/>
              <w:jc w:val="center"/>
              <w:textAlignment w:val="center"/>
              <w:rPr>
                <w:rFonts w:hint="eastAsia" w:cs="宋体"/>
                <w:color w:val="000000"/>
                <w:kern w:val="0"/>
                <w:sz w:val="21"/>
                <w:szCs w:val="21"/>
                <w:highlight w:val="none"/>
                <w:lang w:bidi="ar"/>
              </w:rPr>
            </w:pPr>
          </w:p>
        </w:tc>
      </w:tr>
    </w:tbl>
    <w:p>
      <w:pPr>
        <w:rPr>
          <w:rFonts w:hint="eastAsia" w:hAnsi="宋体"/>
          <w:color w:val="FF0000"/>
          <w:sz w:val="24"/>
          <w:highlight w:val="none"/>
        </w:rPr>
      </w:pPr>
    </w:p>
    <w:p>
      <w:pPr>
        <w:rPr>
          <w:rFonts w:hint="eastAsia" w:hAnsi="宋体"/>
          <w:color w:val="000000"/>
          <w:sz w:val="24"/>
          <w:highlight w:val="none"/>
        </w:rPr>
      </w:pPr>
      <w:r>
        <w:rPr>
          <w:rFonts w:hint="eastAsia" w:hAnsi="宋体"/>
          <w:color w:val="000000"/>
          <w:sz w:val="24"/>
          <w:highlight w:val="none"/>
        </w:rPr>
        <w:t>备注：1、</w:t>
      </w:r>
      <w:r>
        <w:rPr>
          <w:rFonts w:hint="eastAsia" w:hAnsi="宋体"/>
          <w:color w:val="000000"/>
          <w:sz w:val="24"/>
          <w:highlight w:val="none"/>
          <w:lang w:val="en-US" w:eastAsia="zh-CN"/>
        </w:rPr>
        <w:t>按照</w:t>
      </w:r>
      <w:r>
        <w:rPr>
          <w:rFonts w:hint="eastAsia" w:hAnsi="宋体"/>
          <w:color w:val="000000"/>
          <w:sz w:val="24"/>
          <w:highlight w:val="none"/>
        </w:rPr>
        <w:t>现行有效检测标准</w:t>
      </w:r>
      <w:r>
        <w:rPr>
          <w:rFonts w:hint="eastAsia" w:hAnsi="宋体"/>
          <w:color w:val="000000"/>
          <w:sz w:val="24"/>
          <w:highlight w:val="none"/>
          <w:lang w:val="en-US" w:eastAsia="zh-CN"/>
        </w:rPr>
        <w:t>开展检测</w:t>
      </w:r>
      <w:r>
        <w:rPr>
          <w:rFonts w:hint="eastAsia" w:hAnsi="宋体"/>
          <w:color w:val="000000"/>
          <w:sz w:val="24"/>
          <w:highlight w:val="none"/>
        </w:rPr>
        <w:t>。</w:t>
      </w:r>
    </w:p>
    <w:p>
      <w:pPr>
        <w:rPr>
          <w:rFonts w:hint="default" w:ascii="Times New Roman" w:hAnsi="宋体" w:eastAsia="宋体" w:cs="Times New Roman"/>
          <w:color w:val="000000"/>
          <w:sz w:val="24"/>
          <w:highlight w:val="none"/>
          <w:lang w:val="en-US" w:eastAsia="zh-CN"/>
        </w:rPr>
      </w:pPr>
      <w:r>
        <w:rPr>
          <w:rFonts w:hint="default" w:hAnsi="宋体"/>
          <w:color w:val="000000"/>
          <w:sz w:val="24"/>
          <w:highlight w:val="none"/>
          <w:lang w:val="en-US"/>
        </w:rPr>
        <w:t xml:space="preserve">     </w:t>
      </w:r>
      <w:r>
        <w:rPr>
          <w:rFonts w:hint="default" w:ascii="Times New Roman" w:hAnsi="宋体" w:eastAsia="宋体" w:cs="Times New Roman"/>
          <w:color w:val="000000"/>
          <w:sz w:val="24"/>
          <w:highlight w:val="none"/>
          <w:lang w:val="en-US"/>
        </w:rPr>
        <w:t xml:space="preserve"> 2</w:t>
      </w:r>
      <w:r>
        <w:rPr>
          <w:rFonts w:hint="eastAsia" w:ascii="Times New Roman" w:hAnsi="宋体" w:eastAsia="宋体" w:cs="Times New Roman"/>
          <w:color w:val="000000"/>
          <w:sz w:val="24"/>
          <w:highlight w:val="none"/>
          <w:lang w:val="en-US" w:eastAsia="zh-CN"/>
        </w:rPr>
        <w:t>、检测项目对应有多个检测方法标准时，只需满足1个检测方法标准即可。</w:t>
      </w:r>
    </w:p>
    <w:p>
      <w:pPr>
        <w:ind w:firstLine="720" w:firstLineChars="300"/>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3、</w:t>
      </w:r>
      <w:r>
        <w:rPr>
          <w:rFonts w:hint="eastAsia" w:ascii="Times New Roman" w:hAnsi="宋体" w:eastAsia="宋体" w:cs="Times New Roman"/>
          <w:color w:val="000000"/>
          <w:sz w:val="24"/>
          <w:highlight w:val="none"/>
        </w:rPr>
        <w:t>微生物检验以单批次的单个样品计算费用。</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sz w:val="36"/>
          <w:szCs w:val="36"/>
          <w:highlight w:val="none"/>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eastAsia="zh-CN"/>
        </w:rPr>
        <w:t>四</w:t>
      </w:r>
      <w:r>
        <w:rPr>
          <w:rFonts w:hint="eastAsia" w:ascii="仿宋" w:hAnsi="仿宋" w:eastAsia="仿宋" w:cs="仿宋"/>
          <w:b/>
          <w:sz w:val="36"/>
          <w:szCs w:val="36"/>
          <w:highlight w:val="none"/>
        </w:rPr>
        <w:t>部分 拟签订的合同文本</w:t>
      </w:r>
    </w:p>
    <w:p>
      <w:pPr>
        <w:rPr>
          <w:rFonts w:hint="eastAsia" w:ascii="仿宋" w:hAnsi="仿宋" w:eastAsia="仿宋" w:cs="仿宋"/>
          <w:sz w:val="24"/>
          <w:highlight w:val="none"/>
          <w:u w:val="single"/>
        </w:rPr>
      </w:pPr>
      <w:r>
        <w:rPr>
          <w:rFonts w:hint="eastAsia" w:ascii="仿宋" w:hAnsi="仿宋" w:eastAsia="仿宋" w:cs="仿宋"/>
          <w:sz w:val="24"/>
          <w:highlight w:val="none"/>
        </w:rPr>
        <w:t>合同编号：</w:t>
      </w:r>
      <w:r>
        <w:rPr>
          <w:rFonts w:hint="eastAsia" w:ascii="仿宋" w:hAnsi="仿宋" w:eastAsia="仿宋" w:cs="仿宋"/>
          <w:sz w:val="24"/>
          <w:highlight w:val="none"/>
          <w:u w:val="single"/>
        </w:rPr>
        <w:t xml:space="preserve">           </w:t>
      </w:r>
    </w:p>
    <w:p>
      <w:pPr>
        <w:spacing w:line="480" w:lineRule="auto"/>
        <w:jc w:val="center"/>
        <w:rPr>
          <w:rFonts w:hint="eastAsia" w:ascii="仿宋" w:hAnsi="仿宋" w:eastAsia="仿宋" w:cs="仿宋"/>
          <w:b/>
          <w:sz w:val="24"/>
          <w:highlight w:val="none"/>
        </w:rPr>
      </w:pPr>
    </w:p>
    <w:p>
      <w:pPr>
        <w:spacing w:line="480" w:lineRule="auto"/>
        <w:jc w:val="center"/>
        <w:rPr>
          <w:rFonts w:hint="eastAsia" w:ascii="仿宋" w:hAnsi="仿宋" w:eastAsia="仿宋" w:cs="仿宋"/>
          <w:b/>
          <w:sz w:val="24"/>
          <w:highlight w:val="none"/>
        </w:rPr>
      </w:pPr>
    </w:p>
    <w:p>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政府采购合同参考范本</w:t>
      </w:r>
    </w:p>
    <w:p>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（服务类）</w:t>
      </w:r>
    </w:p>
    <w:p>
      <w:pPr>
        <w:pStyle w:val="701"/>
        <w:ind w:firstLine="2843" w:firstLineChars="1180"/>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pPr>
        <w:spacing w:before="120" w:line="22" w:lineRule="atLeast"/>
        <w:rPr>
          <w:rFonts w:hint="eastAsia" w:ascii="仿宋" w:hAnsi="仿宋" w:eastAsia="仿宋" w:cs="仿宋"/>
          <w:sz w:val="24"/>
          <w:highlight w:val="none"/>
        </w:rPr>
      </w:pPr>
    </w:p>
    <w:p>
      <w:pPr>
        <w:pStyle w:val="5"/>
        <w:rPr>
          <w:rFonts w:hint="eastAsia" w:ascii="仿宋" w:hAnsi="仿宋" w:eastAsia="仿宋" w:cs="仿宋"/>
          <w:highlight w:val="none"/>
        </w:rPr>
      </w:pPr>
    </w:p>
    <w:p>
      <w:pPr>
        <w:spacing w:before="120" w:line="22" w:lineRule="atLeast"/>
        <w:ind w:left="960"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p>
      <w:pPr>
        <w:pStyle w:val="599"/>
        <w:spacing w:before="120" w:line="22" w:lineRule="atLeast"/>
        <w:rPr>
          <w:rFonts w:hint="eastAsia" w:ascii="仿宋" w:hAnsi="仿宋" w:eastAsia="仿宋" w:cs="仿宋"/>
          <w:szCs w:val="24"/>
          <w:highlight w:val="none"/>
        </w:rPr>
      </w:pPr>
    </w:p>
    <w:p>
      <w:pPr>
        <w:pStyle w:val="599"/>
        <w:spacing w:before="120" w:line="22" w:lineRule="atLeast"/>
        <w:rPr>
          <w:rFonts w:hint="eastAsia" w:ascii="仿宋" w:hAnsi="仿宋" w:eastAsia="仿宋" w:cs="仿宋"/>
          <w:szCs w:val="24"/>
          <w:highlight w:val="none"/>
        </w:rPr>
      </w:pPr>
    </w:p>
    <w:p>
      <w:pPr>
        <w:rPr>
          <w:rFonts w:hint="eastAsia" w:ascii="仿宋" w:hAnsi="仿宋" w:eastAsia="仿宋" w:cs="仿宋"/>
          <w:sz w:val="24"/>
          <w:highlight w:val="none"/>
        </w:rPr>
      </w:pPr>
    </w:p>
    <w:p>
      <w:pPr>
        <w:spacing w:before="120" w:line="22" w:lineRule="atLeast"/>
        <w:ind w:left="960"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p>
    <w:p>
      <w:pPr>
        <w:spacing w:before="120" w:line="22" w:lineRule="atLeast"/>
        <w:rPr>
          <w:rFonts w:hint="eastAsia" w:ascii="仿宋" w:hAnsi="仿宋" w:eastAsia="仿宋" w:cs="仿宋"/>
          <w:sz w:val="24"/>
          <w:highlight w:val="none"/>
        </w:rPr>
      </w:pPr>
    </w:p>
    <w:p>
      <w:pPr>
        <w:spacing w:before="120" w:line="22" w:lineRule="atLeast"/>
        <w:ind w:left="960"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pPr>
        <w:spacing w:before="120" w:line="22" w:lineRule="atLeast"/>
        <w:rPr>
          <w:rFonts w:hint="eastAsia" w:ascii="仿宋" w:hAnsi="仿宋" w:eastAsia="仿宋" w:cs="仿宋"/>
          <w:sz w:val="24"/>
          <w:highlight w:val="none"/>
        </w:rPr>
      </w:pPr>
    </w:p>
    <w:p>
      <w:pPr>
        <w:spacing w:before="120" w:line="22" w:lineRule="atLeast"/>
        <w:ind w:firstLine="1440" w:firstLineChars="6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pPr>
        <w:spacing w:before="120" w:line="22" w:lineRule="atLeast"/>
        <w:rPr>
          <w:rFonts w:hint="eastAsia" w:ascii="仿宋" w:hAnsi="仿宋" w:eastAsia="仿宋" w:cs="仿宋"/>
          <w:sz w:val="24"/>
          <w:highlight w:val="none"/>
        </w:rPr>
      </w:pPr>
    </w:p>
    <w:p>
      <w:pPr>
        <w:spacing w:before="120" w:line="22" w:lineRule="atLeast"/>
        <w:ind w:firstLine="1440" w:firstLineChars="6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widowControl/>
        <w:jc w:val="left"/>
        <w:rPr>
          <w:rFonts w:hint="eastAsia" w:ascii="仿宋" w:hAnsi="仿宋" w:eastAsia="仿宋" w:cs="仿宋"/>
          <w:kern w:val="0"/>
          <w:sz w:val="24"/>
          <w:highlight w:val="none"/>
        </w:rPr>
        <w:sectPr>
          <w:pgSz w:w="11907" w:h="16840"/>
          <w:pgMar w:top="1474" w:right="1814" w:bottom="1474" w:left="1814" w:header="851" w:footer="851" w:gutter="0"/>
          <w:pgNumType w:fmt="decimal"/>
          <w:cols w:space="720" w:num="1"/>
        </w:sectPr>
      </w:pPr>
    </w:p>
    <w:p>
      <w:pPr>
        <w:rPr>
          <w:rFonts w:hint="eastAsia" w:ascii="仿宋" w:hAnsi="仿宋" w:eastAsia="仿宋" w:cs="仿宋"/>
          <w:b/>
          <w:sz w:val="24"/>
          <w:highlight w:val="none"/>
        </w:rPr>
      </w:pP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（中或者成交标供应商名称）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sz w:val="24"/>
          <w:highlight w:val="none"/>
        </w:rPr>
      </w:pPr>
      <w:bookmarkStart w:id="38" w:name="_Toc22967"/>
      <w:bookmarkStart w:id="39" w:name="_Toc28855"/>
      <w:bookmarkStart w:id="40" w:name="_Toc19273"/>
      <w:bookmarkStart w:id="41" w:name="_Toc20421"/>
      <w:bookmarkStart w:id="42" w:name="_Toc15367"/>
      <w:r>
        <w:rPr>
          <w:rFonts w:hint="eastAsia" w:ascii="仿宋" w:hAnsi="仿宋" w:eastAsia="仿宋" w:cs="仿宋"/>
          <w:b/>
          <w:sz w:val="24"/>
          <w:highlight w:val="none"/>
        </w:rPr>
        <w:t>1.1 合同组成部分</w:t>
      </w:r>
      <w:bookmarkEnd w:id="38"/>
      <w:bookmarkEnd w:id="39"/>
      <w:bookmarkEnd w:id="40"/>
      <w:bookmarkEnd w:id="41"/>
      <w:bookmarkEnd w:id="42"/>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仿宋" w:hAnsi="仿宋" w:eastAsia="仿宋" w:cs="仿宋"/>
          <w:sz w:val="24"/>
          <w:highlight w:val="none"/>
          <w:lang w:eastAsia="zh-CN"/>
        </w:rPr>
        <w:t>份文件</w:t>
      </w:r>
      <w:r>
        <w:rPr>
          <w:rFonts w:hint="eastAsia" w:ascii="仿宋" w:hAnsi="仿宋" w:eastAsia="仿宋" w:cs="仿宋"/>
          <w:sz w:val="24"/>
          <w:highlight w:val="none"/>
        </w:rPr>
        <w:t>的优先适用顺序如下：</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1.1.2 中标或者成交通知书；</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1.1.3 投标或者响应文件（含澄清或者说明文件）；</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1.1.4 采购文件（含澄清或者修改文件）；</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b/>
          <w:sz w:val="24"/>
          <w:highlight w:val="none"/>
        </w:rPr>
      </w:pPr>
      <w:bookmarkStart w:id="43" w:name="_Toc18585"/>
      <w:bookmarkStart w:id="44" w:name="_Toc6311"/>
      <w:bookmarkStart w:id="45" w:name="_Toc6773"/>
      <w:bookmarkStart w:id="46" w:name="_Toc22185"/>
      <w:bookmarkStart w:id="47" w:name="_Toc2918"/>
      <w:r>
        <w:rPr>
          <w:rFonts w:hint="eastAsia" w:ascii="仿宋" w:hAnsi="仿宋" w:eastAsia="仿宋" w:cs="仿宋"/>
          <w:b/>
          <w:sz w:val="24"/>
          <w:highlight w:val="none"/>
        </w:rPr>
        <w:t>1.2 标的</w:t>
      </w:r>
      <w:bookmarkEnd w:id="43"/>
      <w:bookmarkEnd w:id="44"/>
      <w:bookmarkEnd w:id="45"/>
      <w:bookmarkEnd w:id="46"/>
      <w:bookmarkEnd w:id="47"/>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1.2.1 服务内容：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1.2.2 服务标准：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1.2.3 技术保障：</w:t>
      </w:r>
      <w:r>
        <w:rPr>
          <w:rFonts w:hint="eastAsia" w:ascii="仿宋" w:hAnsi="仿宋" w:eastAsia="仿宋" w:cs="仿宋"/>
          <w:sz w:val="24"/>
          <w:highlight w:val="none"/>
          <w:u w:val="single"/>
        </w:rPr>
        <w:t>　　　　　　　　　                      　      ；</w:t>
      </w:r>
    </w:p>
    <w:p>
      <w:pPr>
        <w:pageBreakBefore w:val="0"/>
        <w:kinsoku/>
        <w:wordWrap/>
        <w:overflowPunct/>
        <w:topLinePunct w:val="0"/>
        <w:autoSpaceDE/>
        <w:autoSpaceDN/>
        <w:bidi w:val="0"/>
        <w:snapToGrid/>
        <w:spacing w:line="440" w:lineRule="exact"/>
        <w:ind w:left="0" w:leftChars="0" w:right="0" w:rightChars="0"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1.2.4 服务人员组成：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highlight w:val="none"/>
        </w:rPr>
        <w:t>1.2.5合同</w:t>
      </w:r>
      <w:r>
        <w:rPr>
          <w:rFonts w:hint="eastAsia" w:ascii="仿宋" w:hAnsi="仿宋" w:eastAsia="仿宋" w:cs="仿宋"/>
          <w:highlight w:val="none"/>
          <w:u w:val="single"/>
        </w:rPr>
        <w:t xml:space="preserve">     </w:t>
      </w:r>
      <w:r>
        <w:rPr>
          <w:rFonts w:hint="eastAsia" w:ascii="仿宋" w:hAnsi="仿宋" w:eastAsia="仿宋" w:cs="仿宋"/>
          <w:highlight w:val="none"/>
        </w:rPr>
        <w:t>（是/否）涉及货物。若涉及货物的，则：</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bookmarkStart w:id="48" w:name="_Toc4929"/>
      <w:bookmarkStart w:id="49" w:name="_Toc1386"/>
      <w:bookmarkStart w:id="50" w:name="_Toc13918"/>
      <w:bookmarkStart w:id="51" w:name="_Toc21124"/>
      <w:bookmarkStart w:id="52" w:name="_Toc5635"/>
      <w:r>
        <w:rPr>
          <w:rFonts w:hint="eastAsia" w:ascii="仿宋" w:hAnsi="仿宋" w:eastAsia="仿宋" w:cs="仿宋"/>
          <w:sz w:val="24"/>
          <w:highlight w:val="none"/>
        </w:rPr>
        <w:t>1.2.5.1 货物名称、品牌、规格型号、花色：</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1.2.5.2 货物数量：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1.2.5.3 货物质量：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b/>
          <w:sz w:val="24"/>
          <w:highlight w:val="none"/>
        </w:rPr>
      </w:pPr>
      <w:r>
        <w:rPr>
          <w:rFonts w:hint="eastAsia" w:ascii="仿宋" w:hAnsi="仿宋" w:eastAsia="仿宋" w:cs="仿宋"/>
          <w:b/>
          <w:sz w:val="24"/>
          <w:highlight w:val="none"/>
        </w:rPr>
        <w:t>1.3 价款</w:t>
      </w:r>
      <w:bookmarkEnd w:id="48"/>
      <w:bookmarkEnd w:id="49"/>
      <w:bookmarkEnd w:id="50"/>
      <w:bookmarkEnd w:id="51"/>
      <w:bookmarkEnd w:id="52"/>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本项目采用以下第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条款规定的计价方式计价。</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1.3.1总价合同，本合同总价（含税）为：￥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40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255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340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255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340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255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340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255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340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c>
          <w:tcPr>
            <w:tcW w:w="255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2552" w:type="dxa"/>
            <w:vAlign w:val="center"/>
          </w:tcPr>
          <w:p>
            <w:pPr>
              <w:pStyle w:val="319"/>
              <w:pageBreakBefore w:val="0"/>
              <w:kinsoku/>
              <w:wordWrap/>
              <w:overflowPunct/>
              <w:topLinePunct w:val="0"/>
              <w:autoSpaceDE/>
              <w:autoSpaceDN/>
              <w:bidi w:val="0"/>
              <w:snapToGrid/>
              <w:spacing w:line="440" w:lineRule="exact"/>
              <w:ind w:left="0" w:leftChars="0" w:right="0" w:rightChars="0" w:firstLine="480" w:firstLineChars="200"/>
              <w:jc w:val="center"/>
              <w:textAlignment w:val="auto"/>
              <w:rPr>
                <w:rFonts w:hint="eastAsia" w:ascii="仿宋" w:hAnsi="仿宋" w:eastAsia="仿宋" w:cs="仿宋"/>
                <w:sz w:val="24"/>
                <w:szCs w:val="24"/>
                <w:highlight w:val="none"/>
              </w:rPr>
            </w:pPr>
          </w:p>
        </w:tc>
      </w:tr>
    </w:tbl>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bookmarkStart w:id="53" w:name="_Toc26916"/>
      <w:bookmarkStart w:id="54" w:name="_Toc3654"/>
      <w:bookmarkStart w:id="55" w:name="_Toc30158"/>
      <w:bookmarkStart w:id="56" w:name="_Toc30506"/>
      <w:bookmarkStart w:id="57" w:name="_Toc14993"/>
      <w:r>
        <w:rPr>
          <w:rFonts w:hint="eastAsia" w:ascii="仿宋" w:hAnsi="仿宋" w:eastAsia="仿宋" w:cs="仿宋"/>
          <w:bCs/>
          <w:sz w:val="24"/>
          <w:highlight w:val="none"/>
        </w:rPr>
        <w:t>1.3.2单价合同，本合同单价（含税）标准为：</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。服务工作量的计量方式为：</w:t>
      </w:r>
      <w:r>
        <w:rPr>
          <w:rFonts w:hint="eastAsia" w:ascii="仿宋" w:hAnsi="仿宋" w:eastAsia="仿宋" w:cs="仿宋"/>
          <w:bCs/>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。单价合同，在合同履行期间内，根据实际完成的工作量据实结算，但结算总价上限不得超过预算金额或者双方确定的金额￥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pPr>
        <w:pStyle w:val="5"/>
        <w:pageBreakBefore w:val="0"/>
        <w:kinsoku/>
        <w:wordWrap/>
        <w:overflowPunct/>
        <w:topLinePunct w:val="0"/>
        <w:autoSpaceDE/>
        <w:autoSpaceDN/>
        <w:bidi w:val="0"/>
        <w:snapToGrid/>
        <w:spacing w:line="440" w:lineRule="exact"/>
        <w:ind w:left="0" w:leftChars="0" w:right="0" w:rightChars="0" w:firstLine="482" w:firstLineChars="200"/>
        <w:textAlignment w:val="auto"/>
        <w:rPr>
          <w:rFonts w:hint="eastAsia" w:ascii="仿宋" w:hAnsi="仿宋" w:eastAsia="仿宋" w:cs="仿宋"/>
          <w:highlight w:val="none"/>
          <w:lang w:val="en-US"/>
        </w:rPr>
      </w:pPr>
      <w:r>
        <w:rPr>
          <w:rFonts w:hint="eastAsia" w:ascii="仿宋" w:hAnsi="仿宋" w:eastAsia="仿宋" w:cs="仿宋"/>
          <w:sz w:val="24"/>
          <w:highlight w:val="none"/>
          <w:lang w:val="en-US"/>
        </w:rPr>
        <w:t xml:space="preserve">    </w:t>
      </w:r>
      <w:r>
        <w:rPr>
          <w:rFonts w:hint="eastAsia" w:ascii="仿宋" w:hAnsi="仿宋" w:eastAsia="仿宋" w:cs="仿宋"/>
          <w:b w:val="0"/>
          <w:bCs w:val="0"/>
          <w:sz w:val="24"/>
          <w:highlight w:val="none"/>
          <w:lang w:val="en-US"/>
        </w:rPr>
        <w:t>1.3.3其他计价方式：</w:t>
      </w:r>
      <w:r>
        <w:rPr>
          <w:rFonts w:hint="eastAsia" w:ascii="仿宋" w:hAnsi="仿宋" w:eastAsia="仿宋" w:cs="仿宋"/>
          <w:b w:val="0"/>
          <w:bCs w:val="0"/>
          <w:sz w:val="24"/>
          <w:highlight w:val="none"/>
          <w:u w:val="single"/>
          <w:lang w:val="en-US"/>
        </w:rPr>
        <w:t xml:space="preserve">                   </w:t>
      </w:r>
      <w:r>
        <w:rPr>
          <w:rFonts w:hint="eastAsia" w:ascii="仿宋" w:hAnsi="仿宋" w:eastAsia="仿宋" w:cs="仿宋"/>
          <w:b w:val="0"/>
          <w:bCs w:val="0"/>
          <w:sz w:val="24"/>
          <w:highlight w:val="none"/>
        </w:rPr>
        <w:t>。</w:t>
      </w:r>
    </w:p>
    <w:bookmarkEnd w:id="53"/>
    <w:bookmarkEnd w:id="54"/>
    <w:bookmarkEnd w:id="55"/>
    <w:bookmarkEnd w:id="56"/>
    <w:bookmarkEnd w:id="57"/>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2" w:firstLineChars="200"/>
        <w:textAlignment w:val="auto"/>
        <w:rPr>
          <w:rFonts w:hint="eastAsia" w:ascii="仿宋" w:hAnsi="仿宋" w:eastAsia="仿宋" w:cs="仿宋"/>
          <w:b/>
          <w:highlight w:val="none"/>
        </w:rPr>
      </w:pPr>
      <w:bookmarkStart w:id="58" w:name="_Toc1814"/>
      <w:bookmarkStart w:id="59" w:name="_Toc22618"/>
      <w:bookmarkStart w:id="60" w:name="_Toc10340"/>
      <w:bookmarkStart w:id="61" w:name="_Toc8772"/>
      <w:bookmarkStart w:id="62" w:name="_Toc11108"/>
      <w:bookmarkStart w:id="63" w:name="_Toc3625"/>
      <w:bookmarkStart w:id="64" w:name="_Toc31421"/>
      <w:bookmarkStart w:id="65" w:name="_Toc4760"/>
      <w:r>
        <w:rPr>
          <w:rFonts w:hint="eastAsia" w:ascii="仿宋" w:hAnsi="仿宋" w:eastAsia="仿宋" w:cs="仿宋"/>
          <w:b/>
          <w:highlight w:val="none"/>
        </w:rPr>
        <w:t>1.4履约保证金</w:t>
      </w:r>
    </w:p>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highlight w:val="none"/>
        </w:rPr>
        <w:t>乙方</w:t>
      </w:r>
      <w:r>
        <w:rPr>
          <w:rFonts w:hint="eastAsia" w:ascii="仿宋" w:hAnsi="仿宋" w:eastAsia="仿宋" w:cs="仿宋"/>
          <w:highlight w:val="none"/>
          <w:u w:val="single"/>
        </w:rPr>
        <w:t xml:space="preserve">     </w:t>
      </w:r>
      <w:r>
        <w:rPr>
          <w:rFonts w:hint="eastAsia" w:ascii="仿宋" w:hAnsi="仿宋" w:eastAsia="仿宋" w:cs="仿宋"/>
          <w:highlight w:val="none"/>
        </w:rPr>
        <w:t>（是/否）需要支付履约保证金。若需要支付履约保证金的，则：</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1.4.1履约保证金的比例为合同金额的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1.4.2履约保证金支付方式详见</w:t>
      </w:r>
      <w:r>
        <w:rPr>
          <w:rFonts w:hint="eastAsia" w:ascii="仿宋" w:hAnsi="仿宋" w:eastAsia="仿宋" w:cs="仿宋"/>
          <w:kern w:val="0"/>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pStyle w:val="5"/>
        <w:pageBreakBefore w:val="0"/>
        <w:tabs>
          <w:tab w:val="left" w:pos="0"/>
        </w:tabs>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highlight w:val="none"/>
          <w:lang w:val="en-US"/>
        </w:rPr>
      </w:pPr>
      <w:r>
        <w:rPr>
          <w:rFonts w:hint="eastAsia" w:ascii="仿宋" w:hAnsi="仿宋" w:eastAsia="仿宋" w:cs="仿宋"/>
          <w:b w:val="0"/>
          <w:bCs w:val="0"/>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1.4.4甲方在项目验收结束后及时退还履约保证金。甲方在项目通过验收之日起</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%计算，最高限额为本合同履约保证金的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w:t>
      </w:r>
    </w:p>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b/>
          <w:sz w:val="24"/>
          <w:highlight w:val="none"/>
        </w:rPr>
      </w:pPr>
      <w:r>
        <w:rPr>
          <w:rFonts w:hint="eastAsia" w:ascii="仿宋" w:hAnsi="仿宋" w:eastAsia="仿宋" w:cs="仿宋"/>
          <w:b/>
          <w:sz w:val="24"/>
          <w:highlight w:val="none"/>
        </w:rPr>
        <w:t>1.5</w:t>
      </w:r>
      <w:bookmarkEnd w:id="58"/>
      <w:bookmarkEnd w:id="59"/>
      <w:bookmarkEnd w:id="60"/>
      <w:r>
        <w:rPr>
          <w:rFonts w:hint="eastAsia" w:ascii="仿宋" w:hAnsi="仿宋" w:eastAsia="仿宋" w:cs="仿宋"/>
          <w:b/>
          <w:sz w:val="24"/>
          <w:highlight w:val="none"/>
        </w:rPr>
        <w:t>预付款</w:t>
      </w:r>
    </w:p>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highlight w:val="none"/>
        </w:rPr>
        <w:t>甲方</w:t>
      </w:r>
      <w:r>
        <w:rPr>
          <w:rFonts w:hint="eastAsia" w:ascii="仿宋" w:hAnsi="仿宋" w:eastAsia="仿宋" w:cs="仿宋"/>
          <w:highlight w:val="none"/>
          <w:u w:val="single"/>
        </w:rPr>
        <w:t xml:space="preserve">     </w:t>
      </w:r>
      <w:r>
        <w:rPr>
          <w:rFonts w:hint="eastAsia" w:ascii="仿宋" w:hAnsi="仿宋" w:eastAsia="仿宋" w:cs="仿宋"/>
          <w:highlight w:val="none"/>
        </w:rPr>
        <w:t>（是/否）需要支付预付款。若需要支付预付款的，则：</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1.5.1预付款比例、支付方式、时间详见</w:t>
      </w:r>
      <w:r>
        <w:rPr>
          <w:rFonts w:hint="eastAsia" w:ascii="仿宋" w:hAnsi="仿宋" w:eastAsia="仿宋" w:cs="仿宋"/>
          <w:kern w:val="0"/>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highlight w:val="none"/>
        </w:rPr>
        <w:t>1.5.2预付款的扣回方式详见</w:t>
      </w:r>
      <w:r>
        <w:rPr>
          <w:rFonts w:hint="eastAsia" w:ascii="仿宋" w:hAnsi="仿宋" w:eastAsia="仿宋" w:cs="仿宋"/>
          <w:highlight w:val="none"/>
          <w:u w:val="single"/>
        </w:rPr>
        <w:t xml:space="preserve">    </w:t>
      </w:r>
      <w:r>
        <w:rPr>
          <w:rFonts w:hint="eastAsia" w:ascii="仿宋" w:hAnsi="仿宋" w:eastAsia="仿宋" w:cs="仿宋"/>
          <w:b/>
          <w:i/>
          <w:highlight w:val="none"/>
          <w:u w:val="single"/>
        </w:rPr>
        <w:t>合同专用条款</w:t>
      </w:r>
      <w:r>
        <w:rPr>
          <w:rFonts w:hint="eastAsia" w:ascii="仿宋" w:hAnsi="仿宋" w:eastAsia="仿宋" w:cs="仿宋"/>
          <w:highlight w:val="none"/>
          <w:u w:val="single"/>
        </w:rPr>
        <w:t xml:space="preserve">           </w:t>
      </w:r>
      <w:r>
        <w:rPr>
          <w:rFonts w:hint="eastAsia" w:ascii="仿宋" w:hAnsi="仿宋" w:eastAsia="仿宋" w:cs="仿宋"/>
          <w:highlight w:val="none"/>
        </w:rPr>
        <w:t>；</w:t>
      </w:r>
    </w:p>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0" w:firstLineChars="200"/>
        <w:textAlignment w:val="auto"/>
        <w:rPr>
          <w:rFonts w:hint="eastAsia" w:ascii="仿宋" w:hAnsi="仿宋" w:eastAsia="仿宋" w:cs="仿宋"/>
          <w:highlight w:val="none"/>
          <w:u w:val="single"/>
        </w:rPr>
      </w:pPr>
      <w:r>
        <w:rPr>
          <w:rFonts w:hint="eastAsia" w:ascii="仿宋" w:hAnsi="仿宋" w:eastAsia="仿宋" w:cs="仿宋"/>
          <w:highlight w:val="none"/>
        </w:rPr>
        <w:t>1.5.3预付款的担保措施详见</w:t>
      </w:r>
      <w:r>
        <w:rPr>
          <w:rFonts w:hint="eastAsia" w:ascii="仿宋" w:hAnsi="仿宋" w:eastAsia="仿宋" w:cs="仿宋"/>
          <w:highlight w:val="none"/>
          <w:u w:val="single"/>
        </w:rPr>
        <w:t xml:space="preserve">    </w:t>
      </w:r>
      <w:r>
        <w:rPr>
          <w:rFonts w:hint="eastAsia" w:ascii="仿宋" w:hAnsi="仿宋" w:eastAsia="仿宋" w:cs="仿宋"/>
          <w:b/>
          <w:i/>
          <w:highlight w:val="none"/>
          <w:u w:val="single"/>
        </w:rPr>
        <w:t>合同专用条款</w:t>
      </w:r>
      <w:r>
        <w:rPr>
          <w:rFonts w:hint="eastAsia" w:ascii="仿宋" w:hAnsi="仿宋" w:eastAsia="仿宋" w:cs="仿宋"/>
          <w:highlight w:val="none"/>
          <w:u w:val="single"/>
        </w:rPr>
        <w:t xml:space="preserve">          </w:t>
      </w:r>
      <w:r>
        <w:rPr>
          <w:rFonts w:hint="eastAsia" w:ascii="仿宋" w:hAnsi="仿宋" w:eastAsia="仿宋" w:cs="仿宋"/>
          <w:highlight w:val="none"/>
        </w:rPr>
        <w:t>。</w:t>
      </w:r>
    </w:p>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2" w:firstLineChars="200"/>
        <w:textAlignment w:val="auto"/>
        <w:rPr>
          <w:rFonts w:hint="eastAsia" w:ascii="仿宋" w:hAnsi="仿宋" w:eastAsia="仿宋" w:cs="仿宋"/>
          <w:b/>
          <w:bCs/>
          <w:highlight w:val="none"/>
        </w:rPr>
      </w:pPr>
      <w:r>
        <w:rPr>
          <w:rFonts w:hint="eastAsia" w:ascii="仿宋" w:hAnsi="仿宋" w:eastAsia="仿宋" w:cs="仿宋"/>
          <w:b/>
          <w:bCs/>
          <w:highlight w:val="none"/>
        </w:rPr>
        <w:t>1.6资金支付</w:t>
      </w:r>
    </w:p>
    <w:p>
      <w:pPr>
        <w:pStyle w:val="959"/>
        <w:pageBreakBefore w:val="0"/>
        <w:kinsoku/>
        <w:wordWrap/>
        <w:overflowPunct/>
        <w:topLinePunct w:val="0"/>
        <w:autoSpaceDE/>
        <w:autoSpaceDN/>
        <w:bidi w:val="0"/>
        <w:snapToGrid/>
        <w:spacing w:before="0" w:beforeAutospacing="0" w:after="0" w:afterAutospacing="0" w:line="440" w:lineRule="exact"/>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outlineLvl w:val="0"/>
        <w:rPr>
          <w:rFonts w:hint="eastAsia" w:ascii="仿宋" w:hAnsi="仿宋" w:eastAsia="仿宋" w:cs="仿宋"/>
          <w:sz w:val="24"/>
          <w:highlight w:val="none"/>
        </w:rPr>
      </w:pPr>
      <w:r>
        <w:rPr>
          <w:rFonts w:hint="eastAsia" w:ascii="仿宋" w:hAnsi="仿宋" w:eastAsia="仿宋" w:cs="仿宋"/>
          <w:sz w:val="24"/>
          <w:highlight w:val="none"/>
        </w:rPr>
        <w:t>1.6.2资金支付的方式、时间和条件详见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b/>
          <w:sz w:val="24"/>
          <w:highlight w:val="none"/>
        </w:rPr>
      </w:pPr>
      <w:r>
        <w:rPr>
          <w:rFonts w:hint="eastAsia" w:ascii="仿宋" w:hAnsi="仿宋" w:eastAsia="仿宋" w:cs="仿宋"/>
          <w:b/>
          <w:sz w:val="24"/>
          <w:highlight w:val="none"/>
        </w:rPr>
        <w:t>1.7 履行期限、地点和方式</w:t>
      </w:r>
      <w:bookmarkEnd w:id="61"/>
      <w:bookmarkEnd w:id="62"/>
      <w:bookmarkEnd w:id="63"/>
      <w:bookmarkEnd w:id="64"/>
      <w:bookmarkEnd w:id="65"/>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1.7.1 服务交付（实施）的时间（期限）：</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1.7.2 服务交付（实施）的地点（地域范围）：</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1.7.3 服务交付（实施）的方式：</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outlineLvl w:val="0"/>
        <w:rPr>
          <w:rFonts w:hint="eastAsia" w:ascii="仿宋" w:hAnsi="仿宋" w:eastAsia="仿宋" w:cs="仿宋"/>
          <w:bCs/>
          <w:sz w:val="24"/>
          <w:highlight w:val="none"/>
        </w:rPr>
      </w:pPr>
      <w:bookmarkStart w:id="66" w:name="_Toc2375"/>
      <w:bookmarkStart w:id="67" w:name="_Toc5698"/>
      <w:bookmarkStart w:id="68" w:name="_Toc3079"/>
      <w:bookmarkStart w:id="69" w:name="_Toc8586"/>
      <w:bookmarkStart w:id="70" w:name="_Toc24662"/>
      <w:r>
        <w:rPr>
          <w:rFonts w:hint="eastAsia" w:ascii="仿宋" w:hAnsi="仿宋" w:eastAsia="仿宋" w:cs="仿宋"/>
          <w:bCs/>
          <w:sz w:val="24"/>
          <w:highlight w:val="none"/>
        </w:rPr>
        <w:t>1.7.4若服务涉及货物的，则货物的：</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1.7.4.1 交付期限：详见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1.7.4.2 交付地点：</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1.7.4.3 交付方式：</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sz w:val="24"/>
          <w:highlight w:val="none"/>
          <w:u w:val="single"/>
        </w:rPr>
      </w:pPr>
      <w:r>
        <w:rPr>
          <w:rFonts w:hint="eastAsia" w:ascii="仿宋" w:hAnsi="仿宋" w:eastAsia="仿宋" w:cs="仿宋"/>
          <w:b/>
          <w:sz w:val="24"/>
          <w:highlight w:val="none"/>
        </w:rPr>
        <w:t>1.8违约责任</w:t>
      </w:r>
      <w:bookmarkEnd w:id="66"/>
      <w:bookmarkEnd w:id="67"/>
      <w:bookmarkEnd w:id="68"/>
      <w:bookmarkEnd w:id="69"/>
      <w:bookmarkEnd w:id="70"/>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pPr>
        <w:pStyle w:val="5"/>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b w:val="0"/>
          <w:bCs w:val="0"/>
          <w:sz w:val="24"/>
          <w:szCs w:val="24"/>
          <w:highlight w:val="none"/>
          <w:lang w:val="en-US"/>
        </w:rPr>
      </w:pPr>
      <w:r>
        <w:rPr>
          <w:rFonts w:hint="eastAsia" w:ascii="仿宋" w:hAnsi="仿宋" w:eastAsia="仿宋" w:cs="仿宋"/>
          <w:b w:val="0"/>
          <w:bCs w:val="0"/>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sz w:val="24"/>
          <w:szCs w:val="24"/>
          <w:highlight w:val="none"/>
          <w:u w:val="single"/>
          <w:lang w:val="en-US"/>
        </w:rPr>
        <w:t xml:space="preserve"> </w:t>
      </w:r>
      <w:r>
        <w:rPr>
          <w:rFonts w:hint="eastAsia" w:asci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rPr>
        <w:t xml:space="preserve"> </w:t>
      </w:r>
      <w:r>
        <w:rPr>
          <w:rFonts w:hint="eastAsia" w:ascii="仿宋" w:hAnsi="仿宋" w:eastAsia="仿宋" w:cs="仿宋"/>
          <w:b w:val="0"/>
          <w:bCs w:val="0"/>
          <w:sz w:val="24"/>
          <w:szCs w:val="24"/>
          <w:highlight w:val="none"/>
          <w:lang w:val="en-US"/>
        </w:rPr>
        <w:t>%计算，最高限额为本合同总价的</w:t>
      </w:r>
      <w:r>
        <w:rPr>
          <w:rFonts w:hint="eastAsia" w:ascii="仿宋" w:hAnsi="仿宋" w:eastAsia="仿宋" w:cs="仿宋"/>
          <w:b w:val="0"/>
          <w:bCs w:val="0"/>
          <w:sz w:val="24"/>
          <w:szCs w:val="24"/>
          <w:highlight w:val="none"/>
          <w:u w:val="single"/>
          <w:lang w:val="en-US"/>
        </w:rPr>
        <w:t xml:space="preserve"> </w:t>
      </w:r>
      <w:r>
        <w:rPr>
          <w:rFonts w:hint="eastAsia" w:asci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single"/>
          <w:lang w:val="en-US"/>
        </w:rPr>
        <w:t xml:space="preserve"> </w:t>
      </w:r>
      <w:r>
        <w:rPr>
          <w:rFonts w:hint="eastAsia" w:ascii="仿宋" w:hAnsi="仿宋" w:eastAsia="仿宋" w:cs="仿宋"/>
          <w:b w:val="0"/>
          <w:bCs w:val="0"/>
          <w:sz w:val="24"/>
          <w:szCs w:val="24"/>
          <w:highlight w:val="none"/>
          <w:lang w:val="en-US"/>
        </w:rPr>
        <w:t>%；迟延交付货物的违约金计算数额达到前述最高限额之日起，甲方有权在要求乙方支付违约金的同时，书面通知乙方解除本合同；</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bookmarkStart w:id="71" w:name="_Toc9497"/>
      <w:bookmarkStart w:id="72" w:name="_Toc32454"/>
      <w:bookmarkStart w:id="73" w:name="_Toc26807"/>
      <w:bookmarkStart w:id="74" w:name="_Toc30329"/>
      <w:bookmarkStart w:id="75" w:name="_Toc18683"/>
      <w:r>
        <w:rPr>
          <w:rFonts w:hint="eastAsia" w:ascii="仿宋" w:hAnsi="仿宋" w:eastAsia="仿宋" w:cs="仿宋"/>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sz w:val="24"/>
          <w:highlight w:val="none"/>
        </w:rPr>
        <w:t>1.8.7违约责任</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另有约定的，从其约定。</w:t>
      </w:r>
    </w:p>
    <w:bookmarkEnd w:id="71"/>
    <w:bookmarkEnd w:id="72"/>
    <w:bookmarkEnd w:id="73"/>
    <w:bookmarkEnd w:id="74"/>
    <w:bookmarkEnd w:id="75"/>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b/>
          <w:sz w:val="24"/>
          <w:highlight w:val="none"/>
        </w:rPr>
      </w:pPr>
      <w:bookmarkStart w:id="76" w:name="_Toc16021"/>
      <w:bookmarkStart w:id="77" w:name="_Toc28375"/>
      <w:bookmarkStart w:id="78" w:name="_Toc15583"/>
      <w:r>
        <w:rPr>
          <w:rFonts w:hint="eastAsia" w:ascii="仿宋" w:hAnsi="仿宋" w:eastAsia="仿宋" w:cs="仿宋"/>
          <w:b/>
          <w:sz w:val="24"/>
          <w:highlight w:val="none"/>
        </w:rPr>
        <w:t>1.9合同争议的解决</w:t>
      </w:r>
      <w:bookmarkEnd w:id="76"/>
      <w:bookmarkEnd w:id="77"/>
      <w:bookmarkEnd w:id="78"/>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sz w:val="24"/>
          <w:highlight w:val="none"/>
          <w:u w:val="single"/>
        </w:rPr>
        <w:t xml:space="preserve">      </w:t>
      </w:r>
      <w:r>
        <w:rPr>
          <w:rFonts w:hint="eastAsia" w:ascii="仿宋" w:hAnsi="仿宋" w:eastAsia="仿宋" w:cs="仿宋"/>
          <w:sz w:val="24"/>
          <w:highlight w:val="none"/>
        </w:rPr>
        <w:t>条款规定的方式解决：</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1.9.1 将争议提交</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仲裁委员会依申请仲裁时其现行有效的仲裁规则裁决；</w:t>
      </w:r>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1.9.2 向</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人民法院起诉。</w:t>
      </w:r>
    </w:p>
    <w:p>
      <w:pPr>
        <w:pageBreakBefore w:val="0"/>
        <w:kinsoku/>
        <w:wordWrap/>
        <w:overflowPunct/>
        <w:topLinePunct w:val="0"/>
        <w:autoSpaceDE/>
        <w:autoSpaceDN/>
        <w:bidi w:val="0"/>
        <w:snapToGrid/>
        <w:spacing w:line="440" w:lineRule="exact"/>
        <w:ind w:left="0" w:leftChars="0" w:right="0" w:rightChars="0" w:firstLine="482" w:firstLineChars="200"/>
        <w:textAlignment w:val="auto"/>
        <w:outlineLvl w:val="0"/>
        <w:rPr>
          <w:rFonts w:hint="eastAsia" w:ascii="仿宋" w:hAnsi="仿宋" w:eastAsia="仿宋" w:cs="仿宋"/>
          <w:b/>
          <w:sz w:val="24"/>
          <w:highlight w:val="none"/>
        </w:rPr>
      </w:pPr>
      <w:bookmarkStart w:id="79" w:name="_Toc7245"/>
      <w:bookmarkStart w:id="80" w:name="_Toc15322"/>
      <w:bookmarkStart w:id="81" w:name="_Toc11173"/>
      <w:r>
        <w:rPr>
          <w:rFonts w:hint="eastAsia" w:ascii="仿宋" w:hAnsi="仿宋" w:eastAsia="仿宋" w:cs="仿宋"/>
          <w:b/>
          <w:sz w:val="24"/>
          <w:highlight w:val="none"/>
        </w:rPr>
        <w:t>2.0 合同生效</w:t>
      </w:r>
      <w:bookmarkEnd w:id="79"/>
      <w:bookmarkEnd w:id="80"/>
      <w:bookmarkEnd w:id="81"/>
    </w:p>
    <w:p>
      <w:pPr>
        <w:pageBreakBefore w:val="0"/>
        <w:kinsoku/>
        <w:wordWrap/>
        <w:overflowPunct/>
        <w:topLinePunct w:val="0"/>
        <w:autoSpaceDE/>
        <w:autoSpaceDN/>
        <w:bidi w:val="0"/>
        <w:snapToGrid/>
        <w:spacing w:line="440" w:lineRule="exact"/>
        <w:ind w:left="0" w:leftChars="0" w:right="0" w:rightChars="0" w:firstLine="480" w:firstLineChars="200"/>
        <w:textAlignment w:val="auto"/>
        <w:rPr>
          <w:rFonts w:hint="eastAsia" w:ascii="仿宋" w:hAnsi="仿宋" w:eastAsia="仿宋" w:cs="仿宋"/>
          <w:sz w:val="24"/>
          <w:highlight w:val="none"/>
          <w:lang w:val="zh-CN"/>
        </w:rPr>
      </w:pPr>
      <w:r>
        <w:rPr>
          <w:rFonts w:hint="eastAsia" w:ascii="仿宋" w:hAnsi="仿宋" w:eastAsia="仿宋" w:cs="仿宋"/>
          <w:sz w:val="24"/>
          <w:highlight w:val="none"/>
        </w:rPr>
        <w:t>本合同自双方当事人盖章签字时生效。</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法定代表人或</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授权代表（签字）： </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pPr>
        <w:pageBreakBefore w:val="0"/>
        <w:kinsoku/>
        <w:wordWrap/>
        <w:overflowPunct/>
        <w:topLinePunct w:val="0"/>
        <w:autoSpaceDE w:val="0"/>
        <w:autoSpaceDN w:val="0"/>
        <w:bidi w:val="0"/>
        <w:snapToGrid/>
        <w:spacing w:line="440" w:lineRule="exact"/>
        <w:ind w:left="0" w:leftChars="0" w:right="0" w:rightChars="0"/>
        <w:textAlignment w:val="auto"/>
        <w:rPr>
          <w:rFonts w:hint="eastAsia" w:ascii="仿宋" w:hAnsi="仿宋" w:eastAsia="仿宋" w:cs="仿宋"/>
          <w:sz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pPr>
        <w:widowControl/>
        <w:adjustRightInd/>
        <w:jc w:val="left"/>
        <w:rPr>
          <w:rFonts w:hint="eastAsia" w:ascii="仿宋" w:hAnsi="仿宋" w:eastAsia="仿宋" w:cs="仿宋"/>
          <w:b/>
          <w:sz w:val="24"/>
          <w:highlight w:val="none"/>
        </w:rPr>
      </w:pPr>
      <w:r>
        <w:rPr>
          <w:rFonts w:hint="eastAsia" w:ascii="仿宋" w:hAnsi="仿宋" w:eastAsia="仿宋" w:cs="仿宋"/>
          <w:b/>
          <w:highlight w:val="none"/>
        </w:rPr>
        <w:br w:type="page"/>
      </w:r>
    </w:p>
    <w:p>
      <w:pPr>
        <w:pStyle w:val="701"/>
        <w:spacing w:line="560" w:lineRule="exact"/>
        <w:ind w:firstLine="482"/>
        <w:jc w:val="center"/>
        <w:rPr>
          <w:rFonts w:hint="eastAsia" w:ascii="仿宋" w:hAnsi="仿宋" w:eastAsia="仿宋" w:cs="仿宋"/>
          <w:b/>
          <w:szCs w:val="24"/>
          <w:highlight w:val="none"/>
        </w:rPr>
      </w:pPr>
      <w:r>
        <w:rPr>
          <w:rFonts w:hint="eastAsia" w:ascii="仿宋" w:hAnsi="仿宋" w:eastAsia="仿宋" w:cs="仿宋"/>
          <w:b/>
          <w:szCs w:val="24"/>
          <w:highlight w:val="none"/>
        </w:rPr>
        <w:t>第二部分 合同一般条款</w:t>
      </w:r>
    </w:p>
    <w:p>
      <w:pPr>
        <w:spacing w:line="560" w:lineRule="exact"/>
        <w:ind w:firstLine="482" w:firstLineChars="200"/>
        <w:outlineLvl w:val="0"/>
        <w:rPr>
          <w:rFonts w:hint="eastAsia" w:ascii="仿宋" w:hAnsi="仿宋" w:eastAsia="仿宋" w:cs="仿宋"/>
          <w:b/>
          <w:sz w:val="24"/>
          <w:highlight w:val="none"/>
        </w:rPr>
      </w:pPr>
      <w:bookmarkStart w:id="82" w:name="_Toc31297"/>
      <w:bookmarkStart w:id="83" w:name="_Toc25079"/>
      <w:bookmarkStart w:id="84" w:name="_Toc14021"/>
      <w:bookmarkStart w:id="85" w:name="_Toc5228"/>
      <w:bookmarkStart w:id="86" w:name="_Toc19680"/>
      <w:r>
        <w:rPr>
          <w:rFonts w:hint="eastAsia" w:ascii="仿宋" w:hAnsi="仿宋" w:eastAsia="仿宋" w:cs="仿宋"/>
          <w:b/>
          <w:sz w:val="24"/>
          <w:highlight w:val="none"/>
        </w:rPr>
        <w:t>2.1 定义</w:t>
      </w:r>
      <w:bookmarkEnd w:id="82"/>
      <w:bookmarkEnd w:id="83"/>
      <w:bookmarkEnd w:id="84"/>
      <w:bookmarkEnd w:id="85"/>
      <w:bookmarkEnd w:id="8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“合同”系指采购人和中标或成交供应商签订的载明双方当事人所达成的协议，并包括所有的附件、附录和构成合同的其他文件。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“合同价”系指根据合同约定，中标或成交供应商在完全履行合同义务后，采购人应支付给中标或成交供应商的价格。</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“服务”系指中标或成交供应商根据合同约定应向采购人履行的除货物和工程以外的其他政府采购对象，包括采购人自身需要的服务和向社会公众提供的公共服务。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 “甲方”系指与中标或成交供应商签署合同的采购人；采购人委托采购代理机构代表其与乙方签订合同的，采购人的授权委托书作为合同附件。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 “现场”系指合同约定提供服务的地点。</w:t>
      </w:r>
    </w:p>
    <w:p>
      <w:pPr>
        <w:spacing w:line="560" w:lineRule="exact"/>
        <w:ind w:firstLine="482" w:firstLineChars="200"/>
        <w:outlineLvl w:val="0"/>
        <w:rPr>
          <w:rFonts w:hint="eastAsia" w:ascii="仿宋" w:hAnsi="仿宋" w:eastAsia="仿宋" w:cs="仿宋"/>
          <w:b/>
          <w:sz w:val="24"/>
          <w:highlight w:val="none"/>
        </w:rPr>
      </w:pPr>
      <w:bookmarkStart w:id="87" w:name="_Toc16752"/>
      <w:bookmarkStart w:id="88" w:name="_Toc31402"/>
      <w:bookmarkStart w:id="89" w:name="_Toc19539"/>
      <w:bookmarkStart w:id="90" w:name="_Toc3769"/>
      <w:bookmarkStart w:id="91" w:name="_Toc23289"/>
      <w:r>
        <w:rPr>
          <w:rFonts w:hint="eastAsia" w:ascii="仿宋" w:hAnsi="仿宋" w:eastAsia="仿宋" w:cs="仿宋"/>
          <w:b/>
          <w:sz w:val="24"/>
          <w:highlight w:val="none"/>
        </w:rPr>
        <w:t>2.2 技术规范</w:t>
      </w:r>
      <w:bookmarkEnd w:id="87"/>
      <w:bookmarkEnd w:id="88"/>
      <w:bookmarkEnd w:id="89"/>
      <w:bookmarkEnd w:id="90"/>
      <w:bookmarkEnd w:id="91"/>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w:t>
      </w:r>
      <w:r>
        <w:rPr>
          <w:rFonts w:hint="eastAsia" w:ascii="仿宋" w:hAnsi="仿宋" w:eastAsia="仿宋" w:cs="仿宋"/>
          <w:sz w:val="24"/>
          <w:highlight w:val="none"/>
          <w:lang w:eastAsia="zh-CN"/>
        </w:rPr>
        <w:t>（</w:t>
      </w:r>
      <w:r>
        <w:rPr>
          <w:rFonts w:hint="eastAsia" w:ascii="仿宋" w:hAnsi="仿宋" w:eastAsia="仿宋" w:cs="仿宋"/>
          <w:sz w:val="24"/>
          <w:highlight w:val="none"/>
        </w:rPr>
        <w:t>如果有的话</w:t>
      </w:r>
      <w:r>
        <w:rPr>
          <w:rFonts w:hint="eastAsia" w:ascii="仿宋" w:hAnsi="仿宋" w:eastAsia="仿宋" w:cs="仿宋"/>
          <w:sz w:val="24"/>
          <w:highlight w:val="none"/>
          <w:lang w:eastAsia="zh-CN"/>
        </w:rPr>
        <w:t>）</w:t>
      </w:r>
      <w:r>
        <w:rPr>
          <w:rFonts w:hint="eastAsia" w:ascii="仿宋" w:hAnsi="仿宋" w:eastAsia="仿宋" w:cs="仿宋"/>
          <w:sz w:val="24"/>
          <w:highlight w:val="none"/>
        </w:rPr>
        <w:t>及其技术规范偏差表</w:t>
      </w:r>
      <w:r>
        <w:rPr>
          <w:rFonts w:hint="eastAsia" w:ascii="仿宋" w:hAnsi="仿宋" w:eastAsia="仿宋" w:cs="仿宋"/>
          <w:sz w:val="24"/>
          <w:highlight w:val="none"/>
          <w:lang w:eastAsia="zh-CN"/>
        </w:rPr>
        <w:t>（</w:t>
      </w:r>
      <w:r>
        <w:rPr>
          <w:rFonts w:hint="eastAsia" w:ascii="仿宋" w:hAnsi="仿宋" w:eastAsia="仿宋" w:cs="仿宋"/>
          <w:sz w:val="24"/>
          <w:highlight w:val="none"/>
        </w:rPr>
        <w:t>如果被甲方接受的话</w:t>
      </w:r>
      <w:r>
        <w:rPr>
          <w:rFonts w:hint="eastAsia" w:ascii="仿宋" w:hAnsi="仿宋" w:eastAsia="仿宋" w:cs="仿宋"/>
          <w:sz w:val="24"/>
          <w:highlight w:val="none"/>
          <w:lang w:eastAsia="zh-CN"/>
        </w:rPr>
        <w:t>）</w:t>
      </w:r>
      <w:r>
        <w:rPr>
          <w:rFonts w:hint="eastAsia" w:ascii="仿宋" w:hAnsi="仿宋" w:eastAsia="仿宋" w:cs="仿宋"/>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sz w:val="24"/>
          <w:highlight w:val="none"/>
        </w:rPr>
      </w:pPr>
      <w:bookmarkStart w:id="92" w:name="_Toc27945"/>
      <w:bookmarkStart w:id="93" w:name="_Toc9161"/>
      <w:bookmarkStart w:id="94" w:name="_Toc4133"/>
      <w:bookmarkStart w:id="95" w:name="_Toc12412"/>
      <w:bookmarkStart w:id="96" w:name="_Toc13673"/>
      <w:r>
        <w:rPr>
          <w:rFonts w:hint="eastAsia" w:ascii="仿宋" w:hAnsi="仿宋" w:eastAsia="仿宋" w:cs="仿宋"/>
          <w:b/>
          <w:sz w:val="24"/>
          <w:highlight w:val="none"/>
        </w:rPr>
        <w:t>2.3 知识产权</w:t>
      </w:r>
      <w:bookmarkEnd w:id="92"/>
      <w:bookmarkEnd w:id="93"/>
      <w:bookmarkEnd w:id="94"/>
      <w:bookmarkEnd w:id="95"/>
      <w:bookmarkEnd w:id="9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仿宋" w:hAnsi="仿宋" w:eastAsia="仿宋" w:cs="仿宋"/>
          <w:b/>
          <w:sz w:val="24"/>
          <w:highlight w:val="none"/>
        </w:rPr>
      </w:pPr>
      <w:bookmarkStart w:id="97" w:name="_Toc26555"/>
      <w:bookmarkStart w:id="98" w:name="_Toc15447"/>
      <w:bookmarkStart w:id="99" w:name="_Toc22011"/>
      <w:bookmarkStart w:id="100" w:name="_Toc32670"/>
      <w:bookmarkStart w:id="101" w:name="_Toc31233"/>
      <w:r>
        <w:rPr>
          <w:rFonts w:hint="eastAsia" w:ascii="仿宋" w:hAnsi="仿宋" w:eastAsia="仿宋" w:cs="仿宋"/>
          <w:b/>
          <w:sz w:val="24"/>
          <w:highlight w:val="none"/>
        </w:rPr>
        <w:t>2.5 结算方式和付款条件</w:t>
      </w:r>
      <w:bookmarkEnd w:id="97"/>
      <w:bookmarkEnd w:id="98"/>
      <w:bookmarkEnd w:id="99"/>
      <w:bookmarkEnd w:id="100"/>
      <w:bookmarkEnd w:id="101"/>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pPr>
        <w:spacing w:line="560" w:lineRule="exact"/>
        <w:ind w:firstLine="482" w:firstLineChars="200"/>
        <w:outlineLvl w:val="0"/>
        <w:rPr>
          <w:rFonts w:hint="eastAsia" w:ascii="仿宋" w:hAnsi="仿宋" w:eastAsia="仿宋" w:cs="仿宋"/>
          <w:b/>
          <w:sz w:val="24"/>
          <w:highlight w:val="none"/>
        </w:rPr>
      </w:pPr>
      <w:bookmarkStart w:id="102" w:name="_Toc30507"/>
      <w:bookmarkStart w:id="103" w:name="_Toc16163"/>
      <w:bookmarkStart w:id="104" w:name="_Toc18990"/>
      <w:bookmarkStart w:id="105" w:name="_Toc13154"/>
      <w:bookmarkStart w:id="106" w:name="_Toc13467"/>
      <w:r>
        <w:rPr>
          <w:rFonts w:hint="eastAsia" w:ascii="仿宋" w:hAnsi="仿宋" w:eastAsia="仿宋" w:cs="仿宋"/>
          <w:b/>
          <w:sz w:val="24"/>
          <w:highlight w:val="none"/>
        </w:rPr>
        <w:t>2.6 技术资料和保密义务</w:t>
      </w:r>
      <w:bookmarkEnd w:id="102"/>
      <w:bookmarkEnd w:id="103"/>
      <w:bookmarkEnd w:id="104"/>
      <w:bookmarkEnd w:id="105"/>
      <w:bookmarkEnd w:id="10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sz w:val="24"/>
          <w:highlight w:val="none"/>
        </w:rPr>
      </w:pPr>
      <w:bookmarkStart w:id="107" w:name="_Toc19069"/>
      <w:r>
        <w:rPr>
          <w:rFonts w:hint="eastAsia" w:ascii="仿宋" w:hAnsi="仿宋" w:eastAsia="仿宋" w:cs="仿宋"/>
          <w:b/>
          <w:sz w:val="24"/>
          <w:highlight w:val="none"/>
        </w:rPr>
        <w:t>2.7 质量保证</w:t>
      </w:r>
      <w:bookmarkEnd w:id="107"/>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sz w:val="24"/>
          <w:highlight w:val="none"/>
        </w:rPr>
      </w:pPr>
      <w:bookmarkStart w:id="108" w:name="_Toc22267"/>
      <w:r>
        <w:rPr>
          <w:rFonts w:hint="eastAsia" w:ascii="仿宋" w:hAnsi="仿宋" w:eastAsia="仿宋" w:cs="仿宋"/>
          <w:b/>
          <w:sz w:val="24"/>
          <w:highlight w:val="none"/>
        </w:rPr>
        <w:t>2.8 延迟履行</w:t>
      </w:r>
      <w:bookmarkEnd w:id="108"/>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sz w:val="24"/>
          <w:highlight w:val="none"/>
        </w:rPr>
      </w:pPr>
      <w:bookmarkStart w:id="109" w:name="_Toc10611"/>
      <w:r>
        <w:rPr>
          <w:rFonts w:hint="eastAsia" w:ascii="仿宋" w:hAnsi="仿宋" w:eastAsia="仿宋" w:cs="仿宋"/>
          <w:b/>
          <w:sz w:val="24"/>
          <w:highlight w:val="none"/>
        </w:rPr>
        <w:t>2.9 合同变更</w:t>
      </w:r>
      <w:bookmarkEnd w:id="109"/>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sz w:val="24"/>
          <w:highlight w:val="none"/>
        </w:rPr>
      </w:pPr>
      <w:bookmarkStart w:id="110" w:name="_Toc23368"/>
      <w:bookmarkStart w:id="111" w:name="_Toc10663"/>
      <w:bookmarkStart w:id="112" w:name="_Toc26689"/>
      <w:bookmarkStart w:id="113" w:name="_Toc42"/>
      <w:bookmarkStart w:id="114" w:name="_Toc21830"/>
      <w:r>
        <w:rPr>
          <w:rFonts w:hint="eastAsia" w:ascii="仿宋" w:hAnsi="仿宋" w:eastAsia="仿宋" w:cs="仿宋"/>
          <w:b/>
          <w:sz w:val="24"/>
          <w:highlight w:val="none"/>
        </w:rPr>
        <w:t>2.10 合同转让和分包</w:t>
      </w:r>
      <w:bookmarkEnd w:id="110"/>
      <w:bookmarkEnd w:id="111"/>
      <w:bookmarkEnd w:id="112"/>
      <w:bookmarkEnd w:id="113"/>
      <w:bookmarkEnd w:id="114"/>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仿宋" w:hAnsi="仿宋" w:eastAsia="仿宋" w:cs="仿宋"/>
          <w:b/>
          <w:sz w:val="24"/>
          <w:highlight w:val="none"/>
        </w:rPr>
      </w:pPr>
      <w:bookmarkStart w:id="115" w:name="_Toc4720"/>
      <w:bookmarkStart w:id="116" w:name="_Toc32494"/>
      <w:bookmarkStart w:id="117" w:name="_Toc25571"/>
      <w:bookmarkStart w:id="118" w:name="_Toc14371"/>
      <w:bookmarkStart w:id="119" w:name="_Toc26633"/>
      <w:r>
        <w:rPr>
          <w:rFonts w:hint="eastAsia" w:ascii="仿宋" w:hAnsi="仿宋" w:eastAsia="仿宋" w:cs="仿宋"/>
          <w:b/>
          <w:sz w:val="24"/>
          <w:highlight w:val="none"/>
        </w:rPr>
        <w:t>2.11 不可抗力</w:t>
      </w:r>
      <w:bookmarkEnd w:id="115"/>
      <w:bookmarkEnd w:id="116"/>
      <w:bookmarkEnd w:id="117"/>
      <w:bookmarkEnd w:id="118"/>
      <w:bookmarkEnd w:id="119"/>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pPr>
        <w:spacing w:line="560" w:lineRule="exact"/>
        <w:ind w:firstLine="482" w:firstLineChars="200"/>
        <w:outlineLvl w:val="0"/>
        <w:rPr>
          <w:rFonts w:hint="eastAsia" w:ascii="仿宋" w:hAnsi="仿宋" w:eastAsia="仿宋" w:cs="仿宋"/>
          <w:b/>
          <w:sz w:val="24"/>
          <w:highlight w:val="none"/>
        </w:rPr>
      </w:pPr>
      <w:bookmarkStart w:id="120" w:name="_Toc14115"/>
      <w:bookmarkStart w:id="121" w:name="_Toc3638"/>
      <w:bookmarkStart w:id="122" w:name="_Toc25783"/>
      <w:bookmarkStart w:id="123" w:name="_Toc24465"/>
      <w:bookmarkStart w:id="124" w:name="_Toc23854"/>
      <w:r>
        <w:rPr>
          <w:rFonts w:hint="eastAsia" w:ascii="仿宋" w:hAnsi="仿宋" w:eastAsia="仿宋" w:cs="仿宋"/>
          <w:b/>
          <w:sz w:val="24"/>
          <w:highlight w:val="none"/>
        </w:rPr>
        <w:t>2.12 税费</w:t>
      </w:r>
      <w:bookmarkEnd w:id="120"/>
      <w:bookmarkEnd w:id="121"/>
      <w:bookmarkEnd w:id="122"/>
      <w:bookmarkEnd w:id="123"/>
      <w:bookmarkEnd w:id="124"/>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sz w:val="24"/>
          <w:highlight w:val="none"/>
        </w:rPr>
      </w:pPr>
      <w:bookmarkStart w:id="125" w:name="_Toc30105"/>
      <w:bookmarkStart w:id="126" w:name="_Toc26883"/>
      <w:bookmarkStart w:id="127" w:name="_Toc7315"/>
      <w:bookmarkStart w:id="128" w:name="_Toc14814"/>
      <w:bookmarkStart w:id="129" w:name="_Toc25525"/>
      <w:r>
        <w:rPr>
          <w:rFonts w:hint="eastAsia" w:ascii="仿宋" w:hAnsi="仿宋" w:eastAsia="仿宋" w:cs="仿宋"/>
          <w:b/>
          <w:sz w:val="24"/>
          <w:highlight w:val="none"/>
        </w:rPr>
        <w:t>2.13 乙方破产</w:t>
      </w:r>
      <w:bookmarkEnd w:id="125"/>
      <w:bookmarkEnd w:id="126"/>
      <w:bookmarkEnd w:id="127"/>
      <w:bookmarkEnd w:id="128"/>
      <w:bookmarkEnd w:id="129"/>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sz w:val="24"/>
          <w:highlight w:val="none"/>
        </w:rPr>
      </w:pPr>
      <w:bookmarkStart w:id="130" w:name="_Toc2016"/>
      <w:bookmarkStart w:id="131" w:name="_Toc1123"/>
      <w:bookmarkStart w:id="132" w:name="_Toc23323"/>
      <w:r>
        <w:rPr>
          <w:rFonts w:hint="eastAsia" w:ascii="仿宋" w:hAnsi="仿宋" w:eastAsia="仿宋" w:cs="仿宋"/>
          <w:b/>
          <w:sz w:val="24"/>
          <w:highlight w:val="none"/>
        </w:rPr>
        <w:t>2.14 合同中止、终止</w:t>
      </w:r>
      <w:bookmarkEnd w:id="130"/>
      <w:bookmarkEnd w:id="131"/>
      <w:bookmarkEnd w:id="132"/>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sz w:val="24"/>
          <w:highlight w:val="none"/>
        </w:rPr>
      </w:pPr>
      <w:bookmarkStart w:id="133" w:name="_Toc14525"/>
      <w:bookmarkStart w:id="134" w:name="_Toc17363"/>
      <w:bookmarkStart w:id="135" w:name="_Toc1969"/>
      <w:r>
        <w:rPr>
          <w:rFonts w:hint="eastAsia" w:ascii="仿宋" w:hAnsi="仿宋" w:eastAsia="仿宋" w:cs="仿宋"/>
          <w:b/>
          <w:sz w:val="24"/>
          <w:highlight w:val="none"/>
        </w:rPr>
        <w:t>2.15 检验和验收</w:t>
      </w:r>
      <w:bookmarkEnd w:id="133"/>
      <w:bookmarkEnd w:id="134"/>
      <w:bookmarkEnd w:id="135"/>
    </w:p>
    <w:p>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p>
      <w:pPr>
        <w:spacing w:line="560" w:lineRule="exact"/>
        <w:ind w:firstLine="482" w:firstLineChars="200"/>
        <w:outlineLvl w:val="0"/>
        <w:rPr>
          <w:rFonts w:hint="eastAsia" w:ascii="仿宋" w:hAnsi="仿宋" w:eastAsia="仿宋" w:cs="仿宋"/>
          <w:b/>
          <w:sz w:val="24"/>
          <w:highlight w:val="none"/>
        </w:rPr>
      </w:pPr>
      <w:bookmarkStart w:id="136" w:name="_Toc9808"/>
      <w:bookmarkStart w:id="137" w:name="_Toc12666"/>
      <w:bookmarkStart w:id="138" w:name="_Toc25198"/>
      <w:bookmarkStart w:id="139" w:name="_Toc2308"/>
      <w:bookmarkStart w:id="140" w:name="_Toc31892"/>
      <w:r>
        <w:rPr>
          <w:rFonts w:hint="eastAsia" w:ascii="仿宋" w:hAnsi="仿宋" w:eastAsia="仿宋" w:cs="仿宋"/>
          <w:b/>
          <w:sz w:val="24"/>
          <w:highlight w:val="none"/>
        </w:rPr>
        <w:t>2.16 通知和送达</w:t>
      </w:r>
      <w:bookmarkEnd w:id="136"/>
      <w:bookmarkEnd w:id="137"/>
      <w:bookmarkEnd w:id="138"/>
      <w:bookmarkEnd w:id="139"/>
      <w:bookmarkEnd w:id="140"/>
    </w:p>
    <w:p>
      <w:pPr>
        <w:spacing w:line="560" w:lineRule="exact"/>
        <w:ind w:firstLine="480" w:firstLineChars="200"/>
        <w:rPr>
          <w:rFonts w:hint="eastAsia" w:ascii="仿宋" w:hAnsi="仿宋" w:eastAsia="仿宋" w:cs="仿宋"/>
          <w:sz w:val="24"/>
          <w:highlight w:val="none"/>
        </w:rPr>
      </w:pPr>
      <w:bookmarkStart w:id="141" w:name="_Toc18401"/>
      <w:bookmarkStart w:id="142" w:name="_Toc27674"/>
      <w:r>
        <w:rPr>
          <w:rFonts w:hint="eastAsia" w:ascii="仿宋" w:hAnsi="仿宋" w:eastAsia="仿宋" w:cs="仿宋"/>
          <w:sz w:val="24"/>
          <w:highlight w:val="none"/>
        </w:rPr>
        <w:t xml:space="preserve">2.17.1任何一方因履行合同而以合同第一部分尾部所列明的传真或电子邮件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发出的所有通知、文件、材料，均视为已向对方当事人送达；任何一方变更上述送达方式或者地址的，应于</w:t>
      </w:r>
      <w:r>
        <w:rPr>
          <w:rFonts w:hint="eastAsia" w:ascii="仿宋" w:hAnsi="仿宋" w:eastAsia="仿宋" w:cs="仿宋"/>
          <w:sz w:val="24"/>
          <w:highlight w:val="none"/>
          <w:u w:val="single"/>
        </w:rPr>
        <w:t>3</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1"/>
      <w:bookmarkEnd w:id="142"/>
    </w:p>
    <w:p>
      <w:pPr>
        <w:spacing w:line="560" w:lineRule="exact"/>
        <w:ind w:firstLine="482" w:firstLineChars="200"/>
        <w:outlineLvl w:val="0"/>
        <w:rPr>
          <w:rFonts w:hint="eastAsia" w:ascii="仿宋" w:hAnsi="仿宋" w:eastAsia="仿宋" w:cs="仿宋"/>
          <w:b/>
          <w:sz w:val="24"/>
          <w:highlight w:val="none"/>
        </w:rPr>
      </w:pPr>
      <w:bookmarkStart w:id="143" w:name="_Toc5063"/>
      <w:bookmarkStart w:id="144" w:name="_Toc12254"/>
      <w:bookmarkStart w:id="145" w:name="_Toc28906"/>
      <w:bookmarkStart w:id="146" w:name="_Toc27644"/>
      <w:bookmarkStart w:id="147" w:name="_Toc20808"/>
      <w:r>
        <w:rPr>
          <w:rFonts w:hint="eastAsia" w:ascii="仿宋" w:hAnsi="仿宋" w:eastAsia="仿宋" w:cs="仿宋"/>
          <w:b/>
          <w:sz w:val="24"/>
          <w:highlight w:val="none"/>
        </w:rPr>
        <w:t>2.17 合同使用的文字和适用的法律</w:t>
      </w:r>
      <w:bookmarkEnd w:id="143"/>
      <w:bookmarkEnd w:id="144"/>
      <w:bookmarkEnd w:id="145"/>
      <w:bookmarkEnd w:id="146"/>
      <w:bookmarkEnd w:id="147"/>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 合同使用汉语</w:t>
      </w:r>
      <w:r>
        <w:rPr>
          <w:rFonts w:hint="eastAsia" w:ascii="仿宋" w:hAnsi="仿宋" w:eastAsia="仿宋" w:cs="仿宋"/>
          <w:sz w:val="24"/>
          <w:highlight w:val="none"/>
          <w:lang w:eastAsia="zh-CN"/>
        </w:rPr>
        <w:t>书写</w:t>
      </w:r>
      <w:r>
        <w:rPr>
          <w:rFonts w:hint="eastAsia" w:ascii="仿宋" w:hAnsi="仿宋" w:eastAsia="仿宋" w:cs="仿宋"/>
          <w:sz w:val="24"/>
          <w:highlight w:val="none"/>
        </w:rPr>
        <w:t>、变更和解释；</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pPr>
        <w:spacing w:line="560" w:lineRule="exact"/>
        <w:ind w:firstLine="482" w:firstLineChars="200"/>
        <w:outlineLvl w:val="0"/>
        <w:rPr>
          <w:rFonts w:hint="eastAsia" w:ascii="仿宋" w:hAnsi="仿宋" w:eastAsia="仿宋" w:cs="仿宋"/>
          <w:b/>
          <w:sz w:val="24"/>
          <w:highlight w:val="none"/>
        </w:rPr>
      </w:pPr>
      <w:bookmarkStart w:id="148" w:name="_Toc30599"/>
      <w:bookmarkStart w:id="149" w:name="_Toc4355"/>
      <w:bookmarkStart w:id="150" w:name="_Toc18540"/>
      <w:r>
        <w:rPr>
          <w:rFonts w:hint="eastAsia" w:ascii="仿宋" w:hAnsi="仿宋" w:eastAsia="仿宋" w:cs="仿宋"/>
          <w:b/>
          <w:sz w:val="24"/>
          <w:highlight w:val="none"/>
        </w:rPr>
        <w:t>2.18 计量单位</w:t>
      </w:r>
      <w:bookmarkEnd w:id="148"/>
      <w:bookmarkEnd w:id="149"/>
      <w:bookmarkEnd w:id="150"/>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除技术规范中另有规定外</w:t>
      </w:r>
      <w:r>
        <w:rPr>
          <w:rFonts w:hint="eastAsia" w:ascii="仿宋" w:hAnsi="仿宋" w:eastAsia="仿宋" w:cs="仿宋"/>
          <w:sz w:val="24"/>
          <w:highlight w:val="none"/>
          <w:lang w:eastAsia="zh-CN"/>
        </w:rPr>
        <w:t>，</w:t>
      </w:r>
      <w:r>
        <w:rPr>
          <w:rFonts w:hint="eastAsia" w:ascii="仿宋" w:hAnsi="仿宋" w:eastAsia="仿宋" w:cs="仿宋"/>
          <w:sz w:val="24"/>
          <w:highlight w:val="none"/>
        </w:rPr>
        <w:t>合同的计量单位均使用国家法定计量单位。</w:t>
      </w:r>
    </w:p>
    <w:p>
      <w:pPr>
        <w:spacing w:line="560" w:lineRule="exact"/>
        <w:ind w:firstLine="482" w:firstLineChars="200"/>
        <w:outlineLvl w:val="0"/>
        <w:rPr>
          <w:rFonts w:hint="eastAsia" w:ascii="仿宋" w:hAnsi="仿宋" w:eastAsia="仿宋" w:cs="仿宋"/>
          <w:b/>
          <w:sz w:val="24"/>
          <w:highlight w:val="none"/>
        </w:rPr>
      </w:pPr>
      <w:bookmarkStart w:id="151" w:name="_Toc10330"/>
      <w:bookmarkStart w:id="152" w:name="_Toc18567"/>
      <w:bookmarkStart w:id="153" w:name="_Toc279701263"/>
      <w:bookmarkStart w:id="154" w:name="_Toc487900373"/>
      <w:bookmarkStart w:id="155" w:name="_Toc12773"/>
      <w:bookmarkStart w:id="156" w:name="_Toc259093692"/>
      <w:r>
        <w:rPr>
          <w:rFonts w:hint="eastAsia" w:ascii="仿宋" w:hAnsi="仿宋" w:eastAsia="仿宋" w:cs="仿宋"/>
          <w:b/>
          <w:sz w:val="24"/>
          <w:highlight w:val="none"/>
        </w:rPr>
        <w:t>2.19 合同使用的文字和适用的法律</w:t>
      </w:r>
      <w:bookmarkEnd w:id="151"/>
      <w:bookmarkEnd w:id="152"/>
      <w:bookmarkEnd w:id="153"/>
      <w:bookmarkEnd w:id="154"/>
      <w:bookmarkEnd w:id="155"/>
      <w:bookmarkEnd w:id="15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2.19.1 合同使用汉语</w:t>
      </w:r>
      <w:r>
        <w:rPr>
          <w:rFonts w:hint="eastAsia" w:ascii="仿宋" w:hAnsi="仿宋" w:eastAsia="仿宋" w:cs="仿宋"/>
          <w:sz w:val="24"/>
          <w:highlight w:val="none"/>
          <w:lang w:eastAsia="zh-CN"/>
        </w:rPr>
        <w:t>书写</w:t>
      </w:r>
      <w:r>
        <w:rPr>
          <w:rFonts w:hint="eastAsia" w:ascii="仿宋" w:hAnsi="仿宋" w:eastAsia="仿宋" w:cs="仿宋"/>
          <w:sz w:val="24"/>
          <w:highlight w:val="none"/>
        </w:rPr>
        <w:t>、变更和解释；</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2.19.2 合同适用中华人民共和国法律。</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20</w:t>
      </w:r>
      <w:r>
        <w:rPr>
          <w:rFonts w:hint="eastAsia" w:ascii="仿宋" w:hAnsi="仿宋" w:eastAsia="仿宋" w:cs="仿宋"/>
          <w:b/>
          <w:sz w:val="24"/>
          <w:highlight w:val="none"/>
        </w:rPr>
        <w:t>合同份数</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pPr>
        <w:keepNext w:val="0"/>
        <w:keepLines w:val="0"/>
        <w:pageBreakBefore w:val="0"/>
        <w:widowControl w:val="0"/>
        <w:kinsoku/>
        <w:wordWrap/>
        <w:overflowPunct/>
        <w:topLinePunct w:val="0"/>
        <w:autoSpaceDE/>
        <w:autoSpaceDN/>
        <w:bidi w:val="0"/>
        <w:adjustRightInd w:val="0"/>
        <w:snapToGrid/>
        <w:spacing w:line="440" w:lineRule="atLeast"/>
        <w:ind w:firstLine="420" w:firstLineChars="200"/>
        <w:jc w:val="center"/>
        <w:textAlignment w:val="auto"/>
        <w:outlineLvl w:val="0"/>
        <w:rPr>
          <w:rFonts w:hint="eastAsia" w:ascii="仿宋" w:hAnsi="仿宋" w:eastAsia="仿宋" w:cs="仿宋"/>
          <w:b/>
          <w:sz w:val="24"/>
          <w:highlight w:val="none"/>
        </w:rPr>
      </w:pPr>
      <w:r>
        <w:rPr>
          <w:rFonts w:hint="eastAsia" w:ascii="仿宋" w:hAnsi="仿宋" w:eastAsia="仿宋" w:cs="仿宋"/>
          <w:kern w:val="0"/>
          <w:highlight w:val="none"/>
        </w:rPr>
        <w:br w:type="page"/>
      </w:r>
      <w:bookmarkStart w:id="157" w:name="_Toc331685784"/>
      <w:r>
        <w:rPr>
          <w:rFonts w:hint="eastAsia" w:ascii="仿宋" w:hAnsi="仿宋" w:eastAsia="仿宋" w:cs="仿宋"/>
          <w:b/>
          <w:sz w:val="24"/>
          <w:highlight w:val="none"/>
        </w:rPr>
        <w:t xml:space="preserve"> </w:t>
      </w:r>
      <w:bookmarkEnd w:id="157"/>
      <w:r>
        <w:rPr>
          <w:rFonts w:hint="eastAsia" w:ascii="仿宋" w:hAnsi="仿宋" w:eastAsia="仿宋" w:cs="仿宋"/>
          <w:b/>
          <w:kern w:val="2"/>
          <w:sz w:val="24"/>
          <w:szCs w:val="24"/>
          <w:highlight w:val="none"/>
          <w:lang w:val="en-US" w:eastAsia="zh-CN" w:bidi="ar-SA"/>
        </w:rPr>
        <w:t>第三部分  合同专用条款</w:t>
      </w:r>
    </w:p>
    <w:p>
      <w:pPr>
        <w:keepNext w:val="0"/>
        <w:keepLines w:val="0"/>
        <w:pageBreakBefore w:val="0"/>
        <w:widowControl w:val="0"/>
        <w:kinsoku/>
        <w:wordWrap/>
        <w:overflowPunct/>
        <w:topLinePunct w:val="0"/>
        <w:autoSpaceDE/>
        <w:autoSpaceDN/>
        <w:bidi w:val="0"/>
        <w:adjustRightInd w:val="0"/>
        <w:snapToGrid/>
        <w:spacing w:line="440" w:lineRule="atLeast"/>
        <w:ind w:left="-420" w:leftChars="-200" w:right="-420" w:rightChars="-200" w:firstLine="480" w:firstLineChars="200"/>
        <w:textAlignment w:val="auto"/>
        <w:rPr>
          <w:rFonts w:hint="eastAsia" w:ascii="仿宋" w:hAnsi="仿宋" w:eastAsia="仿宋" w:cs="仿宋"/>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8149" w:type="dxa"/>
            <w:vAlign w:val="center"/>
          </w:tcPr>
          <w:p>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1.3.2</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1.4.2</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1.5.1 </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1.5.2</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1.5.3 </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1.6.2</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1.7.1</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1.7.2</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1.7.3</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1.7.4.1</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1.7.4.2</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1.7.4.3</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1.8.7</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1.9.1</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1.9.2</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2.3.2</w:t>
            </w:r>
          </w:p>
        </w:tc>
        <w:tc>
          <w:tcPr>
            <w:tcW w:w="8149" w:type="dxa"/>
            <w:vAlign w:val="center"/>
          </w:tcPr>
          <w:p>
            <w:pPr>
              <w:spacing w:line="360" w:lineRule="auto"/>
              <w:ind w:left="-420" w:leftChars="-200" w:right="-420" w:rightChars="-200" w:firstLine="480" w:firstLineChars="200"/>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2.5</w:t>
            </w:r>
          </w:p>
        </w:tc>
        <w:tc>
          <w:tcPr>
            <w:tcW w:w="8149" w:type="dxa"/>
            <w:vAlign w:val="center"/>
          </w:tcPr>
          <w:p>
            <w:pPr>
              <w:spacing w:line="360" w:lineRule="auto"/>
              <w:ind w:left="-420" w:leftChars="-200" w:right="-420" w:rightChars="-200" w:firstLine="480" w:firstLineChars="200"/>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2.11.3</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2.11.4 </w:t>
            </w:r>
          </w:p>
        </w:tc>
        <w:tc>
          <w:tcPr>
            <w:tcW w:w="8149" w:type="dxa"/>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2.15.1</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2.15.3</w:t>
            </w:r>
          </w:p>
        </w:tc>
        <w:tc>
          <w:tcPr>
            <w:tcW w:w="8149" w:type="dxa"/>
            <w:vAlign w:val="center"/>
          </w:tcPr>
          <w:p>
            <w:pPr>
              <w:spacing w:line="360" w:lineRule="auto"/>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77" w:type="dxa"/>
            <w:tcBorders>
              <w:left w:val="single" w:color="auto" w:sz="4" w:space="0"/>
            </w:tcBorders>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2.19</w:t>
            </w:r>
          </w:p>
        </w:tc>
        <w:tc>
          <w:tcPr>
            <w:tcW w:w="8149" w:type="dxa"/>
          </w:tcPr>
          <w:p>
            <w:pPr>
              <w:spacing w:line="360" w:lineRule="auto"/>
              <w:rPr>
                <w:rFonts w:hint="eastAsia" w:ascii="仿宋" w:hAnsi="仿宋" w:eastAsia="仿宋" w:cs="仿宋"/>
                <w:sz w:val="24"/>
                <w:highlight w:val="none"/>
              </w:rPr>
            </w:pPr>
          </w:p>
        </w:tc>
      </w:tr>
    </w:tbl>
    <w:p>
      <w:pPr>
        <w:spacing w:line="360" w:lineRule="auto"/>
        <w:ind w:left="-420" w:leftChars="-200" w:right="-420" w:rightChars="-200" w:firstLine="480" w:firstLineChars="200"/>
        <w:rPr>
          <w:rFonts w:hint="eastAsia" w:ascii="仿宋" w:hAnsi="仿宋" w:eastAsia="仿宋" w:cs="仿宋"/>
          <w:sz w:val="24"/>
          <w:highlight w:val="none"/>
        </w:rPr>
      </w:pPr>
    </w:p>
    <w:p>
      <w:pPr>
        <w:spacing w:line="360" w:lineRule="auto"/>
        <w:ind w:left="-420" w:leftChars="-200" w:right="-420" w:rightChars="-200" w:firstLine="480" w:firstLineChars="200"/>
        <w:jc w:val="center"/>
        <w:outlineLvl w:val="0"/>
        <w:rPr>
          <w:rFonts w:hint="eastAsia" w:ascii="仿宋" w:hAnsi="仿宋" w:eastAsia="仿宋" w:cs="仿宋"/>
          <w:sz w:val="24"/>
          <w:highlight w:val="none"/>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sz w:val="36"/>
          <w:szCs w:val="36"/>
          <w:highlight w:val="none"/>
        </w:rPr>
      </w:pPr>
      <w:r>
        <w:rPr>
          <w:rFonts w:hint="eastAsia" w:ascii="仿宋" w:hAnsi="仿宋" w:eastAsia="仿宋" w:cs="仿宋"/>
          <w:b/>
          <w:sz w:val="36"/>
          <w:szCs w:val="36"/>
          <w:highlight w:val="none"/>
        </w:rPr>
        <w:t>第五部分  评标方法及标准</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1、评标方法：</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中标候选人并列的，采用随机抽取的方式确定。</w:t>
      </w:r>
    </w:p>
    <w:p>
      <w:pPr>
        <w:keepNext w:val="0"/>
        <w:keepLines w:val="0"/>
        <w:pageBreakBefore w:val="0"/>
        <w:widowControl w:val="0"/>
        <w:kinsoku/>
        <w:wordWrap/>
        <w:overflowPunct/>
        <w:topLinePunct w:val="0"/>
        <w:autoSpaceDE/>
        <w:autoSpaceDN/>
        <w:bidi w:val="0"/>
        <w:adjustRightInd w:val="0"/>
        <w:snapToGrid/>
        <w:spacing w:line="440" w:lineRule="exact"/>
        <w:ind w:firstLine="472" w:firstLineChars="196"/>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hint="eastAsia" w:ascii="仿宋" w:hAnsi="仿宋" w:eastAsia="仿宋" w:cs="仿宋"/>
          <w:sz w:val="24"/>
          <w:highlight w:val="none"/>
        </w:rPr>
      </w:pPr>
      <w:r>
        <w:rPr>
          <w:rFonts w:hint="eastAsia" w:ascii="仿宋" w:hAnsi="仿宋" w:eastAsia="仿宋" w:cs="仿宋"/>
          <w:b/>
          <w:sz w:val="24"/>
          <w:highlight w:val="none"/>
        </w:rPr>
        <w:t>非单一产品采购项目，采购人应当根据采购项目技术构成、产品价格比重等合理确定核心产品，并在招标文件中载明。多家投标人提供的核心产品品牌相同的，按前款规定处理。</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sz w:val="24"/>
          <w:highlight w:val="none"/>
        </w:rPr>
      </w:pPr>
      <w:r>
        <w:rPr>
          <w:rFonts w:hint="eastAsia" w:ascii="仿宋" w:hAnsi="仿宋" w:eastAsia="仿宋" w:cs="仿宋"/>
          <w:b/>
          <w:sz w:val="24"/>
          <w:highlight w:val="none"/>
        </w:rPr>
        <w:t>2.评分标准：</w:t>
      </w:r>
      <w:r>
        <w:rPr>
          <w:rFonts w:hint="eastAsia" w:ascii="仿宋" w:hAnsi="仿宋" w:eastAsia="仿宋" w:cs="仿宋"/>
          <w:sz w:val="24"/>
          <w:highlight w:val="none"/>
        </w:rPr>
        <w:t>共100分，其中商务技术分</w:t>
      </w:r>
      <w:r>
        <w:rPr>
          <w:rFonts w:hint="eastAsia" w:ascii="仿宋" w:hAnsi="仿宋" w:eastAsia="仿宋" w:cs="仿宋"/>
          <w:sz w:val="24"/>
          <w:highlight w:val="none"/>
          <w:u w:val="single"/>
          <w:lang w:val="en-US" w:eastAsia="zh-CN"/>
        </w:rPr>
        <w:t xml:space="preserve"> 85 </w:t>
      </w:r>
      <w:r>
        <w:rPr>
          <w:rFonts w:hint="eastAsia" w:ascii="仿宋" w:hAnsi="仿宋" w:eastAsia="仿宋" w:cs="仿宋"/>
          <w:sz w:val="24"/>
          <w:highlight w:val="none"/>
        </w:rPr>
        <w:t>分，价格分</w:t>
      </w:r>
      <w:r>
        <w:rPr>
          <w:rFonts w:hint="eastAsia" w:ascii="仿宋" w:hAnsi="仿宋" w:eastAsia="仿宋" w:cs="仿宋"/>
          <w:sz w:val="24"/>
          <w:highlight w:val="none"/>
          <w:u w:val="single"/>
          <w:lang w:val="en-US" w:eastAsia="zh-CN"/>
        </w:rPr>
        <w:t xml:space="preserve"> 15 </w:t>
      </w:r>
      <w:r>
        <w:rPr>
          <w:rFonts w:hint="eastAsia" w:ascii="仿宋" w:hAnsi="仿宋" w:eastAsia="仿宋" w:cs="仿宋"/>
          <w:sz w:val="24"/>
          <w:highlight w:val="none"/>
        </w:rPr>
        <w:t>分。评分依下述所列为评标打分依据，分值如下（计算分值时，按其算术平均值保留小数2位）。</w:t>
      </w:r>
    </w:p>
    <w:p>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仿宋" w:hAnsi="仿宋" w:eastAsia="仿宋" w:cs="仿宋"/>
          <w:b/>
          <w:bCs/>
          <w:iCs/>
          <w:sz w:val="24"/>
          <w:highlight w:val="none"/>
        </w:rPr>
      </w:pPr>
      <w:r>
        <w:rPr>
          <w:rFonts w:hint="eastAsia" w:ascii="仿宋" w:hAnsi="仿宋" w:eastAsia="仿宋" w:cs="仿宋"/>
          <w:b/>
          <w:bCs/>
          <w:iCs/>
          <w:sz w:val="24"/>
          <w:highlight w:val="none"/>
        </w:rPr>
        <w:t>2.1商务技术分（</w:t>
      </w:r>
      <w:r>
        <w:rPr>
          <w:rFonts w:hint="eastAsia" w:ascii="仿宋" w:hAnsi="仿宋" w:eastAsia="仿宋" w:cs="仿宋"/>
          <w:b/>
          <w:bCs/>
          <w:iCs/>
          <w:sz w:val="24"/>
          <w:highlight w:val="none"/>
          <w:u w:val="single"/>
          <w:lang w:val="en-US" w:eastAsia="zh-CN"/>
        </w:rPr>
        <w:t xml:space="preserve">  85 </w:t>
      </w:r>
      <w:r>
        <w:rPr>
          <w:rFonts w:hint="eastAsia" w:ascii="仿宋" w:hAnsi="仿宋" w:eastAsia="仿宋" w:cs="仿宋"/>
          <w:b/>
          <w:bCs/>
          <w:iCs/>
          <w:sz w:val="24"/>
          <w:highlight w:val="none"/>
        </w:rPr>
        <w:t>分）</w:t>
      </w:r>
    </w:p>
    <w:tbl>
      <w:tblPr>
        <w:tblStyle w:val="62"/>
        <w:tblpPr w:leftFromText="180" w:rightFromText="180" w:vertAnchor="text" w:horzAnchor="page" w:tblpX="1181" w:tblpY="137"/>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28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11" w:firstLineChars="100"/>
              <w:jc w:val="both"/>
              <w:rPr>
                <w:rFonts w:ascii="宋体" w:hAnsi="宋体"/>
                <w:b/>
                <w:color w:val="auto"/>
                <w:sz w:val="21"/>
                <w:szCs w:val="21"/>
                <w:highlight w:val="none"/>
              </w:rPr>
            </w:pPr>
            <w:r>
              <w:rPr>
                <w:rFonts w:hint="eastAsia" w:ascii="宋体" w:hAnsi="宋体"/>
                <w:b/>
                <w:color w:val="auto"/>
                <w:sz w:val="21"/>
                <w:szCs w:val="21"/>
                <w:highlight w:val="none"/>
              </w:rPr>
              <w:t>项目</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color w:val="auto"/>
                <w:sz w:val="21"/>
                <w:szCs w:val="21"/>
                <w:highlight w:val="none"/>
              </w:rPr>
            </w:pPr>
            <w:r>
              <w:rPr>
                <w:rFonts w:hint="eastAsia" w:ascii="宋体" w:hAnsi="宋体"/>
                <w:b/>
                <w:color w:val="auto"/>
                <w:sz w:val="21"/>
                <w:szCs w:val="21"/>
                <w:highlight w:val="none"/>
              </w:rPr>
              <w:t>评标内容及分值</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color w:val="auto"/>
                <w:sz w:val="21"/>
                <w:szCs w:val="21"/>
                <w:highlight w:val="none"/>
              </w:rPr>
            </w:pPr>
            <w:r>
              <w:rPr>
                <w:rFonts w:hint="eastAsia" w:ascii="宋体" w:hAnsi="宋体"/>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101"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投标人综合实力</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投标人具有满足检测工作需要的、独立的、固定的食品检测场地：实验室面积达到4000平方米以上，得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分，3000—4000平方米得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分，2000-3000平方米得1分；2000平方米以下不得分。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投标时提供相应的证明材料：①</w:t>
            </w:r>
            <w:r>
              <w:rPr>
                <w:rFonts w:hint="default" w:ascii="宋体" w:hAnsi="宋体" w:cs="宋体"/>
                <w:color w:val="auto"/>
                <w:sz w:val="21"/>
                <w:szCs w:val="21"/>
                <w:highlight w:val="none"/>
                <w:lang w:val="en-US" w:eastAsia="zh-CN"/>
              </w:rPr>
              <w:t>房屋产权证明或土地证明</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房屋租赁合同复印件；②实验室情况及彩色图片说明等。以上复印件加盖投标人公章。</w:t>
            </w:r>
            <w:r>
              <w:rPr>
                <w:rFonts w:hint="eastAsia" w:ascii="宋体" w:hAnsi="宋体" w:cs="宋体"/>
                <w:color w:val="auto"/>
                <w:sz w:val="21"/>
                <w:szCs w:val="21"/>
                <w:highlight w:val="none"/>
                <w:lang w:eastAsia="zh-CN"/>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tcBorders>
              <w:left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投标人</w:t>
            </w:r>
            <w:r>
              <w:rPr>
                <w:rFonts w:hint="eastAsia" w:ascii="宋体" w:hAnsi="宋体" w:eastAsia="宋体" w:cs="宋体"/>
                <w:color w:val="auto"/>
                <w:sz w:val="21"/>
                <w:szCs w:val="21"/>
                <w:highlight w:val="none"/>
              </w:rPr>
              <w:t>具有CNAS食品领域资质认定的</w:t>
            </w:r>
            <w:r>
              <w:rPr>
                <w:rFonts w:hint="eastAsia" w:ascii="宋体" w:hAnsi="宋体" w:eastAsia="宋体" w:cs="宋体"/>
                <w:color w:val="auto"/>
                <w:kern w:val="0"/>
                <w:sz w:val="21"/>
                <w:szCs w:val="21"/>
                <w:highlight w:val="none"/>
              </w:rPr>
              <w:t>，得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000000"/>
                <w:sz w:val="21"/>
                <w:szCs w:val="21"/>
                <w:highlight w:val="none"/>
              </w:rPr>
              <w:t>没有不得分。</w:t>
            </w:r>
          </w:p>
          <w:p>
            <w:pPr>
              <w:rPr>
                <w:rFonts w:ascii="宋体" w:hAnsi="宋体" w:cs="宋体"/>
                <w:color w:val="auto"/>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自20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年1月1日</w:t>
            </w:r>
            <w:r>
              <w:rPr>
                <w:rFonts w:hint="eastAsia" w:ascii="宋体" w:hAnsi="宋体" w:cs="宋体"/>
                <w:color w:val="000000"/>
                <w:sz w:val="21"/>
                <w:szCs w:val="21"/>
                <w:highlight w:val="none"/>
                <w:lang w:val="en-US" w:eastAsia="zh-CN"/>
              </w:rPr>
              <w:t>至今</w:t>
            </w:r>
            <w:r>
              <w:rPr>
                <w:rFonts w:hint="eastAsia" w:ascii="宋体" w:hAnsi="宋体" w:cs="宋体"/>
                <w:color w:val="000000"/>
                <w:sz w:val="21"/>
                <w:szCs w:val="21"/>
                <w:highlight w:val="none"/>
              </w:rPr>
              <w:t>参与起草制定食品相关全国行业标准</w:t>
            </w:r>
            <w:r>
              <w:rPr>
                <w:rFonts w:hint="eastAsia" w:ascii="宋体" w:hAnsi="宋体" w:cs="宋体"/>
                <w:color w:val="000000"/>
                <w:sz w:val="21"/>
                <w:szCs w:val="21"/>
                <w:highlight w:val="none"/>
                <w:lang w:val="en-US" w:eastAsia="zh-CN"/>
              </w:rPr>
              <w:t>或</w:t>
            </w:r>
            <w:r>
              <w:rPr>
                <w:rFonts w:hint="eastAsia" w:ascii="宋体" w:hAnsi="宋体" w:cs="宋体"/>
                <w:color w:val="000000"/>
                <w:sz w:val="21"/>
                <w:szCs w:val="21"/>
                <w:highlight w:val="none"/>
              </w:rPr>
              <w:t>地方标准</w:t>
            </w:r>
            <w:r>
              <w:rPr>
                <w:rFonts w:hint="eastAsia" w:ascii="宋体" w:hAnsi="宋体" w:cs="宋体"/>
                <w:color w:val="000000"/>
                <w:sz w:val="21"/>
                <w:szCs w:val="21"/>
                <w:highlight w:val="none"/>
                <w:lang w:eastAsia="zh-CN"/>
              </w:rPr>
              <w:t>的，</w:t>
            </w:r>
            <w:r>
              <w:rPr>
                <w:rFonts w:hint="eastAsia" w:ascii="宋体" w:hAnsi="宋体" w:cs="宋体"/>
                <w:color w:val="000000"/>
                <w:sz w:val="21"/>
                <w:szCs w:val="21"/>
                <w:highlight w:val="none"/>
                <w:lang w:val="en-US" w:eastAsia="zh-CN"/>
              </w:rPr>
              <w:t>得3分，</w:t>
            </w:r>
            <w:r>
              <w:rPr>
                <w:rFonts w:hint="eastAsia" w:ascii="宋体" w:hAnsi="宋体" w:cs="宋体"/>
                <w:color w:val="000000"/>
                <w:sz w:val="21"/>
                <w:szCs w:val="21"/>
                <w:highlight w:val="none"/>
              </w:rPr>
              <w:t>没有不得分。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投标时提供证书或证明材料复印件加盖投标人公章，否则不得分。</w:t>
            </w:r>
            <w:r>
              <w:rPr>
                <w:rFonts w:hint="eastAsia" w:ascii="宋体" w:hAnsi="宋体" w:cs="宋体"/>
                <w:color w:val="000000"/>
                <w:sz w:val="21"/>
                <w:szCs w:val="21"/>
                <w:highlight w:val="none"/>
                <w:lang w:eastAsia="zh-CN"/>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tcBorders>
              <w:left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拥有省级以上（含省级）食品检测</w:t>
            </w:r>
            <w:r>
              <w:rPr>
                <w:rFonts w:hint="eastAsia" w:ascii="宋体" w:hAnsi="宋体" w:eastAsia="宋体" w:cs="宋体"/>
                <w:color w:val="auto"/>
                <w:sz w:val="21"/>
                <w:szCs w:val="21"/>
                <w:highlight w:val="none"/>
                <w:lang w:eastAsia="zh-CN"/>
              </w:rPr>
              <w:t>企业研究院</w:t>
            </w:r>
            <w:r>
              <w:rPr>
                <w:rFonts w:hint="eastAsia" w:ascii="宋体" w:hAnsi="宋体" w:cs="宋体"/>
                <w:color w:val="auto"/>
                <w:sz w:val="21"/>
                <w:szCs w:val="21"/>
                <w:highlight w:val="none"/>
              </w:rPr>
              <w:t>、食品类国家级检测中心其中之一的得3分，没有不得分。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投标时提供证书或证明材料复印件加盖投标人公章，否则不得分。</w:t>
            </w:r>
            <w:r>
              <w:rPr>
                <w:rFonts w:hint="eastAsia" w:ascii="宋体" w:hAnsi="宋体" w:cs="宋体"/>
                <w:color w:val="auto"/>
                <w:sz w:val="21"/>
                <w:szCs w:val="21"/>
                <w:highlight w:val="none"/>
                <w:lang w:eastAsia="zh-CN"/>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tcBorders>
              <w:left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拥有地市级及以上食品相关重点实验室或重点创新团队或具有国家产业技术基础公共服务平台，得5分。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tcBorders>
              <w:left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取得食品安全数字化实验室B级及以上得2分，C级得1分</w:t>
            </w:r>
            <w:r>
              <w:rPr>
                <w:rFonts w:hint="eastAsia" w:ascii="宋体" w:hAnsi="宋体" w:eastAsia="宋体" w:cs="宋体"/>
                <w:color w:val="auto"/>
                <w:sz w:val="21"/>
                <w:szCs w:val="21"/>
                <w:highlight w:val="none"/>
              </w:rPr>
              <w:t>。</w:t>
            </w:r>
            <w:r>
              <w:rPr>
                <w:rFonts w:hint="eastAsia" w:cs="宋体"/>
                <w:color w:val="000000"/>
                <w:sz w:val="21"/>
                <w:szCs w:val="21"/>
                <w:highlight w:val="none"/>
              </w:rPr>
              <w:t>注：（1）提供登录平台的截屏；（2）提供相关证明材料。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01"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检测能力证明</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根据投标机构提供的资质认定（计量认证）证书附表批准的计量认证范围的检测产品/类别和参数进行评估得分，已取得的认证项目检验资质种类齐全的得满分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分，缺资质</w:t>
            </w:r>
            <w:r>
              <w:rPr>
                <w:rFonts w:hint="eastAsia" w:ascii="宋体" w:hAnsi="宋体" w:cs="宋体"/>
                <w:color w:val="auto"/>
                <w:sz w:val="21"/>
                <w:szCs w:val="21"/>
                <w:highlight w:val="none"/>
                <w:lang w:eastAsia="zh-CN"/>
              </w:rPr>
              <w:t>的，每个</w:t>
            </w:r>
            <w:r>
              <w:rPr>
                <w:rFonts w:hint="eastAsia" w:ascii="宋体" w:hAnsi="宋体" w:cs="宋体"/>
                <w:color w:val="auto"/>
                <w:sz w:val="21"/>
                <w:szCs w:val="21"/>
                <w:highlight w:val="none"/>
              </w:rPr>
              <w:t>项目减0.1分，扣完为止。</w:t>
            </w:r>
          </w:p>
          <w:p>
            <w:pPr>
              <w:spacing w:line="400" w:lineRule="exact"/>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投标单位必须提供：①自评材料。对照</w:t>
            </w:r>
            <w:r>
              <w:rPr>
                <w:rFonts w:hint="eastAsia" w:ascii="宋体" w:hAnsi="宋体"/>
                <w:b/>
                <w:color w:val="000000"/>
                <w:spacing w:val="6"/>
                <w:highlight w:val="none"/>
              </w:rPr>
              <w:t>202</w:t>
            </w:r>
            <w:r>
              <w:rPr>
                <w:rFonts w:hint="eastAsia" w:ascii="宋体" w:hAnsi="宋体"/>
                <w:b/>
                <w:color w:val="000000"/>
                <w:spacing w:val="6"/>
                <w:highlight w:val="none"/>
                <w:lang w:val="en-US" w:eastAsia="zh-CN"/>
              </w:rPr>
              <w:t>4</w:t>
            </w:r>
            <w:r>
              <w:rPr>
                <w:rFonts w:hint="eastAsia" w:ascii="宋体" w:hAnsi="宋体"/>
                <w:b/>
                <w:color w:val="000000"/>
                <w:spacing w:val="6"/>
                <w:highlight w:val="none"/>
              </w:rPr>
              <w:t>年度检验项目</w:t>
            </w:r>
            <w:r>
              <w:rPr>
                <w:rFonts w:hint="eastAsia" w:ascii="宋体" w:hAnsi="宋体"/>
                <w:b/>
                <w:color w:val="000000"/>
                <w:spacing w:val="6"/>
                <w:highlight w:val="none"/>
                <w:lang w:eastAsia="zh-CN"/>
              </w:rPr>
              <w:t>清单</w:t>
            </w:r>
            <w:r>
              <w:rPr>
                <w:rFonts w:hint="eastAsia" w:ascii="宋体" w:hAnsi="宋体" w:cs="宋体"/>
                <w:b w:val="0"/>
                <w:bCs w:val="0"/>
                <w:color w:val="auto"/>
                <w:sz w:val="21"/>
                <w:szCs w:val="21"/>
                <w:highlight w:val="none"/>
              </w:rPr>
              <w:t>，逐项一一对应投标人资质认定证书中对应的页码编号。②缺项明细承诺书。</w:t>
            </w:r>
          </w:p>
          <w:p>
            <w:pPr>
              <w:spacing w:line="400" w:lineRule="exact"/>
              <w:rPr>
                <w:rFonts w:ascii="宋体" w:hAnsi="宋体" w:cs="宋体"/>
                <w:color w:val="auto"/>
                <w:sz w:val="21"/>
                <w:szCs w:val="21"/>
                <w:highlight w:val="none"/>
              </w:rPr>
            </w:pPr>
            <w:r>
              <w:rPr>
                <w:rFonts w:hint="eastAsia" w:ascii="宋体" w:hAnsi="宋体" w:cs="宋体"/>
                <w:b w:val="0"/>
                <w:bCs w:val="0"/>
                <w:color w:val="auto"/>
                <w:sz w:val="21"/>
                <w:szCs w:val="21"/>
                <w:highlight w:val="none"/>
              </w:rPr>
              <w:t>不提供或提供不全的不得分。若提供虚假信息的，按相关规定严肃处理。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01" w:type="dxa"/>
            <w:vMerge w:val="continue"/>
            <w:tcBorders>
              <w:left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投标人自201</w:t>
            </w: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rPr>
              <w:t>年1月1日起至今参加中国合格评定国家认可委员会能力验证认可证书或省级及以上质监、市场监管、农业、食药监等相关部门组织的能力验证且结果满意的，每提供一份得0.3分，满分3分。（提供能力验证结果通知单复印件或行政部门满意度证明复印件加盖投标人公章，不提供不得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0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投标人自</w:t>
            </w:r>
            <w:r>
              <w:rPr>
                <w:rFonts w:hint="eastAsia" w:ascii="宋体" w:hAnsi="宋体" w:cs="宋体"/>
                <w:color w:val="auto"/>
                <w:sz w:val="21"/>
                <w:szCs w:val="21"/>
                <w:highlight w:val="none"/>
                <w:lang w:val="en-US" w:eastAsia="zh-CN"/>
              </w:rPr>
              <w:t>2020年以来承担与本项目相关的食品安全监督抽检项目工作，其中省级及以上任务每项得2分，最高得4分；承担地市级任务的每项得1分，最高得2分；县区级任务每项得0.5分，最高得1分。</w:t>
            </w:r>
          </w:p>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本项评分按投标人提供的最高业绩等级打分，各级间不累计加分。</w:t>
            </w:r>
          </w:p>
          <w:p>
            <w:pPr>
              <w:spacing w:line="40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投标时提供</w:t>
            </w:r>
            <w:r>
              <w:rPr>
                <w:rFonts w:hint="eastAsia" w:ascii="宋体" w:hAnsi="宋体" w:eastAsia="宋体" w:cs="宋体"/>
                <w:color w:val="auto"/>
                <w:sz w:val="21"/>
                <w:szCs w:val="21"/>
                <w:highlight w:val="none"/>
                <w:lang w:eastAsia="zh-CN"/>
              </w:rPr>
              <w:t>业绩合同和中标通知书</w:t>
            </w:r>
            <w:r>
              <w:rPr>
                <w:rFonts w:hint="eastAsia" w:ascii="宋体" w:hAnsi="宋体" w:cs="宋体"/>
                <w:color w:val="auto"/>
                <w:sz w:val="21"/>
                <w:szCs w:val="21"/>
                <w:highlight w:val="none"/>
              </w:rPr>
              <w:t>复印件加盖投标人公章，</w:t>
            </w:r>
            <w:r>
              <w:rPr>
                <w:rFonts w:hint="eastAsia" w:ascii="宋体" w:hAnsi="宋体" w:eastAsia="宋体" w:cs="宋体"/>
                <w:color w:val="auto"/>
                <w:sz w:val="21"/>
                <w:szCs w:val="21"/>
                <w:highlight w:val="none"/>
                <w:lang w:eastAsia="zh-CN"/>
              </w:rPr>
              <w:t>材料不全或不提供</w:t>
            </w:r>
            <w:r>
              <w:rPr>
                <w:rFonts w:hint="eastAsia" w:ascii="宋体" w:hAnsi="宋体" w:cs="宋体"/>
                <w:color w:val="auto"/>
                <w:sz w:val="21"/>
                <w:szCs w:val="21"/>
                <w:highlight w:val="none"/>
              </w:rPr>
              <w:t>不得分。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Merge w:val="restart"/>
            <w:tcBorders>
              <w:top w:val="single" w:color="auto" w:sz="4" w:space="0"/>
              <w:left w:val="single" w:color="auto" w:sz="4" w:space="0"/>
              <w:right w:val="single" w:color="auto" w:sz="4" w:space="0"/>
            </w:tcBorders>
            <w:noWrap w:val="0"/>
            <w:vAlign w:val="center"/>
          </w:tcPr>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技术实施方案综合评价及应急方案</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napToGrid w:val="0"/>
                <w:color w:val="000000"/>
                <w:sz w:val="21"/>
                <w:szCs w:val="21"/>
                <w:highlight w:val="none"/>
              </w:rPr>
            </w:pPr>
            <w:r>
              <w:rPr>
                <w:rFonts w:hint="eastAsia" w:ascii="宋体" w:hAnsi="宋体" w:cs="宋体"/>
                <w:snapToGrid w:val="0"/>
                <w:color w:val="000000"/>
                <w:sz w:val="21"/>
                <w:szCs w:val="21"/>
                <w:highlight w:val="none"/>
              </w:rPr>
              <w:t>从工作机制、质量管理体系、工作计划、实施方案、抽检工作保障、质量控制措施、数据信息报送、技术支撑响应</w:t>
            </w:r>
            <w:r>
              <w:rPr>
                <w:rFonts w:hint="eastAsia" w:ascii="宋体" w:hAnsi="宋体" w:cs="宋体"/>
                <w:snapToGrid w:val="0"/>
                <w:color w:val="000000"/>
                <w:sz w:val="21"/>
                <w:szCs w:val="21"/>
                <w:highlight w:val="none"/>
                <w:lang w:eastAsia="zh-CN"/>
              </w:rPr>
              <w:t>及</w:t>
            </w:r>
            <w:r>
              <w:rPr>
                <w:rFonts w:hint="eastAsia" w:ascii="宋体" w:hAnsi="宋体" w:cs="宋体"/>
                <w:snapToGrid w:val="0"/>
                <w:color w:val="000000"/>
                <w:sz w:val="21"/>
                <w:szCs w:val="21"/>
                <w:highlight w:val="none"/>
              </w:rPr>
              <w:t>提高不合格食品发现率措施等方面进行评审</w:t>
            </w:r>
            <w:r>
              <w:rPr>
                <w:rFonts w:hint="eastAsia" w:ascii="宋体" w:hAnsi="宋体" w:cs="宋体"/>
                <w:snapToGrid w:val="0"/>
                <w:color w:val="000000"/>
                <w:sz w:val="21"/>
                <w:szCs w:val="21"/>
                <w:highlight w:val="none"/>
                <w:lang w:val="en-US" w:eastAsia="zh-CN"/>
              </w:rPr>
              <w:t>打分</w:t>
            </w:r>
            <w:r>
              <w:rPr>
                <w:rFonts w:hint="eastAsia" w:ascii="宋体" w:hAnsi="宋体" w:cs="宋体"/>
                <w:snapToGrid w:val="0"/>
                <w:color w:val="000000"/>
                <w:sz w:val="21"/>
                <w:szCs w:val="21"/>
                <w:highlight w:val="none"/>
              </w:rPr>
              <w:t>（0-</w:t>
            </w:r>
            <w:r>
              <w:rPr>
                <w:rFonts w:hint="eastAsia" w:ascii="宋体" w:hAnsi="宋体" w:cs="宋体"/>
                <w:snapToGrid w:val="0"/>
                <w:color w:val="000000"/>
                <w:sz w:val="21"/>
                <w:szCs w:val="21"/>
                <w:highlight w:val="none"/>
                <w:lang w:val="en-US" w:eastAsia="zh-CN"/>
              </w:rPr>
              <w:t>8</w:t>
            </w:r>
            <w:r>
              <w:rPr>
                <w:rFonts w:hint="eastAsia" w:ascii="宋体" w:hAnsi="宋体" w:cs="宋体"/>
                <w:snapToGrid w:val="0"/>
                <w:color w:val="000000"/>
                <w:sz w:val="21"/>
                <w:szCs w:val="21"/>
                <w:highlight w:val="none"/>
              </w:rPr>
              <w:t>分）。</w:t>
            </w:r>
            <w:r>
              <w:rPr>
                <w:rFonts w:hint="eastAsia" w:ascii="宋体" w:hAnsi="宋体" w:eastAsia="宋体" w:cs="宋体"/>
                <w:color w:val="000000"/>
                <w:sz w:val="21"/>
                <w:szCs w:val="21"/>
                <w:highlight w:val="none"/>
              </w:rPr>
              <w:t>未提供此项内容的不得分。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8</w:t>
            </w:r>
            <w:r>
              <w:rPr>
                <w:rFonts w:hint="eastAsia" w:ascii="宋体" w:hAnsi="宋体" w:cs="宋体"/>
                <w:snapToGrid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tcBorders>
              <w:left w:val="single" w:color="auto" w:sz="4" w:space="0"/>
              <w:right w:val="single" w:color="auto" w:sz="4" w:space="0"/>
            </w:tcBorders>
            <w:noWrap w:val="0"/>
            <w:vAlign w:val="center"/>
          </w:tcPr>
          <w:p>
            <w:pPr>
              <w:spacing w:line="400" w:lineRule="exac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napToGrid w:val="0"/>
                <w:color w:val="000000"/>
                <w:sz w:val="21"/>
                <w:szCs w:val="21"/>
                <w:highlight w:val="none"/>
              </w:rPr>
            </w:pPr>
            <w:r>
              <w:rPr>
                <w:rFonts w:hint="eastAsia" w:ascii="宋体" w:hAnsi="宋体" w:cs="宋体"/>
                <w:snapToGrid w:val="0"/>
                <w:color w:val="000000"/>
                <w:sz w:val="21"/>
                <w:szCs w:val="21"/>
                <w:highlight w:val="none"/>
              </w:rPr>
              <w:t>应急预案：应急计划详细全面、应急方案合理、应急方案高效可行，评委根据投标人提供的应急预案材料酌情打分（0-</w:t>
            </w:r>
            <w:r>
              <w:rPr>
                <w:rFonts w:hint="eastAsia" w:ascii="宋体" w:hAnsi="宋体" w:cs="宋体"/>
                <w:snapToGrid w:val="0"/>
                <w:color w:val="000000"/>
                <w:sz w:val="21"/>
                <w:szCs w:val="21"/>
                <w:highlight w:val="none"/>
                <w:lang w:val="en-US" w:eastAsia="zh-CN"/>
              </w:rPr>
              <w:t>8</w:t>
            </w:r>
            <w:r>
              <w:rPr>
                <w:rFonts w:hint="eastAsia" w:ascii="宋体" w:hAnsi="宋体" w:cs="宋体"/>
                <w:snapToGrid w:val="0"/>
                <w:color w:val="000000"/>
                <w:sz w:val="21"/>
                <w:szCs w:val="21"/>
                <w:highlight w:val="none"/>
              </w:rPr>
              <w:t>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8</w:t>
            </w:r>
            <w:r>
              <w:rPr>
                <w:rFonts w:hint="eastAsia" w:ascii="宋体" w:hAnsi="宋体" w:cs="宋体"/>
                <w:snapToGrid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Merge w:val="continue"/>
            <w:tcBorders>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因本项目对应急抽检时效性要求较高，投标人能体现应急抽检服务到达采购人</w:t>
            </w:r>
            <w:r>
              <w:rPr>
                <w:rFonts w:hint="eastAsia" w:ascii="宋体" w:hAnsi="宋体" w:cs="宋体"/>
                <w:snapToGrid w:val="0"/>
                <w:color w:val="auto"/>
                <w:sz w:val="21"/>
                <w:szCs w:val="21"/>
                <w:highlight w:val="none"/>
                <w:lang w:val="en-US" w:eastAsia="zh-CN"/>
              </w:rPr>
              <w:t>单位</w:t>
            </w:r>
            <w:r>
              <w:rPr>
                <w:rFonts w:hint="eastAsia" w:ascii="宋体" w:hAnsi="宋体" w:cs="宋体"/>
                <w:snapToGrid w:val="0"/>
                <w:color w:val="auto"/>
                <w:sz w:val="21"/>
                <w:szCs w:val="21"/>
                <w:highlight w:val="none"/>
              </w:rPr>
              <w:t>的时效性，从实验室到达采购人单位所在地时间</w:t>
            </w:r>
            <w:r>
              <w:rPr>
                <w:rFonts w:ascii="宋体" w:hAnsi="宋体" w:cs="宋体"/>
                <w:snapToGrid w:val="0"/>
                <w:color w:val="auto"/>
                <w:sz w:val="21"/>
                <w:szCs w:val="21"/>
                <w:highlight w:val="none"/>
              </w:rPr>
              <w:t>≤0.5</w:t>
            </w:r>
            <w:r>
              <w:rPr>
                <w:rFonts w:hint="eastAsia" w:ascii="宋体" w:hAnsi="宋体" w:cs="宋体"/>
                <w:snapToGrid w:val="0"/>
                <w:color w:val="auto"/>
                <w:sz w:val="21"/>
                <w:szCs w:val="21"/>
                <w:highlight w:val="none"/>
              </w:rPr>
              <w:t>小时的得</w:t>
            </w:r>
            <w:r>
              <w:rPr>
                <w:rFonts w:hint="eastAsia" w:ascii="宋体" w:hAnsi="宋体" w:cs="宋体"/>
                <w:snapToGrid w:val="0"/>
                <w:color w:val="auto"/>
                <w:sz w:val="21"/>
                <w:szCs w:val="21"/>
                <w:highlight w:val="none"/>
                <w:lang w:val="en-US" w:eastAsia="zh-CN"/>
              </w:rPr>
              <w:t>10</w:t>
            </w:r>
            <w:r>
              <w:rPr>
                <w:rFonts w:hint="eastAsia" w:ascii="宋体" w:hAnsi="宋体" w:cs="宋体"/>
                <w:snapToGrid w:val="0"/>
                <w:color w:val="auto"/>
                <w:sz w:val="21"/>
                <w:szCs w:val="21"/>
                <w:highlight w:val="none"/>
              </w:rPr>
              <w:t>分；0.5小时＜到达采购人单位所在地时间</w:t>
            </w:r>
            <w:r>
              <w:rPr>
                <w:rFonts w:ascii="宋体" w:hAnsi="宋体" w:cs="宋体"/>
                <w:snapToGrid w:val="0"/>
                <w:color w:val="auto"/>
                <w:sz w:val="21"/>
                <w:szCs w:val="21"/>
                <w:highlight w:val="none"/>
              </w:rPr>
              <w:t>≤1.5</w:t>
            </w:r>
            <w:r>
              <w:rPr>
                <w:rFonts w:hint="eastAsia" w:ascii="宋体" w:hAnsi="宋体" w:cs="宋体"/>
                <w:snapToGrid w:val="0"/>
                <w:color w:val="auto"/>
                <w:sz w:val="21"/>
                <w:szCs w:val="21"/>
                <w:highlight w:val="none"/>
              </w:rPr>
              <w:t>小时的得</w:t>
            </w:r>
            <w:r>
              <w:rPr>
                <w:rFonts w:hint="eastAsia" w:ascii="宋体" w:hAnsi="宋体" w:cs="宋体"/>
                <w:snapToGrid w:val="0"/>
                <w:color w:val="auto"/>
                <w:sz w:val="21"/>
                <w:szCs w:val="21"/>
                <w:highlight w:val="none"/>
                <w:lang w:val="en-US" w:eastAsia="zh-CN"/>
              </w:rPr>
              <w:t>8</w:t>
            </w:r>
            <w:r>
              <w:rPr>
                <w:rFonts w:hint="eastAsia" w:ascii="宋体" w:hAnsi="宋体" w:cs="宋体"/>
                <w:snapToGrid w:val="0"/>
                <w:color w:val="auto"/>
                <w:sz w:val="21"/>
                <w:szCs w:val="21"/>
                <w:highlight w:val="none"/>
              </w:rPr>
              <w:t>分；1.5小时＜到达采购人单位所在地时间</w:t>
            </w:r>
            <w:r>
              <w:rPr>
                <w:rFonts w:ascii="宋体" w:hAnsi="宋体" w:cs="宋体"/>
                <w:snapToGrid w:val="0"/>
                <w:color w:val="auto"/>
                <w:sz w:val="21"/>
                <w:szCs w:val="21"/>
                <w:highlight w:val="none"/>
              </w:rPr>
              <w:t>≤2.5</w:t>
            </w:r>
            <w:r>
              <w:rPr>
                <w:rFonts w:hint="eastAsia" w:ascii="宋体" w:hAnsi="宋体" w:cs="宋体"/>
                <w:snapToGrid w:val="0"/>
                <w:color w:val="auto"/>
                <w:sz w:val="21"/>
                <w:szCs w:val="21"/>
                <w:highlight w:val="none"/>
              </w:rPr>
              <w:t>小时的得</w:t>
            </w:r>
            <w:r>
              <w:rPr>
                <w:rFonts w:hint="eastAsia" w:ascii="宋体" w:hAnsi="宋体" w:cs="宋体"/>
                <w:snapToGrid w:val="0"/>
                <w:color w:val="auto"/>
                <w:sz w:val="21"/>
                <w:szCs w:val="21"/>
                <w:highlight w:val="none"/>
                <w:lang w:val="en-US" w:eastAsia="zh-CN"/>
              </w:rPr>
              <w:t>4</w:t>
            </w:r>
            <w:r>
              <w:rPr>
                <w:rFonts w:hint="eastAsia" w:ascii="宋体" w:hAnsi="宋体" w:cs="宋体"/>
                <w:snapToGrid w:val="0"/>
                <w:color w:val="auto"/>
                <w:sz w:val="21"/>
                <w:szCs w:val="21"/>
                <w:highlight w:val="none"/>
              </w:rPr>
              <w:t>分；到达采购人单位所在地时间＞2.5小时的不得分。投标时提供相关证明材料加盖投标人公章。</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10</w:t>
            </w:r>
            <w:r>
              <w:rPr>
                <w:rFonts w:hint="eastAsia" w:ascii="宋体" w:hAnsi="宋体" w:cs="宋体"/>
                <w:snapToGrid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社会影响力</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2019年1月1日起为各地食品药品监管部门或其他政府部门提供具社会重大影响力的食品安全事件技术支撑情况</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每个得1分，共2分。（提供相关单位证明材料复印件加盖投标人公章，不提供不得分）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1101" w:type="dxa"/>
            <w:vMerge w:val="restart"/>
            <w:tcBorders>
              <w:top w:val="single" w:color="auto" w:sz="4" w:space="0"/>
              <w:left w:val="single" w:color="auto" w:sz="4" w:space="0"/>
              <w:right w:val="single" w:color="auto" w:sz="4" w:space="0"/>
            </w:tcBorders>
            <w:noWrap w:val="0"/>
            <w:vAlign w:val="center"/>
          </w:tcPr>
          <w:p>
            <w:pPr>
              <w:spacing w:line="400" w:lineRule="exact"/>
              <w:jc w:val="both"/>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检测及采样设备配置</w:t>
            </w:r>
          </w:p>
        </w:tc>
        <w:tc>
          <w:tcPr>
            <w:tcW w:w="7285"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根据投标人的检测仪器设备，是否能满足大批量样品的检测周期需要情况进行评分：</w:t>
            </w:r>
          </w:p>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1、有满足检测需求的液质联用仪、气质联用仪、液相色谱、气相色谱仪、原子吸收分光光度计、原子荧光分光光度计等检测仪器设备是否充足，是否满足大批量样品的检测周期需要，进行打分（0-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2、评委根据投标人拟投入本项目的检测及采样设备的完整性、先进行和可靠性进行综合评定。（0—</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eastAsia="宋体" w:cs="宋体"/>
                <w:color w:val="auto"/>
                <w:sz w:val="21"/>
                <w:szCs w:val="21"/>
                <w:highlight w:val="none"/>
              </w:rPr>
              <w:t xml:space="preserve"> </w:t>
            </w:r>
          </w:p>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必须提供仪器相关证明材料，如</w:t>
            </w:r>
            <w:r>
              <w:rPr>
                <w:rFonts w:hint="eastAsia" w:ascii="宋体" w:hAnsi="宋体" w:cs="宋体"/>
                <w:color w:val="auto"/>
                <w:sz w:val="21"/>
                <w:szCs w:val="21"/>
                <w:highlight w:val="none"/>
                <w:lang w:val="en-US" w:eastAsia="zh-CN"/>
              </w:rPr>
              <w:t>有效期内</w:t>
            </w:r>
            <w:r>
              <w:rPr>
                <w:rFonts w:hint="eastAsia" w:ascii="宋体" w:hAnsi="宋体" w:cs="宋体"/>
                <w:color w:val="auto"/>
                <w:sz w:val="21"/>
                <w:szCs w:val="21"/>
                <w:highlight w:val="none"/>
              </w:rPr>
              <w:t>计量</w:t>
            </w:r>
            <w:r>
              <w:rPr>
                <w:rFonts w:hint="eastAsia" w:ascii="宋体" w:hAnsi="宋体" w:eastAsia="宋体" w:cs="宋体"/>
                <w:color w:val="auto"/>
                <w:sz w:val="21"/>
                <w:szCs w:val="21"/>
                <w:highlight w:val="none"/>
                <w:lang w:eastAsia="zh-CN"/>
              </w:rPr>
              <w:t>检定校准</w:t>
            </w:r>
            <w:r>
              <w:rPr>
                <w:rFonts w:hint="eastAsia" w:ascii="宋体" w:hAnsi="宋体" w:cs="宋体"/>
                <w:color w:val="auto"/>
                <w:sz w:val="21"/>
                <w:szCs w:val="21"/>
                <w:highlight w:val="none"/>
              </w:rPr>
              <w:t>证明、发票复印件或采购合同</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租赁</w:t>
            </w:r>
            <w:r>
              <w:rPr>
                <w:rFonts w:hint="eastAsia" w:ascii="宋体" w:hAnsi="宋体" w:eastAsia="宋体" w:cs="宋体"/>
                <w:color w:val="auto"/>
                <w:kern w:val="0"/>
                <w:sz w:val="21"/>
                <w:szCs w:val="21"/>
                <w:highlight w:val="none"/>
                <w:lang w:val="en-US" w:eastAsia="zh-CN"/>
              </w:rPr>
              <w:t>合同</w:t>
            </w:r>
            <w:r>
              <w:rPr>
                <w:rFonts w:hint="eastAsia" w:ascii="宋体" w:hAnsi="宋体" w:cs="宋体"/>
                <w:color w:val="auto"/>
                <w:sz w:val="21"/>
                <w:szCs w:val="21"/>
                <w:highlight w:val="none"/>
              </w:rPr>
              <w:t>等其他证明材料复印件加盖投标人公章</w:t>
            </w:r>
            <w:r>
              <w:rPr>
                <w:rFonts w:hint="eastAsia" w:ascii="宋体" w:hAnsi="宋体" w:cs="宋体"/>
                <w:color w:val="auto"/>
                <w:sz w:val="21"/>
                <w:szCs w:val="21"/>
                <w:highlight w:val="none"/>
                <w:lang w:eastAsia="zh-CN"/>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01" w:type="dxa"/>
            <w:vMerge w:val="continue"/>
            <w:tcBorders>
              <w:left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具备专业车辆：</w:t>
            </w:r>
          </w:p>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1、配备具有冷藏冷冻功能采样车辆的得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rPr>
              <w:t>分，没有不得分；</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2、配备采样车辆</w:t>
            </w: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rPr>
              <w:t>辆（含）以上的，得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rPr>
              <w:t>辆得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rPr>
              <w:t>分，</w:t>
            </w:r>
            <w:r>
              <w:rPr>
                <w:rFonts w:hint="eastAsia" w:ascii="宋体" w:hAnsi="宋体" w:eastAsia="宋体" w:cs="宋体"/>
                <w:color w:val="auto"/>
                <w:sz w:val="21"/>
                <w:szCs w:val="21"/>
                <w:highlight w:val="none"/>
                <w:lang w:val="en-US" w:eastAsia="zh-CN"/>
              </w:rPr>
              <w:t>3辆以下</w:t>
            </w:r>
            <w:r>
              <w:rPr>
                <w:rFonts w:hint="eastAsia" w:ascii="宋体" w:hAnsi="宋体" w:cs="宋体"/>
                <w:color w:val="auto"/>
                <w:sz w:val="21"/>
                <w:szCs w:val="21"/>
                <w:highlight w:val="none"/>
              </w:rPr>
              <w:t>不得分；</w:t>
            </w:r>
          </w:p>
          <w:p>
            <w:pPr>
              <w:pStyle w:val="701"/>
              <w:ind w:left="0" w:leftChars="0" w:firstLine="0" w:firstLineChars="0"/>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0"/>
                <w:sz w:val="21"/>
                <w:szCs w:val="21"/>
                <w:highlight w:val="none"/>
              </w:rPr>
              <w:t>租赁车辆必须跟出租单位签订合同并在本项目服务期内有效</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不满足不予认可。</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kern w:val="0"/>
                <w:sz w:val="21"/>
                <w:szCs w:val="21"/>
                <w:highlight w:val="none"/>
              </w:rPr>
              <w:t>相关证明材料复印件加盖投标</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rPr>
              <w:t>公章</w:t>
            </w:r>
            <w:r>
              <w:rPr>
                <w:rFonts w:hint="eastAsia" w:ascii="宋体" w:hAnsi="宋体" w:eastAsia="宋体" w:cs="宋体"/>
                <w:color w:val="auto"/>
                <w:sz w:val="21"/>
                <w:szCs w:val="21"/>
                <w:highlight w:val="none"/>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01"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投标人实验室所在地是否建有冷藏食品保存专用冷库情况：建有冷藏食品保存专用冷库的得2分，未建有的得0分。（必须提供冷库照片及装修合同、发票的复印件加盖投标人公章）</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人员配备</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 w:val="21"/>
                <w:szCs w:val="21"/>
                <w:highlight w:val="none"/>
                <w:lang w:eastAsia="zh-CN"/>
              </w:rPr>
            </w:pPr>
            <w:r>
              <w:rPr>
                <w:rFonts w:hint="eastAsia" w:ascii="宋体" w:hAnsi="宋体"/>
                <w:color w:val="auto"/>
                <w:sz w:val="21"/>
                <w:szCs w:val="21"/>
                <w:highlight w:val="none"/>
              </w:rPr>
              <w:t>项目负责人必须</w:t>
            </w:r>
            <w:r>
              <w:rPr>
                <w:rFonts w:hint="eastAsia" w:ascii="宋体" w:hAnsi="宋体" w:cs="宋体"/>
                <w:color w:val="auto"/>
                <w:sz w:val="21"/>
                <w:szCs w:val="21"/>
                <w:highlight w:val="none"/>
              </w:rPr>
              <w:t>为本单位在职人员，项目负责人有教授级高工职称</w:t>
            </w:r>
            <w:r>
              <w:rPr>
                <w:rFonts w:ascii="宋体" w:hAnsi="宋体" w:cs="宋体"/>
                <w:color w:val="auto"/>
                <w:sz w:val="21"/>
                <w:szCs w:val="21"/>
                <w:highlight w:val="none"/>
              </w:rPr>
              <w:t>3</w:t>
            </w:r>
            <w:r>
              <w:rPr>
                <w:rFonts w:hint="eastAsia" w:ascii="宋体" w:hAnsi="宋体" w:cs="宋体"/>
                <w:color w:val="auto"/>
                <w:sz w:val="21"/>
                <w:szCs w:val="21"/>
                <w:highlight w:val="none"/>
              </w:rPr>
              <w:t>分，副高职称得</w:t>
            </w:r>
            <w:r>
              <w:rPr>
                <w:rFonts w:ascii="宋体" w:hAnsi="宋体" w:cs="宋体"/>
                <w:color w:val="auto"/>
                <w:sz w:val="21"/>
                <w:szCs w:val="21"/>
                <w:highlight w:val="none"/>
              </w:rPr>
              <w:t>1</w:t>
            </w:r>
            <w:r>
              <w:rPr>
                <w:rFonts w:hint="eastAsia" w:ascii="宋体" w:hAnsi="宋体" w:cs="宋体"/>
                <w:color w:val="auto"/>
                <w:sz w:val="21"/>
                <w:szCs w:val="21"/>
                <w:highlight w:val="none"/>
              </w:rPr>
              <w:t>分，其余不得分</w:t>
            </w:r>
            <w:r>
              <w:rPr>
                <w:rFonts w:hint="eastAsia" w:ascii="宋体" w:hAnsi="宋体" w:cs="宋体"/>
                <w:color w:val="auto"/>
                <w:sz w:val="21"/>
                <w:szCs w:val="21"/>
                <w:highlight w:val="none"/>
                <w:lang w:eastAsia="zh-CN"/>
              </w:rPr>
              <w:t>。</w:t>
            </w:r>
          </w:p>
          <w:p>
            <w:pPr>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投标时在投标文件中提供职称证书复印件及近</w:t>
            </w:r>
            <w:r>
              <w:rPr>
                <w:rFonts w:ascii="宋体" w:hAnsi="宋体" w:cs="宋体"/>
                <w:color w:val="auto"/>
                <w:sz w:val="21"/>
                <w:szCs w:val="21"/>
                <w:highlight w:val="none"/>
              </w:rPr>
              <w:t>6</w:t>
            </w:r>
            <w:r>
              <w:rPr>
                <w:rFonts w:hint="eastAsia" w:ascii="宋体" w:hAnsi="宋体" w:cs="宋体"/>
                <w:color w:val="auto"/>
                <w:sz w:val="21"/>
                <w:szCs w:val="21"/>
                <w:highlight w:val="none"/>
              </w:rPr>
              <w:t>个月社保机构出具的投标人为</w:t>
            </w:r>
            <w:r>
              <w:rPr>
                <w:rFonts w:hint="eastAsia" w:ascii="宋体" w:hAnsi="宋体" w:cs="宋体"/>
                <w:color w:val="auto"/>
                <w:sz w:val="21"/>
                <w:szCs w:val="21"/>
                <w:highlight w:val="none"/>
                <w:lang w:eastAsia="zh-CN"/>
              </w:rPr>
              <w:t>其</w:t>
            </w:r>
            <w:r>
              <w:rPr>
                <w:rFonts w:hint="eastAsia" w:ascii="宋体" w:hAnsi="宋体" w:cs="宋体"/>
                <w:color w:val="auto"/>
                <w:sz w:val="21"/>
                <w:szCs w:val="21"/>
                <w:highlight w:val="none"/>
              </w:rPr>
              <w:t>缴纳的社保证明材料复印件加盖投标人公章。</w:t>
            </w:r>
          </w:p>
        </w:tc>
        <w:tc>
          <w:tcPr>
            <w:tcW w:w="900"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sz w:val="21"/>
                <w:szCs w:val="21"/>
                <w:highlight w:val="none"/>
              </w:rPr>
            </w:pP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sz w:val="21"/>
                <w:szCs w:val="21"/>
                <w:highlight w:val="none"/>
              </w:rPr>
            </w:pPr>
            <w:r>
              <w:rPr>
                <w:rFonts w:hint="eastAsia"/>
                <w:sz w:val="21"/>
                <w:szCs w:val="21"/>
                <w:highlight w:val="none"/>
              </w:rPr>
              <w:t>投标人针对本项目拟投入的人员配置方案，</w:t>
            </w:r>
            <w:r>
              <w:rPr>
                <w:rFonts w:hint="eastAsia" w:eastAsia="宋体"/>
                <w:sz w:val="21"/>
                <w:szCs w:val="21"/>
                <w:highlight w:val="none"/>
                <w:lang w:eastAsia="zh-CN"/>
              </w:rPr>
              <w:t>包括抽检</w:t>
            </w:r>
            <w:r>
              <w:rPr>
                <w:rFonts w:hint="eastAsia"/>
                <w:sz w:val="21"/>
                <w:szCs w:val="21"/>
                <w:highlight w:val="none"/>
              </w:rPr>
              <w:t>人员的职称、经验，所投入人员的合理性、针对性、专业性</w:t>
            </w:r>
            <w:r>
              <w:rPr>
                <w:rFonts w:hint="eastAsia" w:eastAsia="宋体"/>
                <w:sz w:val="21"/>
                <w:szCs w:val="21"/>
                <w:highlight w:val="none"/>
                <w:lang w:eastAsia="zh-CN"/>
              </w:rPr>
              <w:t>，售后服务人员的配置情况</w:t>
            </w:r>
            <w:r>
              <w:rPr>
                <w:rFonts w:hint="eastAsia"/>
                <w:sz w:val="21"/>
                <w:szCs w:val="21"/>
                <w:highlight w:val="none"/>
              </w:rPr>
              <w:t>等方面。（提供人员名单及相关人员由投标人为其缴纳的六个月社保证明复印件加盖投标人公章，不提供不得分）。（</w:t>
            </w:r>
            <w:r>
              <w:rPr>
                <w:rFonts w:hint="eastAsia" w:eastAsia="宋体"/>
                <w:sz w:val="21"/>
                <w:szCs w:val="21"/>
                <w:highlight w:val="none"/>
                <w:lang w:eastAsia="zh-CN"/>
              </w:rPr>
              <w:t>实行</w:t>
            </w:r>
            <w:r>
              <w:rPr>
                <w:rFonts w:hint="eastAsia"/>
                <w:sz w:val="21"/>
                <w:szCs w:val="21"/>
                <w:highlight w:val="none"/>
              </w:rPr>
              <w:t>抽检分离，</w:t>
            </w:r>
            <w:r>
              <w:rPr>
                <w:rFonts w:hint="eastAsia" w:eastAsia="宋体"/>
                <w:sz w:val="21"/>
                <w:szCs w:val="21"/>
                <w:highlight w:val="none"/>
                <w:lang w:eastAsia="zh-CN"/>
              </w:rPr>
              <w:t>检测与采样为</w:t>
            </w:r>
            <w:r>
              <w:rPr>
                <w:rFonts w:hint="eastAsia"/>
                <w:sz w:val="21"/>
                <w:szCs w:val="21"/>
                <w:highlight w:val="none"/>
              </w:rPr>
              <w:t>同一人</w:t>
            </w:r>
            <w:r>
              <w:rPr>
                <w:rFonts w:hint="eastAsia" w:eastAsia="宋体"/>
                <w:sz w:val="21"/>
                <w:szCs w:val="21"/>
                <w:highlight w:val="none"/>
                <w:lang w:eastAsia="zh-CN"/>
              </w:rPr>
              <w:t>的</w:t>
            </w:r>
            <w:r>
              <w:rPr>
                <w:rFonts w:hint="eastAsia"/>
                <w:sz w:val="21"/>
                <w:szCs w:val="21"/>
                <w:highlight w:val="none"/>
              </w:rPr>
              <w:t>不得重复计分）</w:t>
            </w:r>
          </w:p>
          <w:p>
            <w:pPr>
              <w:numPr>
                <w:ilvl w:val="0"/>
                <w:numId w:val="3"/>
              </w:numPr>
              <w:spacing w:line="400" w:lineRule="exact"/>
              <w:rPr>
                <w:sz w:val="21"/>
                <w:szCs w:val="21"/>
                <w:highlight w:val="none"/>
              </w:rPr>
            </w:pPr>
            <w:r>
              <w:rPr>
                <w:rFonts w:hint="eastAsia"/>
                <w:sz w:val="21"/>
                <w:szCs w:val="21"/>
                <w:highlight w:val="none"/>
              </w:rPr>
              <w:t>检测人员40名以上</w:t>
            </w:r>
            <w:r>
              <w:rPr>
                <w:rFonts w:hint="eastAsia"/>
                <w:sz w:val="21"/>
                <w:szCs w:val="21"/>
                <w:highlight w:val="none"/>
                <w:lang w:eastAsia="zh-CN"/>
              </w:rPr>
              <w:t>得</w:t>
            </w:r>
            <w:r>
              <w:rPr>
                <w:rFonts w:hint="eastAsia"/>
                <w:sz w:val="21"/>
                <w:szCs w:val="21"/>
                <w:highlight w:val="none"/>
              </w:rPr>
              <w:t>1分，20-40名得0.5分，20名以下不得分；</w:t>
            </w:r>
          </w:p>
          <w:p>
            <w:pPr>
              <w:numPr>
                <w:ilvl w:val="0"/>
                <w:numId w:val="3"/>
              </w:numPr>
              <w:spacing w:line="400" w:lineRule="exact"/>
              <w:rPr>
                <w:rFonts w:hint="eastAsia" w:eastAsia="宋体"/>
                <w:sz w:val="21"/>
                <w:szCs w:val="21"/>
                <w:highlight w:val="none"/>
                <w:lang w:eastAsia="zh-CN"/>
              </w:rPr>
            </w:pPr>
            <w:r>
              <w:rPr>
                <w:rFonts w:hint="eastAsia"/>
                <w:sz w:val="21"/>
                <w:szCs w:val="21"/>
                <w:highlight w:val="none"/>
              </w:rPr>
              <w:t>采样人员10名以上的得1分，5-10名得0.5分，5名以下不得分。</w:t>
            </w:r>
          </w:p>
          <w:p>
            <w:pPr>
              <w:numPr>
                <w:ilvl w:val="0"/>
                <w:numId w:val="3"/>
              </w:numPr>
              <w:spacing w:line="400" w:lineRule="exact"/>
              <w:rPr>
                <w:rFonts w:hint="eastAsia" w:eastAsia="宋体"/>
                <w:sz w:val="21"/>
                <w:szCs w:val="21"/>
                <w:highlight w:val="none"/>
                <w:lang w:eastAsia="zh-CN"/>
              </w:rPr>
            </w:pPr>
            <w:r>
              <w:rPr>
                <w:rFonts w:hint="eastAsia" w:eastAsia="宋体"/>
                <w:sz w:val="21"/>
                <w:szCs w:val="21"/>
                <w:highlight w:val="none"/>
                <w:lang w:eastAsia="zh-CN"/>
              </w:rPr>
              <w:t>采样人员参与过国家市场监督管理总局</w:t>
            </w:r>
            <w:r>
              <w:rPr>
                <w:rFonts w:hint="eastAsia"/>
                <w:sz w:val="21"/>
                <w:szCs w:val="21"/>
                <w:highlight w:val="none"/>
                <w:lang w:eastAsia="zh-CN"/>
              </w:rPr>
              <w:t>或省局</w:t>
            </w:r>
            <w:r>
              <w:rPr>
                <w:rFonts w:hint="eastAsia" w:eastAsia="宋体"/>
                <w:sz w:val="21"/>
                <w:szCs w:val="21"/>
                <w:highlight w:val="none"/>
                <w:lang w:eastAsia="zh-CN"/>
              </w:rPr>
              <w:t>组织的抽检监测培训的得</w:t>
            </w:r>
            <w:r>
              <w:rPr>
                <w:rFonts w:hint="eastAsia" w:eastAsia="宋体"/>
                <w:sz w:val="21"/>
                <w:szCs w:val="21"/>
                <w:highlight w:val="none"/>
                <w:lang w:val="en-US" w:eastAsia="zh-CN"/>
              </w:rPr>
              <w:t>1分，最高得1分。（提供</w:t>
            </w:r>
            <w:r>
              <w:rPr>
                <w:rFonts w:hint="eastAsia"/>
                <w:sz w:val="21"/>
                <w:szCs w:val="21"/>
                <w:highlight w:val="none"/>
                <w:lang w:val="en-US" w:eastAsia="zh-CN"/>
              </w:rPr>
              <w:t>参训通知、照片、</w:t>
            </w:r>
            <w:r>
              <w:rPr>
                <w:rFonts w:hint="eastAsia" w:eastAsia="宋体"/>
                <w:sz w:val="21"/>
                <w:szCs w:val="21"/>
                <w:highlight w:val="none"/>
                <w:lang w:val="en-US" w:eastAsia="zh-CN"/>
              </w:rPr>
              <w:t>培训证书复印件并加盖公章）</w:t>
            </w:r>
          </w:p>
          <w:p>
            <w:pPr>
              <w:numPr>
                <w:ilvl w:val="0"/>
                <w:numId w:val="3"/>
              </w:numPr>
              <w:spacing w:line="400" w:lineRule="exact"/>
              <w:rPr>
                <w:rFonts w:hint="eastAsia" w:eastAsia="宋体"/>
                <w:sz w:val="21"/>
                <w:szCs w:val="21"/>
                <w:highlight w:val="none"/>
                <w:lang w:val="en-US" w:eastAsia="zh-CN"/>
              </w:rPr>
            </w:pPr>
            <w:r>
              <w:rPr>
                <w:rFonts w:hint="eastAsia" w:eastAsia="宋体"/>
                <w:sz w:val="21"/>
                <w:szCs w:val="21"/>
                <w:highlight w:val="none"/>
                <w:lang w:val="en-US" w:eastAsia="zh-CN"/>
              </w:rPr>
              <w:t>为本项目配备3名及以上专业售后服务管理师的，得1分。（提供人员证书复印件并加盖公章）</w:t>
            </w:r>
          </w:p>
          <w:p>
            <w:pPr>
              <w:numPr>
                <w:ilvl w:val="0"/>
                <w:numId w:val="3"/>
              </w:numPr>
              <w:spacing w:line="400" w:lineRule="exact"/>
              <w:rPr>
                <w:rFonts w:hint="eastAsia"/>
                <w:highlight w:val="none"/>
                <w:lang w:eastAsia="zh-CN"/>
              </w:rPr>
            </w:pPr>
            <w:r>
              <w:rPr>
                <w:rFonts w:hint="default" w:eastAsia="宋体"/>
                <w:sz w:val="21"/>
                <w:szCs w:val="21"/>
                <w:highlight w:val="none"/>
                <w:lang w:val="en-US" w:eastAsia="zh-CN"/>
              </w:rPr>
              <w:t>具有国家或省级资质认定评审员的，得1分。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检测质量措施</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评委根据投标人针对本项目检测质量保证方案、质量保障措施及投标人内部质量控制制度等方案的合理性、可行性打分，0-</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w:t>
            </w:r>
            <w:r>
              <w:rPr>
                <w:rFonts w:hint="eastAsia" w:ascii="宋体" w:hAnsi="宋体" w:cs="宋体"/>
                <w:color w:val="000000"/>
                <w:sz w:val="21"/>
                <w:szCs w:val="21"/>
                <w:highlight w:val="none"/>
                <w:lang w:eastAsia="zh-CN"/>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售后服务</w:t>
            </w:r>
          </w:p>
        </w:tc>
        <w:tc>
          <w:tcPr>
            <w:tcW w:w="72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s="宋体"/>
                <w:color w:val="000000"/>
                <w:sz w:val="21"/>
                <w:szCs w:val="21"/>
                <w:highlight w:val="none"/>
              </w:rPr>
            </w:pPr>
            <w:r>
              <w:rPr>
                <w:rFonts w:hint="eastAsia" w:ascii="宋体" w:hAnsi="宋体" w:cs="宋体"/>
                <w:color w:val="000000"/>
                <w:sz w:val="21"/>
                <w:szCs w:val="21"/>
                <w:highlight w:val="none"/>
              </w:rPr>
              <w:t>评委根据投标人针对本项目售后服务方案、售后服务承诺、其他优惠措施及承诺、提供的额外增值服务力度等情况由评委酌情打分，0-</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r>
    </w:tbl>
    <w:p>
      <w:pPr>
        <w:rPr>
          <w:rFonts w:hint="eastAsia"/>
          <w:highlight w:val="none"/>
        </w:rPr>
      </w:pPr>
    </w:p>
    <w:p>
      <w:pPr>
        <w:keepNext w:val="0"/>
        <w:keepLines w:val="0"/>
        <w:pageBreakBefore w:val="0"/>
        <w:kinsoku/>
        <w:wordWrap/>
        <w:overflowPunct/>
        <w:topLinePunct w:val="0"/>
        <w:bidi w:val="0"/>
        <w:adjustRightInd w:val="0"/>
        <w:snapToGrid w:val="0"/>
        <w:spacing w:line="440" w:lineRule="exact"/>
        <w:textAlignment w:val="auto"/>
        <w:rPr>
          <w:rFonts w:hint="eastAsia" w:ascii="仿宋" w:hAnsi="仿宋" w:eastAsia="仿宋" w:cs="仿宋"/>
          <w:sz w:val="24"/>
          <w:highlight w:val="none"/>
        </w:rPr>
      </w:pPr>
      <w:r>
        <w:rPr>
          <w:rFonts w:hint="eastAsia" w:ascii="仿宋" w:hAnsi="仿宋" w:eastAsia="仿宋" w:cs="仿宋"/>
          <w:sz w:val="20"/>
          <w:szCs w:val="20"/>
          <w:highlight w:val="none"/>
          <w:shd w:val="clear" w:color="auto" w:fill="FFFFFF"/>
        </w:rPr>
        <w:t> </w:t>
      </w:r>
      <w:r>
        <w:rPr>
          <w:rFonts w:hint="eastAsia" w:ascii="仿宋" w:hAnsi="仿宋" w:eastAsia="仿宋" w:cs="仿宋"/>
          <w:b/>
          <w:sz w:val="24"/>
          <w:highlight w:val="none"/>
        </w:rPr>
        <w:t>备注：</w:t>
      </w:r>
      <w:r>
        <w:rPr>
          <w:rFonts w:hint="eastAsia" w:ascii="仿宋" w:hAnsi="仿宋" w:eastAsia="仿宋" w:cs="仿宋"/>
          <w:sz w:val="24"/>
          <w:highlight w:val="none"/>
        </w:rPr>
        <w:t>投标人编制投标文件（商务技术文件部分）时，建议按此目录（序号和内容）提供评标标准相应的商务技术资料。 </w:t>
      </w:r>
    </w:p>
    <w:p>
      <w:pPr>
        <w:keepNext w:val="0"/>
        <w:keepLines w:val="0"/>
        <w:pageBreakBefore w:val="0"/>
        <w:kinsoku/>
        <w:wordWrap/>
        <w:overflowPunct/>
        <w:topLinePunct w:val="0"/>
        <w:bidi w:val="0"/>
        <w:adjustRightInd w:val="0"/>
        <w:spacing w:line="440" w:lineRule="exact"/>
        <w:textAlignment w:val="auto"/>
        <w:rPr>
          <w:rFonts w:hint="eastAsia" w:ascii="仿宋" w:hAnsi="仿宋" w:eastAsia="仿宋" w:cs="仿宋"/>
          <w:b/>
          <w:bCs/>
          <w:iCs/>
          <w:sz w:val="24"/>
          <w:highlight w:val="none"/>
        </w:rPr>
      </w:pPr>
      <w:r>
        <w:rPr>
          <w:rFonts w:hint="eastAsia" w:ascii="仿宋" w:hAnsi="仿宋" w:eastAsia="仿宋" w:cs="仿宋"/>
          <w:b/>
          <w:bCs/>
          <w:iCs/>
          <w:sz w:val="24"/>
          <w:highlight w:val="none"/>
        </w:rPr>
        <w:t>2.2价格分（</w:t>
      </w:r>
      <w:r>
        <w:rPr>
          <w:rFonts w:hint="eastAsia" w:ascii="仿宋" w:hAnsi="仿宋" w:eastAsia="仿宋" w:cs="仿宋"/>
          <w:b/>
          <w:bCs/>
          <w:iCs/>
          <w:sz w:val="24"/>
          <w:highlight w:val="none"/>
          <w:u w:val="single"/>
          <w:lang w:val="en-US" w:eastAsia="zh-CN"/>
        </w:rPr>
        <w:t xml:space="preserve"> 15</w:t>
      </w:r>
      <w:r>
        <w:rPr>
          <w:rFonts w:hint="eastAsia" w:ascii="仿宋" w:hAnsi="仿宋" w:eastAsia="仿宋" w:cs="仿宋"/>
          <w:b/>
          <w:bCs/>
          <w:iCs/>
          <w:sz w:val="24"/>
          <w:highlight w:val="none"/>
        </w:rPr>
        <w:t>分）</w:t>
      </w:r>
    </w:p>
    <w:p>
      <w:pPr>
        <w:keepNext w:val="0"/>
        <w:keepLines w:val="0"/>
        <w:pageBreakBefore w:val="0"/>
        <w:kinsoku/>
        <w:wordWrap/>
        <w:overflowPunct/>
        <w:topLinePunct w:val="0"/>
        <w:bidi w:val="0"/>
        <w:adjustRightInd w:val="0"/>
        <w:spacing w:line="440" w:lineRule="exact"/>
        <w:textAlignment w:val="auto"/>
        <w:rPr>
          <w:rFonts w:hint="eastAsia" w:ascii="仿宋" w:hAnsi="仿宋" w:eastAsia="仿宋" w:cs="仿宋"/>
          <w:bCs/>
          <w:iCs/>
          <w:sz w:val="24"/>
          <w:highlight w:val="none"/>
        </w:rPr>
      </w:pPr>
      <w:r>
        <w:rPr>
          <w:rFonts w:hint="eastAsia" w:ascii="仿宋" w:hAnsi="仿宋" w:eastAsia="仿宋" w:cs="仿宋"/>
          <w:bCs/>
          <w:iCs/>
          <w:sz w:val="24"/>
          <w:highlight w:val="none"/>
        </w:rPr>
        <w:t>2.2.1评标基准价：即满足招标文件要求且投标</w:t>
      </w:r>
      <w:r>
        <w:rPr>
          <w:rFonts w:hint="eastAsia" w:ascii="仿宋" w:hAnsi="仿宋" w:eastAsia="仿宋" w:cs="仿宋"/>
          <w:bCs/>
          <w:iCs/>
          <w:sz w:val="24"/>
          <w:highlight w:val="none"/>
          <w:lang w:val="en-US" w:eastAsia="zh-CN"/>
        </w:rPr>
        <w:t>折扣率</w:t>
      </w:r>
      <w:r>
        <w:rPr>
          <w:rFonts w:hint="eastAsia" w:ascii="仿宋" w:hAnsi="仿宋" w:eastAsia="仿宋" w:cs="仿宋"/>
          <w:bCs/>
          <w:iCs/>
          <w:sz w:val="24"/>
          <w:highlight w:val="none"/>
        </w:rPr>
        <w:t>最低的投标报价</w:t>
      </w:r>
      <w:r>
        <w:rPr>
          <w:rFonts w:hint="eastAsia" w:ascii="仿宋" w:hAnsi="仿宋" w:eastAsia="仿宋" w:cs="仿宋"/>
          <w:bCs/>
          <w:iCs/>
          <w:sz w:val="24"/>
          <w:highlight w:val="none"/>
          <w:lang w:val="en-US" w:eastAsia="zh-CN"/>
        </w:rPr>
        <w:t>折扣率</w:t>
      </w:r>
      <w:r>
        <w:rPr>
          <w:rFonts w:hint="eastAsia" w:ascii="仿宋" w:hAnsi="仿宋" w:eastAsia="仿宋" w:cs="仿宋"/>
          <w:bCs/>
          <w:iCs/>
          <w:sz w:val="24"/>
          <w:highlight w:val="none"/>
        </w:rPr>
        <w:t>为评标基准价，其价格分为满分。</w:t>
      </w:r>
    </w:p>
    <w:p>
      <w:pPr>
        <w:keepNext w:val="0"/>
        <w:keepLines w:val="0"/>
        <w:pageBreakBefore w:val="0"/>
        <w:kinsoku/>
        <w:wordWrap/>
        <w:overflowPunct/>
        <w:topLinePunct w:val="0"/>
        <w:bidi w:val="0"/>
        <w:adjustRightInd w:val="0"/>
        <w:spacing w:line="440" w:lineRule="exact"/>
        <w:textAlignment w:val="auto"/>
        <w:rPr>
          <w:rFonts w:hint="eastAsia" w:ascii="仿宋" w:hAnsi="仿宋" w:eastAsia="仿宋" w:cs="仿宋"/>
          <w:bCs/>
          <w:iCs/>
          <w:sz w:val="24"/>
          <w:highlight w:val="none"/>
        </w:rPr>
      </w:pPr>
      <w:r>
        <w:rPr>
          <w:rFonts w:hint="eastAsia" w:ascii="仿宋" w:hAnsi="仿宋" w:eastAsia="仿宋" w:cs="仿宋"/>
          <w:bCs/>
          <w:iCs/>
          <w:sz w:val="24"/>
          <w:highlight w:val="none"/>
        </w:rPr>
        <w:t>2.2.2其他投标人的</w:t>
      </w:r>
      <w:r>
        <w:rPr>
          <w:rFonts w:hint="eastAsia" w:ascii="仿宋" w:hAnsi="仿宋" w:eastAsia="仿宋" w:cs="仿宋"/>
          <w:bCs/>
          <w:iCs/>
          <w:sz w:val="24"/>
          <w:highlight w:val="none"/>
          <w:lang w:val="en-US" w:eastAsia="zh-CN"/>
        </w:rPr>
        <w:t>商务分</w:t>
      </w:r>
      <w:r>
        <w:rPr>
          <w:rFonts w:hint="eastAsia" w:ascii="仿宋" w:hAnsi="仿宋" w:eastAsia="仿宋" w:cs="仿宋"/>
          <w:bCs/>
          <w:iCs/>
          <w:sz w:val="24"/>
          <w:highlight w:val="none"/>
        </w:rPr>
        <w:t>统一按照下列公式计算：</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40" w:lineRule="exact"/>
        <w:textAlignment w:val="auto"/>
        <w:rPr>
          <w:rFonts w:hint="eastAsia" w:ascii="仿宋" w:hAnsi="仿宋" w:eastAsia="仿宋" w:cs="仿宋"/>
          <w:bCs/>
          <w:iCs/>
          <w:sz w:val="24"/>
          <w:highlight w:val="none"/>
        </w:rPr>
      </w:pPr>
      <w:r>
        <w:rPr>
          <w:rFonts w:hint="eastAsia" w:ascii="仿宋" w:hAnsi="仿宋" w:eastAsia="仿宋" w:cs="仿宋"/>
          <w:bCs/>
          <w:iCs/>
          <w:sz w:val="24"/>
          <w:highlight w:val="none"/>
        </w:rPr>
        <w:t>投标报价得分=(评标基准价／投标报价</w:t>
      </w:r>
      <w:r>
        <w:rPr>
          <w:rFonts w:hint="eastAsia" w:ascii="仿宋" w:hAnsi="仿宋" w:eastAsia="仿宋" w:cs="仿宋"/>
          <w:bCs/>
          <w:iCs/>
          <w:sz w:val="24"/>
          <w:highlight w:val="none"/>
          <w:lang w:val="en-US" w:eastAsia="zh-CN"/>
        </w:rPr>
        <w:t>折扣率</w:t>
      </w:r>
      <w:r>
        <w:rPr>
          <w:rFonts w:hint="eastAsia" w:ascii="仿宋" w:hAnsi="仿宋" w:eastAsia="仿宋" w:cs="仿宋"/>
          <w:bCs/>
          <w:iCs/>
          <w:sz w:val="24"/>
          <w:highlight w:val="none"/>
        </w:rPr>
        <w:t>)×价格权值×100</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40" w:lineRule="exact"/>
        <w:textAlignment w:val="auto"/>
        <w:rPr>
          <w:rFonts w:hint="default" w:ascii="仿宋" w:hAnsi="仿宋" w:eastAsia="仿宋" w:cs="仿宋"/>
          <w:bCs/>
          <w:iCs/>
          <w:sz w:val="24"/>
          <w:highlight w:val="none"/>
          <w:lang w:val="en-US" w:eastAsia="zh-CN"/>
        </w:rPr>
      </w:pPr>
      <w:r>
        <w:rPr>
          <w:rFonts w:hint="eastAsia" w:ascii="仿宋" w:hAnsi="仿宋" w:eastAsia="仿宋" w:cs="仿宋"/>
          <w:bCs/>
          <w:iCs/>
          <w:sz w:val="24"/>
          <w:highlight w:val="none"/>
        </w:rPr>
        <w:t>即：投标报价得分=(评标基准价／投标报价</w:t>
      </w:r>
      <w:r>
        <w:rPr>
          <w:rFonts w:hint="eastAsia" w:ascii="仿宋" w:hAnsi="仿宋" w:eastAsia="仿宋" w:cs="仿宋"/>
          <w:bCs/>
          <w:iCs/>
          <w:sz w:val="24"/>
          <w:highlight w:val="none"/>
          <w:lang w:val="en-US" w:eastAsia="zh-CN"/>
        </w:rPr>
        <w:t>折扣率</w:t>
      </w:r>
      <w:r>
        <w:rPr>
          <w:rFonts w:hint="eastAsia" w:ascii="仿宋" w:hAnsi="仿宋" w:eastAsia="仿宋" w:cs="仿宋"/>
          <w:bCs/>
          <w:iCs/>
          <w:sz w:val="24"/>
          <w:highlight w:val="none"/>
        </w:rPr>
        <w:t>)×</w:t>
      </w:r>
      <w:r>
        <w:rPr>
          <w:rFonts w:hint="eastAsia" w:ascii="仿宋" w:hAnsi="仿宋" w:eastAsia="仿宋" w:cs="仿宋"/>
          <w:bCs/>
          <w:iCs/>
          <w:sz w:val="24"/>
          <w:highlight w:val="none"/>
          <w:u w:val="single"/>
          <w:lang w:val="en-US" w:eastAsia="zh-CN"/>
        </w:rPr>
        <w:t xml:space="preserve"> 15 </w:t>
      </w:r>
    </w:p>
    <w:p>
      <w:pPr>
        <w:snapToGrid w:val="0"/>
        <w:spacing w:line="360" w:lineRule="auto"/>
        <w:ind w:firstLine="0" w:firstLineChars="0"/>
        <w:rPr>
          <w:rFonts w:hint="eastAsia" w:ascii="仿宋" w:hAnsi="仿宋" w:eastAsia="仿宋" w:cs="仿宋"/>
          <w:highlight w:val="none"/>
        </w:rPr>
      </w:pPr>
    </w:p>
    <w:p>
      <w:pPr>
        <w:pStyle w:val="79"/>
        <w:rPr>
          <w:rFonts w:hint="eastAsia" w:ascii="仿宋" w:hAnsi="仿宋" w:eastAsia="仿宋" w:cs="仿宋"/>
          <w:b/>
          <w:sz w:val="36"/>
          <w:szCs w:val="20"/>
          <w:highlight w:val="none"/>
        </w:rPr>
      </w:pPr>
    </w:p>
    <w:p>
      <w:pPr>
        <w:rPr>
          <w:rFonts w:hint="eastAsia" w:ascii="仿宋" w:hAnsi="仿宋" w:eastAsia="仿宋" w:cs="仿宋"/>
          <w:highlight w:val="none"/>
        </w:rPr>
      </w:pPr>
    </w:p>
    <w:p>
      <w:pPr>
        <w:widowControl/>
        <w:adjustRightInd/>
        <w:jc w:val="center"/>
        <w:rPr>
          <w:rFonts w:hint="eastAsia" w:ascii="仿宋" w:hAnsi="仿宋" w:eastAsia="仿宋" w:cs="仿宋"/>
          <w:b/>
          <w:sz w:val="36"/>
          <w:szCs w:val="20"/>
          <w:highlight w:val="none"/>
        </w:rPr>
      </w:pPr>
      <w:r>
        <w:rPr>
          <w:rFonts w:hint="eastAsia" w:ascii="仿宋" w:hAnsi="仿宋" w:eastAsia="仿宋" w:cs="仿宋"/>
          <w:b/>
          <w:sz w:val="36"/>
          <w:szCs w:val="20"/>
          <w:highlight w:val="none"/>
        </w:rPr>
        <w:t>第六部分</w:t>
      </w:r>
      <w:bookmarkEnd w:id="36"/>
      <w:r>
        <w:rPr>
          <w:rFonts w:hint="eastAsia" w:ascii="仿宋" w:hAnsi="仿宋" w:eastAsia="仿宋" w:cs="仿宋"/>
          <w:b/>
          <w:sz w:val="36"/>
          <w:szCs w:val="20"/>
          <w:highlight w:val="none"/>
        </w:rPr>
        <w:t xml:space="preserve"> </w:t>
      </w:r>
      <w:bookmarkEnd w:id="37"/>
      <w:r>
        <w:rPr>
          <w:rFonts w:hint="eastAsia" w:ascii="仿宋" w:hAnsi="仿宋" w:eastAsia="仿宋" w:cs="仿宋"/>
          <w:b/>
          <w:sz w:val="36"/>
          <w:szCs w:val="20"/>
          <w:highlight w:val="none"/>
        </w:rPr>
        <w:t>投标文件及其附件格式</w:t>
      </w: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资格文件部分</w:t>
      </w:r>
    </w:p>
    <w:p>
      <w:pPr>
        <w:spacing w:line="360" w:lineRule="auto"/>
        <w:jc w:val="center"/>
        <w:outlineLvl w:val="0"/>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目录</w:t>
      </w:r>
    </w:p>
    <w:p>
      <w:pPr>
        <w:spacing w:line="360" w:lineRule="auto"/>
        <w:jc w:val="center"/>
        <w:outlineLvl w:val="0"/>
        <w:rPr>
          <w:rFonts w:hint="eastAsia" w:ascii="仿宋" w:hAnsi="仿宋" w:eastAsia="仿宋" w:cs="仿宋"/>
          <w:b/>
          <w:kern w:val="0"/>
          <w:sz w:val="36"/>
          <w:szCs w:val="36"/>
          <w:highlight w:val="none"/>
        </w:rPr>
      </w:pP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（1）符合参加政府采购活动应当具备的一般条件的承诺函……………（页码）</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）落实政府采购政策需满足的资格要求………………………………（页码）</w:t>
      </w:r>
    </w:p>
    <w:p>
      <w:pPr>
        <w:snapToGrid w:val="0"/>
        <w:spacing w:line="360" w:lineRule="auto"/>
        <w:ind w:firstLine="480" w:firstLineChars="200"/>
        <w:rPr>
          <w:rFonts w:hint="eastAsia" w:ascii="仿宋" w:hAnsi="仿宋" w:eastAsia="仿宋" w:cs="仿宋"/>
          <w:sz w:val="24"/>
          <w:highlight w:val="none"/>
        </w:rPr>
      </w:pPr>
    </w:p>
    <w:p>
      <w:pPr>
        <w:spacing w:line="360" w:lineRule="auto"/>
        <w:ind w:firstLine="480" w:firstLineChars="200"/>
        <w:rPr>
          <w:rFonts w:hint="eastAsia" w:ascii="仿宋" w:hAnsi="仿宋" w:eastAsia="仿宋" w:cs="仿宋"/>
          <w:sz w:val="24"/>
          <w:highlight w:val="none"/>
        </w:rPr>
      </w:pPr>
    </w:p>
    <w:p>
      <w:pPr>
        <w:snapToGrid w:val="0"/>
        <w:spacing w:line="360" w:lineRule="auto"/>
        <w:ind w:right="480"/>
        <w:jc w:val="center"/>
        <w:rPr>
          <w:rFonts w:hint="eastAsia" w:ascii="仿宋" w:hAnsi="仿宋" w:eastAsia="仿宋" w:cs="仿宋"/>
          <w:b/>
          <w:kern w:val="0"/>
          <w:sz w:val="32"/>
          <w:szCs w:val="32"/>
          <w:highlight w:val="none"/>
        </w:rPr>
      </w:pPr>
      <w:r>
        <w:rPr>
          <w:rFonts w:hint="eastAsia" w:ascii="仿宋" w:hAnsi="仿宋" w:eastAsia="仿宋" w:cs="仿宋"/>
          <w:kern w:val="0"/>
          <w:sz w:val="24"/>
          <w:highlight w:val="none"/>
        </w:rPr>
        <w:br w:type="page"/>
      </w:r>
      <w:r>
        <w:rPr>
          <w:rFonts w:hint="eastAsia" w:ascii="仿宋" w:hAnsi="仿宋" w:eastAsia="仿宋" w:cs="仿宋"/>
          <w:b/>
          <w:kern w:val="0"/>
          <w:sz w:val="32"/>
          <w:szCs w:val="32"/>
          <w:highlight w:val="none"/>
        </w:rPr>
        <w:t xml:space="preserve">  一、 符合参加政府采购活动应当具备的一般条件的承诺函</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rPr>
        <w:t>【招标编号：（采购编号）】政府采购活动</w:t>
      </w:r>
      <w:r>
        <w:rPr>
          <w:rFonts w:hint="eastAsia" w:ascii="仿宋" w:hAnsi="仿宋" w:eastAsia="仿宋" w:cs="仿宋"/>
          <w:sz w:val="24"/>
          <w:highlight w:val="none"/>
        </w:rPr>
        <w:t>，郑重承诺：</w:t>
      </w:r>
    </w:p>
    <w:p>
      <w:pPr>
        <w:snapToGrid w:val="0"/>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rPr>
        <w:t>（一）具备《中华人民共和国政府采购法》第二十二条第一款规定的条件：</w:t>
      </w:r>
    </w:p>
    <w:p>
      <w:pPr>
        <w:snapToGrid w:val="0"/>
        <w:spacing w:line="336"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r>
        <w:rPr>
          <w:rFonts w:hint="eastAsia" w:ascii="仿宋_GB2312" w:hAnsi="仿宋" w:eastAsia="仿宋_GB2312" w:cs="仿宋_GB2312"/>
          <w:sz w:val="24"/>
          <w:highlight w:val="none"/>
        </w:rPr>
        <w:t>（</w:t>
      </w:r>
      <w:r>
        <w:rPr>
          <w:rFonts w:hint="eastAsia" w:ascii="仿宋_GB2312" w:hAnsi="仿宋" w:eastAsia="仿宋_GB2312"/>
          <w:sz w:val="24"/>
          <w:highlight w:val="none"/>
        </w:rPr>
        <w:t>如投标人为</w:t>
      </w:r>
      <w:r>
        <w:rPr>
          <w:rFonts w:hint="eastAsia" w:ascii="仿宋_GB2312" w:hAnsi="仿宋_GB2312" w:eastAsia="仿宋_GB2312" w:cs="仿宋_GB2312"/>
          <w:sz w:val="24"/>
          <w:highlight w:val="none"/>
        </w:rPr>
        <w:t>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2、具有良好的商业信誉和健全的财务会计制度； </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6、具有法律、行政法规规定的其他条件。</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（二）未被信用中国（www.creditchina.gov.cn</w:t>
      </w:r>
      <w:r>
        <w:rPr>
          <w:rFonts w:hint="eastAsia" w:ascii="仿宋" w:hAnsi="仿宋" w:eastAsia="仿宋" w:cs="仿宋"/>
          <w:sz w:val="24"/>
          <w:highlight w:val="none"/>
          <w:lang w:eastAsia="zh-CN"/>
        </w:rPr>
        <w:t>）</w:t>
      </w:r>
      <w:r>
        <w:rPr>
          <w:rFonts w:hint="eastAsia" w:ascii="仿宋" w:hAnsi="仿宋" w:eastAsia="仿宋" w:cs="仿宋"/>
          <w:sz w:val="24"/>
          <w:highlight w:val="none"/>
        </w:rPr>
        <w:t>、中国政府采购网（www.ccgp.gov.cn）列入失信被执行人、重大税收违法案件当事人名单、政府采购严重违法失信行为记录名单。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（三）不存在以下情况：</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投标人名称（电子签名）：</w:t>
      </w:r>
    </w:p>
    <w:p>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 xml:space="preserve">                        </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日期</w:t>
      </w:r>
      <w:r>
        <w:rPr>
          <w:rFonts w:hint="eastAsia" w:ascii="仿宋" w:hAnsi="仿宋" w:eastAsia="仿宋" w:cs="仿宋"/>
          <w:kern w:val="0"/>
          <w:sz w:val="24"/>
          <w:highlight w:val="none"/>
        </w:rPr>
        <w:t xml:space="preserve">：  年  </w:t>
      </w:r>
      <w:r>
        <w:rPr>
          <w:rFonts w:hint="eastAsia" w:ascii="仿宋" w:hAnsi="仿宋" w:eastAsia="仿宋" w:cs="仿宋"/>
          <w:kern w:val="0"/>
          <w:sz w:val="24"/>
          <w:highlight w:val="none"/>
          <w:lang w:val="zh-CN"/>
        </w:rPr>
        <w:t>月</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日</w:t>
      </w: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widowControl/>
        <w:adjustRightInd/>
        <w:jc w:val="left"/>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br w:type="page"/>
      </w:r>
    </w:p>
    <w:p>
      <w:pPr>
        <w:snapToGrid w:val="0"/>
        <w:spacing w:line="360" w:lineRule="auto"/>
        <w:ind w:right="480"/>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lang w:val="en-US" w:eastAsia="zh-CN"/>
        </w:rPr>
        <w:t>二</w:t>
      </w:r>
      <w:r>
        <w:rPr>
          <w:rFonts w:hint="eastAsia" w:ascii="仿宋" w:hAnsi="仿宋" w:eastAsia="仿宋" w:cs="仿宋"/>
          <w:b/>
          <w:kern w:val="0"/>
          <w:sz w:val="32"/>
          <w:szCs w:val="32"/>
          <w:highlight w:val="none"/>
        </w:rPr>
        <w:t>、落实政府采购政策需满足的资格要求</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hint="eastAsia" w:ascii="仿宋" w:hAnsi="仿宋" w:eastAsia="仿宋" w:cs="仿宋"/>
          <w:sz w:val="24"/>
          <w:highlight w:val="none"/>
        </w:rPr>
      </w:pPr>
      <w:r>
        <w:rPr>
          <w:rFonts w:hint="eastAsia" w:ascii="仿宋" w:hAnsi="仿宋" w:eastAsia="仿宋" w:cs="仿宋"/>
          <w:b/>
          <w:sz w:val="24"/>
          <w:highlight w:val="none"/>
        </w:rPr>
        <w:t>A</w:t>
      </w:r>
      <w:r>
        <w:rPr>
          <w:rFonts w:hint="eastAsia" w:ascii="仿宋" w:hAnsi="仿宋" w:eastAsia="仿宋" w:cs="仿宋"/>
          <w:sz w:val="24"/>
          <w:highlight w:val="none"/>
        </w:rPr>
        <w:t xml:space="preserve">.专门面向中小企业，服务全部由符合政策要求的中小企业（或小微企业）承接的，提供相应的中小企业声明函（附件7）。 </w:t>
      </w:r>
    </w:p>
    <w:p>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r>
        <w:rPr>
          <w:rFonts w:hint="eastAsia" w:ascii="仿宋" w:hAnsi="仿宋" w:eastAsia="仿宋" w:cs="仿宋"/>
          <w:b/>
          <w:color w:val="auto"/>
          <w:sz w:val="24"/>
          <w:highlight w:val="none"/>
        </w:rPr>
        <w:t xml:space="preserve"> </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b/>
          <w:color w:val="auto"/>
          <w:sz w:val="24"/>
          <w:highlight w:val="none"/>
          <w:lang w:eastAsia="zh-CN"/>
        </w:rPr>
        <w:t>.</w:t>
      </w:r>
      <w:r>
        <w:rPr>
          <w:rFonts w:hint="eastAsia" w:ascii="仿宋" w:hAnsi="仿宋" w:eastAsia="仿宋" w:cs="仿宋"/>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pPr>
        <w:widowControl/>
        <w:spacing w:line="360" w:lineRule="auto"/>
        <w:ind w:left="150"/>
        <w:jc w:val="center"/>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32"/>
          <w:szCs w:val="32"/>
          <w:highlight w:val="none"/>
        </w:rPr>
      </w:pPr>
    </w:p>
    <w:p>
      <w:pPr>
        <w:pStyle w:val="79"/>
        <w:rPr>
          <w:rFonts w:hint="eastAsia" w:ascii="仿宋" w:hAnsi="仿宋" w:eastAsia="仿宋" w:cs="仿宋"/>
          <w:b/>
          <w:kern w:val="0"/>
          <w:sz w:val="24"/>
          <w:highlight w:val="none"/>
        </w:rPr>
      </w:pPr>
    </w:p>
    <w:p>
      <w:pPr>
        <w:spacing w:line="336" w:lineRule="auto"/>
        <w:jc w:val="center"/>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商务技术文件部分</w:t>
      </w:r>
    </w:p>
    <w:p>
      <w:pPr>
        <w:spacing w:line="336" w:lineRule="auto"/>
        <w:jc w:val="center"/>
        <w:outlineLvl w:val="0"/>
        <w:rPr>
          <w:rFonts w:ascii="仿宋" w:hAnsi="仿宋" w:eastAsia="仿宋" w:cs="仿宋"/>
          <w:b/>
          <w:kern w:val="0"/>
          <w:sz w:val="24"/>
          <w:highlight w:val="none"/>
        </w:rPr>
      </w:pPr>
    </w:p>
    <w:p>
      <w:pPr>
        <w:spacing w:line="336" w:lineRule="auto"/>
        <w:jc w:val="center"/>
        <w:outlineLvl w:val="0"/>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目录</w:t>
      </w:r>
    </w:p>
    <w:p>
      <w:pPr>
        <w:pStyle w:val="905"/>
        <w:numPr>
          <w:ilvl w:val="0"/>
          <w:numId w:val="4"/>
        </w:numPr>
        <w:spacing w:line="336" w:lineRule="auto"/>
        <w:ind w:left="0" w:firstLine="0" w:firstLineChars="0"/>
        <w:jc w:val="both"/>
        <w:rPr>
          <w:rFonts w:ascii="仿宋" w:eastAsia="仿宋" w:cs="仿宋"/>
          <w:highlight w:val="none"/>
        </w:rPr>
      </w:pPr>
      <w:r>
        <w:rPr>
          <w:rFonts w:hint="eastAsia" w:ascii="仿宋" w:eastAsia="仿宋" w:cs="仿宋"/>
          <w:highlight w:val="none"/>
          <w:lang w:eastAsia="zh-CN"/>
        </w:rPr>
        <w:t>投标函</w:t>
      </w:r>
      <w:r>
        <w:rPr>
          <w:rFonts w:hint="eastAsia" w:ascii="仿宋" w:eastAsia="仿宋" w:cs="仿宋"/>
          <w:highlight w:val="none"/>
        </w:rPr>
        <w:t>…………………………………………………………………………（页码）</w:t>
      </w:r>
    </w:p>
    <w:p>
      <w:pPr>
        <w:pStyle w:val="905"/>
        <w:numPr>
          <w:ilvl w:val="0"/>
          <w:numId w:val="4"/>
        </w:numPr>
        <w:spacing w:line="336" w:lineRule="auto"/>
        <w:ind w:left="0" w:firstLine="0" w:firstLineChars="0"/>
        <w:jc w:val="both"/>
        <w:rPr>
          <w:rFonts w:ascii="仿宋" w:eastAsia="仿宋" w:cs="仿宋"/>
          <w:highlight w:val="none"/>
        </w:rPr>
      </w:pPr>
      <w:r>
        <w:rPr>
          <w:rFonts w:hint="eastAsia" w:ascii="仿宋" w:eastAsia="仿宋" w:cs="仿宋"/>
          <w:highlight w:val="none"/>
        </w:rPr>
        <w:t>法定代表人授权书 ………………………………………………………… （页码）</w:t>
      </w:r>
    </w:p>
    <w:p>
      <w:pPr>
        <w:pStyle w:val="905"/>
        <w:numPr>
          <w:ilvl w:val="0"/>
          <w:numId w:val="4"/>
        </w:numPr>
        <w:spacing w:line="336" w:lineRule="auto"/>
        <w:ind w:left="0" w:firstLine="0" w:firstLineChars="0"/>
        <w:jc w:val="both"/>
        <w:rPr>
          <w:rFonts w:ascii="仿宋" w:eastAsia="仿宋" w:cs="仿宋"/>
          <w:highlight w:val="none"/>
        </w:rPr>
      </w:pPr>
      <w:r>
        <w:rPr>
          <w:rFonts w:hint="eastAsia" w:ascii="仿宋" w:eastAsia="仿宋" w:cs="仿宋"/>
          <w:highlight w:val="none"/>
        </w:rPr>
        <w:t>法定代表人及其授权代表身份证复印件（复印件）…………………………（页码）</w:t>
      </w:r>
    </w:p>
    <w:p>
      <w:pPr>
        <w:pStyle w:val="905"/>
        <w:numPr>
          <w:ilvl w:val="0"/>
          <w:numId w:val="4"/>
        </w:numPr>
        <w:spacing w:line="336" w:lineRule="auto"/>
        <w:ind w:left="0" w:firstLine="0" w:firstLineChars="0"/>
        <w:jc w:val="both"/>
        <w:rPr>
          <w:rFonts w:ascii="仿宋" w:eastAsia="仿宋" w:cs="仿宋"/>
          <w:highlight w:val="none"/>
        </w:rPr>
      </w:pPr>
      <w:r>
        <w:rPr>
          <w:rFonts w:hint="eastAsia" w:ascii="仿宋" w:eastAsia="仿宋" w:cs="仿宋"/>
          <w:highlight w:val="none"/>
        </w:rPr>
        <w:t>法定代表人身份证明书……………………………………………………… （页码）</w:t>
      </w:r>
    </w:p>
    <w:p>
      <w:pPr>
        <w:pStyle w:val="905"/>
        <w:numPr>
          <w:ilvl w:val="0"/>
          <w:numId w:val="4"/>
        </w:numPr>
        <w:spacing w:line="336" w:lineRule="auto"/>
        <w:ind w:left="0" w:firstLine="0" w:firstLineChars="0"/>
        <w:jc w:val="both"/>
        <w:rPr>
          <w:rFonts w:hint="eastAsia" w:ascii="仿宋" w:eastAsia="仿宋" w:cs="仿宋"/>
          <w:highlight w:val="none"/>
          <w:lang w:val="zh-CN"/>
        </w:rPr>
      </w:pPr>
      <w:r>
        <w:rPr>
          <w:rFonts w:hint="eastAsia" w:ascii="仿宋" w:eastAsia="仿宋" w:cs="仿宋"/>
          <w:highlight w:val="none"/>
        </w:rPr>
        <w:t>商务技术</w:t>
      </w:r>
      <w:r>
        <w:rPr>
          <w:rFonts w:hint="eastAsia" w:ascii="仿宋" w:eastAsia="仿宋" w:cs="仿宋"/>
          <w:highlight w:val="none"/>
          <w:lang w:eastAsia="zh-CN"/>
        </w:rPr>
        <w:t>偏离表</w:t>
      </w:r>
      <w:r>
        <w:rPr>
          <w:rFonts w:hint="eastAsia" w:ascii="仿宋" w:eastAsia="仿宋" w:cs="仿宋"/>
          <w:highlight w:val="none"/>
        </w:rPr>
        <w:t>………………</w:t>
      </w:r>
      <w:r>
        <w:rPr>
          <w:rFonts w:hint="eastAsia" w:ascii="仿宋" w:eastAsia="仿宋" w:cs="仿宋"/>
          <w:highlight w:val="none"/>
          <w:lang w:val="zh-CN"/>
        </w:rPr>
        <w:t>……………………………………………… （页码）</w:t>
      </w:r>
    </w:p>
    <w:p>
      <w:pPr>
        <w:pStyle w:val="905"/>
        <w:numPr>
          <w:ilvl w:val="0"/>
          <w:numId w:val="4"/>
        </w:numPr>
        <w:spacing w:line="336" w:lineRule="auto"/>
        <w:ind w:left="0" w:firstLine="0" w:firstLineChars="0"/>
        <w:jc w:val="both"/>
        <w:rPr>
          <w:rFonts w:hint="eastAsia" w:ascii="仿宋" w:eastAsia="仿宋" w:cs="仿宋"/>
          <w:highlight w:val="none"/>
          <w:lang w:val="zh-CN"/>
        </w:rPr>
      </w:pPr>
      <w:r>
        <w:rPr>
          <w:rFonts w:hint="eastAsia" w:ascii="仿宋" w:eastAsia="仿宋" w:cs="仿宋"/>
          <w:highlight w:val="none"/>
          <w:lang w:val="zh-CN"/>
        </w:rPr>
        <w:t>政府采购供应商廉洁自律承诺书…………………………………………… （页码）</w:t>
      </w:r>
    </w:p>
    <w:p>
      <w:pPr>
        <w:pStyle w:val="905"/>
        <w:numPr>
          <w:ilvl w:val="0"/>
          <w:numId w:val="4"/>
        </w:numPr>
        <w:spacing w:line="336" w:lineRule="auto"/>
        <w:ind w:left="0" w:firstLine="0" w:firstLineChars="0"/>
        <w:jc w:val="both"/>
        <w:rPr>
          <w:rFonts w:hint="eastAsia" w:ascii="仿宋" w:eastAsia="仿宋" w:cs="仿宋"/>
          <w:highlight w:val="none"/>
          <w:lang w:val="zh-CN"/>
        </w:rPr>
      </w:pPr>
      <w:r>
        <w:rPr>
          <w:rFonts w:hint="eastAsia" w:ascii="仿宋" w:eastAsia="仿宋" w:cs="仿宋"/>
          <w:highlight w:val="none"/>
          <w:lang w:val="zh-CN"/>
        </w:rPr>
        <w:t>评标标准相应的商务技术资料（如需）…………………………………（页码）</w:t>
      </w:r>
    </w:p>
    <w:p>
      <w:pPr>
        <w:snapToGrid w:val="0"/>
        <w:spacing w:line="360" w:lineRule="auto"/>
        <w:jc w:val="center"/>
        <w:rPr>
          <w:rFonts w:hint="eastAsia" w:ascii="仿宋" w:hAnsi="仿宋" w:eastAsia="仿宋" w:cs="仿宋"/>
          <w:b/>
          <w:kern w:val="0"/>
          <w:sz w:val="32"/>
          <w:szCs w:val="32"/>
          <w:highlight w:val="none"/>
          <w:lang w:val="zh-CN"/>
        </w:rPr>
      </w:pPr>
    </w:p>
    <w:p>
      <w:pPr>
        <w:snapToGrid w:val="0"/>
        <w:spacing w:line="360" w:lineRule="auto"/>
        <w:jc w:val="both"/>
        <w:rPr>
          <w:rFonts w:hint="eastAsia" w:ascii="仿宋" w:hAnsi="仿宋" w:eastAsia="仿宋" w:cs="仿宋"/>
          <w:b/>
          <w:kern w:val="0"/>
          <w:sz w:val="32"/>
          <w:szCs w:val="32"/>
          <w:highlight w:val="none"/>
          <w:lang w:val="zh-CN"/>
        </w:rPr>
      </w:pPr>
    </w:p>
    <w:p>
      <w:pPr>
        <w:widowControl/>
        <w:adjustRightInd/>
        <w:jc w:val="left"/>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br w:type="page"/>
      </w:r>
    </w:p>
    <w:p>
      <w:pPr>
        <w:snapToGrid w:val="0"/>
        <w:spacing w:line="360" w:lineRule="auto"/>
        <w:jc w:val="center"/>
        <w:outlineLvl w:val="0"/>
        <w:rPr>
          <w:rFonts w:hint="eastAsia" w:ascii="仿宋" w:hAnsi="仿宋" w:eastAsia="仿宋" w:cs="仿宋"/>
          <w:b/>
          <w:sz w:val="32"/>
          <w:szCs w:val="32"/>
          <w:highlight w:val="none"/>
        </w:rPr>
      </w:pPr>
      <w:r>
        <w:rPr>
          <w:rFonts w:hint="eastAsia" w:ascii="仿宋" w:hAnsi="仿宋" w:eastAsia="仿宋" w:cs="仿宋"/>
          <w:b/>
          <w:kern w:val="0"/>
          <w:sz w:val="32"/>
          <w:szCs w:val="32"/>
          <w:highlight w:val="none"/>
        </w:rPr>
        <w:t>一、投标</w:t>
      </w:r>
      <w:r>
        <w:rPr>
          <w:rFonts w:hint="eastAsia" w:ascii="仿宋" w:hAnsi="仿宋" w:eastAsia="仿宋" w:cs="仿宋"/>
          <w:b/>
          <w:sz w:val="32"/>
          <w:szCs w:val="32"/>
          <w:highlight w:val="none"/>
        </w:rPr>
        <w:t>函</w:t>
      </w:r>
    </w:p>
    <w:p>
      <w:pPr>
        <w:pStyle w:val="396"/>
        <w:keepNext w:val="0"/>
        <w:keepLines w:val="0"/>
        <w:pageBreakBefore w:val="0"/>
        <w:kinsoku/>
        <w:wordWrap/>
        <w:overflowPunct/>
        <w:topLinePunct w:val="0"/>
        <w:autoSpaceDE/>
        <w:autoSpaceDN/>
        <w:bidi w:val="0"/>
        <w:spacing w:after="0" w:line="336"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val="en-US" w:eastAsia="zh-CN"/>
        </w:rPr>
        <w:t xml:space="preserve">              </w:t>
      </w:r>
    </w:p>
    <w:p>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根据贵方招标文件（</w:t>
      </w:r>
      <w:r>
        <w:rPr>
          <w:rFonts w:hint="eastAsia" w:ascii="仿宋" w:hAnsi="仿宋" w:eastAsia="仿宋" w:cs="仿宋"/>
          <w:b/>
          <w:sz w:val="24"/>
          <w:szCs w:val="24"/>
          <w:highlight w:val="none"/>
          <w:u w:val="single"/>
        </w:rPr>
        <w:t>填写招标编号：</w:t>
      </w:r>
      <w:r>
        <w:rPr>
          <w:rFonts w:hint="eastAsia" w:ascii="仿宋" w:hAnsi="仿宋" w:eastAsia="仿宋" w:cs="仿宋"/>
          <w:sz w:val="24"/>
          <w:szCs w:val="24"/>
          <w:highlight w:val="none"/>
        </w:rPr>
        <w:t>）的要求，正式授权</w:t>
      </w:r>
      <w:r>
        <w:rPr>
          <w:rFonts w:hint="eastAsia" w:ascii="仿宋" w:hAnsi="仿宋" w:eastAsia="仿宋" w:cs="仿宋"/>
          <w:b/>
          <w:sz w:val="24"/>
          <w:szCs w:val="24"/>
          <w:highlight w:val="none"/>
          <w:u w:val="single"/>
        </w:rPr>
        <w:t>（全权代表姓名    、单位    、职务   ）</w:t>
      </w:r>
      <w:r>
        <w:rPr>
          <w:rFonts w:hint="eastAsia" w:ascii="仿宋" w:hAnsi="仿宋" w:eastAsia="仿宋" w:cs="仿宋"/>
          <w:sz w:val="24"/>
          <w:szCs w:val="24"/>
          <w:highlight w:val="none"/>
        </w:rPr>
        <w:t>代表投标人</w:t>
      </w:r>
      <w:r>
        <w:rPr>
          <w:rFonts w:hint="eastAsia" w:ascii="仿宋" w:hAnsi="仿宋" w:eastAsia="仿宋" w:cs="仿宋"/>
          <w:sz w:val="24"/>
          <w:szCs w:val="24"/>
          <w:highlight w:val="none"/>
          <w:u w:val="single"/>
        </w:rPr>
        <w:t>（</w:t>
      </w:r>
      <w:r>
        <w:rPr>
          <w:rFonts w:hint="eastAsia" w:ascii="仿宋" w:hAnsi="仿宋" w:eastAsia="仿宋" w:cs="仿宋"/>
          <w:b/>
          <w:sz w:val="24"/>
          <w:szCs w:val="24"/>
          <w:highlight w:val="none"/>
          <w:u w:val="single"/>
        </w:rPr>
        <w:t xml:space="preserve">填写单位    、地址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提交投标文件。</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我方已完全明白招标文件的所有条款要求，兹声明同意如下：</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1.我方同意在投标人须知规定的开标日期起遵守本投标文件中的承诺且在投标有效期满之前均具有约束力。</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2.我方承诺已经具备《中华人民共和国政府采购法》中规定的参加政府采购活动的供应商应当具备的条件。</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3.本公司投标文件中填列的技术参数、配置、服务、数量等相关内容都是真实、准确的。保证在本次项目中所提供的资料全部真实和合法。同意向</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提供可能另外要求的与投标有关的任何数据或资料。</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4.我方理解贵方将不受你们所收到的最低报价的约束。</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5.本投标自开标之日（投标截止之日）起90天内有效。</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提供虚假材料谋取中标、成交的；</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b</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采取不正当手段诋毁、排挤其他供应商的；</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与采购人、</w:t>
      </w: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rPr>
        <w:t>供应商或者采购代理机构恶意串通的；</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d</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向采购人、采购代理机构行贿或者提供其他不正当利益的；</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e</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在招标采购过程中与采购人进行协商谈判的；</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f</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拒绝有关部门监督检查或提供虚假情况的。</w:t>
      </w:r>
    </w:p>
    <w:p>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供应商有前款第a</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至e</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项情形之一的，中标、成交无效。</w:t>
      </w:r>
    </w:p>
    <w:p>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　　　　　　　　　　　　　　　邮政编码：</w:t>
      </w:r>
    </w:p>
    <w:p>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电话：                              传真：</w:t>
      </w:r>
    </w:p>
    <w:p>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w:t>
      </w:r>
      <w:r>
        <w:rPr>
          <w:rFonts w:hint="eastAsia" w:ascii="仿宋" w:hAnsi="仿宋" w:eastAsia="仿宋" w:cs="仿宋"/>
          <w:sz w:val="24"/>
          <w:szCs w:val="24"/>
          <w:highlight w:val="none"/>
          <w:lang w:eastAsia="zh-CN"/>
        </w:rPr>
        <w:t>账号</w:t>
      </w:r>
      <w:r>
        <w:rPr>
          <w:rFonts w:hint="eastAsia" w:ascii="仿宋" w:hAnsi="仿宋" w:eastAsia="仿宋" w:cs="仿宋"/>
          <w:sz w:val="24"/>
          <w:szCs w:val="24"/>
          <w:highlight w:val="none"/>
        </w:rPr>
        <w:t>：</w:t>
      </w:r>
    </w:p>
    <w:p>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签字或盖章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仿宋" w:hAnsi="仿宋" w:eastAsia="仿宋" w:cs="仿宋"/>
          <w:b/>
          <w:kern w:val="0"/>
          <w:sz w:val="32"/>
          <w:szCs w:val="32"/>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电子签章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日期：  </w:t>
      </w:r>
    </w:p>
    <w:p>
      <w:pPr>
        <w:pageBreakBefore/>
        <w:spacing w:line="800" w:lineRule="exact"/>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二</w:t>
      </w:r>
      <w:r>
        <w:rPr>
          <w:rFonts w:hint="eastAsia" w:ascii="仿宋" w:hAnsi="仿宋" w:eastAsia="仿宋" w:cs="仿宋"/>
          <w:b/>
          <w:sz w:val="30"/>
          <w:szCs w:val="30"/>
          <w:highlight w:val="none"/>
        </w:rPr>
        <w:t xml:space="preserve">、法定代表人授权委托书（格式） </w:t>
      </w:r>
    </w:p>
    <w:p>
      <w:pPr>
        <w:jc w:val="center"/>
        <w:rPr>
          <w:rFonts w:hint="eastAsia" w:ascii="仿宋" w:hAnsi="仿宋" w:eastAsia="仿宋" w:cs="仿宋"/>
          <w:b/>
          <w:sz w:val="24"/>
          <w:highlight w:val="none"/>
        </w:rPr>
      </w:pPr>
    </w:p>
    <w:p>
      <w:pPr>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本授权委托书声明：我</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填写姓名</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（填写投标人单位全称）</w:t>
      </w:r>
      <w:r>
        <w:rPr>
          <w:rFonts w:hint="eastAsia" w:ascii="仿宋" w:hAnsi="仿宋" w:eastAsia="仿宋" w:cs="仿宋"/>
          <w:sz w:val="24"/>
          <w:highlight w:val="none"/>
        </w:rPr>
        <w:t>的法定代表人，现授权委托</w:t>
      </w:r>
      <w:r>
        <w:rPr>
          <w:rFonts w:hint="eastAsia" w:ascii="仿宋" w:hAnsi="仿宋" w:eastAsia="仿宋" w:cs="仿宋"/>
          <w:sz w:val="24"/>
          <w:highlight w:val="none"/>
          <w:u w:val="single"/>
        </w:rPr>
        <w:t xml:space="preserve">                  （填写单位全称）</w:t>
      </w:r>
      <w:r>
        <w:rPr>
          <w:rFonts w:hint="eastAsia" w:ascii="仿宋" w:hAnsi="仿宋" w:eastAsia="仿宋" w:cs="仿宋"/>
          <w:sz w:val="24"/>
          <w:highlight w:val="none"/>
        </w:rPr>
        <w:t>的（填写姓名）为我公司授权代表，</w:t>
      </w:r>
      <w:r>
        <w:rPr>
          <w:rFonts w:hint="eastAsia" w:ascii="仿宋" w:hAnsi="仿宋" w:eastAsia="仿宋" w:cs="仿宋"/>
          <w:sz w:val="24"/>
          <w:highlight w:val="none"/>
          <w:u w:val="single"/>
        </w:rPr>
        <w:t>（填写身份证号码：                       ）</w:t>
      </w:r>
      <w:r>
        <w:rPr>
          <w:rFonts w:hint="eastAsia" w:ascii="仿宋" w:hAnsi="仿宋" w:eastAsia="仿宋" w:cs="仿宋"/>
          <w:sz w:val="24"/>
          <w:highlight w:val="none"/>
        </w:rPr>
        <w:t>。以本公司的名义参加</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组织的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投标活动。授权代表在开标、评标、合同谈判过程中所签署的一切文件和处理与之有关的一切事务，我均予以承认。</w:t>
      </w:r>
    </w:p>
    <w:p>
      <w:pPr>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在撤销授权的书面通知以前，本授权书一直有效。全权代表在授权书有效期内签署的所有文件不因授权的撤销而失效。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授权代表无转委托权。特此委托。</w:t>
      </w:r>
    </w:p>
    <w:p>
      <w:pPr>
        <w:snapToGrid w:val="0"/>
        <w:spacing w:line="600" w:lineRule="exact"/>
        <w:jc w:val="left"/>
        <w:rPr>
          <w:rFonts w:hint="eastAsia" w:ascii="仿宋" w:hAnsi="仿宋" w:eastAsia="仿宋" w:cs="仿宋"/>
          <w:sz w:val="24"/>
          <w:highlight w:val="none"/>
        </w:rPr>
      </w:pPr>
    </w:p>
    <w:p>
      <w:pPr>
        <w:spacing w:line="360" w:lineRule="exact"/>
        <w:rPr>
          <w:rFonts w:hint="eastAsia" w:ascii="仿宋" w:hAnsi="仿宋" w:eastAsia="仿宋" w:cs="仿宋"/>
          <w:sz w:val="24"/>
          <w:highlight w:val="none"/>
        </w:rPr>
      </w:pPr>
      <w:r>
        <w:rPr>
          <w:rFonts w:hint="eastAsia" w:ascii="仿宋" w:hAnsi="仿宋" w:eastAsia="仿宋" w:cs="仿宋"/>
          <w:sz w:val="24"/>
          <w:highlight w:val="none"/>
        </w:rPr>
        <w:t>授权代表姓名：              性别：               年龄：</w:t>
      </w:r>
    </w:p>
    <w:p>
      <w:pPr>
        <w:spacing w:line="360" w:lineRule="exact"/>
        <w:rPr>
          <w:rFonts w:hint="eastAsia" w:ascii="仿宋" w:hAnsi="仿宋" w:eastAsia="仿宋" w:cs="仿宋"/>
          <w:sz w:val="24"/>
          <w:highlight w:val="none"/>
        </w:rPr>
      </w:pPr>
    </w:p>
    <w:p>
      <w:pPr>
        <w:spacing w:line="360" w:lineRule="exact"/>
        <w:rPr>
          <w:rFonts w:hint="eastAsia" w:ascii="仿宋" w:hAnsi="仿宋" w:eastAsia="仿宋" w:cs="仿宋"/>
          <w:sz w:val="24"/>
          <w:highlight w:val="none"/>
        </w:rPr>
      </w:pPr>
      <w:r>
        <w:rPr>
          <w:rFonts w:hint="eastAsia" w:ascii="仿宋" w:hAnsi="仿宋" w:eastAsia="仿宋" w:cs="仿宋"/>
          <w:sz w:val="24"/>
          <w:highlight w:val="none"/>
        </w:rPr>
        <w:t>单位：                      部门：               职务：</w:t>
      </w:r>
    </w:p>
    <w:p>
      <w:pPr>
        <w:spacing w:line="360" w:lineRule="exact"/>
        <w:rPr>
          <w:rFonts w:hint="eastAsia" w:ascii="仿宋" w:hAnsi="仿宋" w:eastAsia="仿宋" w:cs="仿宋"/>
          <w:sz w:val="24"/>
          <w:highlight w:val="none"/>
        </w:rPr>
      </w:pPr>
    </w:p>
    <w:p>
      <w:pPr>
        <w:widowControl/>
        <w:snapToGrid w:val="0"/>
        <w:spacing w:line="440" w:lineRule="exact"/>
        <w:rPr>
          <w:rFonts w:hint="eastAsia" w:ascii="仿宋" w:hAnsi="仿宋" w:eastAsia="仿宋" w:cs="仿宋"/>
          <w:sz w:val="24"/>
          <w:highlight w:val="none"/>
        </w:rPr>
      </w:pPr>
      <w:r>
        <w:rPr>
          <w:rFonts w:hint="eastAsia" w:ascii="仿宋" w:hAnsi="仿宋" w:eastAsia="仿宋" w:cs="仿宋"/>
          <w:kern w:val="0"/>
          <w:sz w:val="24"/>
          <w:highlight w:val="none"/>
        </w:rPr>
        <w:t>办公地址：                  联系电话：           传真：</w:t>
      </w:r>
    </w:p>
    <w:p>
      <w:pPr>
        <w:spacing w:line="360" w:lineRule="exact"/>
        <w:rPr>
          <w:rFonts w:hint="eastAsia" w:ascii="仿宋" w:hAnsi="仿宋" w:eastAsia="仿宋" w:cs="仿宋"/>
          <w:sz w:val="24"/>
          <w:highlight w:val="none"/>
        </w:rPr>
      </w:pPr>
    </w:p>
    <w:p>
      <w:pPr>
        <w:spacing w:line="360" w:lineRule="exact"/>
        <w:rPr>
          <w:rFonts w:hint="eastAsia" w:ascii="仿宋" w:hAnsi="仿宋" w:eastAsia="仿宋" w:cs="仿宋"/>
          <w:sz w:val="24"/>
          <w:highlight w:val="none"/>
        </w:rPr>
      </w:pPr>
    </w:p>
    <w:p>
      <w:pPr>
        <w:spacing w:line="360" w:lineRule="exact"/>
        <w:rPr>
          <w:rFonts w:hint="eastAsia" w:ascii="仿宋" w:hAnsi="仿宋" w:eastAsia="仿宋" w:cs="仿宋"/>
          <w:sz w:val="24"/>
          <w:highlight w:val="none"/>
        </w:rPr>
      </w:pPr>
      <w:r>
        <w:rPr>
          <w:rFonts w:hint="eastAsia" w:ascii="仿宋" w:hAnsi="仿宋" w:eastAsia="仿宋" w:cs="仿宋"/>
          <w:sz w:val="24"/>
          <w:highlight w:val="none"/>
        </w:rPr>
        <w:t>投标人（电子签章）：</w:t>
      </w:r>
    </w:p>
    <w:p>
      <w:pPr>
        <w:spacing w:line="360" w:lineRule="exact"/>
        <w:rPr>
          <w:rFonts w:hint="eastAsia" w:ascii="仿宋" w:hAnsi="仿宋" w:eastAsia="仿宋" w:cs="仿宋"/>
          <w:sz w:val="24"/>
          <w:highlight w:val="none"/>
        </w:rPr>
      </w:pPr>
    </w:p>
    <w:p>
      <w:pPr>
        <w:spacing w:line="360" w:lineRule="exact"/>
        <w:rPr>
          <w:rFonts w:hint="eastAsia" w:ascii="仿宋" w:hAnsi="仿宋" w:eastAsia="仿宋" w:cs="仿宋"/>
          <w:sz w:val="24"/>
          <w:highlight w:val="none"/>
        </w:rPr>
      </w:pPr>
    </w:p>
    <w:p>
      <w:pPr>
        <w:spacing w:line="360" w:lineRule="exact"/>
        <w:rPr>
          <w:rFonts w:hint="eastAsia" w:ascii="仿宋" w:hAnsi="仿宋" w:eastAsia="仿宋" w:cs="仿宋"/>
          <w:sz w:val="24"/>
          <w:highlight w:val="none"/>
        </w:rPr>
      </w:pPr>
      <w:r>
        <w:rPr>
          <w:rFonts w:hint="eastAsia" w:ascii="仿宋" w:hAnsi="仿宋" w:eastAsia="仿宋" w:cs="仿宋"/>
          <w:sz w:val="24"/>
          <w:highlight w:val="none"/>
        </w:rPr>
        <w:t>法定代表人（签字或盖章）：</w:t>
      </w:r>
    </w:p>
    <w:p>
      <w:pPr>
        <w:spacing w:line="360" w:lineRule="exact"/>
        <w:rPr>
          <w:rFonts w:hint="eastAsia" w:ascii="仿宋" w:hAnsi="仿宋" w:eastAsia="仿宋" w:cs="仿宋"/>
          <w:sz w:val="24"/>
          <w:highlight w:val="none"/>
        </w:rPr>
      </w:pPr>
    </w:p>
    <w:p>
      <w:pPr>
        <w:spacing w:line="360" w:lineRule="exact"/>
        <w:rPr>
          <w:rFonts w:hint="eastAsia" w:ascii="仿宋" w:hAnsi="仿宋" w:eastAsia="仿宋" w:cs="仿宋"/>
          <w:sz w:val="24"/>
          <w:highlight w:val="none"/>
        </w:rPr>
      </w:pPr>
    </w:p>
    <w:p>
      <w:pPr>
        <w:ind w:firstLine="5280" w:firstLineChars="2200"/>
        <w:jc w:val="left"/>
        <w:rPr>
          <w:rFonts w:hint="eastAsia" w:ascii="仿宋" w:hAnsi="仿宋" w:eastAsia="仿宋" w:cs="仿宋"/>
          <w:sz w:val="24"/>
          <w:highlight w:val="none"/>
        </w:rPr>
      </w:pPr>
      <w:r>
        <w:rPr>
          <w:rFonts w:hint="eastAsia" w:ascii="仿宋" w:hAnsi="仿宋" w:eastAsia="仿宋" w:cs="仿宋"/>
          <w:sz w:val="24"/>
          <w:highlight w:val="none"/>
        </w:rPr>
        <w:t>日期：    年   月   日</w:t>
      </w:r>
    </w:p>
    <w:p>
      <w:pPr>
        <w:ind w:firstLine="4920" w:firstLineChars="2050"/>
        <w:jc w:val="left"/>
        <w:rPr>
          <w:rFonts w:hint="eastAsia" w:ascii="仿宋" w:hAnsi="仿宋" w:eastAsia="仿宋" w:cs="仿宋"/>
          <w:sz w:val="24"/>
          <w:highlight w:val="none"/>
        </w:rPr>
      </w:pPr>
    </w:p>
    <w:p>
      <w:pPr>
        <w:spacing w:line="800" w:lineRule="exact"/>
        <w:rPr>
          <w:rFonts w:hint="eastAsia" w:ascii="仿宋" w:hAnsi="仿宋" w:eastAsia="仿宋" w:cs="仿宋"/>
          <w:b/>
          <w:sz w:val="24"/>
          <w:highlight w:val="none"/>
        </w:rPr>
      </w:pPr>
    </w:p>
    <w:p>
      <w:pPr>
        <w:spacing w:line="800" w:lineRule="exact"/>
        <w:rPr>
          <w:rFonts w:hint="eastAsia" w:ascii="仿宋" w:hAnsi="仿宋" w:eastAsia="仿宋" w:cs="仿宋"/>
          <w:b/>
          <w:sz w:val="24"/>
          <w:highlight w:val="none"/>
        </w:rPr>
      </w:pPr>
    </w:p>
    <w:p>
      <w:pPr>
        <w:spacing w:line="800" w:lineRule="exact"/>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三</w:t>
      </w:r>
      <w:r>
        <w:rPr>
          <w:rFonts w:hint="eastAsia" w:ascii="仿宋" w:hAnsi="仿宋" w:eastAsia="仿宋" w:cs="仿宋"/>
          <w:b/>
          <w:sz w:val="30"/>
          <w:szCs w:val="30"/>
          <w:highlight w:val="none"/>
        </w:rPr>
        <w:t>、法定代表人及其授权代表身份证复印件（正反面）</w:t>
      </w:r>
    </w:p>
    <w:p>
      <w:pPr>
        <w:spacing w:line="800" w:lineRule="exact"/>
        <w:rPr>
          <w:rFonts w:hint="eastAsia" w:ascii="仿宋" w:hAnsi="仿宋" w:eastAsia="仿宋" w:cs="仿宋"/>
          <w:b/>
          <w:sz w:val="24"/>
          <w:highlight w:val="none"/>
        </w:rPr>
      </w:pPr>
    </w:p>
    <w:p>
      <w:pPr>
        <w:spacing w:line="800" w:lineRule="exact"/>
        <w:rPr>
          <w:rFonts w:hint="eastAsia" w:ascii="仿宋" w:hAnsi="仿宋" w:eastAsia="仿宋" w:cs="仿宋"/>
          <w:b/>
          <w:sz w:val="24"/>
          <w:highlight w:val="none"/>
        </w:rPr>
      </w:pPr>
    </w:p>
    <w:p>
      <w:pPr>
        <w:spacing w:line="800" w:lineRule="exact"/>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四</w:t>
      </w:r>
      <w:r>
        <w:rPr>
          <w:rFonts w:hint="eastAsia" w:ascii="仿宋" w:hAnsi="仿宋" w:eastAsia="仿宋" w:cs="仿宋"/>
          <w:b/>
          <w:sz w:val="30"/>
          <w:szCs w:val="30"/>
          <w:highlight w:val="none"/>
        </w:rPr>
        <w:t>、法定代表人身份证明书</w:t>
      </w:r>
      <w:r>
        <w:rPr>
          <w:rFonts w:hint="eastAsia" w:ascii="仿宋" w:hAnsi="仿宋" w:eastAsia="仿宋" w:cs="仿宋"/>
          <w:b/>
          <w:sz w:val="30"/>
          <w:szCs w:val="30"/>
          <w:highlight w:val="none"/>
          <w:lang w:eastAsia="zh-CN"/>
        </w:rPr>
        <w:t>（</w:t>
      </w:r>
      <w:r>
        <w:rPr>
          <w:rFonts w:hint="eastAsia" w:ascii="仿宋" w:hAnsi="仿宋" w:eastAsia="仿宋" w:cs="仿宋"/>
          <w:b/>
          <w:sz w:val="30"/>
          <w:szCs w:val="30"/>
          <w:highlight w:val="none"/>
        </w:rPr>
        <w:t>格式</w:t>
      </w:r>
      <w:r>
        <w:rPr>
          <w:rFonts w:hint="eastAsia" w:ascii="仿宋" w:hAnsi="仿宋" w:eastAsia="仿宋" w:cs="仿宋"/>
          <w:b/>
          <w:sz w:val="30"/>
          <w:szCs w:val="30"/>
          <w:highlight w:val="none"/>
          <w:lang w:eastAsia="zh-CN"/>
        </w:rPr>
        <w:t>）</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pPr>
        <w:spacing w:line="440" w:lineRule="exact"/>
        <w:ind w:right="281" w:rightChars="134"/>
        <w:rPr>
          <w:rFonts w:hint="eastAsia" w:ascii="仿宋" w:hAnsi="仿宋" w:eastAsia="仿宋" w:cs="仿宋"/>
          <w:sz w:val="24"/>
          <w:highlight w:val="none"/>
          <w:u w:val="singl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p>
    <w:p>
      <w:pPr>
        <w:spacing w:line="440" w:lineRule="exact"/>
        <w:ind w:right="281" w:rightChars="134"/>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pPr>
        <w:spacing w:line="440" w:lineRule="exact"/>
        <w:ind w:right="281" w:rightChars="134"/>
        <w:rPr>
          <w:rFonts w:hint="eastAsia" w:ascii="仿宋" w:hAnsi="仿宋" w:eastAsia="仿宋" w:cs="仿宋"/>
          <w:sz w:val="24"/>
          <w:highlight w:val="none"/>
        </w:rPr>
      </w:pPr>
      <w:r>
        <w:rPr>
          <w:rFonts w:hint="eastAsia" w:ascii="仿宋" w:hAnsi="仿宋" w:eastAsia="仿宋" w:cs="仿宋"/>
          <w:sz w:val="24"/>
          <w:highlight w:val="none"/>
        </w:rPr>
        <w:t>职   务：</w:t>
      </w:r>
      <w:r>
        <w:rPr>
          <w:rFonts w:hint="eastAsia" w:ascii="仿宋" w:hAnsi="仿宋" w:eastAsia="仿宋" w:cs="仿宋"/>
          <w:sz w:val="24"/>
          <w:highlight w:val="none"/>
          <w:u w:val="single"/>
        </w:rPr>
        <w:t xml:space="preserve">                           </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（填写投标人名称）</w:t>
      </w:r>
      <w:r>
        <w:rPr>
          <w:rFonts w:hint="eastAsia" w:ascii="仿宋" w:hAnsi="仿宋" w:eastAsia="仿宋" w:cs="仿宋"/>
          <w:sz w:val="24"/>
          <w:highlight w:val="none"/>
        </w:rPr>
        <w:t>的法定代表人。</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特此证明。</w:t>
      </w:r>
    </w:p>
    <w:p>
      <w:pPr>
        <w:spacing w:line="440" w:lineRule="exact"/>
        <w:rPr>
          <w:rFonts w:hint="eastAsia" w:ascii="仿宋" w:hAnsi="仿宋" w:eastAsia="仿宋" w:cs="仿宋"/>
          <w:sz w:val="24"/>
          <w:highlight w:val="none"/>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lang w:eastAsia="zh-CN"/>
        </w:rPr>
        <w:t>名称</w:t>
      </w:r>
      <w:r>
        <w:rPr>
          <w:rFonts w:hint="eastAsia" w:ascii="仿宋" w:hAnsi="仿宋" w:eastAsia="仿宋" w:cs="仿宋"/>
          <w:sz w:val="24"/>
          <w:highlight w:val="none"/>
        </w:rPr>
        <w:t>：                             （电子签章）</w:t>
      </w:r>
    </w:p>
    <w:p>
      <w:pPr>
        <w:spacing w:line="440" w:lineRule="exact"/>
        <w:ind w:right="480"/>
        <w:rPr>
          <w:rFonts w:hint="eastAsia" w:ascii="仿宋" w:hAnsi="仿宋" w:eastAsia="仿宋" w:cs="仿宋"/>
          <w:sz w:val="24"/>
          <w:highlight w:val="none"/>
        </w:rPr>
      </w:pPr>
    </w:p>
    <w:p>
      <w:pPr>
        <w:spacing w:line="440" w:lineRule="exact"/>
        <w:ind w:right="720"/>
        <w:jc w:val="right"/>
        <w:rPr>
          <w:rFonts w:hint="eastAsia" w:ascii="仿宋" w:hAnsi="仿宋" w:eastAsia="仿宋" w:cs="仿宋"/>
          <w:sz w:val="24"/>
          <w:highlight w:val="none"/>
        </w:rPr>
      </w:pPr>
      <w:r>
        <w:rPr>
          <w:rFonts w:hint="eastAsia" w:ascii="仿宋" w:hAnsi="仿宋" w:eastAsia="仿宋" w:cs="仿宋"/>
          <w:sz w:val="24"/>
          <w:highlight w:val="none"/>
        </w:rPr>
        <w:t>年   月   日</w:t>
      </w:r>
    </w:p>
    <w:p>
      <w:pPr>
        <w:jc w:val="center"/>
        <w:rPr>
          <w:rFonts w:hint="eastAsia" w:ascii="仿宋" w:hAnsi="仿宋" w:eastAsia="仿宋" w:cs="仿宋"/>
          <w:b/>
          <w:kern w:val="0"/>
          <w:sz w:val="32"/>
          <w:szCs w:val="32"/>
          <w:highlight w:val="none"/>
        </w:rPr>
      </w:pPr>
    </w:p>
    <w:p>
      <w:pPr>
        <w:jc w:val="center"/>
        <w:rPr>
          <w:rFonts w:hint="eastAsia" w:ascii="仿宋" w:hAnsi="仿宋" w:eastAsia="仿宋" w:cs="仿宋"/>
          <w:b/>
          <w:kern w:val="0"/>
          <w:sz w:val="32"/>
          <w:szCs w:val="32"/>
          <w:highlight w:val="none"/>
        </w:rPr>
      </w:pPr>
    </w:p>
    <w:p>
      <w:pPr>
        <w:jc w:val="both"/>
        <w:rPr>
          <w:rFonts w:hint="eastAsia" w:ascii="仿宋" w:hAnsi="仿宋" w:eastAsia="仿宋" w:cs="仿宋"/>
          <w:b/>
          <w:kern w:val="0"/>
          <w:sz w:val="32"/>
          <w:szCs w:val="32"/>
          <w:highlight w:val="none"/>
        </w:rPr>
      </w:pPr>
    </w:p>
    <w:p>
      <w:pPr>
        <w:jc w:val="center"/>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lang w:eastAsia="zh-CN"/>
        </w:rPr>
        <w:t>五</w:t>
      </w:r>
      <w:r>
        <w:rPr>
          <w:rFonts w:hint="eastAsia" w:ascii="仿宋" w:hAnsi="仿宋" w:eastAsia="仿宋" w:cs="仿宋"/>
          <w:b/>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3683" w:type="dxa"/>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招标文件章节及具体内容</w:t>
            </w:r>
          </w:p>
        </w:tc>
        <w:tc>
          <w:tcPr>
            <w:tcW w:w="3546" w:type="dxa"/>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投标文件章节及具体内容</w:t>
            </w:r>
          </w:p>
        </w:tc>
        <w:tc>
          <w:tcPr>
            <w:tcW w:w="1276" w:type="dxa"/>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683" w:type="dxa"/>
          </w:tcPr>
          <w:p>
            <w:pPr>
              <w:jc w:val="center"/>
              <w:rPr>
                <w:rFonts w:hint="eastAsia" w:ascii="仿宋" w:hAnsi="仿宋" w:eastAsia="仿宋" w:cs="仿宋"/>
                <w:b/>
                <w:kern w:val="0"/>
                <w:sz w:val="32"/>
                <w:szCs w:val="32"/>
                <w:highlight w:val="none"/>
              </w:rPr>
            </w:pPr>
          </w:p>
        </w:tc>
        <w:tc>
          <w:tcPr>
            <w:tcW w:w="3546" w:type="dxa"/>
          </w:tcPr>
          <w:p>
            <w:pPr>
              <w:jc w:val="center"/>
              <w:rPr>
                <w:rFonts w:hint="eastAsia" w:ascii="仿宋" w:hAnsi="仿宋" w:eastAsia="仿宋" w:cs="仿宋"/>
                <w:b/>
                <w:kern w:val="0"/>
                <w:sz w:val="32"/>
                <w:szCs w:val="32"/>
                <w:highlight w:val="none"/>
              </w:rPr>
            </w:pPr>
          </w:p>
        </w:tc>
        <w:tc>
          <w:tcPr>
            <w:tcW w:w="1276" w:type="dxa"/>
          </w:tcPr>
          <w:p>
            <w:pPr>
              <w:jc w:val="center"/>
              <w:rPr>
                <w:rFonts w:hint="eastAsia" w:ascii="仿宋" w:hAnsi="仿宋" w:eastAsia="仿宋" w:cs="仿宋"/>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3683" w:type="dxa"/>
          </w:tcPr>
          <w:p>
            <w:pPr>
              <w:jc w:val="center"/>
              <w:rPr>
                <w:rFonts w:hint="eastAsia" w:ascii="仿宋" w:hAnsi="仿宋" w:eastAsia="仿宋" w:cs="仿宋"/>
                <w:b/>
                <w:kern w:val="0"/>
                <w:sz w:val="32"/>
                <w:szCs w:val="32"/>
                <w:highlight w:val="none"/>
              </w:rPr>
            </w:pPr>
          </w:p>
        </w:tc>
        <w:tc>
          <w:tcPr>
            <w:tcW w:w="3546" w:type="dxa"/>
          </w:tcPr>
          <w:p>
            <w:pPr>
              <w:jc w:val="center"/>
              <w:rPr>
                <w:rFonts w:hint="eastAsia" w:ascii="仿宋" w:hAnsi="仿宋" w:eastAsia="仿宋" w:cs="仿宋"/>
                <w:b/>
                <w:kern w:val="0"/>
                <w:sz w:val="32"/>
                <w:szCs w:val="32"/>
                <w:highlight w:val="none"/>
              </w:rPr>
            </w:pPr>
          </w:p>
        </w:tc>
        <w:tc>
          <w:tcPr>
            <w:tcW w:w="1276" w:type="dxa"/>
          </w:tcPr>
          <w:p>
            <w:pPr>
              <w:jc w:val="center"/>
              <w:rPr>
                <w:rFonts w:hint="eastAsia" w:ascii="仿宋" w:hAnsi="仿宋" w:eastAsia="仿宋" w:cs="仿宋"/>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3683" w:type="dxa"/>
          </w:tcPr>
          <w:p>
            <w:pPr>
              <w:jc w:val="center"/>
              <w:rPr>
                <w:rFonts w:hint="eastAsia" w:ascii="仿宋" w:hAnsi="仿宋" w:eastAsia="仿宋" w:cs="仿宋"/>
                <w:b/>
                <w:kern w:val="0"/>
                <w:sz w:val="32"/>
                <w:szCs w:val="32"/>
                <w:highlight w:val="none"/>
              </w:rPr>
            </w:pPr>
          </w:p>
        </w:tc>
        <w:tc>
          <w:tcPr>
            <w:tcW w:w="3546" w:type="dxa"/>
          </w:tcPr>
          <w:p>
            <w:pPr>
              <w:jc w:val="center"/>
              <w:rPr>
                <w:rFonts w:hint="eastAsia" w:ascii="仿宋" w:hAnsi="仿宋" w:eastAsia="仿宋" w:cs="仿宋"/>
                <w:b/>
                <w:kern w:val="0"/>
                <w:sz w:val="32"/>
                <w:szCs w:val="32"/>
                <w:highlight w:val="none"/>
              </w:rPr>
            </w:pPr>
          </w:p>
        </w:tc>
        <w:tc>
          <w:tcPr>
            <w:tcW w:w="1276" w:type="dxa"/>
          </w:tcPr>
          <w:p>
            <w:pPr>
              <w:jc w:val="center"/>
              <w:rPr>
                <w:rFonts w:hint="eastAsia" w:ascii="仿宋" w:hAnsi="仿宋" w:eastAsia="仿宋" w:cs="仿宋"/>
                <w:b/>
                <w:kern w:val="0"/>
                <w:sz w:val="32"/>
                <w:szCs w:val="32"/>
                <w:highlight w:val="none"/>
              </w:rPr>
            </w:pPr>
          </w:p>
        </w:tc>
      </w:tr>
    </w:tbl>
    <w:p>
      <w:pPr>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投标人保证：除商务技术偏离表列出的偏离外，投标人响应招标文件的全部要求</w:t>
      </w:r>
    </w:p>
    <w:p>
      <w:pPr>
        <w:jc w:val="center"/>
        <w:rPr>
          <w:rFonts w:hint="eastAsia" w:ascii="仿宋" w:hAnsi="仿宋" w:eastAsia="仿宋" w:cs="仿宋"/>
          <w:b/>
          <w:kern w:val="0"/>
          <w:sz w:val="32"/>
          <w:szCs w:val="32"/>
          <w:highlight w:val="none"/>
        </w:rPr>
      </w:pPr>
    </w:p>
    <w:p>
      <w:pPr>
        <w:spacing w:line="360" w:lineRule="auto"/>
        <w:ind w:right="420"/>
        <w:rPr>
          <w:rFonts w:hint="eastAsia" w:ascii="仿宋" w:hAnsi="仿宋" w:eastAsia="仿宋" w:cs="仿宋"/>
          <w:sz w:val="24"/>
          <w:highlight w:val="none"/>
        </w:rPr>
      </w:pPr>
      <w:r>
        <w:rPr>
          <w:rFonts w:hint="eastAsia" w:ascii="仿宋" w:hAnsi="仿宋" w:eastAsia="仿宋" w:cs="仿宋"/>
          <w:sz w:val="24"/>
          <w:highlight w:val="none"/>
        </w:rPr>
        <w:t>注：按本格式和要求提供。</w:t>
      </w:r>
    </w:p>
    <w:p>
      <w:pPr>
        <w:pStyle w:val="79"/>
        <w:rPr>
          <w:rFonts w:hint="eastAsia" w:ascii="仿宋" w:hAnsi="仿宋" w:eastAsia="仿宋" w:cs="仿宋"/>
          <w:sz w:val="24"/>
          <w:highlight w:val="none"/>
        </w:rPr>
      </w:pPr>
    </w:p>
    <w:p>
      <w:pPr>
        <w:pStyle w:val="79"/>
        <w:rPr>
          <w:rFonts w:hint="eastAsia" w:ascii="仿宋" w:hAnsi="仿宋" w:eastAsia="仿宋" w:cs="仿宋"/>
          <w:sz w:val="24"/>
          <w:highlight w:val="none"/>
        </w:rPr>
      </w:pPr>
    </w:p>
    <w:p>
      <w:pPr>
        <w:widowControl/>
        <w:adjustRightInd/>
        <w:jc w:val="left"/>
        <w:rPr>
          <w:rFonts w:hint="eastAsia" w:ascii="仿宋" w:hAnsi="仿宋" w:eastAsia="仿宋" w:cs="仿宋"/>
          <w:b/>
          <w:bCs/>
          <w:sz w:val="32"/>
          <w:szCs w:val="32"/>
          <w:highlight w:val="none"/>
          <w:lang w:eastAsia="zh-CN"/>
        </w:rPr>
      </w:pPr>
    </w:p>
    <w:p>
      <w:pPr>
        <w:widowControl/>
        <w:adjustRightInd/>
        <w:jc w:val="center"/>
        <w:rPr>
          <w:rFonts w:hint="eastAsia" w:ascii="仿宋" w:hAnsi="仿宋" w:eastAsia="仿宋" w:cs="仿宋"/>
          <w:b/>
          <w:kern w:val="0"/>
          <w:sz w:val="32"/>
          <w:szCs w:val="32"/>
          <w:highlight w:val="none"/>
        </w:rPr>
      </w:pPr>
      <w:r>
        <w:rPr>
          <w:rFonts w:hint="eastAsia" w:ascii="仿宋" w:hAnsi="仿宋" w:eastAsia="仿宋" w:cs="仿宋"/>
          <w:b/>
          <w:bCs/>
          <w:sz w:val="32"/>
          <w:szCs w:val="32"/>
          <w:highlight w:val="none"/>
          <w:lang w:eastAsia="zh-CN"/>
        </w:rPr>
        <w:t>六</w:t>
      </w:r>
      <w:r>
        <w:rPr>
          <w:rFonts w:hint="eastAsia" w:ascii="仿宋" w:hAnsi="仿宋" w:eastAsia="仿宋" w:cs="仿宋"/>
          <w:b/>
          <w:kern w:val="0"/>
          <w:sz w:val="32"/>
          <w:szCs w:val="32"/>
          <w:highlight w:val="none"/>
        </w:rPr>
        <w:t>、</w:t>
      </w:r>
      <w:r>
        <w:rPr>
          <w:rFonts w:hint="eastAsia" w:ascii="仿宋" w:hAnsi="仿宋" w:eastAsia="仿宋" w:cs="仿宋"/>
          <w:b/>
          <w:kern w:val="0"/>
          <w:sz w:val="32"/>
          <w:szCs w:val="32"/>
          <w:highlight w:val="none"/>
          <w:lang w:val="zh-CN"/>
        </w:rPr>
        <w:t>政府采购供应商廉洁自律承诺书</w:t>
      </w: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kern w:val="0"/>
          <w:sz w:val="24"/>
          <w:highlight w:val="none"/>
        </w:rPr>
      </w:pPr>
      <w:r>
        <w:rPr>
          <w:rFonts w:hint="eastAsia" w:ascii="仿宋" w:hAnsi="仿宋" w:eastAsia="仿宋" w:cs="仿宋"/>
          <w:color w:val="auto"/>
          <w:sz w:val="24"/>
          <w:highlight w:val="none"/>
        </w:rPr>
        <w:t>（采购人）、（采购代</w:t>
      </w:r>
      <w:r>
        <w:rPr>
          <w:rFonts w:hint="eastAsia" w:ascii="仿宋" w:hAnsi="仿宋" w:eastAsia="仿宋" w:cs="仿宋"/>
          <w:sz w:val="24"/>
          <w:highlight w:val="none"/>
        </w:rPr>
        <w:t>理机构）</w:t>
      </w:r>
      <w:r>
        <w:rPr>
          <w:rFonts w:hint="eastAsia" w:ascii="仿宋" w:hAnsi="仿宋" w:eastAsia="仿宋" w:cs="仿宋"/>
          <w:kern w:val="0"/>
          <w:sz w:val="24"/>
          <w:highlight w:val="none"/>
          <w:lang w:val="zh-CN"/>
        </w:rPr>
        <w:t>：</w:t>
      </w:r>
    </w:p>
    <w:p>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我单位响应你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好处；</w:t>
      </w:r>
    </w:p>
    <w:p>
      <w:pPr>
        <w:autoSpaceDE w:val="0"/>
        <w:autoSpaceDN w:val="0"/>
        <w:spacing w:line="360" w:lineRule="auto"/>
        <w:ind w:left="481" w:leftChars="229"/>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六、严格遵守《</w:t>
      </w:r>
      <w:r>
        <w:rPr>
          <w:rFonts w:hint="eastAsia" w:ascii="仿宋" w:hAnsi="仿宋" w:eastAsia="仿宋" w:cs="仿宋"/>
          <w:sz w:val="24"/>
          <w:highlight w:val="none"/>
          <w:lang w:val="zh-CN"/>
        </w:rPr>
        <w:t>中华人民共和国</w:t>
      </w:r>
      <w:r>
        <w:rPr>
          <w:rFonts w:hint="eastAsia" w:ascii="仿宋" w:hAnsi="仿宋" w:eastAsia="仿宋" w:cs="仿宋"/>
          <w:kern w:val="0"/>
          <w:sz w:val="24"/>
          <w:highlight w:val="none"/>
          <w:lang w:val="zh-CN"/>
        </w:rPr>
        <w:t>政府采购法》《</w:t>
      </w:r>
      <w:r>
        <w:rPr>
          <w:rFonts w:hint="eastAsia" w:ascii="仿宋" w:hAnsi="仿宋" w:eastAsia="仿宋" w:cs="仿宋"/>
          <w:sz w:val="24"/>
          <w:highlight w:val="none"/>
          <w:lang w:val="zh-CN"/>
        </w:rPr>
        <w:t>中华人民共和国</w:t>
      </w:r>
      <w:r>
        <w:rPr>
          <w:rFonts w:hint="eastAsia" w:ascii="仿宋" w:hAnsi="仿宋" w:eastAsia="仿宋" w:cs="仿宋"/>
          <w:kern w:val="0"/>
          <w:sz w:val="24"/>
          <w:highlight w:val="none"/>
          <w:lang w:val="zh-CN"/>
        </w:rPr>
        <w:t>招标投标</w:t>
      </w:r>
    </w:p>
    <w:p>
      <w:pPr>
        <w:autoSpaceDE w:val="0"/>
        <w:autoSpaceDN w:val="0"/>
        <w:spacing w:line="360" w:lineRule="auto"/>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法》</w:t>
      </w:r>
      <w:r>
        <w:rPr>
          <w:rFonts w:hint="eastAsia" w:ascii="仿宋" w:hAnsi="仿宋" w:eastAsia="仿宋" w:cs="仿宋"/>
          <w:sz w:val="24"/>
          <w:highlight w:val="none"/>
          <w:lang w:val="zh-CN"/>
        </w:rPr>
        <w:t>《中华人民共和国民法典》</w:t>
      </w:r>
      <w:r>
        <w:rPr>
          <w:rFonts w:hint="eastAsia" w:ascii="仿宋" w:hAnsi="仿宋" w:eastAsia="仿宋" w:cs="仿宋"/>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如违反上述承诺，你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有权立即取消我单位投标、中标或在建项目的建设资格，有权拒绝我单位在一定时期内进入你</w:t>
      </w:r>
      <w:r>
        <w:rPr>
          <w:rFonts w:hint="eastAsia" w:ascii="仿宋" w:hAnsi="仿宋" w:eastAsia="仿宋" w:cs="仿宋"/>
          <w:sz w:val="24"/>
          <w:highlight w:val="none"/>
        </w:rPr>
        <w:t>单位</w:t>
      </w:r>
      <w:r>
        <w:rPr>
          <w:rFonts w:hint="eastAsia" w:ascii="仿宋" w:hAnsi="仿宋" w:eastAsia="仿宋" w:cs="仿宋"/>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hint="eastAsia" w:ascii="仿宋" w:hAnsi="仿宋" w:eastAsia="仿宋" w:cs="仿宋"/>
          <w:kern w:val="0"/>
          <w:sz w:val="24"/>
          <w:highlight w:val="none"/>
          <w:lang w:val="zh-CN"/>
        </w:rPr>
      </w:pPr>
    </w:p>
    <w:p>
      <w:pPr>
        <w:autoSpaceDE w:val="0"/>
        <w:autoSpaceDN w:val="0"/>
        <w:spacing w:line="360" w:lineRule="auto"/>
        <w:ind w:left="2"/>
        <w:jc w:val="left"/>
        <w:rPr>
          <w:rFonts w:hint="eastAsia" w:ascii="仿宋" w:hAnsi="仿宋" w:eastAsia="仿宋" w:cs="仿宋"/>
          <w:kern w:val="0"/>
          <w:sz w:val="24"/>
          <w:highlight w:val="none"/>
          <w:lang w:val="zh-CN"/>
        </w:rPr>
      </w:pPr>
    </w:p>
    <w:p>
      <w:pPr>
        <w:autoSpaceDE w:val="0"/>
        <w:autoSpaceDN w:val="0"/>
        <w:spacing w:line="360" w:lineRule="auto"/>
        <w:ind w:left="2"/>
        <w:jc w:val="left"/>
        <w:rPr>
          <w:rFonts w:hint="eastAsia" w:ascii="仿宋" w:hAnsi="仿宋" w:eastAsia="仿宋" w:cs="仿宋"/>
          <w:kern w:val="0"/>
          <w:sz w:val="24"/>
          <w:highlight w:val="none"/>
          <w:lang w:val="zh-CN"/>
        </w:rPr>
      </w:pPr>
    </w:p>
    <w:p>
      <w:pPr>
        <w:autoSpaceDE w:val="0"/>
        <w:autoSpaceDN w:val="0"/>
        <w:spacing w:line="360" w:lineRule="auto"/>
        <w:ind w:left="2" w:leftChars="1" w:right="1120" w:firstLine="4560" w:firstLineChars="19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投标人名称（</w:t>
      </w:r>
      <w:r>
        <w:rPr>
          <w:rFonts w:hint="eastAsia" w:ascii="仿宋" w:hAnsi="仿宋" w:eastAsia="仿宋" w:cs="仿宋"/>
          <w:sz w:val="24"/>
          <w:highlight w:val="none"/>
        </w:rPr>
        <w:t>电子签名</w:t>
      </w:r>
      <w:r>
        <w:rPr>
          <w:rFonts w:hint="eastAsia" w:ascii="仿宋" w:hAnsi="仿宋" w:eastAsia="仿宋" w:cs="仿宋"/>
          <w:kern w:val="0"/>
          <w:sz w:val="24"/>
          <w:highlight w:val="none"/>
          <w:lang w:val="zh-CN"/>
        </w:rPr>
        <w:t xml:space="preserve">）：                                                                                                                                                                                                               </w:t>
      </w:r>
    </w:p>
    <w:p>
      <w:pPr>
        <w:spacing w:line="360" w:lineRule="auto"/>
        <w:ind w:left="4620" w:leftChars="2200"/>
        <w:rPr>
          <w:rFonts w:hint="eastAsia" w:ascii="仿宋" w:hAnsi="仿宋" w:eastAsia="仿宋" w:cs="仿宋"/>
          <w:sz w:val="24"/>
          <w:highlight w:val="none"/>
        </w:rPr>
      </w:pPr>
      <w:r>
        <w:rPr>
          <w:rFonts w:hint="eastAsia" w:ascii="仿宋" w:hAnsi="仿宋" w:eastAsia="仿宋" w:cs="仿宋"/>
          <w:kern w:val="0"/>
          <w:sz w:val="24"/>
          <w:highlight w:val="none"/>
          <w:lang w:val="zh-CN"/>
        </w:rPr>
        <w:t>日期</w:t>
      </w:r>
      <w:r>
        <w:rPr>
          <w:rFonts w:hint="eastAsia" w:ascii="仿宋" w:hAnsi="仿宋" w:eastAsia="仿宋" w:cs="仿宋"/>
          <w:kern w:val="0"/>
          <w:sz w:val="24"/>
          <w:highlight w:val="none"/>
        </w:rPr>
        <w:t>：</w:t>
      </w:r>
      <w:r>
        <w:rPr>
          <w:rFonts w:hint="eastAsia" w:ascii="仿宋" w:hAnsi="仿宋" w:eastAsia="仿宋" w:cs="仿宋"/>
          <w:kern w:val="0"/>
          <w:sz w:val="24"/>
          <w:highlight w:val="none"/>
          <w:lang w:val="zh-CN"/>
        </w:rPr>
        <w:t xml:space="preserve">   年   月   日</w:t>
      </w:r>
    </w:p>
    <w:p>
      <w:pPr>
        <w:spacing w:line="360" w:lineRule="auto"/>
        <w:jc w:val="center"/>
        <w:rPr>
          <w:rFonts w:hint="eastAsia" w:ascii="仿宋" w:hAnsi="仿宋" w:eastAsia="仿宋" w:cs="仿宋"/>
          <w:b/>
          <w:bCs/>
          <w:sz w:val="24"/>
          <w:highlight w:val="none"/>
        </w:rPr>
      </w:pPr>
    </w:p>
    <w:p>
      <w:pPr>
        <w:spacing w:line="360" w:lineRule="auto"/>
        <w:ind w:right="420"/>
        <w:rPr>
          <w:rFonts w:hint="eastAsia" w:ascii="仿宋" w:hAnsi="仿宋" w:eastAsia="仿宋" w:cs="仿宋"/>
          <w:sz w:val="24"/>
          <w:highlight w:val="none"/>
        </w:rPr>
      </w:pPr>
      <w:r>
        <w:rPr>
          <w:rFonts w:hint="eastAsia" w:ascii="仿宋" w:hAnsi="仿宋" w:eastAsia="仿宋" w:cs="仿宋"/>
          <w:sz w:val="24"/>
          <w:highlight w:val="none"/>
        </w:rPr>
        <w:t>注：按本格式和要求提供。</w:t>
      </w:r>
    </w:p>
    <w:p>
      <w:pPr>
        <w:spacing w:line="360" w:lineRule="auto"/>
        <w:jc w:val="center"/>
        <w:rPr>
          <w:rFonts w:hint="eastAsia" w:ascii="仿宋" w:hAnsi="仿宋" w:eastAsia="仿宋" w:cs="仿宋"/>
          <w:b/>
          <w:bCs/>
          <w:sz w:val="24"/>
          <w:highlight w:val="none"/>
        </w:rPr>
      </w:pPr>
    </w:p>
    <w:p>
      <w:pPr>
        <w:pStyle w:val="79"/>
        <w:rPr>
          <w:rFonts w:hint="eastAsia" w:ascii="仿宋" w:hAnsi="仿宋" w:eastAsia="仿宋" w:cs="仿宋"/>
          <w:b/>
          <w:bCs/>
          <w:sz w:val="24"/>
          <w:highlight w:val="none"/>
        </w:rPr>
      </w:pPr>
    </w:p>
    <w:p>
      <w:pPr>
        <w:pStyle w:val="79"/>
        <w:rPr>
          <w:rFonts w:hint="eastAsia" w:ascii="仿宋" w:hAnsi="仿宋" w:eastAsia="仿宋" w:cs="仿宋"/>
          <w:b/>
          <w:bCs/>
          <w:sz w:val="24"/>
          <w:highlight w:val="none"/>
        </w:rPr>
      </w:pPr>
    </w:p>
    <w:p>
      <w:pPr>
        <w:pStyle w:val="79"/>
        <w:rPr>
          <w:rFonts w:hint="eastAsia" w:ascii="仿宋" w:hAnsi="仿宋" w:eastAsia="仿宋" w:cs="仿宋"/>
          <w:b/>
          <w:bCs/>
          <w:sz w:val="24"/>
          <w:highlight w:val="none"/>
        </w:rPr>
      </w:pPr>
    </w:p>
    <w:p>
      <w:pPr>
        <w:pStyle w:val="79"/>
        <w:rPr>
          <w:rFonts w:hint="eastAsia" w:ascii="仿宋" w:hAnsi="仿宋" w:eastAsia="仿宋" w:cs="仿宋"/>
          <w:b/>
          <w:bCs/>
          <w:sz w:val="24"/>
          <w:highlight w:val="none"/>
        </w:rPr>
      </w:pPr>
    </w:p>
    <w:p>
      <w:pPr>
        <w:widowControl/>
        <w:adjustRightInd/>
        <w:jc w:val="center"/>
        <w:rPr>
          <w:rFonts w:hint="eastAsia" w:ascii="仿宋" w:hAnsi="仿宋" w:eastAsia="仿宋" w:cs="仿宋"/>
          <w:b/>
          <w:kern w:val="0"/>
          <w:sz w:val="32"/>
          <w:szCs w:val="32"/>
          <w:highlight w:val="none"/>
          <w:lang w:val="en-US" w:eastAsia="zh-CN"/>
        </w:rPr>
      </w:pPr>
    </w:p>
    <w:p>
      <w:pPr>
        <w:widowControl/>
        <w:adjustRightInd/>
        <w:jc w:val="center"/>
        <w:rPr>
          <w:rFonts w:hint="eastAsia" w:ascii="仿宋" w:hAnsi="仿宋" w:eastAsia="仿宋" w:cs="仿宋"/>
          <w:b/>
          <w:kern w:val="0"/>
          <w:sz w:val="32"/>
          <w:szCs w:val="32"/>
          <w:highlight w:val="none"/>
          <w:lang w:val="en-US" w:eastAsia="zh-CN"/>
        </w:rPr>
      </w:pPr>
      <w:r>
        <w:rPr>
          <w:rFonts w:hint="eastAsia" w:ascii="仿宋" w:hAnsi="仿宋" w:eastAsia="仿宋" w:cs="仿宋"/>
          <w:b/>
          <w:kern w:val="0"/>
          <w:sz w:val="32"/>
          <w:szCs w:val="32"/>
          <w:highlight w:val="none"/>
          <w:lang w:val="en-US" w:eastAsia="zh-CN"/>
        </w:rPr>
        <w:t>七、</w:t>
      </w:r>
      <w:r>
        <w:rPr>
          <w:rFonts w:hint="eastAsia" w:ascii="仿宋" w:hAnsi="仿宋" w:eastAsia="仿宋" w:cs="仿宋"/>
          <w:b/>
          <w:kern w:val="0"/>
          <w:sz w:val="32"/>
          <w:szCs w:val="32"/>
          <w:highlight w:val="none"/>
          <w:lang w:val="zh-CN" w:eastAsia="zh-CN"/>
        </w:rPr>
        <w:t>评标标准相应的商务技术资料</w:t>
      </w:r>
    </w:p>
    <w:p>
      <w:pPr>
        <w:widowControl/>
        <w:adjustRightInd/>
        <w:jc w:val="center"/>
        <w:rPr>
          <w:rFonts w:hint="eastAsia" w:ascii="仿宋" w:hAnsi="仿宋" w:eastAsia="仿宋" w:cs="仿宋"/>
          <w:b/>
          <w:kern w:val="0"/>
          <w:sz w:val="32"/>
          <w:szCs w:val="32"/>
          <w:highlight w:val="none"/>
          <w:lang w:val="en-US" w:eastAsia="zh-CN"/>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p>
    <w:p>
      <w:pPr>
        <w:spacing w:line="360" w:lineRule="auto"/>
        <w:jc w:val="center"/>
        <w:outlineLvl w:val="0"/>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报价文件部分</w:t>
      </w:r>
    </w:p>
    <w:p>
      <w:pPr>
        <w:spacing w:line="360" w:lineRule="auto"/>
        <w:jc w:val="center"/>
        <w:outlineLvl w:val="0"/>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目录</w:t>
      </w:r>
    </w:p>
    <w:p>
      <w:pPr>
        <w:spacing w:line="360" w:lineRule="auto"/>
        <w:jc w:val="center"/>
        <w:outlineLvl w:val="0"/>
        <w:rPr>
          <w:rFonts w:hint="eastAsia" w:ascii="仿宋" w:hAnsi="仿宋" w:eastAsia="仿宋" w:cs="仿宋"/>
          <w:b/>
          <w:kern w:val="0"/>
          <w:sz w:val="36"/>
          <w:szCs w:val="36"/>
          <w:highlight w:val="none"/>
        </w:rPr>
      </w:pP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（1）开标一览表（报价表）………………………………………………………（页码）</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（2）中小企业声明函………………………………………………………………（页码）</w:t>
      </w:r>
    </w:p>
    <w:p>
      <w:pPr>
        <w:pStyle w:val="25"/>
        <w:numPr>
          <w:ilvl w:val="0"/>
          <w:numId w:val="0"/>
        </w:numPr>
        <w:snapToGrid w:val="0"/>
        <w:spacing w:line="360" w:lineRule="auto"/>
        <w:rPr>
          <w:rFonts w:hint="eastAsia" w:ascii="仿宋" w:hAnsi="仿宋" w:eastAsia="仿宋" w:cs="仿宋"/>
          <w:sz w:val="24"/>
          <w:highlight w:val="none"/>
        </w:rPr>
      </w:pPr>
      <w:r>
        <w:rPr>
          <w:rFonts w:hint="default" w:ascii="仿宋" w:hAnsi="仿宋" w:eastAsia="仿宋" w:cs="仿宋"/>
          <w:b w:val="0"/>
          <w:bCs w:val="0"/>
          <w:i w:val="0"/>
          <w:iCs w:val="0"/>
          <w:color w:val="auto"/>
          <w:kern w:val="2"/>
          <w:sz w:val="24"/>
          <w:szCs w:val="24"/>
          <w:highlight w:val="none"/>
          <w:vertAlign w:val="baseline"/>
          <w:lang w:val="en-US" w:eastAsia="zh-CN" w:bidi="ar-SA"/>
        </w:rPr>
        <w:t>（3）残疾人福利性单位声明函……………………………………………………（页码）</w:t>
      </w: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center"/>
        <w:rPr>
          <w:rFonts w:hint="eastAsia" w:ascii="仿宋" w:hAnsi="仿宋" w:eastAsia="仿宋" w:cs="仿宋"/>
          <w:b/>
          <w:kern w:val="0"/>
          <w:sz w:val="32"/>
          <w:szCs w:val="32"/>
          <w:highlight w:val="none"/>
        </w:rPr>
      </w:pPr>
    </w:p>
    <w:p>
      <w:pPr>
        <w:snapToGrid w:val="0"/>
        <w:spacing w:line="360" w:lineRule="auto"/>
        <w:ind w:right="480"/>
        <w:jc w:val="both"/>
        <w:rPr>
          <w:rFonts w:hint="eastAsia" w:ascii="仿宋" w:hAnsi="仿宋" w:eastAsia="仿宋" w:cs="仿宋"/>
          <w:b/>
          <w:kern w:val="0"/>
          <w:sz w:val="32"/>
          <w:szCs w:val="32"/>
          <w:highlight w:val="none"/>
        </w:rPr>
      </w:pPr>
    </w:p>
    <w:p>
      <w:pPr>
        <w:pStyle w:val="692"/>
        <w:keepNext w:val="0"/>
        <w:pageBreakBefore w:val="0"/>
        <w:tabs>
          <w:tab w:val="clear" w:pos="720"/>
        </w:tabs>
        <w:snapToGrid w:val="0"/>
        <w:spacing w:before="120" w:after="120"/>
        <w:ind w:firstLine="643"/>
        <w:outlineLvl w:val="9"/>
        <w:rPr>
          <w:rFonts w:hint="eastAsia" w:ascii="仿宋" w:hAnsi="仿宋" w:eastAsia="仿宋" w:cs="仿宋"/>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NumType w:fmt="decimal"/>
          <w:cols w:space="720" w:num="1"/>
          <w:titlePg/>
          <w:docGrid w:linePitch="312" w:charSpace="0"/>
        </w:sectPr>
      </w:pPr>
    </w:p>
    <w:p>
      <w:pPr>
        <w:pStyle w:val="692"/>
        <w:keepNext w:val="0"/>
        <w:pageBreakBefore w:val="0"/>
        <w:tabs>
          <w:tab w:val="clear" w:pos="720"/>
        </w:tabs>
        <w:snapToGrid w:val="0"/>
        <w:spacing w:before="120" w:after="120"/>
        <w:ind w:firstLine="643"/>
        <w:outlineLvl w:val="9"/>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一、开标一览表（报价表）</w:t>
      </w:r>
    </w:p>
    <w:p>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lang w:eastAsia="zh-CN"/>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tbl>
      <w:tblPr>
        <w:tblStyle w:val="62"/>
        <w:tblW w:w="1307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156"/>
        <w:gridCol w:w="2972"/>
        <w:gridCol w:w="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1227" w:type="dxa"/>
            <w:vMerge w:val="restart"/>
            <w:vAlign w:val="center"/>
          </w:tcPr>
          <w:p>
            <w:pPr>
              <w:jc w:val="center"/>
              <w:rPr>
                <w:sz w:val="24"/>
                <w:szCs w:val="24"/>
                <w:highlight w:val="none"/>
              </w:rPr>
            </w:pPr>
            <w:r>
              <w:rPr>
                <w:rFonts w:hint="eastAsia"/>
                <w:sz w:val="24"/>
                <w:szCs w:val="24"/>
                <w:highlight w:val="none"/>
              </w:rPr>
              <w:t>标号</w:t>
            </w:r>
          </w:p>
        </w:tc>
        <w:tc>
          <w:tcPr>
            <w:tcW w:w="5156" w:type="dxa"/>
            <w:vMerge w:val="restart"/>
            <w:vAlign w:val="center"/>
          </w:tcPr>
          <w:p>
            <w:pPr>
              <w:jc w:val="center"/>
              <w:rPr>
                <w:rFonts w:hint="eastAsia"/>
                <w:sz w:val="24"/>
                <w:szCs w:val="24"/>
                <w:highlight w:val="none"/>
              </w:rPr>
            </w:pPr>
            <w:r>
              <w:rPr>
                <w:rFonts w:hint="eastAsia"/>
                <w:sz w:val="24"/>
                <w:szCs w:val="24"/>
                <w:highlight w:val="none"/>
              </w:rPr>
              <w:t>标的内容</w:t>
            </w:r>
          </w:p>
        </w:tc>
        <w:tc>
          <w:tcPr>
            <w:tcW w:w="6690" w:type="dxa"/>
            <w:gridSpan w:val="2"/>
            <w:vAlign w:val="center"/>
          </w:tcPr>
          <w:p>
            <w:pPr>
              <w:jc w:val="center"/>
              <w:rPr>
                <w:sz w:val="24"/>
                <w:szCs w:val="24"/>
                <w:highlight w:val="none"/>
              </w:rPr>
            </w:pPr>
            <w:r>
              <w:rPr>
                <w:rFonts w:hint="eastAsia"/>
                <w:sz w:val="24"/>
                <w:szCs w:val="24"/>
                <w:highlight w:val="none"/>
              </w:rPr>
              <w:t>投标</w:t>
            </w:r>
            <w:r>
              <w:rPr>
                <w:rFonts w:hint="eastAsia"/>
                <w:sz w:val="24"/>
                <w:szCs w:val="24"/>
                <w:highlight w:val="none"/>
                <w:lang w:val="en-US" w:eastAsia="zh-CN"/>
              </w:rPr>
              <w:t>折扣率</w:t>
            </w:r>
            <w:r>
              <w:rPr>
                <w:rFonts w:hint="eastAsia"/>
                <w:sz w:val="24"/>
                <w:szCs w:val="24"/>
                <w:highlight w:val="none"/>
              </w:rPr>
              <w:t>（单位：</w:t>
            </w:r>
            <w:r>
              <w:rPr>
                <w:rFonts w:hint="eastAsia"/>
                <w:sz w:val="24"/>
                <w:szCs w:val="24"/>
                <w:highlight w:val="none"/>
                <w:lang w:val="en-US" w:eastAsia="zh-CN"/>
              </w:rPr>
              <w:t>%</w:t>
            </w:r>
            <w:r>
              <w:rPr>
                <w:rFonts w:hint="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27" w:type="dxa"/>
            <w:vMerge w:val="continue"/>
            <w:vAlign w:val="center"/>
          </w:tcPr>
          <w:p>
            <w:pPr>
              <w:jc w:val="center"/>
              <w:rPr>
                <w:sz w:val="24"/>
                <w:szCs w:val="24"/>
                <w:highlight w:val="none"/>
              </w:rPr>
            </w:pPr>
          </w:p>
        </w:tc>
        <w:tc>
          <w:tcPr>
            <w:tcW w:w="5156" w:type="dxa"/>
            <w:vMerge w:val="continue"/>
            <w:vAlign w:val="center"/>
          </w:tcPr>
          <w:p>
            <w:pPr>
              <w:jc w:val="center"/>
              <w:rPr>
                <w:rFonts w:hint="eastAsia"/>
                <w:sz w:val="24"/>
                <w:szCs w:val="24"/>
                <w:highlight w:val="none"/>
              </w:rPr>
            </w:pPr>
          </w:p>
        </w:tc>
        <w:tc>
          <w:tcPr>
            <w:tcW w:w="2972" w:type="dxa"/>
            <w:vAlign w:val="center"/>
          </w:tcPr>
          <w:p>
            <w:pPr>
              <w:jc w:val="center"/>
              <w:rPr>
                <w:sz w:val="24"/>
                <w:szCs w:val="24"/>
                <w:highlight w:val="none"/>
              </w:rPr>
            </w:pPr>
            <w:r>
              <w:rPr>
                <w:rFonts w:hint="eastAsia"/>
                <w:sz w:val="24"/>
                <w:szCs w:val="24"/>
                <w:highlight w:val="none"/>
              </w:rPr>
              <w:t>小写</w:t>
            </w:r>
          </w:p>
        </w:tc>
        <w:tc>
          <w:tcPr>
            <w:tcW w:w="3718" w:type="dxa"/>
            <w:vAlign w:val="center"/>
          </w:tcPr>
          <w:p>
            <w:pPr>
              <w:jc w:val="center"/>
              <w:rPr>
                <w:sz w:val="24"/>
                <w:szCs w:val="24"/>
                <w:highlight w:val="none"/>
              </w:rPr>
            </w:pPr>
            <w:r>
              <w:rPr>
                <w:rFonts w:hint="eastAsia"/>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227" w:type="dxa"/>
            <w:vAlign w:val="center"/>
          </w:tcPr>
          <w:p>
            <w:pPr>
              <w:spacing w:line="700" w:lineRule="exact"/>
              <w:jc w:val="center"/>
              <w:rPr>
                <w:rFonts w:ascii="宋体" w:hAnsi="宋体"/>
                <w:sz w:val="24"/>
                <w:szCs w:val="24"/>
                <w:highlight w:val="none"/>
              </w:rPr>
            </w:pPr>
            <w:r>
              <w:rPr>
                <w:rFonts w:hint="eastAsia" w:ascii="宋体" w:hAnsi="宋体"/>
                <w:sz w:val="24"/>
                <w:szCs w:val="24"/>
                <w:highlight w:val="none"/>
              </w:rPr>
              <w:t>1</w:t>
            </w:r>
          </w:p>
        </w:tc>
        <w:tc>
          <w:tcPr>
            <w:tcW w:w="5156" w:type="dxa"/>
            <w:vAlign w:val="center"/>
          </w:tcPr>
          <w:p>
            <w:pPr>
              <w:jc w:val="center"/>
              <w:rPr>
                <w:rFonts w:hint="default" w:eastAsia="宋体"/>
                <w:sz w:val="24"/>
                <w:szCs w:val="24"/>
                <w:highlight w:val="none"/>
                <w:lang w:val="en-US" w:eastAsia="zh-CN"/>
              </w:rPr>
            </w:pPr>
          </w:p>
        </w:tc>
        <w:tc>
          <w:tcPr>
            <w:tcW w:w="2972" w:type="dxa"/>
            <w:vAlign w:val="center"/>
          </w:tcPr>
          <w:p>
            <w:pPr>
              <w:spacing w:line="700" w:lineRule="exact"/>
              <w:rPr>
                <w:sz w:val="24"/>
                <w:szCs w:val="24"/>
                <w:highlight w:val="none"/>
              </w:rPr>
            </w:pPr>
            <w:r>
              <w:rPr>
                <w:rFonts w:hint="eastAsia"/>
                <w:sz w:val="24"/>
                <w:szCs w:val="24"/>
                <w:highlight w:val="none"/>
                <w:lang w:val="en-US" w:eastAsia="zh-CN"/>
              </w:rPr>
              <w:t>折扣率：</w:t>
            </w:r>
            <w:r>
              <w:rPr>
                <w:rFonts w:hint="eastAsia"/>
                <w:sz w:val="24"/>
                <w:szCs w:val="24"/>
                <w:highlight w:val="none"/>
                <w:u w:val="single"/>
                <w:lang w:val="en-US" w:eastAsia="zh-CN"/>
              </w:rPr>
              <w:t xml:space="preserve">       </w:t>
            </w:r>
            <w:r>
              <w:rPr>
                <w:rFonts w:hint="eastAsia"/>
                <w:sz w:val="24"/>
                <w:szCs w:val="24"/>
                <w:highlight w:val="none"/>
                <w:lang w:val="en-US" w:eastAsia="zh-CN"/>
              </w:rPr>
              <w:t>%</w:t>
            </w:r>
          </w:p>
        </w:tc>
        <w:tc>
          <w:tcPr>
            <w:tcW w:w="3718" w:type="dxa"/>
            <w:vAlign w:val="center"/>
          </w:tcPr>
          <w:p>
            <w:pPr>
              <w:spacing w:line="700" w:lineRule="exact"/>
              <w:rPr>
                <w:sz w:val="24"/>
                <w:szCs w:val="24"/>
                <w:highlight w:val="none"/>
              </w:rPr>
            </w:pPr>
            <w:r>
              <w:rPr>
                <w:rFonts w:hint="eastAsia"/>
                <w:sz w:val="24"/>
                <w:szCs w:val="24"/>
                <w:highlight w:val="none"/>
                <w:lang w:val="en-US" w:eastAsia="zh-CN"/>
              </w:rPr>
              <w:t>百分之</w:t>
            </w:r>
            <w:r>
              <w:rPr>
                <w:rFonts w:hint="eastAsia"/>
                <w:sz w:val="24"/>
                <w:szCs w:val="24"/>
                <w:highlight w:val="none"/>
                <w:u w:val="single"/>
                <w:lang w:val="en-US" w:eastAsia="zh-CN"/>
              </w:rPr>
              <w:t xml:space="preserve">               </w:t>
            </w:r>
          </w:p>
        </w:tc>
      </w:tr>
    </w:tbl>
    <w:p>
      <w:pPr>
        <w:rPr>
          <w:rFonts w:hint="eastAsia" w:ascii="等线" w:hAnsi="等线" w:eastAsia="等线" w:cs="等线"/>
          <w:b/>
          <w:kern w:val="0"/>
          <w:sz w:val="24"/>
          <w:szCs w:val="24"/>
          <w:highlight w:val="none"/>
          <w:lang w:val="zh-CN"/>
        </w:rPr>
      </w:pPr>
      <w:r>
        <w:rPr>
          <w:rFonts w:hint="eastAsia" w:ascii="仿宋_GB2312" w:hAnsi="仿宋_GB2312" w:eastAsia="仿宋_GB2312" w:cs="仿宋_GB2312"/>
          <w:color w:val="auto"/>
          <w:sz w:val="24"/>
          <w:szCs w:val="24"/>
          <w:highlight w:val="none"/>
        </w:rPr>
        <w:t xml:space="preserve">            </w:t>
      </w:r>
      <w:r>
        <w:rPr>
          <w:rFonts w:hint="eastAsia" w:ascii="等线" w:hAnsi="等线" w:eastAsia="等线" w:cs="等线"/>
          <w:b/>
          <w:kern w:val="0"/>
          <w:sz w:val="24"/>
          <w:szCs w:val="24"/>
          <w:highlight w:val="none"/>
          <w:lang w:val="zh-CN"/>
        </w:rPr>
        <w:t>投标人名称（电子签名）：</w:t>
      </w:r>
      <w:r>
        <w:rPr>
          <w:rFonts w:hint="eastAsia" w:ascii="等线" w:hAnsi="等线" w:eastAsia="等线" w:cs="等线"/>
          <w:b/>
          <w:kern w:val="0"/>
          <w:sz w:val="24"/>
          <w:szCs w:val="24"/>
          <w:highlight w:val="none"/>
          <w:lang w:val="en-US" w:eastAsia="zh-CN"/>
        </w:rPr>
        <w:t xml:space="preserve">                    </w:t>
      </w:r>
      <w:r>
        <w:rPr>
          <w:rFonts w:hint="eastAsia" w:ascii="等线" w:hAnsi="等线" w:eastAsia="等线" w:cs="等线"/>
          <w:b/>
          <w:kern w:val="0"/>
          <w:sz w:val="24"/>
          <w:szCs w:val="24"/>
          <w:highlight w:val="none"/>
          <w:lang w:val="zh-CN"/>
        </w:rPr>
        <w:t>日  期：</w:t>
      </w:r>
    </w:p>
    <w:p>
      <w:pPr>
        <w:snapToGrid w:val="0"/>
        <w:spacing w:line="360" w:lineRule="auto"/>
        <w:ind w:left="480"/>
        <w:rPr>
          <w:rFonts w:hint="eastAsia" w:ascii="仿宋" w:hAnsi="仿宋" w:eastAsia="仿宋" w:cs="仿宋"/>
          <w:b/>
          <w:kern w:val="0"/>
          <w:sz w:val="24"/>
          <w:highlight w:val="none"/>
          <w:lang w:val="zh-CN"/>
        </w:rPr>
      </w:pPr>
      <w:r>
        <w:rPr>
          <w:rFonts w:hint="eastAsia" w:ascii="仿宋" w:hAnsi="仿宋" w:eastAsia="仿宋" w:cs="仿宋"/>
          <w:b/>
          <w:kern w:val="0"/>
          <w:sz w:val="24"/>
          <w:highlight w:val="none"/>
          <w:lang w:val="zh-CN"/>
        </w:rPr>
        <w:t>注：</w:t>
      </w:r>
    </w:p>
    <w:p>
      <w:pPr>
        <w:spacing w:line="360" w:lineRule="auto"/>
        <w:ind w:left="-2" w:leftChars="-1"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1、投标人需按本表格式填写</w:t>
      </w:r>
      <w:r>
        <w:rPr>
          <w:rFonts w:hint="eastAsia" w:ascii="仿宋" w:hAnsi="仿宋" w:eastAsia="仿宋" w:cs="仿宋"/>
          <w:b/>
          <w:kern w:val="0"/>
          <w:sz w:val="24"/>
          <w:highlight w:val="none"/>
          <w:lang w:val="zh-CN"/>
        </w:rPr>
        <w:t>，</w:t>
      </w:r>
      <w:r>
        <w:rPr>
          <w:rFonts w:hint="eastAsia" w:ascii="仿宋" w:hAnsi="仿宋" w:eastAsia="仿宋" w:cs="仿宋"/>
          <w:b/>
          <w:kern w:val="0"/>
          <w:sz w:val="24"/>
          <w:highlight w:val="none"/>
        </w:rPr>
        <w:t>否则视为</w:t>
      </w:r>
      <w:r>
        <w:rPr>
          <w:rFonts w:hint="eastAsia" w:ascii="仿宋" w:hAnsi="仿宋" w:eastAsia="仿宋" w:cs="仿宋"/>
          <w:b/>
          <w:sz w:val="24"/>
          <w:highlight w:val="none"/>
        </w:rPr>
        <w:t>投标文件含有采购人不能接受的附加条件，投标无效</w:t>
      </w:r>
      <w:r>
        <w:rPr>
          <w:rFonts w:hint="eastAsia" w:ascii="仿宋" w:hAnsi="仿宋" w:eastAsia="仿宋" w:cs="仿宋"/>
          <w:b/>
          <w:sz w:val="24"/>
          <w:highlight w:val="none"/>
          <w:lang w:eastAsia="zh-CN"/>
        </w:rPr>
        <w:t>；</w:t>
      </w:r>
    </w:p>
    <w:p>
      <w:pPr>
        <w:spacing w:line="360" w:lineRule="auto"/>
        <w:ind w:left="-2" w:leftChars="-1"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投标报价要求：检测项目单批次检验费详见附件，投标报价采用单一折扣率报价（所有的单价报价只允许报一个折扣率，否则按无效报价处理），报价包括检测、买样、抽样、利税及专用工具、售后服务等在内的一切费用。</w:t>
      </w:r>
      <w:r>
        <w:rPr>
          <w:rFonts w:hint="eastAsia" w:ascii="仿宋" w:hAnsi="仿宋" w:eastAsia="仿宋" w:cs="仿宋"/>
          <w:b/>
          <w:bCs/>
          <w:kern w:val="0"/>
          <w:sz w:val="24"/>
          <w:highlight w:val="none"/>
          <w:lang w:val="en-US" w:eastAsia="zh-CN"/>
        </w:rPr>
        <w:t>报价折扣率保留两位小数。</w:t>
      </w:r>
    </w:p>
    <w:p>
      <w:pPr>
        <w:snapToGrid w:val="0"/>
        <w:spacing w:line="360" w:lineRule="auto"/>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3、特别提示：采购代理机构将对项目名称和项目编号，中标供应商名称、地址和中标金额，主要中标标的名称、服务范围、服务要求、服务时间、服务标准等予以公示。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hint="eastAsia" w:ascii="仿宋" w:hAnsi="仿宋" w:eastAsia="仿宋" w:cs="仿宋"/>
          <w:kern w:val="2"/>
          <w:sz w:val="32"/>
          <w:szCs w:val="32"/>
          <w:highlight w:val="none"/>
        </w:rPr>
      </w:pPr>
      <w:r>
        <w:rPr>
          <w:rFonts w:hint="eastAsia" w:ascii="仿宋" w:hAnsi="仿宋" w:eastAsia="仿宋" w:cs="仿宋"/>
          <w:color w:val="auto"/>
          <w:kern w:val="0"/>
          <w:sz w:val="24"/>
          <w:szCs w:val="22"/>
          <w:highlight w:val="none"/>
          <w:lang w:val="zh-CN"/>
        </w:rPr>
        <w:t>4、</w:t>
      </w:r>
      <w:r>
        <w:rPr>
          <w:rFonts w:hint="eastAsia" w:ascii="仿宋" w:hAnsi="仿宋" w:eastAsia="仿宋" w:cs="仿宋"/>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pStyle w:val="692"/>
        <w:keepNext w:val="0"/>
        <w:pageBreakBefore w:val="0"/>
        <w:tabs>
          <w:tab w:val="clear" w:pos="720"/>
        </w:tabs>
        <w:snapToGrid w:val="0"/>
        <w:spacing w:before="120" w:after="120"/>
        <w:ind w:firstLine="643"/>
        <w:outlineLvl w:val="9"/>
        <w:rPr>
          <w:rFonts w:hint="eastAsia" w:ascii="仿宋" w:hAnsi="仿宋" w:eastAsia="仿宋" w:cs="仿宋"/>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pPr>
        <w:pStyle w:val="692"/>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二、</w:t>
      </w:r>
      <w:r>
        <w:rPr>
          <w:rFonts w:hint="eastAsia" w:ascii="仿宋" w:hAnsi="仿宋" w:eastAsia="仿宋" w:cs="仿宋"/>
          <w:color w:val="auto"/>
          <w:sz w:val="32"/>
          <w:szCs w:val="32"/>
          <w:highlight w:val="none"/>
        </w:rPr>
        <w:t>中小企业声明函（如果有）</w:t>
      </w:r>
    </w:p>
    <w:p>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pPr>
        <w:pStyle w:val="80"/>
        <w:rPr>
          <w:rFonts w:hint="eastAsia" w:ascii="仿宋" w:hAnsi="仿宋" w:eastAsia="仿宋" w:cs="仿宋"/>
          <w:b/>
          <w:color w:val="auto"/>
          <w:sz w:val="24"/>
          <w:highlight w:val="none"/>
        </w:rPr>
      </w:pPr>
    </w:p>
    <w:p>
      <w:pPr>
        <w:pStyle w:val="81"/>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80"/>
        <w:rPr>
          <w:rFonts w:hint="eastAsia" w:ascii="仿宋" w:hAnsi="仿宋" w:eastAsia="仿宋" w:cs="仿宋"/>
          <w:b/>
          <w:color w:val="auto"/>
          <w:sz w:val="24"/>
          <w:highlight w:val="none"/>
        </w:rPr>
      </w:pPr>
    </w:p>
    <w:p>
      <w:pPr>
        <w:pStyle w:val="81"/>
        <w:rPr>
          <w:rFonts w:hint="eastAsia" w:ascii="仿宋" w:hAnsi="仿宋" w:eastAsia="仿宋" w:cs="仿宋"/>
          <w:b/>
          <w:color w:val="auto"/>
          <w:sz w:val="24"/>
          <w:highlight w:val="none"/>
        </w:rPr>
      </w:pPr>
    </w:p>
    <w:p>
      <w:pPr>
        <w:rPr>
          <w:rFonts w:hint="eastAsia"/>
          <w:highlight w:val="none"/>
          <w:lang w:eastAsia="zh-CN"/>
        </w:rPr>
      </w:pPr>
    </w:p>
    <w:p>
      <w:pPr>
        <w:widowControl/>
        <w:spacing w:line="360" w:lineRule="auto"/>
        <w:ind w:firstLine="161" w:firstLineChar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三、残疾人福利性单位声明函（如果有）</w:t>
      </w:r>
    </w:p>
    <w:p>
      <w:pPr>
        <w:pStyle w:val="25"/>
        <w:widowControl/>
        <w:numPr>
          <w:ilvl w:val="0"/>
          <w:numId w:val="0"/>
        </w:numPr>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[符合条件的残疾人福利性单位，提供残疾人福利性单位声明函（附件6)，否则不需要提供。]</w:t>
      </w:r>
    </w:p>
    <w:p>
      <w:pPr>
        <w:pStyle w:val="692"/>
        <w:keepNext w:val="0"/>
        <w:pageBreakBefore w:val="0"/>
        <w:tabs>
          <w:tab w:val="clear" w:pos="720"/>
        </w:tabs>
        <w:snapToGrid w:val="0"/>
        <w:spacing w:before="120" w:after="120"/>
        <w:ind w:firstLine="643"/>
        <w:outlineLvl w:val="9"/>
        <w:rPr>
          <w:rFonts w:hint="eastAsia" w:ascii="仿宋" w:hAnsi="仿宋" w:eastAsia="仿宋" w:cs="仿宋"/>
          <w:b w:val="0"/>
          <w:sz w:val="32"/>
          <w:szCs w:val="32"/>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spacing w:line="360" w:lineRule="auto"/>
        <w:ind w:right="420" w:firstLine="3614" w:firstLineChars="1000"/>
        <w:rPr>
          <w:rFonts w:hint="eastAsia" w:ascii="仿宋" w:hAnsi="仿宋" w:eastAsia="仿宋" w:cs="仿宋"/>
          <w:b/>
          <w:kern w:val="0"/>
          <w:sz w:val="36"/>
          <w:szCs w:val="36"/>
          <w:highlight w:val="none"/>
        </w:rPr>
      </w:pPr>
    </w:p>
    <w:p>
      <w:pPr>
        <w:pStyle w:val="4"/>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highlight w:val="none"/>
        </w:rPr>
      </w:pPr>
      <w:r>
        <w:rPr>
          <w:rFonts w:hint="eastAsia" w:ascii="仿宋" w:hAnsi="仿宋" w:eastAsia="仿宋" w:cs="仿宋"/>
          <w:highlight w:val="none"/>
        </w:rPr>
        <w:t>附件</w:t>
      </w:r>
    </w:p>
    <w:p>
      <w:pPr>
        <w:spacing w:line="360" w:lineRule="auto"/>
        <w:jc w:val="left"/>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附件1：质疑函范本及制作说明</w:t>
      </w:r>
    </w:p>
    <w:p>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质疑函范本</w:t>
      </w:r>
    </w:p>
    <w:p>
      <w:pPr>
        <w:snapToGrid w:val="0"/>
        <w:spacing w:before="240" w:beforeLines="100" w:line="360" w:lineRule="auto"/>
        <w:rPr>
          <w:rFonts w:hint="eastAsia" w:ascii="仿宋" w:hAnsi="仿宋" w:eastAsia="仿宋" w:cs="仿宋"/>
          <w:bCs/>
          <w:sz w:val="24"/>
          <w:highlight w:val="none"/>
        </w:rPr>
      </w:pPr>
      <w:r>
        <w:rPr>
          <w:rFonts w:hint="eastAsia" w:ascii="仿宋" w:hAnsi="仿宋" w:eastAsia="仿宋" w:cs="仿宋"/>
          <w:bCs/>
          <w:sz w:val="24"/>
          <w:highlight w:val="none"/>
        </w:rPr>
        <w:t>一、质疑供应商基本信息</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二、质疑项目基本情况</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三、质疑事项具体内容</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p>
      <w:pPr>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四、与质疑事项相关的质疑请求</w:t>
      </w:r>
    </w:p>
    <w:p>
      <w:pPr>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签字</w:t>
      </w:r>
      <w:r>
        <w:rPr>
          <w:rFonts w:hint="eastAsia" w:ascii="仿宋" w:hAnsi="仿宋" w:eastAsia="仿宋" w:cs="仿宋"/>
          <w:sz w:val="24"/>
          <w:highlight w:val="none"/>
          <w:lang w:eastAsia="zh-CN"/>
        </w:rPr>
        <w:t>（</w:t>
      </w:r>
      <w:r>
        <w:rPr>
          <w:rFonts w:hint="eastAsia" w:ascii="仿宋" w:hAnsi="仿宋" w:eastAsia="仿宋" w:cs="仿宋"/>
          <w:sz w:val="24"/>
          <w:highlight w:val="none"/>
        </w:rPr>
        <w:t>签章</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公章：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日期：    </w:t>
      </w:r>
    </w:p>
    <w:p>
      <w:pPr>
        <w:spacing w:line="360" w:lineRule="auto"/>
        <w:rPr>
          <w:rFonts w:hint="eastAsia" w:ascii="仿宋" w:hAnsi="仿宋" w:eastAsia="仿宋" w:cs="仿宋"/>
          <w:b/>
          <w:sz w:val="24"/>
          <w:highlight w:val="none"/>
        </w:rPr>
      </w:pPr>
    </w:p>
    <w:p>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质疑函制作说明：</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3.质疑供应商若对项目的某一分包进行质疑，质疑函中应列明具体分包号。</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仿宋" w:hAnsi="仿宋" w:eastAsia="仿宋" w:cs="仿宋"/>
          <w:sz w:val="30"/>
          <w:szCs w:val="30"/>
          <w:highlight w:val="none"/>
        </w:rPr>
      </w:pPr>
    </w:p>
    <w:p>
      <w:pPr>
        <w:spacing w:line="360" w:lineRule="auto"/>
        <w:jc w:val="center"/>
        <w:rPr>
          <w:rFonts w:hint="eastAsia" w:ascii="仿宋" w:hAnsi="仿宋" w:eastAsia="仿宋" w:cs="仿宋"/>
          <w:b/>
          <w:spacing w:val="6"/>
          <w:sz w:val="32"/>
          <w:szCs w:val="32"/>
          <w:highlight w:val="none"/>
        </w:rPr>
      </w:pPr>
    </w:p>
    <w:p>
      <w:pPr>
        <w:spacing w:line="360" w:lineRule="auto"/>
        <w:jc w:val="center"/>
        <w:rPr>
          <w:rFonts w:hint="eastAsia" w:ascii="仿宋" w:hAnsi="仿宋" w:eastAsia="仿宋" w:cs="仿宋"/>
          <w:b/>
          <w:spacing w:val="6"/>
          <w:sz w:val="32"/>
          <w:szCs w:val="32"/>
          <w:highlight w:val="none"/>
        </w:rPr>
      </w:pPr>
    </w:p>
    <w:p>
      <w:pPr>
        <w:spacing w:line="360" w:lineRule="auto"/>
        <w:jc w:val="center"/>
        <w:rPr>
          <w:rFonts w:hint="eastAsia" w:ascii="仿宋" w:hAnsi="仿宋" w:eastAsia="仿宋" w:cs="仿宋"/>
          <w:b/>
          <w:spacing w:val="6"/>
          <w:sz w:val="32"/>
          <w:szCs w:val="32"/>
          <w:highlight w:val="none"/>
        </w:rPr>
      </w:pPr>
    </w:p>
    <w:p>
      <w:pPr>
        <w:spacing w:line="360" w:lineRule="auto"/>
        <w:jc w:val="center"/>
        <w:rPr>
          <w:rFonts w:hint="eastAsia" w:ascii="仿宋" w:hAnsi="仿宋" w:eastAsia="仿宋" w:cs="仿宋"/>
          <w:b/>
          <w:spacing w:val="6"/>
          <w:sz w:val="32"/>
          <w:szCs w:val="32"/>
          <w:highlight w:val="none"/>
        </w:rPr>
      </w:pPr>
    </w:p>
    <w:p>
      <w:pPr>
        <w:spacing w:line="360" w:lineRule="auto"/>
        <w:jc w:val="center"/>
        <w:rPr>
          <w:rFonts w:hint="eastAsia" w:ascii="仿宋" w:hAnsi="仿宋" w:eastAsia="仿宋" w:cs="仿宋"/>
          <w:b/>
          <w:spacing w:val="6"/>
          <w:sz w:val="32"/>
          <w:szCs w:val="32"/>
          <w:highlight w:val="none"/>
        </w:rPr>
      </w:pPr>
    </w:p>
    <w:p>
      <w:pPr>
        <w:spacing w:line="360" w:lineRule="auto"/>
        <w:jc w:val="center"/>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spacing w:line="360" w:lineRule="auto"/>
        <w:jc w:val="center"/>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spacing w:line="360" w:lineRule="auto"/>
        <w:jc w:val="left"/>
        <w:rPr>
          <w:rFonts w:hint="eastAsia" w:ascii="仿宋" w:hAnsi="仿宋" w:eastAsia="仿宋" w:cs="仿宋"/>
          <w:b/>
          <w:spacing w:val="6"/>
          <w:sz w:val="32"/>
          <w:szCs w:val="32"/>
          <w:highlight w:val="none"/>
        </w:rPr>
      </w:pPr>
    </w:p>
    <w:p>
      <w:pPr>
        <w:spacing w:line="360" w:lineRule="auto"/>
        <w:jc w:val="left"/>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附件</w:t>
      </w:r>
      <w:r>
        <w:rPr>
          <w:rFonts w:hint="eastAsia" w:ascii="仿宋" w:hAnsi="仿宋" w:eastAsia="仿宋" w:cs="仿宋"/>
          <w:b/>
          <w:spacing w:val="6"/>
          <w:sz w:val="32"/>
          <w:szCs w:val="32"/>
          <w:highlight w:val="none"/>
          <w:lang w:val="en-US" w:eastAsia="zh-CN"/>
        </w:rPr>
        <w:t>2</w:t>
      </w:r>
      <w:r>
        <w:rPr>
          <w:rFonts w:hint="eastAsia" w:ascii="仿宋" w:hAnsi="仿宋" w:eastAsia="仿宋" w:cs="仿宋"/>
          <w:b/>
          <w:spacing w:val="6"/>
          <w:sz w:val="32"/>
          <w:szCs w:val="32"/>
          <w:highlight w:val="none"/>
        </w:rPr>
        <w:t>：投诉书范本及制作说明</w:t>
      </w:r>
    </w:p>
    <w:p>
      <w:pPr>
        <w:spacing w:line="360" w:lineRule="auto"/>
        <w:jc w:val="center"/>
        <w:rPr>
          <w:rFonts w:hint="eastAsia" w:ascii="仿宋" w:hAnsi="仿宋" w:eastAsia="仿宋" w:cs="仿宋"/>
          <w:b/>
          <w:sz w:val="24"/>
          <w:highlight w:val="none"/>
        </w:rPr>
      </w:pPr>
    </w:p>
    <w:p>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投诉书范本</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一、投诉相关主体基本情况</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投诉人：</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tabs>
          <w:tab w:val="left" w:pos="6510"/>
        </w:tabs>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法定代表人/主要负责人：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pPr>
        <w:tabs>
          <w:tab w:val="left" w:pos="6510"/>
        </w:tabs>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被投诉人1：</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被投诉人2</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相关供应商：</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二、投诉项目基本情况</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采购项目名称：</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single"/>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代理机构名称：</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采购文件公告</w:t>
      </w:r>
      <w:r>
        <w:rPr>
          <w:rFonts w:hint="eastAsia" w:ascii="仿宋" w:hAnsi="仿宋" w:eastAsia="仿宋" w:cs="仿宋"/>
          <w:sz w:val="24"/>
          <w:highlight w:val="none"/>
          <w:lang w:eastAsia="zh-CN"/>
        </w:rPr>
        <w:t>：</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采购结果公告</w:t>
      </w:r>
      <w:r>
        <w:rPr>
          <w:rFonts w:hint="eastAsia" w:ascii="仿宋" w:hAnsi="仿宋" w:eastAsia="仿宋" w:cs="仿宋"/>
          <w:sz w:val="24"/>
          <w:highlight w:val="none"/>
          <w:lang w:eastAsia="zh-CN"/>
        </w:rPr>
        <w:t>：</w:t>
      </w:r>
      <w:r>
        <w:rPr>
          <w:rFonts w:hint="eastAsia" w:ascii="仿宋" w:hAnsi="仿宋" w:eastAsia="仿宋" w:cs="仿宋"/>
          <w:sz w:val="24"/>
          <w:highlight w:val="none"/>
          <w:u w:val="dotted"/>
        </w:rPr>
        <w:t xml:space="preserve">是/否 </w:t>
      </w:r>
      <w:r>
        <w:rPr>
          <w:rFonts w:hint="eastAsia" w:ascii="仿宋" w:hAnsi="仿宋" w:eastAsia="仿宋" w:cs="仿宋"/>
          <w:sz w:val="24"/>
          <w:highlight w:val="none"/>
        </w:rPr>
        <w:t>公告期限：</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三、质疑基本情况</w:t>
      </w:r>
    </w:p>
    <w:p>
      <w:pPr>
        <w:spacing w:line="360" w:lineRule="auto"/>
        <w:ind w:firstLine="480" w:firstLineChars="200"/>
        <w:rPr>
          <w:rFonts w:hint="eastAsia" w:ascii="仿宋" w:hAnsi="仿宋" w:eastAsia="仿宋" w:cs="仿宋"/>
          <w:sz w:val="24"/>
          <w:highlight w:val="none"/>
          <w:u w:val="dotted"/>
        </w:rPr>
      </w:pPr>
      <w:r>
        <w:rPr>
          <w:rFonts w:hint="eastAsia" w:ascii="仿宋" w:hAnsi="仿宋" w:eastAsia="仿宋" w:cs="仿宋"/>
          <w:sz w:val="24"/>
          <w:highlight w:val="none"/>
        </w:rPr>
        <w:t>投诉人于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日,向</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dotted"/>
          <w:lang w:eastAsia="zh-CN"/>
        </w:rPr>
        <w:t>质疑</w:t>
      </w:r>
      <w:r>
        <w:rPr>
          <w:rFonts w:hint="eastAsia" w:ascii="仿宋" w:hAnsi="仿宋" w:eastAsia="仿宋" w:cs="仿宋"/>
          <w:sz w:val="24"/>
          <w:highlight w:val="none"/>
        </w:rPr>
        <w:t>，质疑事项为：</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pPr>
        <w:spacing w:line="360" w:lineRule="auto"/>
        <w:ind w:firstLine="360" w:firstLineChars="150"/>
        <w:rPr>
          <w:rFonts w:hint="eastAsia" w:ascii="仿宋" w:hAnsi="仿宋" w:eastAsia="仿宋" w:cs="仿宋"/>
          <w:sz w:val="24"/>
          <w:highlight w:val="none"/>
        </w:rPr>
      </w:pPr>
      <w:r>
        <w:rPr>
          <w:rFonts w:hint="eastAsia" w:ascii="仿宋" w:hAnsi="仿宋" w:eastAsia="仿宋" w:cs="仿宋"/>
          <w:sz w:val="24"/>
          <w:highlight w:val="none"/>
          <w:u w:val="dotted"/>
        </w:rPr>
        <w:t>采购人/代理机构</w:t>
      </w:r>
      <w:r>
        <w:rPr>
          <w:rFonts w:hint="eastAsia" w:ascii="仿宋" w:hAnsi="仿宋" w:eastAsia="仿宋" w:cs="仿宋"/>
          <w:sz w:val="24"/>
          <w:highlight w:val="none"/>
        </w:rPr>
        <w:t>于</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日</w:t>
      </w:r>
      <w:r>
        <w:rPr>
          <w:rFonts w:hint="eastAsia" w:ascii="仿宋" w:hAnsi="仿宋" w:eastAsia="仿宋" w:cs="仿宋"/>
          <w:sz w:val="24"/>
          <w:highlight w:val="none"/>
          <w:lang w:eastAsia="zh-CN"/>
        </w:rPr>
        <w:t>，</w:t>
      </w:r>
      <w:r>
        <w:rPr>
          <w:rFonts w:hint="eastAsia" w:ascii="仿宋" w:hAnsi="仿宋" w:eastAsia="仿宋" w:cs="仿宋"/>
          <w:sz w:val="24"/>
          <w:highlight w:val="none"/>
        </w:rPr>
        <w:t>就质疑事项作出了答复/没有在法定期限内作出答复。</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四、投诉事项具体内容</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投诉事项 1：</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投诉事项2</w:t>
      </w:r>
    </w:p>
    <w:p>
      <w:pPr>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五、与投诉事项相关的投诉请求</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 xml:space="preserve">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签字</w:t>
      </w:r>
      <w:r>
        <w:rPr>
          <w:rFonts w:hint="eastAsia" w:ascii="仿宋" w:hAnsi="仿宋" w:eastAsia="仿宋" w:cs="仿宋"/>
          <w:sz w:val="24"/>
          <w:highlight w:val="none"/>
          <w:lang w:eastAsia="zh-CN"/>
        </w:rPr>
        <w:t>（</w:t>
      </w:r>
      <w:r>
        <w:rPr>
          <w:rFonts w:hint="eastAsia" w:ascii="仿宋" w:hAnsi="仿宋" w:eastAsia="仿宋" w:cs="仿宋"/>
          <w:sz w:val="24"/>
          <w:highlight w:val="none"/>
        </w:rPr>
        <w:t>签章</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公章：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日期：    </w:t>
      </w:r>
    </w:p>
    <w:p>
      <w:pPr>
        <w:spacing w:line="360" w:lineRule="auto"/>
        <w:rPr>
          <w:rFonts w:hint="eastAsia" w:ascii="仿宋" w:hAnsi="仿宋" w:eastAsia="仿宋" w:cs="仿宋"/>
          <w:b/>
          <w:sz w:val="24"/>
          <w:highlight w:val="none"/>
        </w:rPr>
      </w:pPr>
    </w:p>
    <w:p>
      <w:pPr>
        <w:spacing w:line="360" w:lineRule="auto"/>
        <w:rPr>
          <w:rFonts w:hint="eastAsia" w:ascii="仿宋" w:hAnsi="仿宋" w:eastAsia="仿宋" w:cs="仿宋"/>
          <w:b/>
          <w:sz w:val="24"/>
          <w:highlight w:val="none"/>
        </w:rPr>
      </w:pPr>
    </w:p>
    <w:p>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投诉书制作说明：</w:t>
      </w:r>
    </w:p>
    <w:p>
      <w:pPr>
        <w:widowControl/>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2.投诉人若委托代理人进行投诉的，投诉书应按照要求列明“授权代表”的有关内容，并在附件中提交由</w:t>
      </w:r>
      <w:r>
        <w:rPr>
          <w:rFonts w:hint="eastAsia" w:ascii="仿宋" w:hAnsi="仿宋" w:eastAsia="仿宋" w:cs="仿宋"/>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5.投诉书的投诉事项应具体、明确，并有必要的事实依据和法律依据。</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6.投诉书的投诉请求应与投诉事项相关。</w:t>
      </w:r>
    </w:p>
    <w:p>
      <w:pPr>
        <w:widowControl/>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hint="eastAsia" w:ascii="仿宋" w:hAnsi="仿宋" w:eastAsia="仿宋" w:cs="仿宋"/>
          <w:b/>
          <w:sz w:val="24"/>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附件</w:t>
      </w:r>
      <w:r>
        <w:rPr>
          <w:rFonts w:hint="eastAsia" w:ascii="仿宋" w:hAnsi="仿宋" w:eastAsia="仿宋" w:cs="仿宋"/>
          <w:b/>
          <w:spacing w:val="6"/>
          <w:sz w:val="32"/>
          <w:szCs w:val="32"/>
          <w:highlight w:val="none"/>
          <w:lang w:val="en-US" w:eastAsia="zh-CN"/>
        </w:rPr>
        <w:t>3</w:t>
      </w:r>
      <w:r>
        <w:rPr>
          <w:rFonts w:hint="eastAsia" w:ascii="仿宋" w:hAnsi="仿宋" w:eastAsia="仿宋" w:cs="仿宋"/>
          <w:b/>
          <w:spacing w:val="6"/>
          <w:sz w:val="32"/>
          <w:szCs w:val="32"/>
          <w:highlight w:val="none"/>
        </w:rPr>
        <w:t>：</w:t>
      </w:r>
      <w:bookmarkStart w:id="158" w:name="OLE_LINK13"/>
      <w:bookmarkStart w:id="159" w:name="OLE_LINK14"/>
      <w:r>
        <w:rPr>
          <w:rFonts w:hint="eastAsia" w:ascii="仿宋" w:hAnsi="仿宋" w:eastAsia="仿宋" w:cs="仿宋"/>
          <w:b/>
          <w:spacing w:val="6"/>
          <w:sz w:val="32"/>
          <w:szCs w:val="32"/>
          <w:highlight w:val="none"/>
        </w:rPr>
        <w:t>残疾人福利性单位声明函</w:t>
      </w:r>
    </w:p>
    <w:bookmarkEnd w:id="158"/>
    <w:bookmarkEnd w:id="159"/>
    <w:p>
      <w:pPr>
        <w:spacing w:line="360" w:lineRule="auto"/>
        <w:rPr>
          <w:rFonts w:hint="eastAsia" w:ascii="仿宋" w:hAnsi="仿宋" w:eastAsia="仿宋" w:cs="仿宋"/>
          <w:b/>
          <w:spacing w:val="6"/>
          <w:sz w:val="30"/>
          <w:szCs w:val="30"/>
          <w:highlight w:val="none"/>
        </w:rPr>
      </w:pP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highlight w:val="none"/>
        </w:rPr>
        <w:t>_</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_单位的_</w:t>
      </w:r>
      <w:r>
        <w:rPr>
          <w:rFonts w:hint="eastAsia" w:ascii="仿宋" w:hAnsi="仿宋" w:eastAsia="仿宋" w:cs="仿宋"/>
          <w:color w:val="auto"/>
          <w:sz w:val="24"/>
          <w:highlight w:val="none"/>
          <w:u w:val="single"/>
          <w:lang w:eastAsia="zh-CN"/>
        </w:rPr>
        <w:t>（项目名称）</w:t>
      </w:r>
      <w:r>
        <w:rPr>
          <w:rFonts w:hint="eastAsia" w:ascii="仿宋" w:hAnsi="仿宋" w:eastAsia="仿宋" w:cs="仿宋"/>
          <w:color w:val="auto"/>
          <w:sz w:val="24"/>
          <w:highlight w:val="none"/>
        </w:rPr>
        <w:t>__</w:t>
      </w:r>
      <w:r>
        <w:rPr>
          <w:rFonts w:hint="eastAsia" w:ascii="仿宋" w:hAnsi="仿宋" w:eastAsia="仿宋" w:cs="仿宋"/>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pPr>
        <w:spacing w:line="360" w:lineRule="auto"/>
        <w:ind w:firstLine="480" w:firstLineChars="200"/>
        <w:rPr>
          <w:rFonts w:hint="eastAsia" w:ascii="仿宋" w:hAnsi="仿宋" w:eastAsia="仿宋" w:cs="仿宋"/>
          <w:sz w:val="24"/>
          <w:highlight w:val="none"/>
        </w:rPr>
      </w:pPr>
    </w:p>
    <w:p>
      <w:pPr>
        <w:spacing w:line="360" w:lineRule="auto"/>
        <w:ind w:firstLine="480" w:firstLineChars="200"/>
        <w:rPr>
          <w:rFonts w:hint="eastAsia" w:ascii="仿宋" w:hAnsi="仿宋" w:eastAsia="仿宋" w:cs="仿宋"/>
          <w:sz w:val="24"/>
          <w:highlight w:val="none"/>
        </w:rPr>
      </w:pPr>
    </w:p>
    <w:p>
      <w:pPr>
        <w:tabs>
          <w:tab w:val="left" w:pos="4860"/>
        </w:tabs>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lang w:val="zh-CN"/>
        </w:rPr>
        <w:t>投标人名称（电子签名）</w:t>
      </w:r>
      <w:r>
        <w:rPr>
          <w:rFonts w:hint="eastAsia" w:ascii="仿宋" w:hAnsi="仿宋" w:eastAsia="仿宋" w:cs="仿宋"/>
          <w:sz w:val="24"/>
          <w:highlight w:val="none"/>
        </w:rPr>
        <w:t>：</w:t>
      </w:r>
    </w:p>
    <w:p>
      <w:pPr>
        <w:tabs>
          <w:tab w:val="left" w:pos="4860"/>
        </w:tabs>
        <w:spacing w:line="360" w:lineRule="auto"/>
        <w:ind w:right="1560"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 xml:space="preserve">       日  期：</w:t>
      </w: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pStyle w:val="79"/>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autoSpaceDE w:val="0"/>
        <w:autoSpaceDN w:val="0"/>
        <w:jc w:val="center"/>
        <w:rPr>
          <w:rFonts w:hint="eastAsia" w:ascii="仿宋" w:hAnsi="仿宋" w:eastAsia="仿宋" w:cs="仿宋"/>
          <w:b/>
          <w:spacing w:val="6"/>
          <w:sz w:val="32"/>
          <w:szCs w:val="32"/>
          <w:highlight w:val="none"/>
        </w:rPr>
      </w:pPr>
    </w:p>
    <w:p>
      <w:pPr>
        <w:snapToGrid w:val="0"/>
        <w:spacing w:line="360" w:lineRule="auto"/>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附件</w:t>
      </w:r>
      <w:r>
        <w:rPr>
          <w:rFonts w:hint="eastAsia" w:ascii="仿宋" w:hAnsi="仿宋" w:eastAsia="仿宋" w:cs="仿宋"/>
          <w:b/>
          <w:kern w:val="0"/>
          <w:sz w:val="32"/>
          <w:szCs w:val="32"/>
          <w:highlight w:val="none"/>
          <w:lang w:val="en-US" w:eastAsia="zh-CN"/>
        </w:rPr>
        <w:t>4</w:t>
      </w:r>
      <w:r>
        <w:rPr>
          <w:rFonts w:hint="eastAsia" w:ascii="仿宋" w:hAnsi="仿宋" w:eastAsia="仿宋" w:cs="仿宋"/>
          <w:b/>
          <w:kern w:val="0"/>
          <w:sz w:val="32"/>
          <w:szCs w:val="32"/>
          <w:highlight w:val="none"/>
        </w:rPr>
        <w:t>：中小企业声明函</w:t>
      </w:r>
    </w:p>
    <w:p>
      <w:pPr>
        <w:spacing w:line="360" w:lineRule="auto"/>
        <w:jc w:val="center"/>
        <w:rPr>
          <w:rFonts w:hint="eastAsia" w:ascii="仿宋" w:hAnsi="仿宋" w:eastAsia="仿宋" w:cs="仿宋"/>
          <w:sz w:val="24"/>
          <w:highlight w:val="none"/>
          <w:u w:val="single"/>
        </w:rPr>
      </w:pPr>
    </w:p>
    <w:p>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中小企业声明函（服务）</w:t>
      </w:r>
    </w:p>
    <w:p>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sz w:val="24"/>
          <w:highlight w:val="none"/>
        </w:rPr>
        <w:t>本公司（联合体）郑重</w:t>
      </w:r>
      <w:r>
        <w:rPr>
          <w:rFonts w:hint="eastAsia" w:ascii="仿宋" w:hAnsi="仿宋" w:eastAsia="仿宋" w:cs="仿宋"/>
          <w:color w:val="auto"/>
          <w:sz w:val="24"/>
          <w:highlight w:val="none"/>
        </w:rPr>
        <w:t xml:space="preserve">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采购活动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 xml:space="preserve">；承建（承接）企业为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w:t>
      </w:r>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pPr>
        <w:spacing w:line="360" w:lineRule="auto"/>
        <w:ind w:right="1760"/>
        <w:jc w:val="right"/>
        <w:rPr>
          <w:rFonts w:hint="eastAsia" w:ascii="仿宋" w:hAnsi="仿宋" w:eastAsia="仿宋" w:cs="仿宋"/>
          <w:sz w:val="24"/>
          <w:highlight w:val="none"/>
        </w:rPr>
      </w:pPr>
      <w:r>
        <w:rPr>
          <w:rFonts w:hint="eastAsia" w:ascii="仿宋" w:hAnsi="仿宋" w:eastAsia="仿宋" w:cs="仿宋"/>
          <w:sz w:val="24"/>
          <w:highlight w:val="none"/>
        </w:rPr>
        <w:t>投标人名称（电子签名）：</w:t>
      </w:r>
    </w:p>
    <w:p>
      <w:pPr>
        <w:spacing w:line="360" w:lineRule="auto"/>
        <w:ind w:right="1120" w:firstLine="4680" w:firstLineChars="1950"/>
        <w:rPr>
          <w:rFonts w:hint="eastAsia" w:ascii="仿宋" w:hAnsi="仿宋" w:eastAsia="仿宋" w:cs="仿宋"/>
          <w:sz w:val="24"/>
          <w:highlight w:val="none"/>
        </w:rPr>
      </w:pPr>
      <w:r>
        <w:rPr>
          <w:rFonts w:hint="eastAsia" w:ascii="仿宋" w:hAnsi="仿宋" w:eastAsia="仿宋" w:cs="仿宋"/>
          <w:sz w:val="24"/>
          <w:highlight w:val="none"/>
        </w:rPr>
        <w:t>日 期：</w:t>
      </w:r>
    </w:p>
    <w:p>
      <w:pPr>
        <w:spacing w:line="360" w:lineRule="auto"/>
        <w:ind w:firstLine="310" w:firstLineChars="147"/>
        <w:jc w:val="left"/>
        <w:rPr>
          <w:rFonts w:hint="eastAsia" w:ascii="仿宋" w:hAnsi="仿宋" w:eastAsia="仿宋" w:cs="仿宋"/>
          <w:b/>
          <w:szCs w:val="21"/>
          <w:highlight w:val="none"/>
        </w:rPr>
      </w:pPr>
      <w:r>
        <w:rPr>
          <w:rFonts w:hint="eastAsia" w:ascii="仿宋" w:hAnsi="仿宋" w:eastAsia="仿宋" w:cs="仿宋"/>
          <w:b/>
          <w:szCs w:val="21"/>
          <w:highlight w:val="none"/>
        </w:rPr>
        <w:t>从业人员、营业收入、资产总额填报上一年度数据，无上一年度数据的新成立企业可不填报。</w:t>
      </w:r>
    </w:p>
    <w:p>
      <w:pPr>
        <w:spacing w:line="360" w:lineRule="auto"/>
        <w:ind w:right="420"/>
        <w:rPr>
          <w:rFonts w:hint="eastAsia" w:ascii="仿宋" w:hAnsi="仿宋" w:eastAsia="仿宋" w:cs="仿宋"/>
          <w:sz w:val="24"/>
          <w:highlight w:val="none"/>
        </w:rPr>
      </w:pPr>
    </w:p>
    <w:p>
      <w:pPr>
        <w:spacing w:line="360" w:lineRule="auto"/>
        <w:ind w:right="420"/>
        <w:rPr>
          <w:rFonts w:hint="eastAsia" w:ascii="仿宋" w:hAnsi="仿宋" w:eastAsia="仿宋" w:cs="仿宋"/>
          <w:sz w:val="24"/>
          <w:highlight w:val="none"/>
        </w:rPr>
      </w:pPr>
      <w:r>
        <w:rPr>
          <w:rFonts w:hint="eastAsia" w:ascii="仿宋" w:hAnsi="仿宋" w:eastAsia="仿宋" w:cs="仿宋"/>
          <w:sz w:val="24"/>
          <w:highlight w:val="none"/>
        </w:rPr>
        <w:t xml:space="preserve">   注：</w:t>
      </w:r>
    </w:p>
    <w:p>
      <w:pPr>
        <w:spacing w:line="360" w:lineRule="auto"/>
        <w:ind w:right="420" w:firstLine="480" w:firstLineChars="200"/>
        <w:rPr>
          <w:rFonts w:hint="eastAsia" w:ascii="仿宋" w:hAnsi="仿宋" w:eastAsia="仿宋" w:cs="仿宋"/>
          <w:sz w:val="24"/>
          <w:highlight w:val="none"/>
        </w:rPr>
      </w:pPr>
      <w:r>
        <w:rPr>
          <w:rFonts w:hint="eastAsia" w:ascii="仿宋" w:hAnsi="仿宋" w:eastAsia="仿宋" w:cs="仿宋"/>
          <w:sz w:val="24"/>
          <w:highlight w:val="none"/>
        </w:rPr>
        <w:t>1、填写要求：①“标的名称</w:t>
      </w:r>
      <w:r>
        <w:rPr>
          <w:rFonts w:hint="eastAsia" w:ascii="仿宋" w:hAnsi="仿宋" w:eastAsia="仿宋" w:cs="仿宋"/>
          <w:sz w:val="24"/>
          <w:highlight w:val="none"/>
          <w:lang w:eastAsia="zh-CN"/>
        </w:rPr>
        <w:t>”“</w:t>
      </w:r>
      <w:r>
        <w:rPr>
          <w:rFonts w:hint="eastAsia" w:ascii="仿宋" w:hAnsi="仿宋" w:eastAsia="仿宋" w:cs="仿宋"/>
          <w:sz w:val="24"/>
          <w:highlight w:val="none"/>
        </w:rPr>
        <w:t>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hint="eastAsia" w:ascii="仿宋" w:hAnsi="仿宋" w:eastAsia="仿宋" w:cs="仿宋"/>
          <w:sz w:val="24"/>
          <w:highlight w:val="none"/>
        </w:rPr>
      </w:pPr>
      <w:r>
        <w:rPr>
          <w:rFonts w:hint="eastAsia" w:ascii="仿宋" w:hAnsi="仿宋" w:eastAsia="仿宋" w:cs="仿宋"/>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shd w:val="clear" w:color="auto" w:fill="FFFFFF"/>
        <w:spacing w:before="150" w:line="420" w:lineRule="atLeast"/>
        <w:jc w:val="left"/>
        <w:textAlignment w:val="baseline"/>
        <w:rPr>
          <w:rFonts w:hint="eastAsia" w:ascii="仿宋" w:hAnsi="仿宋" w:eastAsia="仿宋" w:cs="仿宋"/>
          <w:kern w:val="0"/>
          <w:szCs w:val="21"/>
          <w:highlight w:val="none"/>
        </w:rPr>
      </w:pPr>
    </w:p>
    <w:p>
      <w:pPr>
        <w:widowControl/>
        <w:jc w:val="left"/>
        <w:rPr>
          <w:rFonts w:hint="eastAsia" w:ascii="仿宋" w:hAnsi="仿宋" w:eastAsia="仿宋" w:cs="仿宋"/>
          <w:kern w:val="0"/>
          <w:sz w:val="18"/>
          <w:szCs w:val="18"/>
          <w:highlight w:val="none"/>
        </w:rPr>
      </w:pPr>
    </w:p>
    <w:sectPr>
      <w:headerReference r:id="rId12" w:type="first"/>
      <w:footerReference r:id="rId15" w:type="first"/>
      <w:headerReference r:id="rId11" w:type="default"/>
      <w:footerReference r:id="rId13" w:type="default"/>
      <w:footerReference r:id="rId14"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2"/>
      </w:rPr>
    </w:pPr>
    <w:r>
      <w:fldChar w:fldCharType="begin"/>
    </w:r>
    <w:r>
      <w:rPr>
        <w:rStyle w:val="72"/>
      </w:rPr>
      <w:instrText xml:space="preserve">PAGE  </w:instrText>
    </w:r>
    <w:r>
      <w:fldChar w:fldCharType="end"/>
    </w:r>
  </w:p>
  <w:p>
    <w:pPr>
      <w:pStyle w:val="4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2"/>
      </w:rPr>
    </w:pPr>
    <w:r>
      <w:fldChar w:fldCharType="begin"/>
    </w:r>
    <w:r>
      <w:rPr>
        <w:rStyle w:val="72"/>
      </w:rPr>
      <w:instrText xml:space="preserve">PAGE  </w:instrText>
    </w:r>
    <w:r>
      <w:fldChar w:fldCharType="end"/>
    </w:r>
  </w:p>
  <w:p>
    <w:pPr>
      <w:pStyle w:val="4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160" w:name="_Toc164085800"/>
                          <w:bookmarkStart w:id="161" w:name="_Toc36110187"/>
                          <w:bookmarkStart w:id="162" w:name="_Toc131845147"/>
                          <w:bookmarkStart w:id="163" w:name="_Toc91899912"/>
                          <w:r>
                            <w:rPr>
                              <w:rFonts w:hint="eastAsia" w:ascii="仿宋_GB2312" w:eastAsia="仿宋_GB2312"/>
                              <w:kern w:val="0"/>
                              <w:szCs w:val="21"/>
                            </w:rPr>
                            <w:t xml:space="preserve"> 页</w:t>
                          </w:r>
                          <w:bookmarkEnd w:id="160"/>
                          <w:bookmarkEnd w:id="161"/>
                          <w:bookmarkEnd w:id="162"/>
                          <w:bookmarkEnd w:id="163"/>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160" w:name="_Toc164085800"/>
                    <w:bookmarkStart w:id="161" w:name="_Toc36110187"/>
                    <w:bookmarkStart w:id="162" w:name="_Toc131845147"/>
                    <w:bookmarkStart w:id="163" w:name="_Toc91899912"/>
                    <w:r>
                      <w:rPr>
                        <w:rFonts w:hint="eastAsia" w:ascii="仿宋_GB2312" w:eastAsia="仿宋_GB2312"/>
                        <w:kern w:val="0"/>
                        <w:szCs w:val="21"/>
                      </w:rPr>
                      <w:t xml:space="preserve"> 页</w:t>
                    </w:r>
                    <w:bookmarkEnd w:id="160"/>
                    <w:bookmarkEnd w:id="161"/>
                    <w:bookmarkEnd w:id="162"/>
                    <w:bookmarkEnd w:id="163"/>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lang w:val="en-US"/>
      </w:rPr>
    </w:pPr>
    <w:r>
      <w:rPr>
        <w:rFonts w:hint="eastAsia" w:ascii="仿宋" w:hAnsi="仿宋" w:eastAsia="仿宋" w:cs="仿宋"/>
        <w:lang w:val="en-US" w:eastAsia="zh-CN"/>
      </w:rPr>
      <w:t xml:space="preserve">浙江金穗工程项目管理有限公司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rFonts w:hint="eastAsia" w:ascii="仿宋" w:hAnsi="仿宋" w:eastAsia="仿宋" w:cs="仿宋"/>
        <w:lang w:val="en-US" w:eastAsia="zh-CN"/>
      </w:rPr>
    </w:pPr>
    <w:r>
      <w:rPr>
        <w:rFonts w:hint="eastAsia" w:ascii="仿宋" w:hAnsi="仿宋" w:eastAsia="仿宋" w:cs="仿宋"/>
        <w:lang w:val="en-US" w:eastAsia="zh-CN"/>
      </w:rPr>
      <w:t xml:space="preserve">浙江金穗工程项目管理有限公司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b/>
        <w:i/>
        <w:sz w:val="18"/>
        <w:u w:val="single"/>
      </w:rPr>
    </w:pPr>
    <w:r>
      <w:rPr>
        <w:rFonts w:hint="eastAsia" w:ascii="仿宋" w:hAnsi="仿宋" w:eastAsia="仿宋" w:cs="仿宋"/>
        <w:lang w:val="en-US" w:eastAsia="zh-CN"/>
      </w:rPr>
      <w:t xml:space="preserve">浙江金穗工程项目管理有限公司                </w:t>
    </w:r>
    <w:r>
      <w:rPr>
        <w:rFonts w:hint="eastAsia" w:ascii="仿宋" w:hAnsi="仿宋" w:eastAsia="仿宋" w:cs="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rFonts w:ascii="仿宋_GB2312" w:eastAsia="仿宋_GB2312"/>
        <w:b w:val="0"/>
        <w:i/>
        <w:sz w:val="18"/>
        <w:u w:val="single"/>
        <w:lang w:val="en-US"/>
      </w:rPr>
    </w:pPr>
    <w:r>
      <w:rPr>
        <w:rFonts w:hint="eastAsia" w:ascii="仿宋" w:hAnsi="仿宋" w:eastAsia="仿宋" w:cs="仿宋"/>
        <w:lang w:val="en-US" w:eastAsia="zh-CN"/>
      </w:rPr>
      <w:t xml:space="preserve">浙江金穗工程项目管理有限公司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文件编号: JS202</w:t>
    </w:r>
    <w:r>
      <w:rPr>
        <w:rFonts w:hint="eastAsia" w:ascii="仿宋" w:hAnsi="仿宋" w:eastAsia="仿宋" w:cs="仿宋"/>
        <w:lang w:val="en-US" w:eastAsia="zh-CN"/>
      </w:rPr>
      <w:t>4</w:t>
    </w:r>
    <w:r>
      <w:rPr>
        <w:rFonts w:hint="eastAsia" w:ascii="仿宋" w:hAnsi="仿宋" w:eastAsia="仿宋" w:cs="仿宋"/>
      </w:rPr>
      <w:t>-0</w:t>
    </w:r>
    <w:r>
      <w:rPr>
        <w:rFonts w:hint="eastAsia" w:ascii="仿宋" w:hAnsi="仿宋" w:eastAsia="仿宋" w:cs="仿宋"/>
        <w:lang w:val="en-US" w:eastAsia="zh-CN"/>
      </w:rPr>
      <w:t>1</w:t>
    </w:r>
    <w:r>
      <w:rPr>
        <w:rFonts w:hint="eastAsia" w:ascii="仿宋" w:hAnsi="仿宋" w:eastAsia="仿宋" w:cs="仿宋"/>
      </w:rPr>
      <w:t>-0</w:t>
    </w:r>
    <w:r>
      <w:rPr>
        <w:rFonts w:hint="eastAsia" w:ascii="仿宋" w:hAnsi="仿宋" w:eastAsia="仿宋" w:cs="仿宋"/>
        <w:lang w:val="en-US" w:eastAsia="zh-CN"/>
      </w:rPr>
      <w:t xml:space="preserve">1 </w:t>
    </w:r>
  </w:p>
  <w:p>
    <w:pPr>
      <w:pStyle w:val="42"/>
      <w:pBdr>
        <w:bottom w:val="none" w:color="auto" w:sz="0" w:space="1"/>
      </w:pBdr>
      <w:jc w:val="right"/>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rFonts w:ascii="仿宋_GB2312" w:eastAsia="仿宋_GB2312"/>
        <w:b w:val="0"/>
        <w:i/>
        <w:sz w:val="18"/>
        <w:u w:val="single"/>
        <w:lang w:val="en-US"/>
      </w:rPr>
    </w:pPr>
    <w:r>
      <w:rPr>
        <w:rFonts w:hint="eastAsia" w:ascii="仿宋" w:hAnsi="仿宋" w:eastAsia="仿宋" w:cs="仿宋"/>
        <w:lang w:val="en-US" w:eastAsia="zh-CN"/>
      </w:rPr>
      <w:t xml:space="preserve">浙江金穗工程项目管理有限公司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文件编号: JS20</w:t>
    </w:r>
    <w:r>
      <w:rPr>
        <w:rFonts w:hint="eastAsia" w:ascii="仿宋" w:hAnsi="仿宋" w:eastAsia="仿宋" w:cs="仿宋"/>
        <w:lang w:val="en-US" w:eastAsia="zh-CN"/>
      </w:rPr>
      <w:t>24</w:t>
    </w:r>
    <w:r>
      <w:rPr>
        <w:rFonts w:hint="eastAsia" w:ascii="仿宋" w:hAnsi="仿宋" w:eastAsia="仿宋" w:cs="仿宋"/>
      </w:rPr>
      <w:t>-0</w:t>
    </w:r>
    <w:r>
      <w:rPr>
        <w:rFonts w:hint="eastAsia" w:ascii="仿宋" w:hAnsi="仿宋" w:eastAsia="仿宋" w:cs="仿宋"/>
        <w:lang w:val="en-US" w:eastAsia="zh-CN"/>
      </w:rPr>
      <w:t>1</w:t>
    </w:r>
    <w:r>
      <w:rPr>
        <w:rFonts w:hint="eastAsia" w:ascii="仿宋" w:hAnsi="仿宋" w:eastAsia="仿宋" w:cs="仿宋"/>
      </w:rPr>
      <w:t>-0</w:t>
    </w:r>
    <w:r>
      <w:rPr>
        <w:rFonts w:hint="eastAsia" w:ascii="仿宋" w:hAnsi="仿宋" w:eastAsia="仿宋" w:cs="仿宋"/>
        <w:lang w:val="en-US" w:eastAsia="zh-CN"/>
      </w:rPr>
      <w:t xml:space="preserve">1 </w:t>
    </w:r>
  </w:p>
  <w:p>
    <w:pPr>
      <w:pStyle w:val="42"/>
      <w:pBdr>
        <w:bottom w:val="none" w:color="auto" w:sz="0" w:space="1"/>
      </w:pBdr>
      <w:jc w:val="right"/>
      <w:rPr>
        <w:rFonts w:ascii="仿宋_GB2312" w:eastAsia="仿宋_GB2312"/>
        <w:b/>
        <w:i/>
        <w:iCs/>
        <w:u w:val="single"/>
      </w:rPr>
    </w:pPr>
    <w: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rFonts w:ascii="仿宋_GB2312" w:eastAsia="仿宋_GB2312"/>
        <w:b w:val="0"/>
        <w:i/>
        <w:sz w:val="18"/>
        <w:u w:val="single"/>
        <w:lang w:val="en-US"/>
      </w:rPr>
    </w:pPr>
    <w:r>
      <w:rPr>
        <w:rFonts w:hint="eastAsia" w:ascii="仿宋" w:hAnsi="仿宋" w:eastAsia="仿宋" w:cs="仿宋"/>
        <w:lang w:eastAsia="zh-CN"/>
      </w:rPr>
      <w:t>（代理机构）</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文件编号: </w:t>
    </w:r>
    <w:r>
      <w:rPr>
        <w:rFonts w:hint="eastAsia" w:ascii="仿宋" w:hAnsi="仿宋" w:eastAsia="仿宋" w:cs="仿宋"/>
        <w:lang w:val="en-US" w:eastAsia="zh-CN"/>
      </w:rPr>
      <w:t xml:space="preserve"> </w:t>
    </w:r>
  </w:p>
  <w:p>
    <w:pPr>
      <w:pStyle w:val="42"/>
      <w:pBdr>
        <w:bottom w:val="none" w:color="auto" w:sz="0" w:space="1"/>
      </w:pBdr>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1FA15C69"/>
    <w:multiLevelType w:val="singleLevel"/>
    <w:tmpl w:val="1FA15C69"/>
    <w:lvl w:ilvl="0" w:tentative="0">
      <w:start w:val="1"/>
      <w:numFmt w:val="chineseCounting"/>
      <w:suff w:val="nothing"/>
      <w:lvlText w:val="%1、"/>
      <w:lvlJc w:val="left"/>
      <w:rPr>
        <w:rFonts w:hint="eastAsia"/>
      </w:rPr>
    </w:lvl>
  </w:abstractNum>
  <w:abstractNum w:abstractNumId="2">
    <w:nsid w:val="2C7A2770"/>
    <w:multiLevelType w:val="singleLevel"/>
    <w:tmpl w:val="2C7A2770"/>
    <w:lvl w:ilvl="0" w:tentative="0">
      <w:start w:val="1"/>
      <w:numFmt w:val="decimal"/>
      <w:lvlText w:val="%1."/>
      <w:lvlJc w:val="left"/>
      <w:pPr>
        <w:tabs>
          <w:tab w:val="left" w:pos="312"/>
        </w:tabs>
      </w:pPr>
    </w:lvl>
  </w:abstractNum>
  <w:abstractNum w:abstractNumId="3">
    <w:nsid w:val="5A0A566C"/>
    <w:multiLevelType w:val="singleLevel"/>
    <w:tmpl w:val="5A0A566C"/>
    <w:lvl w:ilvl="0" w:tentative="0">
      <w:start w:val="1"/>
      <w:numFmt w:val="decimal"/>
      <w:suff w:val="nothing"/>
      <w:lvlText w:val="%1、"/>
      <w:lvlJc w:val="left"/>
    </w:lvl>
  </w:abstractNum>
  <w:num w:numId="1">
    <w:abstractNumId w:val="1"/>
  </w:num>
  <w:num w:numId="2">
    <w:abstractNumId w:val="2"/>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ZTYwMWVkY2QwYjlkZTViYTVjZmFhODlhMWIwZjcifQ=="/>
  </w:docVars>
  <w:rsids>
    <w:rsidRoot w:val="00172A27"/>
    <w:rsid w:val="001C4B89"/>
    <w:rsid w:val="00B34AC1"/>
    <w:rsid w:val="018B750F"/>
    <w:rsid w:val="01A00C4B"/>
    <w:rsid w:val="01D229B2"/>
    <w:rsid w:val="02135CFE"/>
    <w:rsid w:val="02B14EF7"/>
    <w:rsid w:val="02C50A0A"/>
    <w:rsid w:val="02F73C38"/>
    <w:rsid w:val="033B373D"/>
    <w:rsid w:val="040C6B6A"/>
    <w:rsid w:val="049E147F"/>
    <w:rsid w:val="04CB483F"/>
    <w:rsid w:val="052E3147"/>
    <w:rsid w:val="056D0067"/>
    <w:rsid w:val="057B3733"/>
    <w:rsid w:val="0692233C"/>
    <w:rsid w:val="06BF6017"/>
    <w:rsid w:val="07E13EC2"/>
    <w:rsid w:val="083D1EE7"/>
    <w:rsid w:val="087F45B9"/>
    <w:rsid w:val="08966904"/>
    <w:rsid w:val="0A3B3C06"/>
    <w:rsid w:val="0A6F1B02"/>
    <w:rsid w:val="0B662000"/>
    <w:rsid w:val="0C497634"/>
    <w:rsid w:val="0CBD6B55"/>
    <w:rsid w:val="0D610F4A"/>
    <w:rsid w:val="0DC52BE4"/>
    <w:rsid w:val="0E6352A8"/>
    <w:rsid w:val="0EC75A69"/>
    <w:rsid w:val="0F096B8F"/>
    <w:rsid w:val="0F1121FC"/>
    <w:rsid w:val="0F63063F"/>
    <w:rsid w:val="10063BAE"/>
    <w:rsid w:val="10CC32E8"/>
    <w:rsid w:val="11F92E3E"/>
    <w:rsid w:val="12A5277D"/>
    <w:rsid w:val="14034155"/>
    <w:rsid w:val="14175143"/>
    <w:rsid w:val="14213FC1"/>
    <w:rsid w:val="147C004B"/>
    <w:rsid w:val="172C59B5"/>
    <w:rsid w:val="17690D93"/>
    <w:rsid w:val="179F6914"/>
    <w:rsid w:val="181F569E"/>
    <w:rsid w:val="18E60774"/>
    <w:rsid w:val="19A03A86"/>
    <w:rsid w:val="19C029CA"/>
    <w:rsid w:val="19D2505F"/>
    <w:rsid w:val="1A98650B"/>
    <w:rsid w:val="1AE6450A"/>
    <w:rsid w:val="1AEB7290"/>
    <w:rsid w:val="1B416BA3"/>
    <w:rsid w:val="1BA062F2"/>
    <w:rsid w:val="1BD143CB"/>
    <w:rsid w:val="1BF13640"/>
    <w:rsid w:val="1BFB2DBE"/>
    <w:rsid w:val="1D2F1C3B"/>
    <w:rsid w:val="1DF40341"/>
    <w:rsid w:val="1E5E227F"/>
    <w:rsid w:val="1E68233A"/>
    <w:rsid w:val="1E796A23"/>
    <w:rsid w:val="1F005027"/>
    <w:rsid w:val="1F25008A"/>
    <w:rsid w:val="1F967BE5"/>
    <w:rsid w:val="20C672AE"/>
    <w:rsid w:val="20E701EC"/>
    <w:rsid w:val="214C7EEB"/>
    <w:rsid w:val="22170394"/>
    <w:rsid w:val="22955A9E"/>
    <w:rsid w:val="231F5A1C"/>
    <w:rsid w:val="23A10B26"/>
    <w:rsid w:val="23D26466"/>
    <w:rsid w:val="245F1847"/>
    <w:rsid w:val="24F86524"/>
    <w:rsid w:val="2500187D"/>
    <w:rsid w:val="254259F1"/>
    <w:rsid w:val="258778A8"/>
    <w:rsid w:val="26435A53"/>
    <w:rsid w:val="2751342B"/>
    <w:rsid w:val="28F919B1"/>
    <w:rsid w:val="2B9C25A2"/>
    <w:rsid w:val="2BFE6777"/>
    <w:rsid w:val="2C6B79A7"/>
    <w:rsid w:val="2C7C42FA"/>
    <w:rsid w:val="2CE675AA"/>
    <w:rsid w:val="2E80767E"/>
    <w:rsid w:val="2E8C0DEA"/>
    <w:rsid w:val="2EDB168A"/>
    <w:rsid w:val="2EE23DA1"/>
    <w:rsid w:val="2F0D0AD8"/>
    <w:rsid w:val="30CD01D9"/>
    <w:rsid w:val="312119F4"/>
    <w:rsid w:val="31DF01E0"/>
    <w:rsid w:val="321270E3"/>
    <w:rsid w:val="322C5A5F"/>
    <w:rsid w:val="331258C1"/>
    <w:rsid w:val="33E75482"/>
    <w:rsid w:val="33F83461"/>
    <w:rsid w:val="36316394"/>
    <w:rsid w:val="369C597C"/>
    <w:rsid w:val="37250D2B"/>
    <w:rsid w:val="380A2FB0"/>
    <w:rsid w:val="38244305"/>
    <w:rsid w:val="38B60D1E"/>
    <w:rsid w:val="38EC097B"/>
    <w:rsid w:val="39996651"/>
    <w:rsid w:val="39D8192B"/>
    <w:rsid w:val="3B1A0F83"/>
    <w:rsid w:val="3B213D0B"/>
    <w:rsid w:val="3C1D6416"/>
    <w:rsid w:val="3C221C81"/>
    <w:rsid w:val="3C636663"/>
    <w:rsid w:val="3E4D1237"/>
    <w:rsid w:val="3E574458"/>
    <w:rsid w:val="3E5E675D"/>
    <w:rsid w:val="3EAD617A"/>
    <w:rsid w:val="41CE6B33"/>
    <w:rsid w:val="41D35998"/>
    <w:rsid w:val="424E20FD"/>
    <w:rsid w:val="427E60E8"/>
    <w:rsid w:val="43993170"/>
    <w:rsid w:val="44794F79"/>
    <w:rsid w:val="456B4496"/>
    <w:rsid w:val="46122C07"/>
    <w:rsid w:val="4646138E"/>
    <w:rsid w:val="46C16C66"/>
    <w:rsid w:val="46D544C0"/>
    <w:rsid w:val="475B0D80"/>
    <w:rsid w:val="47C36A0E"/>
    <w:rsid w:val="47C64F11"/>
    <w:rsid w:val="47C93871"/>
    <w:rsid w:val="48372036"/>
    <w:rsid w:val="487F752C"/>
    <w:rsid w:val="48BD1AB0"/>
    <w:rsid w:val="49607BF6"/>
    <w:rsid w:val="4A0A4480"/>
    <w:rsid w:val="4A574A47"/>
    <w:rsid w:val="4AE64EED"/>
    <w:rsid w:val="4BAD3BC3"/>
    <w:rsid w:val="4BD9016E"/>
    <w:rsid w:val="4D24438D"/>
    <w:rsid w:val="4E961071"/>
    <w:rsid w:val="4F4B3D85"/>
    <w:rsid w:val="4FDD6193"/>
    <w:rsid w:val="50812A75"/>
    <w:rsid w:val="515D678A"/>
    <w:rsid w:val="518B5CBD"/>
    <w:rsid w:val="52895560"/>
    <w:rsid w:val="534A56F4"/>
    <w:rsid w:val="53990623"/>
    <w:rsid w:val="53E47AF0"/>
    <w:rsid w:val="5460428F"/>
    <w:rsid w:val="54A543E3"/>
    <w:rsid w:val="556F788D"/>
    <w:rsid w:val="5600279B"/>
    <w:rsid w:val="562D159C"/>
    <w:rsid w:val="565C2507"/>
    <w:rsid w:val="56EA7D17"/>
    <w:rsid w:val="57E05871"/>
    <w:rsid w:val="599E66D8"/>
    <w:rsid w:val="5AB86FEA"/>
    <w:rsid w:val="5B8027F4"/>
    <w:rsid w:val="5C143331"/>
    <w:rsid w:val="5C3638D9"/>
    <w:rsid w:val="5CF733E4"/>
    <w:rsid w:val="5E3F7773"/>
    <w:rsid w:val="5E8B491A"/>
    <w:rsid w:val="5ED74BD0"/>
    <w:rsid w:val="5F561B6F"/>
    <w:rsid w:val="5F57E5CA"/>
    <w:rsid w:val="60504A1C"/>
    <w:rsid w:val="606E4297"/>
    <w:rsid w:val="624C105C"/>
    <w:rsid w:val="62AC0373"/>
    <w:rsid w:val="6433402C"/>
    <w:rsid w:val="65423E64"/>
    <w:rsid w:val="6608651D"/>
    <w:rsid w:val="66456B14"/>
    <w:rsid w:val="66974E96"/>
    <w:rsid w:val="669C35D3"/>
    <w:rsid w:val="66A82AE0"/>
    <w:rsid w:val="67FE4A5C"/>
    <w:rsid w:val="68060D49"/>
    <w:rsid w:val="680B2E81"/>
    <w:rsid w:val="689428D2"/>
    <w:rsid w:val="68AA5354"/>
    <w:rsid w:val="695333EF"/>
    <w:rsid w:val="6A296DE7"/>
    <w:rsid w:val="6ADE1AFA"/>
    <w:rsid w:val="6B7465A4"/>
    <w:rsid w:val="6B981494"/>
    <w:rsid w:val="6BAF2C82"/>
    <w:rsid w:val="6BC24763"/>
    <w:rsid w:val="6BC740BF"/>
    <w:rsid w:val="6BD821D8"/>
    <w:rsid w:val="6C4E249B"/>
    <w:rsid w:val="6FC37AD4"/>
    <w:rsid w:val="71F16917"/>
    <w:rsid w:val="71F72C8D"/>
    <w:rsid w:val="72AE3694"/>
    <w:rsid w:val="72AE5A41"/>
    <w:rsid w:val="7479577F"/>
    <w:rsid w:val="74FD680C"/>
    <w:rsid w:val="75814CFE"/>
    <w:rsid w:val="76070558"/>
    <w:rsid w:val="76DE22B9"/>
    <w:rsid w:val="76DFB57E"/>
    <w:rsid w:val="77836025"/>
    <w:rsid w:val="78316434"/>
    <w:rsid w:val="78AD1F79"/>
    <w:rsid w:val="7A276F33"/>
    <w:rsid w:val="7A5A1B83"/>
    <w:rsid w:val="7A980FBD"/>
    <w:rsid w:val="7B1228E5"/>
    <w:rsid w:val="7B817FE6"/>
    <w:rsid w:val="7DC12ACC"/>
    <w:rsid w:val="7DE95B7F"/>
    <w:rsid w:val="7DFF3A1B"/>
    <w:rsid w:val="7E395062"/>
    <w:rsid w:val="7FAD7283"/>
    <w:rsid w:val="7FCE9F2A"/>
    <w:rsid w:val="7FDB11A7"/>
    <w:rsid w:val="AD7F6D43"/>
    <w:rsid w:val="EDBF6842"/>
    <w:rsid w:val="F67F7F4B"/>
    <w:rsid w:val="F995895B"/>
    <w:rsid w:val="FF3F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qFormat/>
    <w:uiPriority w:val="1"/>
  </w:style>
  <w:style w:type="table" w:default="1" w:styleId="62">
    <w:name w:val="Normal Table"/>
    <w:qFormat/>
    <w:uiPriority w:val="99"/>
    <w:tblPr>
      <w:tblCellMar>
        <w:top w:w="0" w:type="dxa"/>
        <w:left w:w="108" w:type="dxa"/>
        <w:bottom w:w="0" w:type="dxa"/>
        <w:right w:w="108" w:type="dxa"/>
      </w:tblCellMar>
    </w:tblPr>
  </w:style>
  <w:style w:type="paragraph" w:customStyle="1" w:styleId="2">
    <w:name w:val="Body Text First Indent 2"/>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3"/>
    <w:qFormat/>
    <w:uiPriority w:val="99"/>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qFormat/>
    <w:uiPriority w:val="0"/>
    <w:pPr>
      <w:snapToGrid w:val="0"/>
      <w:spacing w:line="360" w:lineRule="auto"/>
      <w:ind w:left="360" w:right="238" w:hanging="360"/>
      <w:contextualSpacing/>
    </w:pPr>
    <w:rPr>
      <w:sz w:val="24"/>
    </w:rPr>
  </w:style>
  <w:style w:type="paragraph" w:styleId="25">
    <w:name w:val="Body Text"/>
    <w:basedOn w:val="1"/>
    <w:next w:val="26"/>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1"/>
    <w:link w:val="320"/>
    <w:qFormat/>
    <w:uiPriority w:val="0"/>
    <w:pPr>
      <w:ind w:firstLine="420"/>
    </w:pPr>
    <w:rPr>
      <w:rFonts w:hAnsi="Calibri" w:cs="Times New Roman"/>
      <w:snapToGrid/>
      <w:szCs w:val="20"/>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5"/>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1"/>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1"/>
    <w:qFormat/>
    <w:uiPriority w:val="0"/>
    <w:rPr>
      <w:lang w:val="zh-CN"/>
    </w:rPr>
  </w:style>
  <w:style w:type="paragraph" w:styleId="40">
    <w:name w:val="Balloon Text"/>
    <w:basedOn w:val="1"/>
    <w:link w:val="188"/>
    <w:qFormat/>
    <w:uiPriority w:val="0"/>
    <w:rPr>
      <w:sz w:val="18"/>
      <w:szCs w:val="18"/>
    </w:rPr>
  </w:style>
  <w:style w:type="paragraph" w:styleId="41">
    <w:name w:val="footer"/>
    <w:basedOn w:val="1"/>
    <w:link w:val="382"/>
    <w:qFormat/>
    <w:uiPriority w:val="99"/>
    <w:pPr>
      <w:tabs>
        <w:tab w:val="center" w:pos="4153"/>
        <w:tab w:val="right" w:pos="8306"/>
      </w:tabs>
      <w:snapToGrid w:val="0"/>
      <w:jc w:val="left"/>
    </w:pPr>
    <w:rPr>
      <w:sz w:val="18"/>
      <w:szCs w:val="18"/>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7"/>
    <w:link w:val="30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6"/>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80">
    <w:name w:val="Default"/>
    <w:next w:val="81"/>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1">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_a065a2bc-5607-4f88-bb9a-f4f6c7b4e0ea"/>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_29dca83e-cfa0-4d29-9006-28a1b752e563"/>
    <w:qFormat/>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8"/>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uiPriority w:val="0"/>
    <w:rPr>
      <w:rFonts w:eastAsia="宋体"/>
      <w:kern w:val="2"/>
      <w:sz w:val="21"/>
      <w:szCs w:val="24"/>
      <w:lang w:val="en-US" w:eastAsia="zh-CN" w:bidi="ar-SA"/>
    </w:rPr>
  </w:style>
  <w:style w:type="character" w:customStyle="1" w:styleId="146">
    <w:name w:val="font41"/>
    <w:basedOn w:val="69"/>
    <w:qFormat/>
    <w:uiPriority w:val="0"/>
    <w:rPr>
      <w:rFonts w:hint="eastAsia" w:ascii="仿宋_GB2312" w:eastAsia="仿宋_GB2312" w:cs="仿宋_GB2312"/>
      <w:color w:val="000000"/>
      <w:sz w:val="22"/>
      <w:szCs w:val="22"/>
      <w:u w:val="none"/>
    </w:rPr>
  </w:style>
  <w:style w:type="character" w:customStyle="1" w:styleId="147">
    <w:name w:val="标题 6 Char"/>
    <w:link w:val="10"/>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5"/>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7"/>
    <w:qFormat/>
    <w:uiPriority w:val="0"/>
    <w:rPr>
      <w:rFonts w:ascii="宋体"/>
      <w:kern w:val="2"/>
      <w:sz w:val="24"/>
      <w:szCs w:val="21"/>
      <w:lang w:val="zh-CN"/>
    </w:rPr>
  </w:style>
  <w:style w:type="character" w:customStyle="1" w:styleId="182">
    <w:name w:val="标题 9 Char"/>
    <w:link w:val="13"/>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qFormat/>
    <w:uiPriority w:val="99"/>
    <w:rPr>
      <w:rFonts w:ascii="Times New Roman" w:hAnsi="Times New Roman" w:eastAsia="宋体" w:cs="Times New Roman"/>
      <w:szCs w:val="24"/>
    </w:rPr>
  </w:style>
  <w:style w:type="character" w:customStyle="1" w:styleId="188">
    <w:name w:val="批注框文本 Char"/>
    <w:link w:val="40"/>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7"/>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1"/>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8"/>
    <w:link w:val="222"/>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_b6bb7154-40a1-4532-be09-cdbace51fda5"/>
    <w:qFormat/>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80"/>
    <w:qFormat/>
    <w:uiPriority w:val="0"/>
    <w:rPr>
      <w:rFonts w:ascii="仿宋_GB2312"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_856f206f-2151-488a-bf44-70c62fd33d46"/>
    <w:qFormat/>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4"/>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9"/>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8"/>
    <w:qFormat/>
    <w:uiPriority w:val="0"/>
    <w:rPr>
      <w:rFonts w:ascii="黑体" w:hAnsi="Courier New" w:eastAsia="黑体"/>
    </w:rPr>
  </w:style>
  <w:style w:type="character" w:customStyle="1" w:styleId="301">
    <w:name w:val="正文文本 2 Char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8"/>
    <w:link w:val="412"/>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1"/>
    <w:qFormat/>
    <w:uiPriority w:val="0"/>
    <w:rPr>
      <w:b/>
      <w:bCs/>
      <w:kern w:val="2"/>
      <w:sz w:val="24"/>
      <w:szCs w:val="24"/>
    </w:rPr>
  </w:style>
  <w:style w:type="character" w:customStyle="1" w:styleId="307">
    <w:name w:val="正文文本缩进 2 Char"/>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6"/>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8"/>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basedOn w:val="69"/>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99"/>
    <w:rPr>
      <w:kern w:val="2"/>
      <w:sz w:val="21"/>
      <w:szCs w:val="24"/>
    </w:rPr>
  </w:style>
  <w:style w:type="character" w:customStyle="1" w:styleId="344">
    <w:name w:val="签名 Char"/>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2"/>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4"/>
    <w:qFormat/>
    <w:uiPriority w:val="0"/>
    <w:rPr>
      <w:kern w:val="2"/>
      <w:sz w:val="24"/>
    </w:rPr>
  </w:style>
  <w:style w:type="character" w:customStyle="1" w:styleId="375">
    <w:name w:val="日期 Char1"/>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1"/>
    <w:qFormat/>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7"/>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qFormat/>
    <w:uiPriority w:val="0"/>
    <w:pPr>
      <w:tabs>
        <w:tab w:val="left" w:pos="360"/>
        <w:tab w:val="left" w:pos="540"/>
      </w:tabs>
      <w:adjustRightInd/>
      <w:spacing w:line="520" w:lineRule="exact"/>
      <w:ind w:left="200" w:firstLine="560"/>
    </w:pPr>
    <w:rPr>
      <w:rFonts w:ascii="仿宋_GB2312" w:hAnsi="Times New Roman" w:eastAsia="仿宋_GB2312" w:cs="Times New Roman"/>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8"/>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5"/>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5"/>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6"/>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9"/>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6"/>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515"/>
    <w:next w:val="25"/>
    <w:qFormat/>
    <w:uiPriority w:val="0"/>
    <w:pPr>
      <w:adjustRightInd/>
      <w:ind w:firstLine="200" w:firstLineChars="200"/>
    </w:pPr>
    <w:rPr>
      <w:rFonts w:ascii="Arial" w:hAnsi="Arial"/>
      <w:spacing w:val="-5"/>
      <w:kern w:val="0"/>
      <w:sz w:val="24"/>
      <w:szCs w:val="20"/>
    </w:rPr>
  </w:style>
  <w:style w:type="paragraph" w:customStyle="1" w:styleId="515">
    <w:name w:val="表格"/>
    <w:basedOn w:val="1"/>
    <w:qFormat/>
    <w:uiPriority w:val="0"/>
    <w:pPr>
      <w:snapToGrid w:val="0"/>
      <w:ind w:firstLine="42" w:firstLineChars="21"/>
    </w:pPr>
    <w:rPr>
      <w:rFonts w:ascii="宋体" w:hAnsi="宋体"/>
      <w:kern w:val="0"/>
      <w:sz w:val="20"/>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8"/>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5"/>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80"/>
    <w:next w:val="80"/>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80"/>
    <w:next w:val="80"/>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eastAsia="宋体" w:cs="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5"/>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qFormat/>
    <w:uiPriority w:val="0"/>
    <w:pPr>
      <w:tabs>
        <w:tab w:val="left" w:pos="840"/>
      </w:tabs>
      <w:adjustRightInd/>
      <w:spacing w:after="120" w:line="240" w:lineRule="auto"/>
      <w:ind w:hanging="420" w:firstLineChars="0"/>
    </w:pPr>
    <w:rPr>
      <w:rFonts w:ascii="Tahoma" w:hAnsi="Tahoma" w:eastAsia="宋体" w:cs="Times New Roman"/>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4"/>
    <w:qFormat/>
    <w:uiPriority w:val="0"/>
    <w:pPr>
      <w:tabs>
        <w:tab w:val="left" w:pos="840"/>
      </w:tabs>
      <w:adjustRightInd/>
      <w:ind w:left="840" w:hanging="420"/>
    </w:pPr>
  </w:style>
  <w:style w:type="paragraph" w:customStyle="1" w:styleId="626">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after="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8"/>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8"/>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6"/>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qFormat/>
    <w:uiPriority w:val="0"/>
    <w:pPr>
      <w:adjustRightInd/>
      <w:spacing w:before="100" w:beforeAutospacing="1" w:after="100" w:afterAutospacing="1" w:line="360" w:lineRule="auto"/>
      <w:ind w:firstLine="482" w:firstLineChars="0"/>
    </w:pPr>
    <w:rPr>
      <w:rFonts w:ascii="Times New Roman" w:hAnsi="Times New Roman" w:eastAsia="楷体_GB2312" w:cs="Times New Roman"/>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4"/>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8"/>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qFormat/>
    <w:uiPriority w:val="0"/>
    <w:pPr>
      <w:adjustRightInd/>
      <w:spacing w:before="156" w:beforeLines="50" w:after="10" w:line="360" w:lineRule="auto"/>
      <w:ind w:firstLine="175" w:firstLineChars="175"/>
      <w:jc w:val="left"/>
    </w:pPr>
    <w:rPr>
      <w:rFonts w:ascii="Times New Roman" w:hAnsi="Times New Roman" w:eastAsia="宋体" w:cs="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20"/>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9"/>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9"/>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qFormat/>
    <w:uiPriority w:val="99"/>
    <w:rPr>
      <w:rFonts w:ascii="Times New Roman" w:hAnsi="Times New Roman" w:eastAsia="宋体" w:cs="Times New Roman"/>
      <w:kern w:val="2"/>
      <w:sz w:val="21"/>
      <w:szCs w:val="24"/>
      <w:lang w:val="en-US" w:eastAsia="zh-CN" w:bidi="ar-SA"/>
    </w:rPr>
  </w:style>
  <w:style w:type="paragraph" w:customStyle="1" w:styleId="964">
    <w:name w:val="[Normal]"/>
    <w:unhideWhenUsed/>
    <w:qFormat/>
    <w:uiPriority w:val="0"/>
    <w:pPr>
      <w:widowControl w:val="0"/>
      <w:autoSpaceDE w:val="0"/>
      <w:autoSpaceDN w:val="0"/>
      <w:adjustRightInd w:val="0"/>
      <w:spacing w:beforeLines="0" w:afterLines="0"/>
    </w:pPr>
    <w:rPr>
      <w:rFonts w:hint="eastAsia" w:ascii="宋体" w:hAnsi="Times New Roman" w:eastAsia="宋体" w:cs="宋体"/>
      <w:sz w:val="24"/>
      <w:szCs w:val="24"/>
      <w:lang w:val="en-US" w:eastAsia="zh-CN" w:bidi="ar-SA"/>
    </w:rPr>
  </w:style>
  <w:style w:type="character" w:customStyle="1" w:styleId="965">
    <w:name w:val="10"/>
    <w:basedOn w:val="6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Pages>
  <Words>42442</Words>
  <Characters>45171</Characters>
  <Lines>1</Lines>
  <Paragraphs>1</Paragraphs>
  <TotalTime>2</TotalTime>
  <ScaleCrop>false</ScaleCrop>
  <LinksUpToDate>false</LinksUpToDate>
  <CharactersWithSpaces>52765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2021-08-02T00:22:00Z</dcterms:created>
  <dc:creator>玥</dc:creator>
  <cp:lastModifiedBy>Lenovo</cp:lastModifiedBy>
  <cp:lastPrinted>2024-01-19T13:30:00Z</cp:lastPrinted>
  <dcterms:modified xsi:type="dcterms:W3CDTF">2024-01-26T03:07:57Z</dcterms:modified>
  <dc:title>杭州市市民卡扩大发卡工程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