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6E" w:rsidRDefault="00E0136E">
      <w:pPr>
        <w:spacing w:line="560" w:lineRule="exact"/>
        <w:jc w:val="center"/>
        <w:rPr>
          <w:rFonts w:eastAsia="方正小标宋简体"/>
          <w:snapToGrid w:val="0"/>
          <w:kern w:val="0"/>
          <w:sz w:val="44"/>
          <w:szCs w:val="44"/>
        </w:rPr>
      </w:pPr>
      <w:bookmarkStart w:id="0" w:name="zhengwen"/>
    </w:p>
    <w:p w:rsidR="00E0136E" w:rsidRDefault="00E0136E">
      <w:pPr>
        <w:spacing w:line="560" w:lineRule="exact"/>
        <w:jc w:val="center"/>
        <w:rPr>
          <w:rFonts w:eastAsia="方正小标宋简体"/>
          <w:snapToGrid w:val="0"/>
          <w:kern w:val="0"/>
          <w:sz w:val="44"/>
          <w:szCs w:val="44"/>
        </w:rPr>
      </w:pPr>
    </w:p>
    <w:p w:rsidR="00E0136E" w:rsidRDefault="009C6A05">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bookmarkStart w:id="1" w:name="_Toc89870649"/>
      <w:r>
        <w:rPr>
          <w:rFonts w:asciiTheme="majorEastAsia" w:eastAsiaTheme="majorEastAsia" w:hAnsiTheme="majorEastAsia" w:hint="eastAsia"/>
          <w:b/>
          <w:bCs/>
          <w:color w:val="333333"/>
          <w:sz w:val="44"/>
          <w:szCs w:val="44"/>
          <w:shd w:val="clear" w:color="auto" w:fill="FFFFFF"/>
        </w:rPr>
        <w:t>绍兴市柴油动力移动源排气污染防治办法</w:t>
      </w:r>
      <w:bookmarkEnd w:id="1"/>
    </w:p>
    <w:p w:rsidR="00E0136E" w:rsidRDefault="009C6A05" w:rsidP="009F7445">
      <w:pPr>
        <w:pStyle w:val="a3"/>
        <w:ind w:firstLineChars="200" w:firstLine="640"/>
      </w:pPr>
      <w:r>
        <w:rPr>
          <w:rFonts w:ascii="楷体_GB2312" w:eastAsia="楷体_GB2312" w:hAnsi="楷体_GB2312" w:cs="楷体_GB2312" w:hint="eastAsia"/>
          <w:color w:val="333333"/>
          <w:sz w:val="32"/>
          <w:szCs w:val="32"/>
          <w:shd w:val="clear" w:color="auto" w:fill="FFFFFF"/>
        </w:rPr>
        <w:t>（2022年1月1</w:t>
      </w:r>
      <w:r w:rsidR="00A00DB7">
        <w:rPr>
          <w:rFonts w:ascii="楷体_GB2312" w:eastAsia="楷体_GB2312" w:hAnsi="楷体_GB2312" w:cs="楷体_GB2312"/>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日绍兴市人民政府令第104号公布 自2022年3月1日起施行）</w:t>
      </w:r>
    </w:p>
    <w:p w:rsidR="00E0136E" w:rsidRDefault="00E0136E">
      <w:pPr>
        <w:pStyle w:val="a3"/>
      </w:pPr>
    </w:p>
    <w:bookmarkEnd w:id="0"/>
    <w:p w:rsidR="00E0136E" w:rsidRDefault="009C6A05" w:rsidP="00A00DB7">
      <w:pPr>
        <w:pStyle w:val="E02Body"/>
        <w:overflowPunct/>
        <w:spacing w:line="240" w:lineRule="auto"/>
        <w:ind w:firstLine="640"/>
      </w:pPr>
      <w:r>
        <w:rPr>
          <w:rStyle w:val="A06"/>
          <w:rFonts w:hint="eastAsia"/>
        </w:rPr>
        <w:t>第一条</w:t>
      </w:r>
      <w:r>
        <w:rPr>
          <w:rStyle w:val="A06"/>
          <w:lang w:val="en"/>
        </w:rPr>
        <w:t xml:space="preserve"> </w:t>
      </w:r>
      <w:r>
        <w:rPr>
          <w:rFonts w:hint="eastAsia"/>
        </w:rPr>
        <w:t>为了防治柴油动</w:t>
      </w:r>
      <w:bookmarkStart w:id="2" w:name="_GoBack"/>
      <w:bookmarkEnd w:id="2"/>
      <w:r>
        <w:rPr>
          <w:rFonts w:hint="eastAsia"/>
        </w:rPr>
        <w:t>力移动源排气污染，保护和改善大气环境，保障公众身体健康，推进生态文明建设，根据《中华人民共和国大气污染防治法》《浙江省大气污染防治条例》《浙江省机动车排气污染防治条例》等法律、法规，结合本市实际，制定本办法。</w:t>
      </w:r>
    </w:p>
    <w:p w:rsidR="00E0136E" w:rsidRDefault="009C6A05" w:rsidP="00A00DB7">
      <w:pPr>
        <w:pStyle w:val="E02Body"/>
        <w:overflowPunct/>
        <w:spacing w:line="240" w:lineRule="auto"/>
        <w:ind w:firstLine="640"/>
      </w:pPr>
      <w:r>
        <w:rPr>
          <w:rStyle w:val="A06"/>
          <w:rFonts w:hint="eastAsia"/>
        </w:rPr>
        <w:t>第二条</w:t>
      </w:r>
      <w:r>
        <w:rPr>
          <w:rStyle w:val="A06"/>
          <w:lang w:val="en"/>
        </w:rPr>
        <w:t xml:space="preserve"> </w:t>
      </w:r>
      <w:r>
        <w:rPr>
          <w:rFonts w:hint="eastAsia"/>
        </w:rPr>
        <w:t>本市行政区域内柴油动力移动源排气污染的防治，适用本办法。</w:t>
      </w:r>
    </w:p>
    <w:p w:rsidR="00E0136E" w:rsidRDefault="009C6A05" w:rsidP="00A00DB7">
      <w:pPr>
        <w:pStyle w:val="E02Body"/>
        <w:overflowPunct/>
        <w:spacing w:line="240" w:lineRule="auto"/>
        <w:ind w:firstLine="640"/>
      </w:pPr>
      <w:r>
        <w:rPr>
          <w:rFonts w:hint="eastAsia"/>
        </w:rPr>
        <w:t>本办法所称柴油动力移动源</w:t>
      </w:r>
      <w:r>
        <w:rPr>
          <w:rFonts w:hint="eastAsia"/>
          <w:lang w:val="en"/>
        </w:rPr>
        <w:t>，</w:t>
      </w:r>
      <w:r>
        <w:rPr>
          <w:rFonts w:hint="eastAsia"/>
        </w:rPr>
        <w:t>是指以柴油作为动力来源的重型柴油车、非道路移动机械和船舶。</w:t>
      </w:r>
    </w:p>
    <w:p w:rsidR="00E0136E" w:rsidRDefault="009C6A05" w:rsidP="00A00DB7">
      <w:pPr>
        <w:pStyle w:val="E02Body"/>
        <w:overflowPunct/>
        <w:spacing w:line="240" w:lineRule="auto"/>
        <w:ind w:firstLine="640"/>
      </w:pPr>
      <w:r>
        <w:rPr>
          <w:rFonts w:hint="eastAsia"/>
        </w:rPr>
        <w:t>本办法所称非道路移动机械是指不在道路上行驶、装配有发动机的移动机械和</w:t>
      </w:r>
      <w:proofErr w:type="gramStart"/>
      <w:r>
        <w:rPr>
          <w:rFonts w:hint="eastAsia"/>
        </w:rPr>
        <w:t>可</w:t>
      </w:r>
      <w:proofErr w:type="gramEnd"/>
      <w:r>
        <w:rPr>
          <w:rFonts w:hint="eastAsia"/>
        </w:rPr>
        <w:t>运输工业设备，主要包括工程机械、农业机械、林业机械、材料装卸机械、机场地勤设备、发电机组等机械设备。</w:t>
      </w:r>
    </w:p>
    <w:p w:rsidR="00E0136E" w:rsidRDefault="009C6A05" w:rsidP="00A00DB7">
      <w:pPr>
        <w:pStyle w:val="E02Body"/>
        <w:overflowPunct/>
        <w:spacing w:line="240" w:lineRule="auto"/>
        <w:ind w:firstLine="640"/>
      </w:pPr>
      <w:r>
        <w:rPr>
          <w:rStyle w:val="A06"/>
        </w:rPr>
        <w:t>第</w:t>
      </w:r>
      <w:r>
        <w:rPr>
          <w:rStyle w:val="A06"/>
          <w:rFonts w:hint="eastAsia"/>
        </w:rPr>
        <w:t>三</w:t>
      </w:r>
      <w:r>
        <w:rPr>
          <w:rStyle w:val="A06"/>
        </w:rPr>
        <w:t>条</w:t>
      </w:r>
      <w:r>
        <w:rPr>
          <w:rStyle w:val="A06"/>
          <w:lang w:val="en"/>
        </w:rPr>
        <w:t xml:space="preserve"> </w:t>
      </w:r>
      <w:r>
        <w:rPr>
          <w:rFonts w:hint="eastAsia"/>
        </w:rPr>
        <w:t>市和县（市、区）人民政府应当将柴油动力移动源</w:t>
      </w:r>
      <w:r>
        <w:rPr>
          <w:rFonts w:hint="eastAsia"/>
        </w:rPr>
        <w:lastRenderedPageBreak/>
        <w:t>排气污染防治工作纳入环境保护规划和环境保护目标责任制，保障经费投入，健全监督管理体系，督促有关部门依法履行监督管理职责。</w:t>
      </w:r>
    </w:p>
    <w:p w:rsidR="00E0136E" w:rsidRDefault="009C6A05" w:rsidP="00A00DB7">
      <w:pPr>
        <w:pStyle w:val="E02Body"/>
        <w:overflowPunct/>
        <w:spacing w:line="240" w:lineRule="auto"/>
        <w:ind w:firstLine="640"/>
      </w:pPr>
      <w:r>
        <w:rPr>
          <w:rFonts w:hint="eastAsia"/>
        </w:rPr>
        <w:t>市和县（市、区）人民政府应当建立工作协调机制，研究解决柴油动力移动源排气污染防治工作中的重大问题。</w:t>
      </w:r>
    </w:p>
    <w:p w:rsidR="00E0136E" w:rsidRDefault="009C6A05" w:rsidP="00A00DB7">
      <w:pPr>
        <w:pStyle w:val="E02Body"/>
        <w:overflowPunct/>
        <w:spacing w:line="240" w:lineRule="auto"/>
        <w:ind w:firstLine="640"/>
      </w:pPr>
      <w:r>
        <w:rPr>
          <w:rStyle w:val="A06"/>
          <w:rFonts w:hint="eastAsia"/>
        </w:rPr>
        <w:t>第四条</w:t>
      </w:r>
      <w:r>
        <w:rPr>
          <w:rStyle w:val="A06"/>
          <w:lang w:val="en"/>
        </w:rPr>
        <w:t xml:space="preserve"> </w:t>
      </w:r>
      <w:r>
        <w:rPr>
          <w:rFonts w:hint="eastAsia"/>
        </w:rPr>
        <w:t>生态环境部门对本辖区内的柴油动力移动源排气污染防治实施统一监督管理。</w:t>
      </w:r>
    </w:p>
    <w:p w:rsidR="00E0136E" w:rsidRDefault="009C6A05" w:rsidP="00A00DB7">
      <w:pPr>
        <w:pStyle w:val="E02Body"/>
        <w:overflowPunct/>
        <w:spacing w:line="240" w:lineRule="auto"/>
        <w:ind w:firstLine="640"/>
      </w:pPr>
      <w:r>
        <w:rPr>
          <w:rFonts w:hint="eastAsia"/>
        </w:rPr>
        <w:t>其他负有大气环境保护监督管理职责的部门依法对有关行业、领域的柴油动力移动源排气污染防治实施监督管理。</w:t>
      </w:r>
    </w:p>
    <w:p w:rsidR="00E0136E" w:rsidRDefault="009C6A05" w:rsidP="00A00DB7">
      <w:pPr>
        <w:pStyle w:val="E02Body"/>
        <w:overflowPunct/>
        <w:spacing w:line="240" w:lineRule="auto"/>
        <w:ind w:firstLine="640"/>
      </w:pPr>
      <w:r>
        <w:rPr>
          <w:rFonts w:hint="eastAsia"/>
        </w:rPr>
        <w:t>乡镇人民政府、街道办事处应当加强本辖区内柴油动力移动源排气污染防治工作，配合有关部门做好相关监督管理工作。</w:t>
      </w:r>
    </w:p>
    <w:p w:rsidR="00E0136E" w:rsidRDefault="009C6A05" w:rsidP="00A00DB7">
      <w:pPr>
        <w:pStyle w:val="E02Body"/>
        <w:overflowPunct/>
        <w:spacing w:line="240" w:lineRule="auto"/>
        <w:ind w:firstLine="640"/>
      </w:pPr>
      <w:r>
        <w:rPr>
          <w:rStyle w:val="A06"/>
          <w:rFonts w:hint="eastAsia"/>
        </w:rPr>
        <w:t>第五条</w:t>
      </w:r>
      <w:r>
        <w:rPr>
          <w:rStyle w:val="A06"/>
          <w:lang w:val="en"/>
        </w:rPr>
        <w:t xml:space="preserve"> </w:t>
      </w:r>
      <w:r>
        <w:rPr>
          <w:rFonts w:hint="eastAsia"/>
        </w:rPr>
        <w:t>市生态环境部门应当会同有关部门，依托政务数据共享平台建立柴油动力移动源排气污染防治信息管理系统，整合防治政策、排放标准、注册登记、定期检验、监督抽测、维修治理、分级管理、行政处罚等信息资源，实现信息共享、实时更新。</w:t>
      </w:r>
    </w:p>
    <w:p w:rsidR="00E0136E" w:rsidRDefault="009C6A05" w:rsidP="00A00DB7">
      <w:pPr>
        <w:pStyle w:val="E02Body"/>
        <w:overflowPunct/>
        <w:spacing w:line="240" w:lineRule="auto"/>
        <w:ind w:firstLine="640"/>
        <w:rPr>
          <w:rStyle w:val="A07"/>
        </w:rPr>
      </w:pPr>
      <w:r>
        <w:rPr>
          <w:rStyle w:val="A06"/>
          <w:rFonts w:hint="eastAsia"/>
        </w:rPr>
        <w:t>第六条</w:t>
      </w:r>
      <w:r>
        <w:rPr>
          <w:rStyle w:val="A06"/>
          <w:lang w:val="en"/>
        </w:rPr>
        <w:t xml:space="preserve"> </w:t>
      </w:r>
      <w:r>
        <w:rPr>
          <w:rFonts w:hint="eastAsia"/>
        </w:rPr>
        <w:t>本市实行柴油动力移动源分级管理制度，按照大气污染物排放状况，将在用柴油动力移动</w:t>
      </w:r>
      <w:proofErr w:type="gramStart"/>
      <w:r>
        <w:rPr>
          <w:rFonts w:hint="eastAsia"/>
        </w:rPr>
        <w:t>源分为</w:t>
      </w:r>
      <w:proofErr w:type="gramEnd"/>
      <w:r>
        <w:rPr>
          <w:rFonts w:hint="eastAsia"/>
        </w:rPr>
        <w:t>低、中、高以及超标排放四级进行分级管理。具体等级划分方案由市生态环境部门根据国家和省规定的排放标准制定并向社会公布。</w:t>
      </w:r>
    </w:p>
    <w:p w:rsidR="00E0136E" w:rsidRDefault="009C6A05" w:rsidP="00A00DB7">
      <w:pPr>
        <w:pStyle w:val="E02Body"/>
        <w:overflowPunct/>
        <w:spacing w:line="240" w:lineRule="auto"/>
        <w:ind w:firstLine="640"/>
      </w:pPr>
      <w:r>
        <w:rPr>
          <w:rFonts w:hint="eastAsia"/>
        </w:rPr>
        <w:lastRenderedPageBreak/>
        <w:t>市生态环境部门应当会同有关部门制定在用柴油动力移动源分级管理名录和分级管理实施方案。</w:t>
      </w:r>
    </w:p>
    <w:p w:rsidR="00E0136E" w:rsidRDefault="009C6A05" w:rsidP="00A00DB7">
      <w:pPr>
        <w:pStyle w:val="E02Body"/>
        <w:overflowPunct/>
        <w:spacing w:line="240" w:lineRule="auto"/>
        <w:ind w:firstLine="640"/>
      </w:pPr>
      <w:r>
        <w:rPr>
          <w:rStyle w:val="A06"/>
          <w:rFonts w:hint="eastAsia"/>
        </w:rPr>
        <w:t>第七条</w:t>
      </w:r>
      <w:r>
        <w:rPr>
          <w:rStyle w:val="A06"/>
          <w:lang w:val="en"/>
        </w:rPr>
        <w:t xml:space="preserve"> </w:t>
      </w:r>
      <w:r>
        <w:rPr>
          <w:rFonts w:hint="eastAsia"/>
        </w:rPr>
        <w:t>分级管理名录应当依据定期排气污染检测或者监督抽测的结果确定在用柴油动力移动源的排放等级并进行实时更新调整。首次对在用非道路移动机械进行分级，无排气污染检测信息的，可以按照其出厂设置的排放阶段进行分级。</w:t>
      </w:r>
    </w:p>
    <w:p w:rsidR="00E0136E" w:rsidRDefault="009C6A05" w:rsidP="00A00DB7">
      <w:pPr>
        <w:pStyle w:val="E02Body"/>
        <w:overflowPunct/>
        <w:spacing w:line="240" w:lineRule="auto"/>
        <w:ind w:firstLine="640"/>
      </w:pPr>
      <w:r>
        <w:rPr>
          <w:rFonts w:hint="eastAsia"/>
        </w:rPr>
        <w:t>市生态环境部门应当将首次纳入分级管理名录或者更新调整的信息及时告知柴油动力移动源所有人或者使用人。柴油动力移动源所有人或者使用人认为分级结果与实际排放情况不一致的，可以申请排气污染检测进行核实。</w:t>
      </w:r>
    </w:p>
    <w:p w:rsidR="00E0136E" w:rsidRDefault="009C6A05" w:rsidP="00A00DB7">
      <w:pPr>
        <w:pStyle w:val="E02Body"/>
        <w:overflowPunct/>
        <w:spacing w:line="240" w:lineRule="auto"/>
        <w:ind w:firstLine="640"/>
      </w:pPr>
      <w:r>
        <w:rPr>
          <w:rFonts w:hint="eastAsia"/>
        </w:rPr>
        <w:t>有关行业主管部门应当督促柴油动力移动源所有人或者使用人主动申请污染物排放检测。</w:t>
      </w:r>
    </w:p>
    <w:p w:rsidR="00E0136E" w:rsidRDefault="009C6A05" w:rsidP="00A00DB7">
      <w:pPr>
        <w:pStyle w:val="E02Body"/>
        <w:spacing w:line="240" w:lineRule="auto"/>
        <w:ind w:firstLine="640"/>
      </w:pPr>
      <w:r>
        <w:rPr>
          <w:rStyle w:val="A06"/>
          <w:rFonts w:hint="eastAsia"/>
        </w:rPr>
        <w:t>第八条</w:t>
      </w:r>
      <w:r>
        <w:rPr>
          <w:rStyle w:val="A06"/>
          <w:lang w:val="en"/>
        </w:rPr>
        <w:t xml:space="preserve"> </w:t>
      </w:r>
      <w:r>
        <w:rPr>
          <w:rFonts w:hint="eastAsia"/>
        </w:rPr>
        <w:t>市和县（市、区）人民政府及其有关部门应当采取财政、税收、政府采购等措施推广应用低排放移动源，限制高油耗、高排放移动源的发展，推进高排放移动</w:t>
      </w:r>
      <w:proofErr w:type="gramStart"/>
      <w:r>
        <w:rPr>
          <w:rFonts w:hint="eastAsia"/>
        </w:rPr>
        <w:t>源依法</w:t>
      </w:r>
      <w:proofErr w:type="gramEnd"/>
      <w:r>
        <w:rPr>
          <w:rFonts w:hint="eastAsia"/>
        </w:rPr>
        <w:t>淘汰、置换或者尾气治理改造工作，减少化石能源的消耗。</w:t>
      </w:r>
    </w:p>
    <w:p w:rsidR="00E0136E" w:rsidRDefault="009C6A05" w:rsidP="00A00DB7">
      <w:pPr>
        <w:pStyle w:val="E02Body"/>
        <w:spacing w:line="240" w:lineRule="auto"/>
        <w:ind w:firstLine="640"/>
      </w:pPr>
      <w:r>
        <w:rPr>
          <w:rFonts w:hint="eastAsia"/>
        </w:rPr>
        <w:t>有关部门应当加强对高排放、超标排放柴油动力移动源的监管力度，增加监督抽测频次。</w:t>
      </w:r>
    </w:p>
    <w:p w:rsidR="00E0136E" w:rsidRDefault="009C6A05" w:rsidP="00A00DB7">
      <w:pPr>
        <w:pStyle w:val="E02Body"/>
        <w:spacing w:line="240" w:lineRule="auto"/>
        <w:ind w:firstLine="640"/>
      </w:pPr>
      <w:r>
        <w:rPr>
          <w:rStyle w:val="A06"/>
          <w:rFonts w:hint="eastAsia"/>
        </w:rPr>
        <w:t>第九条</w:t>
      </w:r>
      <w:r>
        <w:rPr>
          <w:rStyle w:val="A06"/>
          <w:lang w:val="en"/>
        </w:rPr>
        <w:t xml:space="preserve"> </w:t>
      </w:r>
      <w:r>
        <w:rPr>
          <w:rFonts w:hint="eastAsia"/>
        </w:rPr>
        <w:t>市和县（市、区）人民政府及其有关部门推进清洁</w:t>
      </w:r>
      <w:r>
        <w:rPr>
          <w:rFonts w:hint="eastAsia"/>
        </w:rPr>
        <w:lastRenderedPageBreak/>
        <w:t>化生产，开展优良文明工地、绿色单位等评优评先活动，应当对实现柴油动力移动</w:t>
      </w:r>
      <w:proofErr w:type="gramStart"/>
      <w:r>
        <w:rPr>
          <w:rFonts w:hint="eastAsia"/>
        </w:rPr>
        <w:t>源低排放化提出</w:t>
      </w:r>
      <w:proofErr w:type="gramEnd"/>
      <w:r>
        <w:rPr>
          <w:rFonts w:hint="eastAsia"/>
        </w:rPr>
        <w:t>具体要求。</w:t>
      </w:r>
    </w:p>
    <w:p w:rsidR="00E0136E" w:rsidRDefault="009C6A05" w:rsidP="00A00DB7">
      <w:pPr>
        <w:pStyle w:val="E02Body"/>
        <w:spacing w:line="240" w:lineRule="auto"/>
        <w:ind w:firstLine="640"/>
      </w:pPr>
      <w:r>
        <w:rPr>
          <w:rFonts w:hint="eastAsia"/>
        </w:rPr>
        <w:t>市和县（市、区）人民政府及其所属部门、国有企业、事业单位采购货物、工程或者服务，涉及柴油动力移动源的，该移动</w:t>
      </w:r>
      <w:proofErr w:type="gramStart"/>
      <w:r>
        <w:rPr>
          <w:rFonts w:hint="eastAsia"/>
        </w:rPr>
        <w:t>源应当</w:t>
      </w:r>
      <w:proofErr w:type="gramEnd"/>
      <w:r>
        <w:rPr>
          <w:rFonts w:hint="eastAsia"/>
        </w:rPr>
        <w:t>符合低排放要求；已采购的柴油动力移动源为非低排放的，应当进行治理改造；已采购的第一条</w:t>
      </w:r>
      <w:r>
        <w:rPr>
          <w:rFonts w:hint="eastAsia"/>
        </w:rPr>
        <w:t xml:space="preserve">  </w:t>
      </w:r>
      <w:r>
        <w:rPr>
          <w:rFonts w:hint="eastAsia"/>
        </w:rPr>
        <w:t>为了规范政府非税收入管理活动，提高政府公共管理和公共服务水平，根据《浙江省政府非税收入管理条例》和其他有关法律法规，结合本市实际，制定本规定。</w:t>
      </w:r>
    </w:p>
    <w:p w:rsidR="00E0136E" w:rsidRDefault="009C6A05" w:rsidP="00A00DB7">
      <w:pPr>
        <w:pStyle w:val="E02Body"/>
        <w:spacing w:line="240" w:lineRule="auto"/>
        <w:ind w:firstLine="640"/>
      </w:pPr>
      <w:r>
        <w:rPr>
          <w:rFonts w:hint="eastAsia"/>
        </w:rPr>
        <w:t>工程或者服务所使用的移动源为非低排放的，应当鼓励供应商进行治理改造。</w:t>
      </w:r>
    </w:p>
    <w:p w:rsidR="00E0136E" w:rsidRDefault="009C6A05" w:rsidP="00A00DB7">
      <w:pPr>
        <w:pStyle w:val="E02Body"/>
        <w:spacing w:line="240" w:lineRule="auto"/>
        <w:ind w:firstLine="640"/>
      </w:pPr>
      <w:r>
        <w:rPr>
          <w:rFonts w:hint="eastAsia"/>
        </w:rPr>
        <w:t>政府投资的建设项目应当使用低排放移动源。</w:t>
      </w:r>
    </w:p>
    <w:p w:rsidR="00E0136E" w:rsidRDefault="009C6A05" w:rsidP="00A00DB7">
      <w:pPr>
        <w:pStyle w:val="E02Body"/>
        <w:spacing w:line="240" w:lineRule="auto"/>
        <w:ind w:firstLine="640"/>
      </w:pPr>
      <w:r>
        <w:rPr>
          <w:rStyle w:val="A06"/>
          <w:rFonts w:hint="eastAsia"/>
        </w:rPr>
        <w:t>第十条</w:t>
      </w:r>
      <w:r>
        <w:rPr>
          <w:rStyle w:val="A06"/>
          <w:lang w:val="en"/>
        </w:rPr>
        <w:t xml:space="preserve"> </w:t>
      </w:r>
      <w:r>
        <w:rPr>
          <w:rFonts w:hint="eastAsia"/>
        </w:rPr>
        <w:t>柴油动力移动</w:t>
      </w:r>
      <w:proofErr w:type="gramStart"/>
      <w:r>
        <w:rPr>
          <w:rFonts w:hint="eastAsia"/>
        </w:rPr>
        <w:t>源不得</w:t>
      </w:r>
      <w:proofErr w:type="gramEnd"/>
      <w:r>
        <w:rPr>
          <w:rFonts w:hint="eastAsia"/>
        </w:rPr>
        <w:t>超过标准排放大气污染物。</w:t>
      </w:r>
    </w:p>
    <w:p w:rsidR="00E0136E" w:rsidRDefault="009C6A05" w:rsidP="00A00DB7">
      <w:pPr>
        <w:pStyle w:val="E02Body"/>
        <w:spacing w:line="240" w:lineRule="auto"/>
        <w:ind w:firstLine="640"/>
      </w:pPr>
      <w:r>
        <w:rPr>
          <w:rFonts w:hint="eastAsia"/>
        </w:rPr>
        <w:t>在用重型柴油车应当按照国家、省的有关规定定期进行排气污染检测。经检测合格的，方可上道路行驶。未经检测合格的，公安机关交通管理部门不得核发安全技术检验合格标志。</w:t>
      </w:r>
    </w:p>
    <w:p w:rsidR="00E0136E" w:rsidRDefault="009C6A05" w:rsidP="00A00DB7">
      <w:pPr>
        <w:pStyle w:val="E02Body"/>
        <w:spacing w:line="240" w:lineRule="auto"/>
        <w:ind w:firstLine="640"/>
      </w:pPr>
      <w:r>
        <w:rPr>
          <w:rFonts w:hint="eastAsia"/>
        </w:rPr>
        <w:t>在用机动船舶超过标准排放大气污染物的，应当进行维修或者采用污染控制技术；经维修或者采用污染控制技术后，仍不符合规定排放标准的，不得运营。</w:t>
      </w:r>
    </w:p>
    <w:p w:rsidR="00E0136E" w:rsidRDefault="009C6A05" w:rsidP="00A00DB7">
      <w:pPr>
        <w:pStyle w:val="E02Body"/>
        <w:spacing w:line="240" w:lineRule="auto"/>
        <w:ind w:firstLine="640"/>
      </w:pPr>
      <w:r>
        <w:rPr>
          <w:rStyle w:val="A06"/>
          <w:rFonts w:hint="eastAsia"/>
        </w:rPr>
        <w:lastRenderedPageBreak/>
        <w:t>第十一条</w:t>
      </w:r>
      <w:r>
        <w:rPr>
          <w:rStyle w:val="A06"/>
          <w:lang w:val="en"/>
        </w:rPr>
        <w:t xml:space="preserve"> </w:t>
      </w:r>
      <w:r>
        <w:rPr>
          <w:rFonts w:hint="eastAsia"/>
        </w:rPr>
        <w:t>市和县（市、区）人民政府应当根据本行政区域大气污染防治的需要，依法划定、调整高排放重型柴油车禁止通行区域、高排放非道路移动机械禁止使用区域，并向社会公告。</w:t>
      </w:r>
    </w:p>
    <w:p w:rsidR="00E0136E" w:rsidRDefault="009C6A05" w:rsidP="00A00DB7">
      <w:pPr>
        <w:pStyle w:val="E02Body"/>
        <w:spacing w:line="240" w:lineRule="auto"/>
        <w:ind w:firstLine="640"/>
      </w:pPr>
      <w:r>
        <w:rPr>
          <w:rFonts w:hint="eastAsia"/>
        </w:rPr>
        <w:t>公路、城市道路等道路管理部门应当会同公安机关交通管理、生态环境等有关部门在高排放重型柴油</w:t>
      </w:r>
      <w:proofErr w:type="gramStart"/>
      <w:r>
        <w:rPr>
          <w:rFonts w:hint="eastAsia"/>
        </w:rPr>
        <w:t>车禁行路段设置</w:t>
      </w:r>
      <w:proofErr w:type="gramEnd"/>
      <w:r>
        <w:rPr>
          <w:rFonts w:hint="eastAsia"/>
        </w:rPr>
        <w:t>禁令性标志、标线。</w:t>
      </w:r>
    </w:p>
    <w:p w:rsidR="00E0136E" w:rsidRDefault="009C6A05" w:rsidP="00A00DB7">
      <w:pPr>
        <w:pStyle w:val="E02Body"/>
        <w:spacing w:line="240" w:lineRule="auto"/>
        <w:ind w:firstLine="640"/>
      </w:pPr>
      <w:r>
        <w:rPr>
          <w:rFonts w:hint="eastAsia"/>
        </w:rPr>
        <w:t>建设单位应当在高排放非道路移动机械禁用区内的工地设置相关禁用警示标志。</w:t>
      </w:r>
    </w:p>
    <w:p w:rsidR="00E0136E" w:rsidRDefault="009C6A05" w:rsidP="00A00DB7">
      <w:pPr>
        <w:pStyle w:val="E02Body"/>
        <w:spacing w:line="240" w:lineRule="auto"/>
        <w:ind w:firstLine="640"/>
      </w:pPr>
      <w:r>
        <w:rPr>
          <w:rStyle w:val="A06"/>
          <w:rFonts w:hint="eastAsia"/>
        </w:rPr>
        <w:t>第十二条</w:t>
      </w:r>
      <w:r>
        <w:rPr>
          <w:rStyle w:val="A06"/>
          <w:lang w:val="en"/>
        </w:rPr>
        <w:t xml:space="preserve"> </w:t>
      </w:r>
      <w:r>
        <w:rPr>
          <w:rFonts w:hint="eastAsia"/>
        </w:rPr>
        <w:t>生态环境部门负责实施非道路移动机械编码登记管理工作。</w:t>
      </w:r>
    </w:p>
    <w:p w:rsidR="00E0136E" w:rsidRDefault="009C6A05" w:rsidP="00A00DB7">
      <w:pPr>
        <w:pStyle w:val="E02Body"/>
        <w:spacing w:line="240" w:lineRule="auto"/>
        <w:ind w:firstLine="640"/>
      </w:pPr>
      <w:r>
        <w:rPr>
          <w:rFonts w:hint="eastAsia"/>
        </w:rPr>
        <w:t>非道路移动机械的所有人应当按照国家和省有关规定向所在地生态环境部门申报编码登记，并按照规定在非道路移动机械上安装环保标牌。</w:t>
      </w:r>
    </w:p>
    <w:p w:rsidR="00E0136E" w:rsidRDefault="009C6A05" w:rsidP="00A00DB7">
      <w:pPr>
        <w:pStyle w:val="E02Body"/>
        <w:spacing w:line="240" w:lineRule="auto"/>
        <w:ind w:firstLine="640"/>
      </w:pPr>
      <w:r>
        <w:rPr>
          <w:rStyle w:val="A06"/>
          <w:rFonts w:hint="eastAsia"/>
        </w:rPr>
        <w:t>第十三条</w:t>
      </w:r>
      <w:r>
        <w:rPr>
          <w:rStyle w:val="A06"/>
          <w:lang w:val="en"/>
        </w:rPr>
        <w:t xml:space="preserve"> </w:t>
      </w:r>
      <w:r>
        <w:rPr>
          <w:rFonts w:hint="eastAsia"/>
        </w:rPr>
        <w:t>未经编码登记或者不符合排放标准的非道路移动机械不得进入作业现场施工。</w:t>
      </w:r>
    </w:p>
    <w:p w:rsidR="00E0136E" w:rsidRDefault="009C6A05" w:rsidP="00A00DB7">
      <w:pPr>
        <w:pStyle w:val="E02Body"/>
        <w:spacing w:line="240" w:lineRule="auto"/>
        <w:ind w:firstLine="640"/>
      </w:pPr>
      <w:r>
        <w:rPr>
          <w:rFonts w:hint="eastAsia"/>
        </w:rPr>
        <w:t>非道路移动机械进入作业现场施工，作业单位或者个人应当通过柴油动力移动源排气污染防治信息管理系统查询核实其编码登记信息和污染物排放情况，并做好进出场情况、燃料和氮氧化物还原剂购买使用等台</w:t>
      </w:r>
      <w:proofErr w:type="gramStart"/>
      <w:r>
        <w:rPr>
          <w:rFonts w:hint="eastAsia"/>
        </w:rPr>
        <w:t>账管理</w:t>
      </w:r>
      <w:proofErr w:type="gramEnd"/>
      <w:r>
        <w:rPr>
          <w:rFonts w:hint="eastAsia"/>
        </w:rPr>
        <w:t>记录。</w:t>
      </w:r>
    </w:p>
    <w:p w:rsidR="00E0136E" w:rsidRDefault="009C6A05" w:rsidP="00A00DB7">
      <w:pPr>
        <w:pStyle w:val="E02Body"/>
        <w:spacing w:line="240" w:lineRule="auto"/>
        <w:ind w:firstLine="640"/>
      </w:pPr>
      <w:r>
        <w:rPr>
          <w:rFonts w:hint="eastAsia"/>
        </w:rPr>
        <w:lastRenderedPageBreak/>
        <w:t>生态环境部门应当会同自然资源和规划、住房和城乡建设、交通运输、水利等部门对施工工地、矿山等作业现场的非道路移动机械污染物排放状况加强监管和巡查，作业单位和个人应当予以配合。</w:t>
      </w:r>
    </w:p>
    <w:p w:rsidR="00E0136E" w:rsidRDefault="009C6A05" w:rsidP="00A00DB7">
      <w:pPr>
        <w:pStyle w:val="E02Body"/>
        <w:spacing w:line="240" w:lineRule="auto"/>
        <w:ind w:firstLine="640"/>
      </w:pPr>
      <w:r>
        <w:rPr>
          <w:rStyle w:val="A06"/>
          <w:rFonts w:hint="eastAsia"/>
        </w:rPr>
        <w:t>第十四条</w:t>
      </w:r>
      <w:r>
        <w:rPr>
          <w:rStyle w:val="A06"/>
          <w:lang w:val="en"/>
        </w:rPr>
        <w:t xml:space="preserve"> </w:t>
      </w:r>
      <w:r>
        <w:rPr>
          <w:rFonts w:hint="eastAsia"/>
        </w:rPr>
        <w:t>禁止生产、销售不符合标准的柴油、发动机油、氮氧化物还原剂、燃料和润滑油添加剂等产品。市场监督管理部门应当加强对相关产品的质量监管，定期公布监督抽查结果，其他有关部门应当予以配合。第一条　为了加强法治宣传教育工作，提高公民法治素养和社会治理法治化水平，推进法治浙江建设，根据有关法律法规，结合本省实际，制定本规定。</w:t>
      </w:r>
    </w:p>
    <w:p w:rsidR="00E0136E" w:rsidRDefault="009C6A05" w:rsidP="00A00DB7">
      <w:pPr>
        <w:pStyle w:val="E02Body"/>
        <w:spacing w:line="240" w:lineRule="auto"/>
        <w:ind w:firstLine="640"/>
      </w:pPr>
      <w:r>
        <w:rPr>
          <w:rFonts w:hint="eastAsia"/>
        </w:rPr>
        <w:t>第二条　本省行政区域内开展法治宣传教育活动，适用本规定。</w:t>
      </w:r>
    </w:p>
    <w:p w:rsidR="00E0136E" w:rsidRDefault="009C6A05" w:rsidP="00A00DB7">
      <w:pPr>
        <w:pStyle w:val="E02Body"/>
        <w:spacing w:line="240" w:lineRule="auto"/>
        <w:ind w:firstLine="640"/>
      </w:pPr>
      <w:r>
        <w:rPr>
          <w:rFonts w:hint="eastAsia"/>
        </w:rPr>
        <w:t>本规定所称法治宣传教育，主要包括下列工作：</w:t>
      </w:r>
    </w:p>
    <w:p w:rsidR="00E0136E" w:rsidRDefault="009C6A05" w:rsidP="00A00DB7">
      <w:pPr>
        <w:pStyle w:val="E02Body"/>
        <w:spacing w:line="240" w:lineRule="auto"/>
        <w:ind w:firstLine="640"/>
      </w:pPr>
      <w:r>
        <w:rPr>
          <w:rFonts w:hint="eastAsia"/>
        </w:rPr>
        <w:t>（一）宣传习近平法治思想；</w:t>
      </w:r>
    </w:p>
    <w:p w:rsidR="00E0136E" w:rsidRDefault="009C6A05" w:rsidP="00A00DB7">
      <w:pPr>
        <w:pStyle w:val="E02Body"/>
        <w:spacing w:line="240" w:lineRule="auto"/>
        <w:ind w:firstLine="640"/>
      </w:pPr>
      <w:r>
        <w:rPr>
          <w:rFonts w:hint="eastAsia"/>
        </w:rPr>
        <w:t>（二）宣传以宪法</w:t>
      </w:r>
    </w:p>
    <w:p w:rsidR="00E0136E" w:rsidRDefault="009C6A05" w:rsidP="00A00DB7">
      <w:pPr>
        <w:pStyle w:val="E02Body"/>
        <w:spacing w:line="240" w:lineRule="auto"/>
        <w:ind w:firstLine="640"/>
      </w:pPr>
      <w:r>
        <w:rPr>
          <w:rFonts w:hint="eastAsia"/>
        </w:rPr>
        <w:t>柴油动力移动源所有人或者使用人应当使用符合标准的油品。</w:t>
      </w:r>
    </w:p>
    <w:p w:rsidR="00E0136E" w:rsidRDefault="009C6A05" w:rsidP="00A00DB7">
      <w:pPr>
        <w:pStyle w:val="E02Body"/>
        <w:spacing w:line="240" w:lineRule="auto"/>
        <w:ind w:firstLine="640"/>
      </w:pPr>
      <w:r>
        <w:rPr>
          <w:rStyle w:val="A06"/>
          <w:rFonts w:hint="eastAsia"/>
        </w:rPr>
        <w:t>第十五条</w:t>
      </w:r>
      <w:r>
        <w:rPr>
          <w:rStyle w:val="A06"/>
          <w:lang w:val="en"/>
        </w:rPr>
        <w:t xml:space="preserve"> </w:t>
      </w:r>
      <w:r>
        <w:rPr>
          <w:rFonts w:hint="eastAsia"/>
        </w:rPr>
        <w:t>从事客运、物流、环卫、邮政以及非道路移动机械租赁经营等柴油动力移动</w:t>
      </w:r>
      <w:proofErr w:type="gramStart"/>
      <w:r>
        <w:rPr>
          <w:rFonts w:hint="eastAsia"/>
        </w:rPr>
        <w:t>源重点</w:t>
      </w:r>
      <w:proofErr w:type="gramEnd"/>
      <w:r>
        <w:rPr>
          <w:rFonts w:hint="eastAsia"/>
        </w:rPr>
        <w:t>使用单位应当建立排气污染</w:t>
      </w:r>
      <w:r>
        <w:rPr>
          <w:rFonts w:hint="eastAsia"/>
        </w:rPr>
        <w:lastRenderedPageBreak/>
        <w:t>防治责任制度，加强宣传教育，及时对柴油动力移动源进行保养与维护，按时参加排气污染检测，做好柴油、氮氧化物还原剂等油品的购买使用记录并保留相关购买凭证，确保本单位柴油动力移动</w:t>
      </w:r>
      <w:proofErr w:type="gramStart"/>
      <w:r>
        <w:rPr>
          <w:rFonts w:hint="eastAsia"/>
        </w:rPr>
        <w:t>源符合</w:t>
      </w:r>
      <w:proofErr w:type="gramEnd"/>
      <w:r>
        <w:rPr>
          <w:rFonts w:hint="eastAsia"/>
        </w:rPr>
        <w:t>排放标准。第一条　为了加强法治宣传教育工作，提高公民法治素养和社会治理法治化水平，推进法治浙江建设，根据有关法律法规，结合本省实际，制定本规定。</w:t>
      </w:r>
    </w:p>
    <w:p w:rsidR="00E0136E" w:rsidRDefault="009C6A05" w:rsidP="00A00DB7">
      <w:pPr>
        <w:pStyle w:val="E02Body"/>
        <w:spacing w:line="240" w:lineRule="auto"/>
        <w:ind w:firstLine="640"/>
      </w:pPr>
      <w:r>
        <w:rPr>
          <w:rFonts w:hint="eastAsia"/>
        </w:rPr>
        <w:t>第二条　本省行政区域内开展法治宣传教育活动，适用本规定。</w:t>
      </w:r>
    </w:p>
    <w:p w:rsidR="00E0136E" w:rsidRDefault="009C6A05" w:rsidP="00A00DB7">
      <w:pPr>
        <w:pStyle w:val="E02Body"/>
        <w:spacing w:line="240" w:lineRule="auto"/>
        <w:ind w:firstLine="640"/>
      </w:pPr>
      <w:r>
        <w:rPr>
          <w:rFonts w:hint="eastAsia"/>
        </w:rPr>
        <w:t>本规定所称法治宣传教育，主要包括下列工作：</w:t>
      </w:r>
    </w:p>
    <w:p w:rsidR="00E0136E" w:rsidRDefault="009C6A05" w:rsidP="00A00DB7">
      <w:pPr>
        <w:pStyle w:val="E02Body"/>
        <w:spacing w:line="240" w:lineRule="auto"/>
        <w:ind w:firstLine="640"/>
      </w:pPr>
      <w:r>
        <w:rPr>
          <w:rFonts w:hint="eastAsia"/>
        </w:rPr>
        <w:t>（一）宣传习近平法治思想；</w:t>
      </w:r>
    </w:p>
    <w:p w:rsidR="00E0136E" w:rsidRDefault="009C6A05" w:rsidP="00A00DB7">
      <w:pPr>
        <w:pStyle w:val="E02Body"/>
        <w:spacing w:line="240" w:lineRule="auto"/>
        <w:ind w:firstLine="640"/>
      </w:pPr>
      <w:r>
        <w:rPr>
          <w:rFonts w:hint="eastAsia"/>
        </w:rPr>
        <w:t>（二）宣传以宪法</w:t>
      </w:r>
    </w:p>
    <w:p w:rsidR="00E0136E" w:rsidRDefault="009C6A05" w:rsidP="00A00DB7">
      <w:pPr>
        <w:pStyle w:val="E02Body"/>
        <w:spacing w:line="240" w:lineRule="auto"/>
        <w:ind w:firstLine="640"/>
      </w:pPr>
      <w:r>
        <w:rPr>
          <w:rFonts w:hint="eastAsia"/>
        </w:rPr>
        <w:t>柴油动力移动</w:t>
      </w:r>
      <w:proofErr w:type="gramStart"/>
      <w:r>
        <w:rPr>
          <w:rFonts w:hint="eastAsia"/>
        </w:rPr>
        <w:t>源重点</w:t>
      </w:r>
      <w:proofErr w:type="gramEnd"/>
      <w:r>
        <w:rPr>
          <w:rFonts w:hint="eastAsia"/>
        </w:rPr>
        <w:t>使用单位具体名单由市生态环境部门会同有关部门制定并公布。</w:t>
      </w:r>
    </w:p>
    <w:p w:rsidR="00E0136E" w:rsidRDefault="009C6A05" w:rsidP="00A00DB7">
      <w:pPr>
        <w:pStyle w:val="E02Body"/>
        <w:spacing w:line="240" w:lineRule="auto"/>
        <w:ind w:firstLine="640"/>
      </w:pPr>
      <w:r>
        <w:rPr>
          <w:rStyle w:val="A06"/>
          <w:rFonts w:hint="eastAsia"/>
        </w:rPr>
        <w:t>第十六条</w:t>
      </w:r>
      <w:r>
        <w:rPr>
          <w:rStyle w:val="A06"/>
          <w:lang w:val="en"/>
        </w:rPr>
        <w:t xml:space="preserve"> </w:t>
      </w:r>
      <w:r>
        <w:rPr>
          <w:rFonts w:hint="eastAsia"/>
        </w:rPr>
        <w:t>生态环境部门应当会同公安机关交通管理、自然资源和规划、交通运输、水利、农业农第一条</w:t>
      </w:r>
      <w:r>
        <w:rPr>
          <w:rFonts w:hint="eastAsia"/>
        </w:rPr>
        <w:t xml:space="preserve">  </w:t>
      </w:r>
      <w:r>
        <w:rPr>
          <w:rFonts w:hint="eastAsia"/>
        </w:rPr>
        <w:t>为了规范政府非税收入管理活动，提高政府公共管理和公共服务水平，根据《浙江省政府非税收入管理条例》和其他有关法律法规，结合本市实际，制定本规定。</w:t>
      </w:r>
    </w:p>
    <w:p w:rsidR="00E0136E" w:rsidRDefault="009C6A05" w:rsidP="00A00DB7">
      <w:pPr>
        <w:pStyle w:val="E02Body"/>
        <w:spacing w:line="240" w:lineRule="auto"/>
        <w:ind w:firstLine="640"/>
      </w:pPr>
      <w:r>
        <w:rPr>
          <w:rFonts w:hint="eastAsia"/>
        </w:rPr>
        <w:t>村、市场监督管理、综合行政执法等部门建立柴油动力移动</w:t>
      </w:r>
      <w:r>
        <w:rPr>
          <w:rFonts w:hint="eastAsia"/>
        </w:rPr>
        <w:lastRenderedPageBreak/>
        <w:t>源排气污染防治联动协作机制，加强信息共享和联合监管。有关部门在日常监管中发现有违反本办法规定情形且不属于本部门管辖的，应当及时通报，由相应部门依法处理。</w:t>
      </w:r>
    </w:p>
    <w:p w:rsidR="00E0136E" w:rsidRDefault="009C6A05" w:rsidP="00A00DB7">
      <w:pPr>
        <w:pStyle w:val="E02Body"/>
        <w:spacing w:line="240" w:lineRule="auto"/>
        <w:ind w:firstLine="640"/>
      </w:pPr>
      <w:r>
        <w:rPr>
          <w:rStyle w:val="A06"/>
          <w:rFonts w:hint="eastAsia"/>
        </w:rPr>
        <w:t>第十七条</w:t>
      </w:r>
      <w:r>
        <w:rPr>
          <w:rStyle w:val="A06"/>
          <w:lang w:val="en"/>
        </w:rPr>
        <w:t xml:space="preserve"> </w:t>
      </w:r>
      <w:r>
        <w:rPr>
          <w:rFonts w:hint="eastAsia"/>
        </w:rPr>
        <w:t>生态环境部门应当建设完善柴油动力移动源排气污染监控平台，逐步采用电子标签、电子围栏、远程排放在线监控系统等技术手段对柴油动力移动源污染物排放状况进行实时监控。</w:t>
      </w:r>
    </w:p>
    <w:p w:rsidR="00E0136E" w:rsidRDefault="009C6A05" w:rsidP="00A00DB7">
      <w:pPr>
        <w:pStyle w:val="E02Body"/>
        <w:spacing w:line="240" w:lineRule="auto"/>
        <w:ind w:firstLine="640"/>
      </w:pPr>
      <w:r>
        <w:rPr>
          <w:rFonts w:hint="eastAsia"/>
        </w:rPr>
        <w:t>生态环境部门应当会同公安机关交通管理、交通运输等部门按照国家、省有关规定在交通干道、禁行区出入口等重要点</w:t>
      </w:r>
      <w:proofErr w:type="gramStart"/>
      <w:r>
        <w:rPr>
          <w:rFonts w:hint="eastAsia"/>
        </w:rPr>
        <w:t>位设置</w:t>
      </w:r>
      <w:proofErr w:type="gramEnd"/>
      <w:r>
        <w:rPr>
          <w:rFonts w:hint="eastAsia"/>
        </w:rPr>
        <w:t>柴油动力移动源排气污染检测信息识别系统、黑烟抓拍系统等设施。</w:t>
      </w:r>
    </w:p>
    <w:p w:rsidR="00E0136E" w:rsidRDefault="009C6A05" w:rsidP="00A00DB7">
      <w:pPr>
        <w:pStyle w:val="E02Body"/>
        <w:spacing w:line="240" w:lineRule="auto"/>
        <w:ind w:firstLine="640"/>
      </w:pPr>
      <w:r>
        <w:rPr>
          <w:rStyle w:val="A06"/>
          <w:rFonts w:hint="eastAsia"/>
        </w:rPr>
        <w:t>第十八条</w:t>
      </w:r>
      <w:r>
        <w:rPr>
          <w:rStyle w:val="A06"/>
          <w:lang w:val="en"/>
        </w:rPr>
        <w:t xml:space="preserve"> </w:t>
      </w:r>
      <w:r>
        <w:rPr>
          <w:rFonts w:hint="eastAsia"/>
        </w:rPr>
        <w:t>生态环境部门通过遥感监测、摄影摄像等技术手段发现在用柴油动力移动源可能超标排放的，应当及时调查处理。</w:t>
      </w:r>
    </w:p>
    <w:p w:rsidR="00E0136E" w:rsidRDefault="009C6A05" w:rsidP="00A00DB7">
      <w:pPr>
        <w:pStyle w:val="E02Body"/>
        <w:spacing w:line="240" w:lineRule="auto"/>
        <w:ind w:firstLine="640"/>
      </w:pPr>
      <w:r>
        <w:rPr>
          <w:rFonts w:hint="eastAsia"/>
        </w:rPr>
        <w:t>有关部门在日常监管中发现有柴油动力移动源排放黑烟等明显可视污染物的，应当及时将相关线索通报生态环境部门。</w:t>
      </w:r>
    </w:p>
    <w:p w:rsidR="00E0136E" w:rsidRDefault="009C6A05" w:rsidP="00A00DB7">
      <w:pPr>
        <w:pStyle w:val="E02Body"/>
        <w:spacing w:line="240" w:lineRule="auto"/>
        <w:ind w:firstLine="640"/>
      </w:pPr>
      <w:r>
        <w:rPr>
          <w:rFonts w:hint="eastAsia"/>
        </w:rPr>
        <w:t>生态环境部门可以采用现场检测、黑烟抓拍、车载诊断系统检查、在线监控等方式调查收集柴油动力移动源污染物超标排放的证据。</w:t>
      </w:r>
    </w:p>
    <w:p w:rsidR="00E0136E" w:rsidRDefault="009C6A05" w:rsidP="00A00DB7">
      <w:pPr>
        <w:pStyle w:val="E02Body"/>
        <w:spacing w:line="240" w:lineRule="auto"/>
        <w:ind w:firstLine="640"/>
      </w:pPr>
      <w:r>
        <w:rPr>
          <w:rFonts w:hint="eastAsia"/>
        </w:rPr>
        <w:lastRenderedPageBreak/>
        <w:t>非道路移动机械、船舶超标排放大气污染物的，应当依法予以处罚。</w:t>
      </w:r>
    </w:p>
    <w:p w:rsidR="00E0136E" w:rsidRDefault="009C6A05" w:rsidP="00A00DB7">
      <w:pPr>
        <w:pStyle w:val="E02Body"/>
        <w:spacing w:line="240" w:lineRule="auto"/>
        <w:ind w:firstLine="640"/>
      </w:pPr>
      <w:r>
        <w:rPr>
          <w:rFonts w:hint="eastAsia"/>
        </w:rPr>
        <w:t>生态环境部门查明重型柴油车超标排放大气污染物的，应当建立档案，依法保存有关证据材料，责令重型柴油车所有人或者使用人在十五日内进行维修并重新进行排气污染检测。重型柴油车逾期后未重新检测合格的，生态环境部门应当将收集的证据材料及时移交公安机关交通管理部门。</w:t>
      </w:r>
    </w:p>
    <w:p w:rsidR="00E0136E" w:rsidRDefault="009C6A05" w:rsidP="00A00DB7">
      <w:pPr>
        <w:pStyle w:val="E02Body"/>
        <w:spacing w:line="240" w:lineRule="auto"/>
        <w:ind w:firstLine="640"/>
      </w:pPr>
      <w:r>
        <w:rPr>
          <w:rStyle w:val="A06"/>
          <w:rFonts w:hint="eastAsia"/>
        </w:rPr>
        <w:t>第十九条</w:t>
      </w:r>
      <w:r>
        <w:rPr>
          <w:rStyle w:val="A06"/>
          <w:lang w:val="en"/>
        </w:rPr>
        <w:t xml:space="preserve"> </w:t>
      </w:r>
      <w:r>
        <w:rPr>
          <w:rFonts w:hint="eastAsia"/>
        </w:rPr>
        <w:t>柴油动力移动源排气污染检测机构应当使用经依法检定合格的检测设备，按照国家和省规定的检测方法、技术规范进行检测，并与生态环境部门信息联网。</w:t>
      </w:r>
    </w:p>
    <w:p w:rsidR="00E0136E" w:rsidRDefault="009C6A05" w:rsidP="00A00DB7">
      <w:pPr>
        <w:pStyle w:val="E02Body"/>
        <w:spacing w:line="240" w:lineRule="auto"/>
        <w:ind w:firstLine="640"/>
      </w:pPr>
      <w:r>
        <w:rPr>
          <w:rFonts w:hint="eastAsia"/>
        </w:rPr>
        <w:t>生态环境部门应当收集汇总柴油动力移动源排气污染检测机构名称、地址、咨询电话等相关信息并向社会公布。</w:t>
      </w:r>
    </w:p>
    <w:p w:rsidR="00E0136E" w:rsidRDefault="009C6A05" w:rsidP="00A00DB7">
      <w:pPr>
        <w:pStyle w:val="E02Body"/>
        <w:spacing w:line="240" w:lineRule="auto"/>
        <w:ind w:firstLine="640"/>
      </w:pPr>
      <w:r>
        <w:rPr>
          <w:rStyle w:val="A06"/>
          <w:rFonts w:hint="eastAsia"/>
        </w:rPr>
        <w:t>第二十条</w:t>
      </w:r>
      <w:r>
        <w:rPr>
          <w:rStyle w:val="A06"/>
          <w:lang w:val="en"/>
        </w:rPr>
        <w:t xml:space="preserve"> </w:t>
      </w:r>
      <w:r>
        <w:rPr>
          <w:rFonts w:hint="eastAsia"/>
        </w:rPr>
        <w:t>柴油动力移动源维修经营者应当按照排气污染防治的要求和有关技术规范进行维修，保证维修质量并按照规定明确质量保证期。维修完成后，应当向委托修理方提供维修合格证明、维修清单。</w:t>
      </w:r>
    </w:p>
    <w:p w:rsidR="00E0136E" w:rsidRDefault="009C6A05" w:rsidP="00A00DB7">
      <w:pPr>
        <w:pStyle w:val="E02Body"/>
        <w:spacing w:line="240" w:lineRule="auto"/>
        <w:ind w:firstLine="640"/>
      </w:pPr>
      <w:r>
        <w:rPr>
          <w:rStyle w:val="A06"/>
          <w:rFonts w:hint="eastAsia"/>
        </w:rPr>
        <w:t>第二十一条</w:t>
      </w:r>
      <w:r>
        <w:rPr>
          <w:rStyle w:val="A06"/>
          <w:lang w:val="en"/>
        </w:rPr>
        <w:t xml:space="preserve"> </w:t>
      </w:r>
      <w:r>
        <w:rPr>
          <w:rFonts w:hint="eastAsia"/>
        </w:rPr>
        <w:t>违反本办法规定的行为，法律、法规已有法律责任规定的，从其规定。</w:t>
      </w:r>
    </w:p>
    <w:p w:rsidR="00E0136E" w:rsidRDefault="009C6A05" w:rsidP="00A00DB7">
      <w:pPr>
        <w:pStyle w:val="E02Body"/>
        <w:spacing w:line="240" w:lineRule="auto"/>
        <w:ind w:firstLine="640"/>
      </w:pPr>
      <w:r>
        <w:rPr>
          <w:rStyle w:val="A06"/>
          <w:rFonts w:hint="eastAsia"/>
        </w:rPr>
        <w:t>第二十二条</w:t>
      </w:r>
      <w:r>
        <w:rPr>
          <w:rStyle w:val="A06"/>
          <w:lang w:val="en"/>
        </w:rPr>
        <w:t xml:space="preserve"> </w:t>
      </w:r>
      <w:r>
        <w:rPr>
          <w:rFonts w:hint="eastAsia"/>
        </w:rPr>
        <w:t>违反本办法第十条第二款规定，驾驶定期排气</w:t>
      </w:r>
      <w:r>
        <w:rPr>
          <w:rFonts w:hint="eastAsia"/>
        </w:rPr>
        <w:lastRenderedPageBreak/>
        <w:t>污染检测不合格的重型柴油车上道路行驶的，由公安机关交通管理部门处警告或者二十元以上二百元以下罚款。</w:t>
      </w:r>
    </w:p>
    <w:p w:rsidR="00E0136E" w:rsidRDefault="009C6A05" w:rsidP="00A00DB7">
      <w:pPr>
        <w:pStyle w:val="E02Body"/>
        <w:spacing w:line="240" w:lineRule="auto"/>
        <w:ind w:firstLine="640"/>
      </w:pPr>
      <w:r>
        <w:rPr>
          <w:rStyle w:val="A06"/>
          <w:rFonts w:hint="eastAsia"/>
        </w:rPr>
        <w:t>第二十三条</w:t>
      </w:r>
      <w:r>
        <w:rPr>
          <w:rStyle w:val="A06"/>
          <w:lang w:val="en"/>
        </w:rPr>
        <w:t xml:space="preserve"> </w:t>
      </w:r>
      <w:r>
        <w:rPr>
          <w:rFonts w:hint="eastAsia"/>
        </w:rPr>
        <w:t>本办法自</w:t>
      </w:r>
      <w:r>
        <w:rPr>
          <w:rFonts w:cs="Times New Roman" w:hint="eastAsia"/>
        </w:rPr>
        <w:t>202</w:t>
      </w:r>
      <w:r>
        <w:rPr>
          <w:rFonts w:cs="Times New Roman"/>
        </w:rPr>
        <w:t>2</w:t>
      </w:r>
      <w:r>
        <w:rPr>
          <w:rFonts w:hint="eastAsia"/>
        </w:rPr>
        <w:t>年</w:t>
      </w:r>
      <w:r>
        <w:rPr>
          <w:lang w:val="en"/>
        </w:rPr>
        <w:t>3</w:t>
      </w:r>
      <w:r>
        <w:rPr>
          <w:rFonts w:hint="eastAsia"/>
        </w:rPr>
        <w:t>月</w:t>
      </w:r>
      <w:r>
        <w:rPr>
          <w:rFonts w:hint="eastAsia"/>
        </w:rPr>
        <w:t>1</w:t>
      </w:r>
      <w:r>
        <w:rPr>
          <w:rFonts w:hint="eastAsia"/>
        </w:rPr>
        <w:t>日起施行。</w:t>
      </w:r>
    </w:p>
    <w:p w:rsidR="00E0136E" w:rsidRDefault="00E0136E">
      <w:pPr>
        <w:pStyle w:val="a6"/>
        <w:shd w:val="clear" w:color="auto" w:fill="FFFFFF"/>
        <w:spacing w:before="0" w:beforeAutospacing="0" w:after="0" w:afterAutospacing="0"/>
        <w:ind w:firstLine="480"/>
        <w:rPr>
          <w:rStyle w:val="text-tag"/>
          <w:rFonts w:ascii="黑体" w:eastAsia="黑体" w:hAnsi="黑体"/>
          <w:color w:val="333333"/>
          <w:sz w:val="32"/>
          <w:szCs w:val="32"/>
        </w:rPr>
      </w:pPr>
    </w:p>
    <w:p w:rsidR="00E0136E" w:rsidRDefault="00E0136E">
      <w:pPr>
        <w:widowControl/>
        <w:shd w:val="clear" w:color="auto" w:fill="FFFFFF"/>
        <w:ind w:firstLine="480"/>
        <w:jc w:val="left"/>
        <w:rPr>
          <w:rFonts w:ascii="仿宋" w:eastAsia="仿宋" w:hAnsi="仿宋" w:cs="宋体"/>
          <w:color w:val="333333"/>
          <w:kern w:val="0"/>
          <w:sz w:val="32"/>
          <w:szCs w:val="32"/>
        </w:rPr>
      </w:pPr>
    </w:p>
    <w:sectPr w:rsidR="00E0136E">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DF" w:rsidRDefault="00AA17DF">
      <w:r>
        <w:separator/>
      </w:r>
    </w:p>
  </w:endnote>
  <w:endnote w:type="continuationSeparator" w:id="0">
    <w:p w:rsidR="00AA17DF" w:rsidRDefault="00AA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华文仿宋"/>
    <w:charset w:val="00"/>
    <w:family w:val="roman"/>
    <w:pitch w:val="default"/>
    <w:sig w:usb0="00000000" w:usb1="00000000" w:usb2="00000000" w:usb3="00000000" w:csb0="00040001" w:csb1="00000000"/>
  </w:font>
  <w:font w:name="方正书宋简体">
    <w:altName w:val="段宁毛笔行书"/>
    <w:charset w:val="86"/>
    <w:family w:val="script"/>
    <w:pitch w:val="default"/>
    <w:sig w:usb0="00000000" w:usb1="0000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楷体_GB2312">
    <w:altName w:val="楷体"/>
    <w:charset w:val="86"/>
    <w:family w:val="swiss"/>
    <w:pitch w:val="default"/>
    <w:sig w:usb0="00000001" w:usb1="080E0000" w:usb2="00000000" w:usb3="00000000" w:csb0="00040000" w:csb1="00000000"/>
  </w:font>
  <w:font w:name="仿宋_GB2312">
    <w:altName w:val="仿宋"/>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6E" w:rsidRDefault="009C6A0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136E" w:rsidRDefault="009C6A0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744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0136E" w:rsidRDefault="009C6A0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744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0136E" w:rsidRDefault="009C6A05">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sz w:val="32"/>
        <w:szCs w:val="48"/>
      </w:rPr>
      <w:t>X</w:t>
    </w:r>
    <w:r>
      <w:rPr>
        <w:rFonts w:ascii="宋体" w:eastAsia="宋体" w:hAnsi="宋体" w:cs="宋体" w:hint="eastAsia"/>
        <w:b/>
        <w:bCs/>
        <w:color w:val="005192"/>
        <w:sz w:val="28"/>
        <w:szCs w:val="44"/>
      </w:rPr>
      <w:t xml:space="preserve">绍兴市人民政府发布     </w:t>
    </w:r>
  </w:p>
  <w:p w:rsidR="00E0136E" w:rsidRDefault="00E0136E" w:rsidP="00A00DB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DF" w:rsidRDefault="00AA17DF">
      <w:r>
        <w:separator/>
      </w:r>
    </w:p>
  </w:footnote>
  <w:footnote w:type="continuationSeparator" w:id="0">
    <w:p w:rsidR="00AA17DF" w:rsidRDefault="00AA1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6E" w:rsidRDefault="009C6A0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rsidR="00E0136E" w:rsidRDefault="009C6A0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绍兴市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7C9011D9"/>
    <w:rsid w:val="F7FEFB2E"/>
    <w:rsid w:val="00016997"/>
    <w:rsid w:val="00091FFA"/>
    <w:rsid w:val="00093996"/>
    <w:rsid w:val="00113460"/>
    <w:rsid w:val="001A2C75"/>
    <w:rsid w:val="003B1326"/>
    <w:rsid w:val="003D5AD4"/>
    <w:rsid w:val="003E62A0"/>
    <w:rsid w:val="003F3B92"/>
    <w:rsid w:val="00553459"/>
    <w:rsid w:val="00647DD2"/>
    <w:rsid w:val="00651D0C"/>
    <w:rsid w:val="006B06D9"/>
    <w:rsid w:val="00701352"/>
    <w:rsid w:val="00702DE2"/>
    <w:rsid w:val="007F75B8"/>
    <w:rsid w:val="009C6A05"/>
    <w:rsid w:val="009F7445"/>
    <w:rsid w:val="00A00DB7"/>
    <w:rsid w:val="00AA17DF"/>
    <w:rsid w:val="00D03A40"/>
    <w:rsid w:val="00D44E0F"/>
    <w:rsid w:val="00E0136E"/>
    <w:rsid w:val="00ED3908"/>
    <w:rsid w:val="00EF35E2"/>
    <w:rsid w:val="00FF715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widowControl/>
      <w:spacing w:before="100" w:beforeAutospacing="1" w:after="100" w:afterAutospacing="1" w:line="240" w:lineRule="atLeast"/>
      <w:jc w:val="left"/>
    </w:pPr>
    <w:rPr>
      <w:rFonts w:ascii="ˎ̥" w:hAnsi="ˎ̥" w:cs="宋体"/>
      <w:b/>
      <w:bCs/>
      <w:color w:val="FFFFFF"/>
      <w:kern w:val="36"/>
      <w:szCs w:val="21"/>
    </w:rPr>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character" w:customStyle="1" w:styleId="text-tag">
    <w:name w:val="text-tag"/>
    <w:basedOn w:val="a0"/>
    <w:qFormat/>
  </w:style>
  <w:style w:type="paragraph" w:customStyle="1" w:styleId="text-tag1">
    <w:name w:val="text-tag1"/>
    <w:basedOn w:val="a"/>
    <w:qFormat/>
    <w:pPr>
      <w:widowControl/>
      <w:spacing w:before="100" w:beforeAutospacing="1" w:after="100" w:afterAutospacing="1"/>
      <w:jc w:val="left"/>
    </w:pPr>
    <w:rPr>
      <w:rFonts w:ascii="宋体" w:eastAsia="宋体" w:hAnsi="宋体" w:cs="宋体"/>
      <w:kern w:val="0"/>
      <w:sz w:val="24"/>
    </w:rPr>
  </w:style>
  <w:style w:type="paragraph" w:customStyle="1" w:styleId="E02Body">
    <w:name w:val="E02_正文Body"/>
    <w:basedOn w:val="01"/>
    <w:qFormat/>
    <w:pPr>
      <w:ind w:firstLineChars="200" w:firstLine="200"/>
    </w:pPr>
  </w:style>
  <w:style w:type="paragraph" w:customStyle="1" w:styleId="01">
    <w:name w:val="#01_文本基准"/>
    <w:qFormat/>
    <w:pPr>
      <w:widowControl w:val="0"/>
      <w:overflowPunct w:val="0"/>
      <w:spacing w:line="600" w:lineRule="exact"/>
      <w:jc w:val="both"/>
    </w:pPr>
    <w:rPr>
      <w:rFonts w:eastAsia="仿宋_GB2312" w:cs="宋体"/>
      <w:color w:val="000000"/>
      <w:sz w:val="32"/>
      <w:szCs w:val="28"/>
    </w:rPr>
  </w:style>
  <w:style w:type="character" w:customStyle="1" w:styleId="A06">
    <w:name w:val="@A06_强调黑"/>
    <w:basedOn w:val="a0"/>
    <w:qFormat/>
    <w:rPr>
      <w:rFonts w:ascii="黑体" w:eastAsia="黑体" w:hAnsi="黑体" w:cs="仿宋_GB2312"/>
      <w:color w:val="000000"/>
      <w:kern w:val="32"/>
      <w:sz w:val="32"/>
      <w:szCs w:val="32"/>
      <w:shd w:val="clear" w:color="auto" w:fill="auto"/>
    </w:rPr>
  </w:style>
  <w:style w:type="character" w:customStyle="1" w:styleId="A07">
    <w:name w:val="@A07_强调粗"/>
    <w:basedOn w:val="a0"/>
    <w:qFormat/>
    <w:rPr>
      <w:rFonts w:eastAsia="仿宋_GB2312" w:cs="仿宋_GB2312"/>
      <w:b/>
      <w:color w:val="000000"/>
      <w:kern w:val="32"/>
      <w:sz w:val="21"/>
      <w:szCs w:val="32"/>
      <w:shd w:val="clear" w:color="auto" w:fill="auto"/>
    </w:rPr>
  </w:style>
  <w:style w:type="paragraph" w:styleId="a8">
    <w:name w:val="Balloon Text"/>
    <w:basedOn w:val="a"/>
    <w:link w:val="Char"/>
    <w:rsid w:val="00A00DB7"/>
    <w:rPr>
      <w:sz w:val="18"/>
      <w:szCs w:val="18"/>
    </w:rPr>
  </w:style>
  <w:style w:type="character" w:customStyle="1" w:styleId="Char">
    <w:name w:val="批注框文本 Char"/>
    <w:basedOn w:val="a0"/>
    <w:link w:val="a8"/>
    <w:rsid w:val="00A00DB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widowControl/>
      <w:spacing w:before="100" w:beforeAutospacing="1" w:after="100" w:afterAutospacing="1" w:line="240" w:lineRule="atLeast"/>
      <w:jc w:val="left"/>
    </w:pPr>
    <w:rPr>
      <w:rFonts w:ascii="ˎ̥" w:hAnsi="ˎ̥" w:cs="宋体"/>
      <w:b/>
      <w:bCs/>
      <w:color w:val="FFFFFF"/>
      <w:kern w:val="36"/>
      <w:szCs w:val="21"/>
    </w:rPr>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character" w:customStyle="1" w:styleId="text-tag">
    <w:name w:val="text-tag"/>
    <w:basedOn w:val="a0"/>
    <w:qFormat/>
  </w:style>
  <w:style w:type="paragraph" w:customStyle="1" w:styleId="text-tag1">
    <w:name w:val="text-tag1"/>
    <w:basedOn w:val="a"/>
    <w:qFormat/>
    <w:pPr>
      <w:widowControl/>
      <w:spacing w:before="100" w:beforeAutospacing="1" w:after="100" w:afterAutospacing="1"/>
      <w:jc w:val="left"/>
    </w:pPr>
    <w:rPr>
      <w:rFonts w:ascii="宋体" w:eastAsia="宋体" w:hAnsi="宋体" w:cs="宋体"/>
      <w:kern w:val="0"/>
      <w:sz w:val="24"/>
    </w:rPr>
  </w:style>
  <w:style w:type="paragraph" w:customStyle="1" w:styleId="E02Body">
    <w:name w:val="E02_正文Body"/>
    <w:basedOn w:val="01"/>
    <w:qFormat/>
    <w:pPr>
      <w:ind w:firstLineChars="200" w:firstLine="200"/>
    </w:pPr>
  </w:style>
  <w:style w:type="paragraph" w:customStyle="1" w:styleId="01">
    <w:name w:val="#01_文本基准"/>
    <w:qFormat/>
    <w:pPr>
      <w:widowControl w:val="0"/>
      <w:overflowPunct w:val="0"/>
      <w:spacing w:line="600" w:lineRule="exact"/>
      <w:jc w:val="both"/>
    </w:pPr>
    <w:rPr>
      <w:rFonts w:eastAsia="仿宋_GB2312" w:cs="宋体"/>
      <w:color w:val="000000"/>
      <w:sz w:val="32"/>
      <w:szCs w:val="28"/>
    </w:rPr>
  </w:style>
  <w:style w:type="character" w:customStyle="1" w:styleId="A06">
    <w:name w:val="@A06_强调黑"/>
    <w:basedOn w:val="a0"/>
    <w:qFormat/>
    <w:rPr>
      <w:rFonts w:ascii="黑体" w:eastAsia="黑体" w:hAnsi="黑体" w:cs="仿宋_GB2312"/>
      <w:color w:val="000000"/>
      <w:kern w:val="32"/>
      <w:sz w:val="32"/>
      <w:szCs w:val="32"/>
      <w:shd w:val="clear" w:color="auto" w:fill="auto"/>
    </w:rPr>
  </w:style>
  <w:style w:type="character" w:customStyle="1" w:styleId="A07">
    <w:name w:val="@A07_强调粗"/>
    <w:basedOn w:val="a0"/>
    <w:qFormat/>
    <w:rPr>
      <w:rFonts w:eastAsia="仿宋_GB2312" w:cs="仿宋_GB2312"/>
      <w:b/>
      <w:color w:val="000000"/>
      <w:kern w:val="32"/>
      <w:sz w:val="21"/>
      <w:szCs w:val="32"/>
      <w:shd w:val="clear" w:color="auto" w:fill="auto"/>
    </w:rPr>
  </w:style>
  <w:style w:type="paragraph" w:styleId="a8">
    <w:name w:val="Balloon Text"/>
    <w:basedOn w:val="a"/>
    <w:link w:val="Char"/>
    <w:rsid w:val="00A00DB7"/>
    <w:rPr>
      <w:sz w:val="18"/>
      <w:szCs w:val="18"/>
    </w:rPr>
  </w:style>
  <w:style w:type="character" w:customStyle="1" w:styleId="Char">
    <w:name w:val="批注框文本 Char"/>
    <w:basedOn w:val="a0"/>
    <w:link w:val="a8"/>
    <w:rsid w:val="00A00DB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584</Words>
  <Characters>3329</Characters>
  <Application>Microsoft Office Word</Application>
  <DocSecurity>0</DocSecurity>
  <Lines>27</Lines>
  <Paragraphs>7</Paragraphs>
  <ScaleCrop>false</ScaleCrop>
  <Company>Sky123.Org</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18</cp:revision>
  <cp:lastPrinted>2021-09-22T09:19:00Z</cp:lastPrinted>
  <dcterms:created xsi:type="dcterms:W3CDTF">2021-09-09T10:41:00Z</dcterms:created>
  <dcterms:modified xsi:type="dcterms:W3CDTF">2024-01-08T01:14:00Z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30879BFE283E47C9A2B528C6C152D221</vt:lpwstr>
  </property>
</Properties>
</file>