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color w:val="auto"/>
          <w:highlight w:val="none"/>
          <w:lang w:val="en-US" w:eastAsia="zh-CN"/>
        </w:rPr>
      </w:pPr>
      <w:bookmarkStart w:id="0" w:name="_Hlk142294686"/>
      <w:r>
        <w:rPr>
          <w:rFonts w:hint="eastAsia" w:ascii="宋体" w:hAnsi="宋体" w:cs="宋体"/>
          <w:color w:val="auto"/>
          <w:highlight w:val="none"/>
          <w:lang w:val="en-US" w:eastAsia="zh-CN"/>
        </w:rPr>
        <w:t xml:space="preserve">   </w:t>
      </w:r>
    </w:p>
    <w:p>
      <w:pPr>
        <w:pStyle w:val="42"/>
        <w:framePr w:wrap="auto" w:vAnchor="margin" w:hAnchor="text" w:yAlign="inline"/>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48"/>
          <w:szCs w:val="48"/>
          <w:highlight w:val="none"/>
          <w:lang w:eastAsia="zh-CN"/>
        </w:rPr>
      </w:pPr>
      <w:r>
        <w:rPr>
          <w:rFonts w:hint="eastAsia" w:ascii="宋体" w:hAnsi="宋体" w:cs="宋体"/>
          <w:bCs/>
          <w:color w:val="auto"/>
          <w:sz w:val="48"/>
          <w:szCs w:val="48"/>
          <w:highlight w:val="none"/>
          <w:lang w:eastAsia="zh-CN"/>
        </w:rPr>
        <w:t>淳安县郑鸠线云岭隧道提升工程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48"/>
          <w:szCs w:val="48"/>
          <w:highlight w:val="none"/>
        </w:rPr>
      </w:pPr>
      <w:r>
        <w:rPr>
          <w:rFonts w:hint="eastAsia" w:ascii="宋体" w:hAnsi="宋体" w:cs="宋体"/>
          <w:bCs/>
          <w:color w:val="auto"/>
          <w:sz w:val="48"/>
          <w:szCs w:val="48"/>
          <w:highlight w:val="none"/>
          <w:lang w:eastAsia="zh-CN"/>
        </w:rPr>
        <w:t>隧道施工监控量测</w:t>
      </w:r>
    </w:p>
    <w:p>
      <w:pPr>
        <w:rPr>
          <w:rFonts w:hint="eastAsia" w:ascii="宋体" w:hAnsi="宋体" w:eastAsia="宋体" w:cs="宋体"/>
          <w:color w:val="auto"/>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（发</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布</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稿）</w:t>
      </w:r>
    </w:p>
    <w:p>
      <w:pPr>
        <w:rPr>
          <w:rFonts w:hint="eastAsia" w:ascii="宋体" w:hAnsi="宋体" w:eastAsia="宋体" w:cs="宋体"/>
          <w:color w:val="auto"/>
          <w:highlight w:val="none"/>
        </w:rPr>
      </w:pPr>
    </w:p>
    <w:p>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交</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易</w:t>
      </w:r>
      <w:r>
        <w:rPr>
          <w:rFonts w:hint="eastAsia" w:ascii="宋体" w:hAnsi="宋体" w:eastAsia="宋体" w:cs="宋体"/>
          <w:color w:val="auto"/>
          <w:sz w:val="84"/>
          <w:szCs w:val="84"/>
          <w:highlight w:val="none"/>
        </w:rPr>
        <w:t xml:space="preserve"> 文 件</w:t>
      </w:r>
    </w:p>
    <w:p>
      <w:pPr>
        <w:spacing w:line="560" w:lineRule="exact"/>
        <w:jc w:val="center"/>
        <w:rPr>
          <w:rFonts w:hint="eastAsia" w:ascii="宋体" w:hAnsi="宋体" w:eastAsia="宋体" w:cs="宋体"/>
          <w:color w:val="auto"/>
          <w:sz w:val="32"/>
          <w:szCs w:val="20"/>
          <w:highlight w:val="none"/>
        </w:rPr>
      </w:pPr>
    </w:p>
    <w:p>
      <w:pPr>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640" w:lineRule="exact"/>
        <w:rPr>
          <w:rFonts w:hint="eastAsia" w:ascii="宋体" w:hAnsi="宋体" w:eastAsia="宋体" w:cs="宋体"/>
          <w:color w:val="auto"/>
          <w:sz w:val="32"/>
          <w:szCs w:val="32"/>
          <w:highlight w:val="none"/>
        </w:rPr>
      </w:pPr>
    </w:p>
    <w:tbl>
      <w:tblPr>
        <w:tblStyle w:val="43"/>
        <w:tblW w:w="8599" w:type="dxa"/>
        <w:jc w:val="center"/>
        <w:tblLayout w:type="fixed"/>
        <w:tblCellMar>
          <w:top w:w="0" w:type="dxa"/>
          <w:left w:w="28" w:type="dxa"/>
          <w:bottom w:w="0" w:type="dxa"/>
          <w:right w:w="28" w:type="dxa"/>
        </w:tblCellMar>
      </w:tblPr>
      <w:tblGrid>
        <w:gridCol w:w="2302"/>
        <w:gridCol w:w="6297"/>
      </w:tblGrid>
      <w:tr>
        <w:tblPrEx>
          <w:tblCellMar>
            <w:top w:w="0" w:type="dxa"/>
            <w:left w:w="28" w:type="dxa"/>
            <w:bottom w:w="0" w:type="dxa"/>
            <w:right w:w="28" w:type="dxa"/>
          </w:tblCellMar>
        </w:tblPrEx>
        <w:trPr>
          <w:trHeight w:val="678" w:hRule="atLeast"/>
          <w:jc w:val="center"/>
        </w:trPr>
        <w:tc>
          <w:tcPr>
            <w:tcW w:w="2302" w:type="dxa"/>
            <w:vAlign w:val="center"/>
          </w:tcPr>
          <w:p>
            <w:pPr>
              <w:jc w:val="distribute"/>
              <w:rPr>
                <w:rFonts w:hint="eastAsia" w:ascii="宋体" w:hAnsi="宋体" w:eastAsia="宋体" w:cs="宋体"/>
                <w:bCs/>
                <w:color w:val="auto"/>
                <w:highlight w:val="none"/>
              </w:rPr>
            </w:pPr>
            <w:r>
              <w:rPr>
                <w:rFonts w:hint="eastAsia" w:ascii="宋体" w:hAnsi="宋体" w:eastAsia="宋体" w:cs="宋体"/>
                <w:bCs/>
                <w:color w:val="auto"/>
                <w:sz w:val="36"/>
                <w:szCs w:val="36"/>
                <w:highlight w:val="none"/>
              </w:rPr>
              <w:t>交易发起人：</w:t>
            </w:r>
          </w:p>
        </w:tc>
        <w:tc>
          <w:tcPr>
            <w:tcW w:w="6297" w:type="dxa"/>
            <w:vAlign w:val="center"/>
          </w:tcPr>
          <w:p>
            <w:pPr>
              <w:jc w:val="distribute"/>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淳安县公路服务中心</w:t>
            </w:r>
          </w:p>
        </w:tc>
      </w:tr>
      <w:tr>
        <w:tblPrEx>
          <w:tblCellMar>
            <w:top w:w="0" w:type="dxa"/>
            <w:left w:w="28" w:type="dxa"/>
            <w:bottom w:w="0" w:type="dxa"/>
            <w:right w:w="28" w:type="dxa"/>
          </w:tblCellMar>
        </w:tblPrEx>
        <w:trPr>
          <w:trHeight w:val="678" w:hRule="atLeast"/>
          <w:jc w:val="center"/>
        </w:trPr>
        <w:tc>
          <w:tcPr>
            <w:tcW w:w="2302" w:type="dxa"/>
            <w:vAlign w:val="center"/>
          </w:tcPr>
          <w:p>
            <w:pPr>
              <w:jc w:val="distribute"/>
              <w:rPr>
                <w:rFonts w:hint="eastAsia" w:ascii="宋体" w:hAnsi="宋体" w:eastAsia="宋体" w:cs="宋体"/>
                <w:bCs/>
                <w:color w:val="auto"/>
                <w:highlight w:val="none"/>
              </w:rPr>
            </w:pPr>
            <w:r>
              <w:rPr>
                <w:rFonts w:hint="eastAsia" w:ascii="宋体" w:hAnsi="宋体" w:eastAsia="宋体" w:cs="宋体"/>
                <w:bCs/>
                <w:color w:val="auto"/>
                <w:sz w:val="36"/>
                <w:szCs w:val="36"/>
                <w:highlight w:val="none"/>
              </w:rPr>
              <w:t>招标代理：</w:t>
            </w:r>
          </w:p>
        </w:tc>
        <w:tc>
          <w:tcPr>
            <w:tcW w:w="6297" w:type="dxa"/>
            <w:vAlign w:val="center"/>
          </w:tcPr>
          <w:p>
            <w:pPr>
              <w:jc w:val="distribute"/>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浙江施普工程咨询有限公司</w:t>
            </w:r>
          </w:p>
        </w:tc>
      </w:tr>
      <w:tr>
        <w:tblPrEx>
          <w:tblCellMar>
            <w:top w:w="0" w:type="dxa"/>
            <w:left w:w="28" w:type="dxa"/>
            <w:bottom w:w="0" w:type="dxa"/>
            <w:right w:w="28" w:type="dxa"/>
          </w:tblCellMar>
        </w:tblPrEx>
        <w:trPr>
          <w:trHeight w:val="678" w:hRule="atLeast"/>
          <w:jc w:val="center"/>
        </w:trPr>
        <w:tc>
          <w:tcPr>
            <w:tcW w:w="8599" w:type="dxa"/>
            <w:gridSpan w:val="2"/>
            <w:vAlign w:val="center"/>
          </w:tcPr>
          <w:p>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二〇二</w:t>
            </w:r>
            <w:r>
              <w:rPr>
                <w:rFonts w:hint="eastAsia" w:ascii="宋体" w:hAnsi="宋体" w:eastAsia="宋体" w:cs="宋体"/>
                <w:bCs/>
                <w:color w:val="auto"/>
                <w:sz w:val="36"/>
                <w:szCs w:val="36"/>
                <w:highlight w:val="none"/>
                <w:lang w:val="en-US" w:eastAsia="zh-CN"/>
              </w:rPr>
              <w:t>四</w:t>
            </w:r>
            <w:r>
              <w:rPr>
                <w:rFonts w:hint="eastAsia" w:ascii="宋体" w:hAnsi="宋体" w:eastAsia="宋体" w:cs="宋体"/>
                <w:bCs/>
                <w:color w:val="auto"/>
                <w:sz w:val="36"/>
                <w:szCs w:val="36"/>
                <w:highlight w:val="none"/>
              </w:rPr>
              <w:t>年</w:t>
            </w:r>
            <w:r>
              <w:rPr>
                <w:rFonts w:hint="eastAsia" w:ascii="宋体" w:hAnsi="宋体" w:cs="宋体"/>
                <w:bCs/>
                <w:color w:val="auto"/>
                <w:sz w:val="36"/>
                <w:szCs w:val="36"/>
                <w:highlight w:val="none"/>
                <w:lang w:eastAsia="zh-CN"/>
              </w:rPr>
              <w:t>四</w:t>
            </w:r>
            <w:r>
              <w:rPr>
                <w:rFonts w:hint="eastAsia" w:ascii="宋体" w:hAnsi="宋体" w:eastAsia="宋体" w:cs="宋体"/>
                <w:bCs/>
                <w:color w:val="auto"/>
                <w:sz w:val="36"/>
                <w:szCs w:val="36"/>
                <w:highlight w:val="none"/>
              </w:rPr>
              <w:t>月</w:t>
            </w:r>
          </w:p>
        </w:tc>
      </w:tr>
    </w:tbl>
    <w:p>
      <w:pPr>
        <w:spacing w:line="640" w:lineRule="exact"/>
        <w:jc w:val="center"/>
        <w:rPr>
          <w:rFonts w:hint="eastAsia" w:ascii="宋体" w:hAnsi="宋体" w:eastAsia="宋体" w:cs="宋体"/>
          <w:color w:val="auto"/>
          <w:sz w:val="44"/>
          <w:szCs w:val="44"/>
          <w:highlight w:val="none"/>
        </w:rPr>
      </w:pPr>
    </w:p>
    <w:p>
      <w:pPr>
        <w:pStyle w:val="42"/>
        <w:framePr w:wrap="auto" w:vAnchor="margin" w:hAnchor="text" w:yAlign="inline"/>
        <w:rPr>
          <w:rFonts w:hint="eastAsia" w:ascii="宋体" w:hAnsi="宋体" w:eastAsia="宋体" w:cs="宋体"/>
          <w:color w:val="auto"/>
          <w:sz w:val="44"/>
          <w:szCs w:val="44"/>
          <w:highlight w:val="none"/>
        </w:rPr>
      </w:pPr>
    </w:p>
    <w:p>
      <w:pPr>
        <w:rPr>
          <w:rFonts w:hint="eastAsia"/>
          <w:color w:val="auto"/>
          <w:highlight w:val="none"/>
        </w:rPr>
      </w:pPr>
    </w:p>
    <w:p>
      <w:pPr>
        <w:spacing w:line="64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pStyle w:val="30"/>
        <w:tabs>
          <w:tab w:val="right" w:leader="dot" w:pos="9184"/>
        </w:tabs>
        <w:rPr>
          <w:rFonts w:hint="eastAsia" w:ascii="宋体" w:hAnsi="宋体" w:eastAsia="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_Toc25232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 xml:space="preserve">第一章 </w:t>
      </w:r>
      <w:r>
        <w:rPr>
          <w:rFonts w:hint="eastAsia" w:ascii="宋体" w:hAnsi="宋体" w:eastAsia="宋体" w:cs="宋体"/>
          <w:i w:val="0"/>
          <w:iCs w:val="0"/>
          <w:color w:val="auto"/>
          <w:szCs w:val="36"/>
          <w:highlight w:val="none"/>
          <w:lang w:eastAsia="zh-CN"/>
        </w:rPr>
        <w:t>交易公告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_Toc25232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_Toc17199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eastAsia="zh-CN"/>
        </w:rPr>
        <w:t>交易条件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_Toc17199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_Toc11321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2．项目概况与</w:t>
      </w:r>
      <w:r>
        <w:rPr>
          <w:rFonts w:hint="eastAsia" w:ascii="宋体" w:hAnsi="宋体" w:eastAsia="宋体" w:cs="宋体"/>
          <w:i w:val="0"/>
          <w:iCs w:val="0"/>
          <w:color w:val="auto"/>
          <w:highlight w:val="none"/>
          <w:lang w:eastAsia="zh-CN"/>
        </w:rPr>
        <w:t>交易范围</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_Toc11321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_Toc2587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资格要求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_Toc2587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lang w:eastAsia="zh-CN"/>
        </w:rPr>
        <w:t>交易文件的获取</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_Toc2916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_Toc17646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5．</w:t>
      </w:r>
      <w:r>
        <w:rPr>
          <w:rFonts w:hint="eastAsia" w:ascii="宋体" w:hAnsi="宋体" w:eastAsia="宋体" w:cs="宋体"/>
          <w:i w:val="0"/>
          <w:iCs w:val="0"/>
          <w:color w:val="auto"/>
          <w:highlight w:val="none"/>
          <w:lang w:eastAsia="zh-CN"/>
        </w:rPr>
        <w:t>交易文件的递交及相关事宜</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_Toc17646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_Toc30093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6．发布公告的媒介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_Toc30093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_Toc19373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．联系方式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_Toc19373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_Toc21066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 xml:space="preserve">第二章 </w:t>
      </w:r>
      <w:r>
        <w:rPr>
          <w:rFonts w:hint="eastAsia" w:ascii="宋体" w:hAnsi="宋体" w:eastAsia="宋体" w:cs="宋体"/>
          <w:i w:val="0"/>
          <w:iCs w:val="0"/>
          <w:color w:val="auto"/>
          <w:szCs w:val="36"/>
          <w:highlight w:val="none"/>
          <w:lang w:eastAsia="zh-CN"/>
        </w:rPr>
        <w:t>交易响应人</w:t>
      </w:r>
      <w:r>
        <w:rPr>
          <w:rFonts w:hint="eastAsia" w:ascii="宋体" w:hAnsi="宋体" w:eastAsia="宋体" w:cs="宋体"/>
          <w:i w:val="0"/>
          <w:iCs w:val="0"/>
          <w:color w:val="auto"/>
          <w:szCs w:val="36"/>
          <w:highlight w:val="none"/>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_Toc21066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4"/>
          <w:highlight w:val="none"/>
          <w:lang w:eastAsia="zh-CN"/>
        </w:rPr>
        <w:t>交易响应人</w:t>
      </w:r>
      <w:r>
        <w:rPr>
          <w:rFonts w:hint="eastAsia" w:ascii="宋体" w:hAnsi="宋体" w:eastAsia="宋体" w:cs="宋体"/>
          <w:i w:val="0"/>
          <w:iCs w:val="0"/>
          <w:color w:val="auto"/>
          <w:szCs w:val="24"/>
          <w:highlight w:val="none"/>
        </w:rPr>
        <w:t>须知前附表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_Toc8362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_Toc22355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4"/>
          <w:highlight w:val="none"/>
        </w:rPr>
        <w:t>附录1 资格审查条件（资质最低条件）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_Toc22355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_Toc13482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附录2 资格审查条件（业绩最低要求）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_Toc13482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_Toc9376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附录3 资格审查条件（主要人员最低要求）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_Toc9376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_Toc22784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附录4 资格审查条件（信誉最低要求）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_Toc22784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_Toc6788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附录5 资格审查条件（主要试验检测仪器设备最低要求）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_Toc6788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_Toc14271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_Toc14271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_Toc10795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 项目概况</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_Toc10795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_Toc7231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1.2 资金来源和落实情况</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_Toc7231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_Toc18456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1.3 </w:t>
      </w:r>
      <w:r>
        <w:rPr>
          <w:rFonts w:hint="eastAsia" w:ascii="宋体" w:hAnsi="宋体" w:eastAsia="宋体" w:cs="宋体"/>
          <w:i w:val="0"/>
          <w:iCs w:val="0"/>
          <w:color w:val="auto"/>
          <w:highlight w:val="none"/>
          <w:lang w:eastAsia="zh-CN"/>
        </w:rPr>
        <w:t>交易范围</w:t>
      </w:r>
      <w:r>
        <w:rPr>
          <w:rFonts w:hint="eastAsia" w:ascii="宋体" w:hAnsi="宋体" w:eastAsia="宋体" w:cs="宋体"/>
          <w:i w:val="0"/>
          <w:iCs w:val="0"/>
          <w:color w:val="auto"/>
          <w:highlight w:val="none"/>
        </w:rPr>
        <w:t>和</w:t>
      </w:r>
      <w:r>
        <w:rPr>
          <w:rFonts w:hint="eastAsia" w:ascii="宋体" w:hAnsi="宋体" w:eastAsia="宋体" w:cs="宋体"/>
          <w:i w:val="0"/>
          <w:iCs w:val="0"/>
          <w:color w:val="auto"/>
          <w:highlight w:val="none"/>
          <w:lang w:eastAsia="zh-CN"/>
        </w:rPr>
        <w:t>前期路况检测服务期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_Toc18456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_Toc12354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1.4 </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资格要求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_Toc12354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_Toc7893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1.5 费用承担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_Toc7893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_Toc24406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1.6 保密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_Toc24406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_Toc13523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1.7 语言文字</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_Toc13523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_Toc31823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1.8 计量单位</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_Toc31823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_Toc26413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1.9 踏勘现场</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_Toc26413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_Toc22284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1.10 </w:t>
      </w:r>
      <w:r>
        <w:rPr>
          <w:rFonts w:hint="eastAsia" w:ascii="宋体" w:hAnsi="宋体" w:eastAsia="宋体" w:cs="宋体"/>
          <w:i w:val="0"/>
          <w:iCs w:val="0"/>
          <w:color w:val="auto"/>
          <w:highlight w:val="none"/>
          <w:lang w:eastAsia="zh-CN"/>
        </w:rPr>
        <w:t>交易响应预备会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_Toc22284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_Toc22709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1.11 分包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_Toc22709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_Toc30682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1.12偏差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_Toc30682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_Toc9786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2. </w:t>
      </w:r>
      <w:r>
        <w:rPr>
          <w:rFonts w:hint="eastAsia" w:ascii="宋体" w:hAnsi="宋体" w:eastAsia="宋体" w:cs="宋体"/>
          <w:i w:val="0"/>
          <w:iCs w:val="0"/>
          <w:color w:val="auto"/>
          <w:highlight w:val="none"/>
          <w:lang w:eastAsia="zh-CN"/>
        </w:rPr>
        <w:t>交易文件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_Toc9786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_Toc20253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2.1 </w:t>
      </w:r>
      <w:r>
        <w:rPr>
          <w:rFonts w:hint="eastAsia" w:ascii="宋体" w:hAnsi="宋体" w:eastAsia="宋体" w:cs="宋体"/>
          <w:i w:val="0"/>
          <w:iCs w:val="0"/>
          <w:color w:val="auto"/>
          <w:highlight w:val="none"/>
          <w:lang w:eastAsia="zh-CN"/>
        </w:rPr>
        <w:t>交易文件</w:t>
      </w:r>
      <w:r>
        <w:rPr>
          <w:rFonts w:hint="eastAsia" w:ascii="宋体" w:hAnsi="宋体" w:eastAsia="宋体" w:cs="宋体"/>
          <w:i w:val="0"/>
          <w:iCs w:val="0"/>
          <w:color w:val="auto"/>
          <w:highlight w:val="none"/>
        </w:rPr>
        <w:t>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_Toc20253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_Toc29212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2.2 </w:t>
      </w:r>
      <w:r>
        <w:rPr>
          <w:rFonts w:hint="eastAsia" w:ascii="宋体" w:hAnsi="宋体" w:eastAsia="宋体" w:cs="宋体"/>
          <w:i w:val="0"/>
          <w:iCs w:val="0"/>
          <w:color w:val="auto"/>
          <w:highlight w:val="none"/>
          <w:lang w:eastAsia="zh-CN"/>
        </w:rPr>
        <w:t>交易文件</w:t>
      </w:r>
      <w:r>
        <w:rPr>
          <w:rFonts w:hint="eastAsia" w:ascii="宋体" w:hAnsi="宋体" w:eastAsia="宋体" w:cs="宋体"/>
          <w:i w:val="0"/>
          <w:iCs w:val="0"/>
          <w:color w:val="auto"/>
          <w:highlight w:val="none"/>
        </w:rPr>
        <w:t>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_Toc29212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_Toc17175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2.3 </w:t>
      </w:r>
      <w:r>
        <w:rPr>
          <w:rFonts w:hint="eastAsia" w:ascii="宋体" w:hAnsi="宋体" w:eastAsia="宋体" w:cs="宋体"/>
          <w:i w:val="0"/>
          <w:iCs w:val="0"/>
          <w:color w:val="auto"/>
          <w:highlight w:val="none"/>
          <w:lang w:eastAsia="zh-CN"/>
        </w:rPr>
        <w:t>交易文件</w:t>
      </w:r>
      <w:r>
        <w:rPr>
          <w:rFonts w:hint="eastAsia" w:ascii="宋体" w:hAnsi="宋体" w:eastAsia="宋体" w:cs="宋体"/>
          <w:i w:val="0"/>
          <w:iCs w:val="0"/>
          <w:color w:val="auto"/>
          <w:highlight w:val="none"/>
        </w:rPr>
        <w:t>的修改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_Toc17175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_Toc10607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2.4 对</w:t>
      </w:r>
      <w:r>
        <w:rPr>
          <w:rFonts w:hint="eastAsia" w:ascii="宋体" w:hAnsi="宋体" w:eastAsia="宋体" w:cs="宋体"/>
          <w:i w:val="0"/>
          <w:iCs w:val="0"/>
          <w:color w:val="auto"/>
          <w:highlight w:val="none"/>
          <w:lang w:eastAsia="zh-CN"/>
        </w:rPr>
        <w:t>交易文件</w:t>
      </w:r>
      <w:r>
        <w:rPr>
          <w:rFonts w:hint="eastAsia" w:ascii="宋体" w:hAnsi="宋体" w:eastAsia="宋体" w:cs="宋体"/>
          <w:i w:val="0"/>
          <w:iCs w:val="0"/>
          <w:color w:val="auto"/>
          <w:highlight w:val="none"/>
        </w:rPr>
        <w:t>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_Toc10607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_Toc5375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_Toc14133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3.1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_Toc14133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_Toc8143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3.2 </w:t>
      </w:r>
      <w:r>
        <w:rPr>
          <w:rFonts w:hint="eastAsia" w:ascii="宋体" w:hAnsi="宋体" w:eastAsia="宋体" w:cs="宋体"/>
          <w:i w:val="0"/>
          <w:iCs w:val="0"/>
          <w:color w:val="auto"/>
          <w:highlight w:val="none"/>
          <w:lang w:eastAsia="zh-CN"/>
        </w:rPr>
        <w:t>交易响应报价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_Toc8143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3.3 </w:t>
      </w:r>
      <w:r>
        <w:rPr>
          <w:rFonts w:hint="eastAsia" w:ascii="宋体" w:hAnsi="宋体" w:eastAsia="宋体" w:cs="宋体"/>
          <w:i w:val="0"/>
          <w:iCs w:val="0"/>
          <w:color w:val="auto"/>
          <w:highlight w:val="none"/>
          <w:lang w:eastAsia="zh-CN"/>
        </w:rPr>
        <w:t>交易响应有效期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_Toc15999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_Toc18024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3.4 </w:t>
      </w:r>
      <w:r>
        <w:rPr>
          <w:rFonts w:hint="eastAsia" w:ascii="宋体" w:hAnsi="宋体" w:cs="宋体"/>
          <w:i w:val="0"/>
          <w:iCs w:val="0"/>
          <w:color w:val="auto"/>
          <w:highlight w:val="none"/>
          <w:lang w:eastAsia="zh-CN"/>
        </w:rPr>
        <w:t>交易响应</w:t>
      </w:r>
      <w:r>
        <w:rPr>
          <w:rFonts w:hint="eastAsia" w:ascii="宋体" w:hAnsi="宋体" w:eastAsia="宋体" w:cs="宋体"/>
          <w:i w:val="0"/>
          <w:iCs w:val="0"/>
          <w:color w:val="auto"/>
          <w:highlight w:val="none"/>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_Toc18024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_Toc31343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3.5 资格审查表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_Toc31343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_Toc21508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3.6 </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信息的核查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_Toc21508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_Toc7027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3.7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的编制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_Toc7027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_Toc26896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4. </w:t>
      </w:r>
      <w:r>
        <w:rPr>
          <w:rFonts w:hint="eastAsia" w:ascii="宋体" w:hAnsi="宋体" w:cs="宋体"/>
          <w:i w:val="0"/>
          <w:iCs w:val="0"/>
          <w:color w:val="auto"/>
          <w:highlight w:val="none"/>
          <w:lang w:eastAsia="zh-CN"/>
        </w:rPr>
        <w:t>交易响应</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_Toc26896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_Toc29488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4.1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的密封和标识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_Toc29488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_Toc8152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4.2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的递交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_Toc8152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_Toc3321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4.3 </w:t>
      </w:r>
      <w:r>
        <w:rPr>
          <w:rFonts w:hint="eastAsia" w:ascii="宋体" w:hAnsi="宋体" w:eastAsia="宋体" w:cs="宋体"/>
          <w:i w:val="0"/>
          <w:iCs w:val="0"/>
          <w:color w:val="auto"/>
          <w:highlight w:val="none"/>
          <w:lang w:eastAsia="zh-CN"/>
        </w:rPr>
        <w:t>交易响应文件</w:t>
      </w:r>
      <w:r>
        <w:rPr>
          <w:rFonts w:hint="eastAsia" w:ascii="宋体" w:hAnsi="宋体" w:eastAsia="宋体" w:cs="宋体"/>
          <w:i w:val="0"/>
          <w:iCs w:val="0"/>
          <w:color w:val="auto"/>
          <w:highlight w:val="none"/>
        </w:rPr>
        <w:t>的修改与撤回</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_Toc3321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_Toc12216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5. </w:t>
      </w:r>
      <w:r>
        <w:rPr>
          <w:rFonts w:hint="eastAsia" w:ascii="宋体" w:hAnsi="宋体" w:eastAsia="宋体" w:cs="宋体"/>
          <w:i w:val="0"/>
          <w:iCs w:val="0"/>
          <w:color w:val="auto"/>
          <w:highlight w:val="none"/>
          <w:lang w:eastAsia="zh-CN"/>
        </w:rPr>
        <w:t>交易会议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_Toc12216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_Toc32454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5.1 </w:t>
      </w:r>
      <w:r>
        <w:rPr>
          <w:rFonts w:hint="eastAsia" w:ascii="宋体" w:hAnsi="宋体" w:eastAsia="宋体" w:cs="宋体"/>
          <w:i w:val="0"/>
          <w:iCs w:val="0"/>
          <w:color w:val="auto"/>
          <w:highlight w:val="none"/>
          <w:lang w:eastAsia="zh-CN"/>
        </w:rPr>
        <w:t>交易会议时间和地点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_Toc32454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_Toc19115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5.2 </w:t>
      </w:r>
      <w:r>
        <w:rPr>
          <w:rFonts w:hint="eastAsia" w:ascii="宋体" w:hAnsi="宋体" w:eastAsia="宋体" w:cs="宋体"/>
          <w:i w:val="0"/>
          <w:iCs w:val="0"/>
          <w:color w:val="auto"/>
          <w:highlight w:val="none"/>
          <w:lang w:eastAsia="zh-CN"/>
        </w:rPr>
        <w:t>交易会议程序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_Toc19115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default" w:ascii="宋体" w:hAnsi="宋体" w:eastAsia="宋体" w:cs="宋体"/>
          <w:i w:val="0"/>
          <w:iCs w:val="0"/>
          <w:color w:val="auto"/>
          <w:highlight w:val="none"/>
          <w:lang w:val="en-US" w:eastAsia="zh-CN"/>
        </w:rPr>
      </w:pPr>
      <w:r>
        <w:rPr>
          <w:rFonts w:hint="eastAsia" w:ascii="宋体" w:hAnsi="宋体" w:cs="宋体"/>
          <w:bCs w:val="0"/>
          <w:i w:val="0"/>
          <w:iCs w:val="0"/>
          <w:color w:val="auto"/>
          <w:szCs w:val="21"/>
          <w:highlight w:val="none"/>
          <w:lang w:val="en-US" w:eastAsia="zh-CN"/>
        </w:rPr>
        <w:t xml:space="preserve">                                             </w:t>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_Toc4203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5.4 对</w:t>
      </w:r>
      <w:r>
        <w:rPr>
          <w:rFonts w:hint="eastAsia" w:ascii="宋体" w:hAnsi="宋体" w:eastAsia="宋体" w:cs="宋体"/>
          <w:i w:val="0"/>
          <w:iCs w:val="0"/>
          <w:color w:val="auto"/>
          <w:highlight w:val="none"/>
          <w:lang w:eastAsia="zh-CN"/>
        </w:rPr>
        <w:t>交易会议</w:t>
      </w:r>
      <w:r>
        <w:rPr>
          <w:rFonts w:hint="eastAsia" w:ascii="宋体" w:hAnsi="宋体" w:eastAsia="宋体" w:cs="宋体"/>
          <w:i w:val="0"/>
          <w:iCs w:val="0"/>
          <w:color w:val="auto"/>
          <w:highlight w:val="none"/>
        </w:rPr>
        <w:t>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_Toc4203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_Toc28064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 评标</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_Toc28064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_Toc2948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6.1 评标委员会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_Toc2948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_Toc13184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6.2 评标原则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_Toc13184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_Toc4100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6.3 评标</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_Toc4100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_Toc12478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6.4</w:t>
      </w:r>
      <w:r>
        <w:rPr>
          <w:rFonts w:hint="eastAsia" w:ascii="宋体" w:hAnsi="宋体" w:eastAsia="宋体" w:cs="宋体"/>
          <w:i w:val="0"/>
          <w:iCs w:val="0"/>
          <w:color w:val="auto"/>
          <w:highlight w:val="none"/>
          <w:lang w:eastAsia="zh-CN"/>
        </w:rPr>
        <w:t>成交候选人</w:t>
      </w:r>
      <w:r>
        <w:rPr>
          <w:rFonts w:hint="eastAsia" w:ascii="宋体" w:hAnsi="宋体" w:eastAsia="宋体" w:cs="宋体"/>
          <w:i w:val="0"/>
          <w:iCs w:val="0"/>
          <w:color w:val="auto"/>
          <w:highlight w:val="none"/>
        </w:rPr>
        <w:t>的公示及异议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_Toc12478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_Toc20658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6.5履约能力的审查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_Toc20658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_Toc15262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 合同授予</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_Toc15262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_Toc26352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7.1 定标</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_Toc26352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_Toc31590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7.2 中标结果公告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_Toc31590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_Toc10931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7.3中标通知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_Toc10931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7.4履约担保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_Toc1778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_Toc25397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7.5签订合同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_Toc25397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_Toc11545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8. </w:t>
      </w:r>
      <w:r>
        <w:rPr>
          <w:rFonts w:hint="eastAsia" w:ascii="宋体" w:hAnsi="宋体" w:eastAsia="宋体" w:cs="宋体"/>
          <w:i w:val="0"/>
          <w:iCs w:val="0"/>
          <w:color w:val="auto"/>
          <w:highlight w:val="none"/>
          <w:lang w:eastAsia="zh-CN"/>
        </w:rPr>
        <w:t>重新交易</w:t>
      </w:r>
      <w:r>
        <w:rPr>
          <w:rFonts w:hint="eastAsia" w:ascii="宋体" w:hAnsi="宋体" w:eastAsia="宋体" w:cs="宋体"/>
          <w:i w:val="0"/>
          <w:iCs w:val="0"/>
          <w:color w:val="auto"/>
          <w:highlight w:val="none"/>
        </w:rPr>
        <w:t>和</w:t>
      </w:r>
      <w:r>
        <w:rPr>
          <w:rFonts w:hint="eastAsia" w:ascii="宋体" w:hAnsi="宋体" w:eastAsia="宋体" w:cs="宋体"/>
          <w:i w:val="0"/>
          <w:iCs w:val="0"/>
          <w:color w:val="auto"/>
          <w:highlight w:val="none"/>
          <w:lang w:eastAsia="zh-CN"/>
        </w:rPr>
        <w:t>不再交易</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_Toc11545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_Toc24148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8.1 </w:t>
      </w:r>
      <w:r>
        <w:rPr>
          <w:rFonts w:hint="eastAsia" w:ascii="宋体" w:hAnsi="宋体" w:eastAsia="宋体" w:cs="宋体"/>
          <w:i w:val="0"/>
          <w:iCs w:val="0"/>
          <w:color w:val="auto"/>
          <w:highlight w:val="none"/>
          <w:lang w:eastAsia="zh-CN"/>
        </w:rPr>
        <w:t>重新交易</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_Toc24148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_Toc23840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 xml:space="preserve">8.2 </w:t>
      </w:r>
      <w:r>
        <w:rPr>
          <w:rFonts w:hint="eastAsia" w:ascii="宋体" w:hAnsi="宋体" w:eastAsia="宋体" w:cs="宋体"/>
          <w:i w:val="0"/>
          <w:iCs w:val="0"/>
          <w:color w:val="auto"/>
          <w:highlight w:val="none"/>
          <w:lang w:eastAsia="zh-CN"/>
        </w:rPr>
        <w:t>不再交易</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_Toc23840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_Toc11187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 纪律和监督</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_Toc11187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_Toc6085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9.1 对</w:t>
      </w:r>
      <w:r>
        <w:rPr>
          <w:rFonts w:hint="eastAsia" w:ascii="宋体" w:hAnsi="宋体" w:eastAsia="宋体" w:cs="宋体"/>
          <w:i w:val="0"/>
          <w:iCs w:val="0"/>
          <w:color w:val="auto"/>
          <w:highlight w:val="none"/>
          <w:lang w:eastAsia="zh-CN"/>
        </w:rPr>
        <w:t>交易发起人</w:t>
      </w:r>
      <w:r>
        <w:rPr>
          <w:rFonts w:hint="eastAsia" w:ascii="宋体" w:hAnsi="宋体" w:eastAsia="宋体" w:cs="宋体"/>
          <w:i w:val="0"/>
          <w:iCs w:val="0"/>
          <w:color w:val="auto"/>
          <w:highlight w:val="none"/>
        </w:rPr>
        <w:t>的纪律要求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_Toc6085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_Toc25114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9.2 对</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的纪律要求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_Toc25114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_Toc21934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9.3 对评标委员会成员的纪律要求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_Toc21934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_Toc18602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9.4 对与评标活动有关的工作人员的纪律要求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_Toc18602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_Toc30268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9.5投诉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_Toc30268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10.需要补充的其他内容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_Toc19169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_Toc8726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附件1：工程概况及</w:t>
      </w:r>
      <w:r>
        <w:rPr>
          <w:rFonts w:hint="eastAsia" w:ascii="宋体" w:hAnsi="宋体" w:eastAsia="宋体" w:cs="宋体"/>
          <w:i w:val="0"/>
          <w:iCs w:val="0"/>
          <w:color w:val="auto"/>
          <w:highlight w:val="none"/>
          <w:lang w:eastAsia="zh-CN"/>
        </w:rPr>
        <w:t>交易范围</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_Toc8726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_Toc5501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附表一：第一个信封（商务及技术文件）</w:t>
      </w:r>
      <w:r>
        <w:rPr>
          <w:rFonts w:hint="eastAsia" w:ascii="宋体" w:hAnsi="宋体" w:eastAsia="宋体" w:cs="宋体"/>
          <w:i w:val="0"/>
          <w:iCs w:val="0"/>
          <w:color w:val="auto"/>
          <w:szCs w:val="20"/>
          <w:highlight w:val="none"/>
          <w:lang w:eastAsia="zh-CN"/>
        </w:rPr>
        <w:t>交易会议</w:t>
      </w:r>
      <w:r>
        <w:rPr>
          <w:rFonts w:hint="eastAsia" w:ascii="宋体" w:hAnsi="宋体" w:eastAsia="宋体" w:cs="宋体"/>
          <w:i w:val="0"/>
          <w:iCs w:val="0"/>
          <w:color w:val="auto"/>
          <w:szCs w:val="20"/>
          <w:highlight w:val="none"/>
        </w:rPr>
        <w:t>记录表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_Toc5501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_Toc9957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附表二：</w:t>
      </w:r>
      <w:r>
        <w:rPr>
          <w:rFonts w:hint="eastAsia" w:ascii="宋体" w:hAnsi="宋体" w:eastAsia="宋体" w:cs="宋体"/>
          <w:i w:val="0"/>
          <w:iCs w:val="0"/>
          <w:color w:val="auto"/>
          <w:szCs w:val="28"/>
          <w:highlight w:val="none"/>
        </w:rPr>
        <w:t>第二个信封（报价文件）</w:t>
      </w:r>
      <w:r>
        <w:rPr>
          <w:rFonts w:hint="eastAsia" w:ascii="宋体" w:hAnsi="宋体" w:eastAsia="宋体" w:cs="宋体"/>
          <w:i w:val="0"/>
          <w:iCs w:val="0"/>
          <w:color w:val="auto"/>
          <w:szCs w:val="28"/>
          <w:highlight w:val="none"/>
          <w:lang w:eastAsia="zh-CN"/>
        </w:rPr>
        <w:t>交易会议</w:t>
      </w:r>
      <w:r>
        <w:rPr>
          <w:rFonts w:hint="eastAsia" w:ascii="宋体" w:hAnsi="宋体" w:eastAsia="宋体" w:cs="宋体"/>
          <w:i w:val="0"/>
          <w:iCs w:val="0"/>
          <w:color w:val="auto"/>
          <w:szCs w:val="28"/>
          <w:highlight w:val="none"/>
        </w:rPr>
        <w:t>记录表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_Toc9957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_Toc27587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附表三：问题澄清通知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_Toc27587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_Toc15897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附表四：问题的澄清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_Toc15897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_Toc32694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附表五：</w:t>
      </w:r>
      <w:r>
        <w:rPr>
          <w:rFonts w:hint="eastAsia" w:ascii="宋体" w:hAnsi="宋体" w:eastAsia="宋体" w:cs="宋体"/>
          <w:i w:val="0"/>
          <w:iCs w:val="0"/>
          <w:color w:val="auto"/>
          <w:szCs w:val="20"/>
          <w:highlight w:val="none"/>
          <w:lang w:eastAsia="zh-CN"/>
        </w:rPr>
        <w:t>成交通知书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_Toc32694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_Toc32433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附表六：中标结果通知书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_Toc32433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_Toc11579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0"/>
          <w:highlight w:val="none"/>
        </w:rPr>
        <w:t>附表七：确认通知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_Toc11579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_Toc31319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2"/>
          <w:highlight w:val="none"/>
        </w:rPr>
        <w:t>第三章 评标办法（综合评估法）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_Toc31319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_Toc14153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评标办法前附表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_Toc14153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_Toc18513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1. 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_Toc18513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_Toc24458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2. 评标程序和评审标准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_Toc24458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_Toc5405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2.1  评标程序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_Toc5405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_Toc13341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2.2  第一个信封资格审查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_Toc13341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_Toc17319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2.3  第一个信封初步评审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_Toc17319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2.4  第一个信封澄清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_Toc21886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2.5  第一个信封详细评审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_Toc21886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_Toc13512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2.6  第二个信封</w:t>
      </w:r>
      <w:r>
        <w:rPr>
          <w:rFonts w:hint="eastAsia" w:ascii="宋体" w:hAnsi="宋体" w:eastAsia="宋体" w:cs="宋体"/>
          <w:i w:val="0"/>
          <w:iCs w:val="0"/>
          <w:color w:val="auto"/>
          <w:szCs w:val="21"/>
          <w:highlight w:val="none"/>
          <w:lang w:eastAsia="zh-CN"/>
        </w:rPr>
        <w:t>交易会议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_Toc13512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_Toc14714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2.7  第二个信封初步评审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_Toc14714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_Toc2978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2.8  第二个信封算术性修正</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_Toc2978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_Toc23717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2.9  第二个信封澄清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_Toc23717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_Toc6811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2.10  第二个信封详细评审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_Toc6811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_Toc30573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2.11  评标排序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_Toc30573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_Toc24521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1"/>
          <w:highlight w:val="none"/>
        </w:rPr>
        <w:t>2.12  评标结果</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_Toc24521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_Toc8553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2"/>
          <w:highlight w:val="none"/>
        </w:rPr>
        <w:t>第四章 合同条款及格式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_Toc8553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_Toc18142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第一节通用合同条款</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_Toc18142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_Toc18482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highlight w:val="none"/>
        </w:rPr>
        <w:t>1．定义与解释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_Toc18482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_Toc7438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1.1定义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_Toc7438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_Toc18978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1.2解释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_Toc18978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_Toc23900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2．检测人的义务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_Toc23900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_Toc15355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 xml:space="preserve">2.1  </w:t>
      </w:r>
      <w:r>
        <w:rPr>
          <w:rFonts w:hint="eastAsia" w:ascii="宋体" w:hAnsi="宋体" w:eastAsia="宋体" w:cs="宋体"/>
          <w:i w:val="0"/>
          <w:iCs w:val="0"/>
          <w:color w:val="auto"/>
          <w:szCs w:val="24"/>
          <w:highlight w:val="none"/>
        </w:rPr>
        <w:t>试验</w:t>
      </w:r>
      <w:r>
        <w:rPr>
          <w:rFonts w:hint="eastAsia" w:ascii="宋体" w:hAnsi="宋体" w:eastAsia="宋体" w:cs="宋体"/>
          <w:i w:val="0"/>
          <w:iCs w:val="0"/>
          <w:color w:val="auto"/>
          <w:kern w:val="0"/>
          <w:szCs w:val="24"/>
          <w:highlight w:val="none"/>
        </w:rPr>
        <w:t>检测服务的形式、范围与内容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_Toc15355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_Toc24615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2.2  试验检测服务的依据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_Toc24615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_Toc22715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2.3  试验检测职责</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_Toc22715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_Toc4131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2.4  试验检测人员</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_Toc4131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_Toc21809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2.5  试验检测设备</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_Toc21809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_Toc6184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2.6  联合体</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_Toc6184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_Toc23817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2.7  保密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_Toc23817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_Toc22661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3.发包人的义务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_Toc22661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_Toc28009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highlight w:val="none"/>
        </w:rPr>
        <w:t>3.1  试验检测工作条件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_Toc28009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_Toc10151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3.2  文件和资料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_Toc10151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_Toc8539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3.3  协助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_Toc8539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_Toc16738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3.4  代表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_Toc16738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_Toc26260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3.5  授权通知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_Toc26260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_Toc8478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3.6  支付费用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_Toc8478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_Toc1363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4．责任和保障</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_Toc1363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_Toc9898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highlight w:val="none"/>
        </w:rPr>
        <w:t xml:space="preserve">4.1  </w:t>
      </w:r>
      <w:r>
        <w:rPr>
          <w:rFonts w:hint="eastAsia" w:ascii="宋体" w:hAnsi="宋体" w:eastAsia="宋体" w:cs="宋体"/>
          <w:i w:val="0"/>
          <w:iCs w:val="0"/>
          <w:color w:val="auto"/>
          <w:kern w:val="0"/>
          <w:szCs w:val="24"/>
          <w:highlight w:val="none"/>
        </w:rPr>
        <w:t>检测人的违约及赔偿责任</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_Toc9898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_Toc31861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4.2  发包人的违约和赔偿责任</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_Toc31861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_Toc8848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4.3  赔偿责任的期限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_Toc8848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_Toc31476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4.4  赔偿的限额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_Toc31476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_Toc3613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4.5  保障</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_Toc3613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4.6  保险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_Toc19033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_Toc5232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5．试验检测合同的生效、终止、变更、暂停与解除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_Toc5232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_Toc23035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5.1  试验检测合同协议书的生效</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_Toc23035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_Toc32085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5.2  试验检测服务的时间和期限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_Toc32085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_Toc22786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5.3  试验检测合同的终止</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_Toc22786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_Toc20414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5.4  试验检测合同的变更</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_Toc20414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_Toc32115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5.5  试验检测合同的暂停与解除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_Toc32115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_Toc28935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5.6  转让和分包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_Toc28935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_Toc18660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6．试验检测服务的费用与支付</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_Toc18660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6.1  试验检测服务费用内容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_Toc28531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_Toc24452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6.2试验检测服务费计费方法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_Toc24452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_Toc22918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6.3支付</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_Toc22918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_Toc27796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6.4  货币</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_Toc27796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_Toc20767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7．其他</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_Toc20767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_Toc10124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7.1  合同双方的关系</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_Toc10124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59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_Toc16520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7.2  语言和法律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_Toc16520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_Toc26493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7.3  奖励</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_Toc26493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_Toc2257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7.4  利益矛盾</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_Toc2257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_Toc24177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7.5  版权</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_Toc24177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_Toc31789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0"/>
          <w:szCs w:val="24"/>
          <w:highlight w:val="none"/>
        </w:rPr>
        <w:t>7.6  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_Toc31789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_Toc9429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8．争端的解决</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_Toc9429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_Toc19511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第二节专用合同条款</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_Toc19511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_Toc15669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1．定义与解释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_Toc15669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_Toc4925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1.1.1  项目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_Toc4925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_Toc15055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1.1.2  工程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_Toc15055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_Toc6406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1.1.4  发包人</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_Toc6406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_Toc18890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val="0"/>
          <w:i w:val="0"/>
          <w:iCs w:val="0"/>
          <w:color w:val="auto"/>
          <w:highlight w:val="none"/>
        </w:rPr>
        <w:t>2．检测人的义务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_Toc18890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_Toc14001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2.1试验检测服务的形式、范围与内容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_Toc14001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_Toc3602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第三节合同附件格式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_Toc3602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_Toc6812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附件一：合同协议书格式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_Toc6812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_Toc13864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附件二：廉政合同格式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_Toc13864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_Toc29814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附件三：安全生产责任合同格式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_Toc29814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附件四：履约保函格式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_Toc1901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_Toc32190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2"/>
          <w:highlight w:val="none"/>
        </w:rPr>
        <w:t>第五章  试验检测技术规范和要求</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_Toc32190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_Toc32323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2"/>
          <w:highlight w:val="none"/>
        </w:rPr>
        <w:t>第六章  报价清单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_Toc32323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_Toc19473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30"/>
          <w:highlight w:val="none"/>
          <w:lang w:val="en-US" w:eastAsia="zh-CN" w:bidi="ar-SA"/>
        </w:rPr>
        <w:t>1、报价清单说明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_Toc19473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keepNext w:val="0"/>
        <w:keepLines w:val="0"/>
        <w:pageBreakBefore w:val="0"/>
        <w:widowControl w:val="0"/>
        <w:tabs>
          <w:tab w:val="right" w:leader="dot" w:pos="9184"/>
        </w:tabs>
        <w:kinsoku/>
        <w:wordWrap/>
        <w:overflowPunct/>
        <w:topLinePunct w:val="0"/>
        <w:autoSpaceDE/>
        <w:autoSpaceDN/>
        <w:bidi w:val="0"/>
        <w:adjustRightInd/>
        <w:snapToGrid/>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_Toc23931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30"/>
          <w:highlight w:val="none"/>
          <w:lang w:val="en-US" w:eastAsia="zh-CN" w:bidi="ar-SA"/>
        </w:rPr>
        <w:t>2、其他说明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_Toc23931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ind w:firstLine="200" w:firstLineChars="100"/>
        <w:textAlignment w:val="auto"/>
        <w:rPr>
          <w:rFonts w:hint="eastAsia" w:ascii="宋体" w:hAnsi="宋体" w:eastAsia="宋体" w:cs="宋体"/>
          <w:i w:val="0"/>
          <w:iCs w:val="0"/>
          <w:color w:val="auto"/>
          <w:highlight w:val="none"/>
        </w:rPr>
      </w:pP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begin"/>
      </w:r>
      <w:r>
        <w:rPr>
          <w:rFonts w:hint="eastAsia" w:ascii="宋体" w:hAnsi="宋体" w:eastAsia="宋体" w:cs="宋体"/>
          <w:b w:val="0"/>
          <w:bCs w:val="0"/>
          <w:i w:val="0"/>
          <w:iCs w:val="0"/>
          <w:caps w:val="0"/>
          <w:smallCaps/>
          <w:color w:val="auto"/>
          <w:kern w:val="2"/>
          <w:sz w:val="20"/>
          <w:szCs w:val="21"/>
          <w:highlight w:val="none"/>
          <w:lang w:val="en-US" w:eastAsia="zh-CN" w:bidi="ar-SA"/>
        </w:rPr>
        <w:instrText xml:space="preserve"> HYPERLINK \l _Toc1582 </w:instrText>
      </w: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separate"/>
      </w:r>
      <w:r>
        <w:rPr>
          <w:rFonts w:hint="eastAsia" w:ascii="宋体" w:hAnsi="宋体" w:eastAsia="宋体" w:cs="宋体"/>
          <w:b w:val="0"/>
          <w:bCs w:val="0"/>
          <w:i w:val="0"/>
          <w:iCs w:val="0"/>
          <w:caps w:val="0"/>
          <w:smallCaps/>
          <w:color w:val="auto"/>
          <w:kern w:val="2"/>
          <w:sz w:val="20"/>
          <w:szCs w:val="21"/>
          <w:highlight w:val="none"/>
          <w:lang w:val="en-US" w:eastAsia="zh-CN" w:bidi="ar-SA"/>
        </w:rPr>
        <w:t>3.报价清单表</w:t>
      </w:r>
      <w:r>
        <w:rPr>
          <w:rFonts w:hint="eastAsia" w:ascii="宋体" w:hAnsi="宋体" w:eastAsia="宋体" w:cs="宋体"/>
          <w:b w:val="0"/>
          <w:bCs w:val="0"/>
          <w:i w:val="0"/>
          <w:iCs w:val="0"/>
          <w:caps w:val="0"/>
          <w:smallCaps/>
          <w:color w:val="auto"/>
          <w:kern w:val="2"/>
          <w:sz w:val="20"/>
          <w:szCs w:val="21"/>
          <w:highlight w:val="none"/>
          <w:lang w:val="en-US" w:eastAsia="zh-CN" w:bidi="ar-SA"/>
        </w:rPr>
        <w:tab/>
      </w: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begin"/>
      </w:r>
      <w:r>
        <w:rPr>
          <w:rFonts w:hint="eastAsia" w:ascii="宋体" w:hAnsi="宋体" w:eastAsia="宋体" w:cs="宋体"/>
          <w:b w:val="0"/>
          <w:bCs w:val="0"/>
          <w:i w:val="0"/>
          <w:iCs w:val="0"/>
          <w:caps w:val="0"/>
          <w:smallCaps/>
          <w:color w:val="auto"/>
          <w:kern w:val="2"/>
          <w:sz w:val="20"/>
          <w:szCs w:val="21"/>
          <w:highlight w:val="none"/>
          <w:lang w:val="en-US" w:eastAsia="zh-CN" w:bidi="ar-SA"/>
        </w:rPr>
        <w:instrText xml:space="preserve"> PAGEREF _Toc1582 \h </w:instrText>
      </w: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separate"/>
      </w:r>
      <w:r>
        <w:rPr>
          <w:rFonts w:hint="eastAsia" w:ascii="宋体" w:hAnsi="宋体" w:eastAsia="宋体" w:cs="宋体"/>
          <w:b w:val="0"/>
          <w:bCs w:val="0"/>
          <w:i w:val="0"/>
          <w:iCs w:val="0"/>
          <w:caps w:val="0"/>
          <w:smallCaps/>
          <w:color w:val="auto"/>
          <w:kern w:val="2"/>
          <w:sz w:val="20"/>
          <w:szCs w:val="21"/>
          <w:highlight w:val="none"/>
          <w:lang w:val="en-US" w:eastAsia="zh-CN" w:bidi="ar-SA"/>
        </w:rPr>
        <w:t>82</w:t>
      </w: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end"/>
      </w:r>
      <w:r>
        <w:rPr>
          <w:rFonts w:hint="eastAsia" w:ascii="宋体" w:hAnsi="宋体" w:eastAsia="宋体" w:cs="宋体"/>
          <w:b w:val="0"/>
          <w:bCs w:val="0"/>
          <w:i w:val="0"/>
          <w:iCs w:val="0"/>
          <w:caps w:val="0"/>
          <w:smallCaps/>
          <w:color w:val="auto"/>
          <w:kern w:val="2"/>
          <w:sz w:val="20"/>
          <w:szCs w:val="21"/>
          <w:highlight w:val="none"/>
          <w:lang w:val="en-US" w:eastAsia="zh-CN" w:bidi="ar-SA"/>
        </w:rPr>
        <w:fldChar w:fldCharType="end"/>
      </w:r>
    </w:p>
    <w:p>
      <w:pPr>
        <w:pStyle w:val="30"/>
        <w:keepNext w:val="0"/>
        <w:keepLines w:val="0"/>
        <w:pageBreakBefore w:val="0"/>
        <w:widowControl w:val="0"/>
        <w:tabs>
          <w:tab w:val="right" w:leader="dot" w:pos="9184"/>
        </w:tabs>
        <w:kinsoku/>
        <w:wordWrap/>
        <w:overflowPunct/>
        <w:topLinePunct w:val="0"/>
        <w:autoSpaceDE/>
        <w:autoSpaceDN/>
        <w:bidi w:val="0"/>
        <w:adjustRightInd/>
        <w:snapToGrid/>
        <w:spacing w:before="0" w:after="0"/>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_Toc19694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2"/>
          <w:highlight w:val="none"/>
        </w:rPr>
        <w:t xml:space="preserve">第七章  </w:t>
      </w:r>
      <w:r>
        <w:rPr>
          <w:rFonts w:hint="eastAsia" w:ascii="宋体" w:hAnsi="宋体" w:eastAsia="宋体" w:cs="宋体"/>
          <w:i w:val="0"/>
          <w:iCs w:val="0"/>
          <w:color w:val="auto"/>
          <w:szCs w:val="32"/>
          <w:highlight w:val="none"/>
          <w:lang w:eastAsia="zh-CN"/>
        </w:rPr>
        <w:t>交易响应文件</w:t>
      </w:r>
      <w:r>
        <w:rPr>
          <w:rFonts w:hint="eastAsia" w:ascii="宋体" w:hAnsi="宋体" w:eastAsia="宋体" w:cs="宋体"/>
          <w:i w:val="0"/>
          <w:iCs w:val="0"/>
          <w:color w:val="auto"/>
          <w:szCs w:val="32"/>
          <w:highlight w:val="none"/>
        </w:rPr>
        <w:t>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_Toc19694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_Toc28433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52"/>
          <w:highlight w:val="none"/>
        </w:rPr>
        <w:t>第一卷商务文件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_Toc28433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_Toc15022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目录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_Toc15022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_Toc16950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一、</w:t>
      </w:r>
      <w:r>
        <w:rPr>
          <w:rFonts w:hint="eastAsia" w:ascii="宋体" w:hAnsi="宋体" w:eastAsia="宋体" w:cs="宋体"/>
          <w:i w:val="0"/>
          <w:iCs w:val="0"/>
          <w:color w:val="auto"/>
          <w:szCs w:val="30"/>
          <w:highlight w:val="none"/>
          <w:lang w:eastAsia="zh-CN"/>
        </w:rPr>
        <w:t>交易响应函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_Toc16950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_Toc11055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二、法定代表人身份证明或法定代表人的授权委托书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_Toc11055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_Toc30084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（一）法定代表人身份证明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_Toc30084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_Toc15095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（二）授权委托书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_Toc15095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三、</w:t>
      </w:r>
      <w:r>
        <w:rPr>
          <w:rFonts w:hint="eastAsia" w:ascii="宋体" w:hAnsi="宋体" w:eastAsia="宋体" w:cs="宋体"/>
          <w:i w:val="0"/>
          <w:iCs w:val="0"/>
          <w:color w:val="auto"/>
          <w:szCs w:val="30"/>
          <w:highlight w:val="none"/>
          <w:lang w:val="en-US" w:eastAsia="zh-CN"/>
        </w:rPr>
        <w:t>交易响应</w:t>
      </w:r>
      <w:r>
        <w:rPr>
          <w:rFonts w:hint="eastAsia" w:ascii="宋体" w:hAnsi="宋体" w:eastAsia="宋体" w:cs="宋体"/>
          <w:i w:val="0"/>
          <w:iCs w:val="0"/>
          <w:color w:val="auto"/>
          <w:szCs w:val="30"/>
          <w:highlight w:val="none"/>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_Toc8375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_Toc8924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四、分包承诺书（如有）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_Toc8924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_Toc16691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五、资格审查表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_Toc16691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_Toc31498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（一）</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基本情况表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_Toc31498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_Toc17763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（二）</w:t>
      </w:r>
      <w:r>
        <w:rPr>
          <w:rFonts w:hint="eastAsia" w:ascii="宋体" w:hAnsi="宋体" w:eastAsia="宋体" w:cs="宋体"/>
          <w:i w:val="0"/>
          <w:iCs w:val="0"/>
          <w:color w:val="auto"/>
          <w:szCs w:val="28"/>
          <w:highlight w:val="none"/>
        </w:rPr>
        <w:t>201</w:t>
      </w:r>
      <w:r>
        <w:rPr>
          <w:rFonts w:hint="eastAsia" w:ascii="宋体" w:hAnsi="宋体" w:eastAsia="宋体" w:cs="宋体"/>
          <w:i w:val="0"/>
          <w:iCs w:val="0"/>
          <w:color w:val="auto"/>
          <w:szCs w:val="28"/>
          <w:highlight w:val="none"/>
          <w:lang w:val="en-US" w:eastAsia="zh-CN"/>
        </w:rPr>
        <w:t>9</w:t>
      </w:r>
      <w:r>
        <w:rPr>
          <w:rFonts w:hint="eastAsia" w:ascii="宋体" w:hAnsi="宋体" w:eastAsia="宋体" w:cs="宋体"/>
          <w:i w:val="0"/>
          <w:iCs w:val="0"/>
          <w:color w:val="auto"/>
          <w:szCs w:val="28"/>
          <w:highlight w:val="none"/>
        </w:rPr>
        <w:t>年</w:t>
      </w:r>
      <w:r>
        <w:rPr>
          <w:rFonts w:hint="eastAsia" w:ascii="宋体" w:hAnsi="宋体" w:eastAsia="宋体" w:cs="宋体"/>
          <w:i w:val="0"/>
          <w:iCs w:val="0"/>
          <w:color w:val="auto"/>
          <w:szCs w:val="28"/>
          <w:highlight w:val="none"/>
          <w:lang w:val="en-US" w:eastAsia="zh-CN"/>
        </w:rPr>
        <w:t>1</w:t>
      </w:r>
      <w:r>
        <w:rPr>
          <w:rFonts w:hint="eastAsia" w:ascii="宋体" w:hAnsi="宋体" w:eastAsia="宋体" w:cs="宋体"/>
          <w:i w:val="0"/>
          <w:iCs w:val="0"/>
          <w:color w:val="auto"/>
          <w:szCs w:val="28"/>
          <w:highlight w:val="none"/>
        </w:rPr>
        <w:t>月1日</w:t>
      </w:r>
      <w:r>
        <w:rPr>
          <w:rFonts w:hint="eastAsia" w:ascii="宋体" w:hAnsi="宋体" w:eastAsia="宋体" w:cs="宋体"/>
          <w:i w:val="0"/>
          <w:iCs w:val="0"/>
          <w:color w:val="auto"/>
          <w:highlight w:val="none"/>
        </w:rPr>
        <w:t>以来完成的类似项目情况表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_Toc17763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_Toc7020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（三）正在进行的试验检测和新承接的项目情况表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_Toc7020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_Toc25611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（四）拟委任的主要人员汇总表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_Toc25611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_Toc11307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（五）拟委任的主要人员简历表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_Toc11307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_Toc10045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（六）</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信誉情况表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_Toc10045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_Toc20325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（七）拟投入主要试验检测仪器设备</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_Toc20325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_Toc4038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（八）</w:t>
      </w:r>
      <w:r>
        <w:rPr>
          <w:rFonts w:hint="eastAsia" w:ascii="宋体" w:hAnsi="宋体" w:eastAsia="宋体" w:cs="宋体"/>
          <w:i w:val="0"/>
          <w:iCs w:val="0"/>
          <w:color w:val="auto"/>
          <w:highlight w:val="none"/>
          <w:lang w:eastAsia="zh-CN"/>
        </w:rPr>
        <w:t>交易响应人</w:t>
      </w:r>
      <w:r>
        <w:rPr>
          <w:rFonts w:hint="eastAsia" w:ascii="宋体" w:hAnsi="宋体" w:eastAsia="宋体" w:cs="宋体"/>
          <w:i w:val="0"/>
          <w:iCs w:val="0"/>
          <w:color w:val="auto"/>
          <w:highlight w:val="none"/>
        </w:rPr>
        <w:t>与其他单位资产关联、隶属关系框图</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_Toc4038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22"/>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_Toc21827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（九）拟投入检测驻地设施设备及检测工程师、检测员承诺书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_Toc21827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_Toc7515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六、商务文件自评分表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_Toc7515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_Toc13847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52"/>
          <w:highlight w:val="none"/>
        </w:rPr>
        <w:t>第二卷技术文件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_Toc13847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_Toc10440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目录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_Toc10440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_Toc10803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0"/>
          <w:highlight w:val="none"/>
        </w:rPr>
        <w:t>七、</w:t>
      </w:r>
      <w:r>
        <w:rPr>
          <w:rFonts w:hint="eastAsia" w:ascii="宋体" w:hAnsi="宋体" w:eastAsia="宋体" w:cs="宋体"/>
          <w:i w:val="0"/>
          <w:iCs w:val="0"/>
          <w:color w:val="auto"/>
          <w:highlight w:val="none"/>
        </w:rPr>
        <w:t>试验检测实施方案</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_Toc10803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_Toc10474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52"/>
          <w:highlight w:val="none"/>
        </w:rPr>
        <w:t>第三卷报价文件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_Toc10474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_Toc13707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36"/>
          <w:highlight w:val="none"/>
        </w:rPr>
        <w:t>目录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_Toc13707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szCs w:val="28"/>
          <w:highlight w:val="none"/>
        </w:rPr>
        <w:t>一、</w:t>
      </w:r>
      <w:r>
        <w:rPr>
          <w:rFonts w:hint="eastAsia" w:ascii="宋体" w:hAnsi="宋体" w:eastAsia="宋体" w:cs="宋体"/>
          <w:i w:val="0"/>
          <w:iCs w:val="0"/>
          <w:color w:val="auto"/>
          <w:szCs w:val="30"/>
          <w:highlight w:val="none"/>
        </w:rPr>
        <w:t>报价函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5"/>
        <w:tabs>
          <w:tab w:val="right" w:leader="dot" w:pos="9184"/>
        </w:tabs>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_Toc28008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highlight w:val="none"/>
        </w:rPr>
        <w:t>二、</w:t>
      </w:r>
      <w:r>
        <w:rPr>
          <w:rFonts w:hint="eastAsia" w:ascii="宋体" w:hAnsi="宋体" w:eastAsia="宋体" w:cs="宋体"/>
          <w:i w:val="0"/>
          <w:iCs w:val="0"/>
          <w:color w:val="auto"/>
          <w:szCs w:val="30"/>
          <w:highlight w:val="none"/>
        </w:rPr>
        <w:t>报价清单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_Toc28008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keepNext w:val="0"/>
        <w:keepLines w:val="0"/>
        <w:pageBreakBefore w:val="0"/>
        <w:widowControl w:val="0"/>
        <w:kinsoku/>
        <w:wordWrap/>
        <w:overflowPunct/>
        <w:topLinePunct w:val="0"/>
        <w:autoSpaceDE/>
        <w:autoSpaceDN/>
        <w:bidi w:val="0"/>
        <w:adjustRightInd/>
        <w:snapToGrid/>
        <w:ind w:left="0"/>
        <w:textAlignment w:val="auto"/>
        <w:outlineLvl w:val="2"/>
        <w:rPr>
          <w:rFonts w:hint="eastAsia" w:ascii="宋体" w:hAnsi="宋体" w:eastAsia="宋体" w:cs="宋体"/>
          <w:color w:val="auto"/>
          <w:szCs w:val="21"/>
          <w:highlight w:val="none"/>
        </w:rPr>
        <w:sectPr>
          <w:footerReference r:id="rId4" w:type="even"/>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bCs w:val="0"/>
          <w:i w:val="0"/>
          <w:iCs w:val="0"/>
          <w:color w:val="auto"/>
          <w:szCs w:val="21"/>
          <w:highlight w:val="none"/>
        </w:rPr>
        <w:fldChar w:fldCharType="end"/>
      </w:r>
    </w:p>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sz w:val="36"/>
          <w:szCs w:val="36"/>
          <w:highlight w:val="none"/>
          <w:lang w:eastAsia="zh-CN"/>
        </w:rPr>
      </w:pPr>
      <w:bookmarkStart w:id="1" w:name="_Toc25232"/>
      <w:r>
        <w:rPr>
          <w:rFonts w:hint="eastAsia" w:ascii="宋体" w:hAnsi="宋体" w:eastAsia="宋体" w:cs="宋体"/>
          <w:b w:val="0"/>
          <w:color w:val="auto"/>
          <w:sz w:val="36"/>
          <w:szCs w:val="36"/>
          <w:highlight w:val="none"/>
        </w:rPr>
        <w:t xml:space="preserve">第一章 </w:t>
      </w:r>
      <w:r>
        <w:rPr>
          <w:rFonts w:hint="eastAsia" w:ascii="宋体" w:hAnsi="宋体" w:eastAsia="宋体" w:cs="宋体"/>
          <w:b w:val="0"/>
          <w:color w:val="auto"/>
          <w:sz w:val="36"/>
          <w:szCs w:val="36"/>
          <w:highlight w:val="none"/>
          <w:lang w:eastAsia="zh-CN"/>
        </w:rPr>
        <w:t>交易公告</w:t>
      </w:r>
      <w:bookmarkEnd w:id="1"/>
    </w:p>
    <w:p>
      <w:pPr>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淳安县郑鸠线云岭隧道提升工程隧道施工监控量测</w:t>
      </w:r>
    </w:p>
    <w:p>
      <w:pPr>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第JKLC01标段</w:t>
      </w:r>
      <w:r>
        <w:rPr>
          <w:rFonts w:hint="eastAsia" w:ascii="宋体" w:hAnsi="宋体" w:eastAsia="宋体" w:cs="宋体"/>
          <w:b/>
          <w:bCs/>
          <w:color w:val="auto"/>
          <w:kern w:val="44"/>
          <w:sz w:val="32"/>
          <w:szCs w:val="32"/>
          <w:highlight w:val="none"/>
          <w:lang w:eastAsia="zh-CN"/>
        </w:rPr>
        <w:t>交易公告</w:t>
      </w:r>
    </w:p>
    <w:p>
      <w:pPr>
        <w:ind w:firstLine="420" w:firstLineChars="200"/>
        <w:rPr>
          <w:rFonts w:hint="eastAsia" w:ascii="宋体" w:hAnsi="宋体" w:eastAsia="宋体" w:cs="宋体"/>
          <w:color w:val="auto"/>
          <w:szCs w:val="21"/>
          <w:highlight w:val="none"/>
        </w:rPr>
      </w:pPr>
    </w:p>
    <w:p>
      <w:pPr>
        <w:pStyle w:val="97"/>
        <w:pageBreakBefore w:val="0"/>
        <w:wordWrap/>
        <w:overflowPunct/>
        <w:topLinePunct w:val="0"/>
        <w:bidi w:val="0"/>
        <w:spacing w:before="0" w:after="0" w:line="360" w:lineRule="auto"/>
        <w:ind w:right="0" w:rightChars="0"/>
        <w:rPr>
          <w:rFonts w:hint="eastAsia" w:ascii="宋体" w:hAnsi="宋体" w:eastAsia="宋体" w:cs="宋体"/>
          <w:color w:val="auto"/>
          <w:highlight w:val="none"/>
          <w:lang w:eastAsia="zh-CN"/>
        </w:rPr>
      </w:pPr>
      <w:bookmarkStart w:id="2" w:name="_Toc286826574"/>
      <w:bookmarkStart w:id="3" w:name="_Toc286830187"/>
      <w:bookmarkStart w:id="4" w:name="_Toc286827071"/>
      <w:bookmarkStart w:id="5" w:name="_Toc17199"/>
      <w:r>
        <w:rPr>
          <w:rFonts w:hint="eastAsia" w:ascii="宋体" w:hAnsi="宋体" w:eastAsia="宋体" w:cs="宋体"/>
          <w:b/>
          <w:bCs/>
          <w:color w:val="auto"/>
          <w:highlight w:val="none"/>
        </w:rPr>
        <w:t>1．</w:t>
      </w:r>
      <w:bookmarkEnd w:id="2"/>
      <w:bookmarkEnd w:id="3"/>
      <w:bookmarkEnd w:id="4"/>
      <w:r>
        <w:rPr>
          <w:rFonts w:hint="eastAsia" w:ascii="宋体" w:hAnsi="宋体" w:eastAsia="宋体" w:cs="宋体"/>
          <w:b/>
          <w:bCs/>
          <w:color w:val="auto"/>
          <w:highlight w:val="none"/>
          <w:lang w:eastAsia="zh-CN"/>
        </w:rPr>
        <w:t>交易条件</w:t>
      </w:r>
      <w:bookmarkEnd w:id="5"/>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交易项目</w:t>
      </w:r>
      <w:r>
        <w:rPr>
          <w:rFonts w:hint="eastAsia" w:ascii="宋体" w:hAnsi="宋体" w:cs="宋体"/>
          <w:color w:val="auto"/>
          <w:szCs w:val="21"/>
          <w:highlight w:val="none"/>
          <w:u w:val="single"/>
          <w:lang w:eastAsia="zh-CN"/>
        </w:rPr>
        <w:t>淳安县郑鸠线云岭隧道提升工程</w:t>
      </w:r>
      <w:r>
        <w:rPr>
          <w:rFonts w:hint="eastAsia" w:ascii="宋体" w:hAnsi="宋体" w:eastAsia="宋体" w:cs="宋体"/>
          <w:color w:val="auto"/>
          <w:szCs w:val="21"/>
          <w:highlight w:val="none"/>
        </w:rPr>
        <w:t>已由</w:t>
      </w:r>
      <w:r>
        <w:rPr>
          <w:rFonts w:hint="eastAsia" w:ascii="宋体" w:hAnsi="宋体" w:eastAsia="宋体" w:cs="宋体"/>
          <w:color w:val="auto"/>
          <w:szCs w:val="21"/>
          <w:highlight w:val="none"/>
          <w:u w:val="single"/>
        </w:rPr>
        <w:t>府办简复〔2023〕57号文</w:t>
      </w:r>
      <w:r>
        <w:rPr>
          <w:rFonts w:hint="eastAsia" w:ascii="宋体" w:hAnsi="宋体" w:eastAsia="宋体" w:cs="宋体"/>
          <w:color w:val="auto"/>
          <w:szCs w:val="21"/>
          <w:highlight w:val="none"/>
          <w:u w:val="none"/>
        </w:rPr>
        <w:t>列入县政府投资计划，已由</w:t>
      </w:r>
      <w:r>
        <w:rPr>
          <w:rFonts w:hint="eastAsia" w:ascii="宋体" w:hAnsi="宋体" w:eastAsia="宋体" w:cs="宋体"/>
          <w:color w:val="auto"/>
          <w:szCs w:val="21"/>
          <w:highlight w:val="none"/>
          <w:u w:val="single"/>
        </w:rPr>
        <w:t>淳安县发展和改革局</w:t>
      </w:r>
      <w:r>
        <w:rPr>
          <w:rFonts w:hint="eastAsia" w:ascii="宋体" w:hAnsi="宋体" w:eastAsia="宋体" w:cs="宋体"/>
          <w:color w:val="auto"/>
          <w:szCs w:val="21"/>
          <w:highlight w:val="none"/>
          <w:u w:val="none"/>
        </w:rPr>
        <w:t>以</w:t>
      </w:r>
      <w:r>
        <w:rPr>
          <w:rFonts w:hint="eastAsia" w:ascii="宋体" w:hAnsi="宋体" w:eastAsia="宋体" w:cs="宋体"/>
          <w:color w:val="auto"/>
          <w:szCs w:val="21"/>
          <w:highlight w:val="none"/>
          <w:u w:val="single"/>
        </w:rPr>
        <w:t>淳发改审批〔2024〕16号文</w:t>
      </w:r>
      <w:r>
        <w:rPr>
          <w:rFonts w:hint="eastAsia" w:ascii="宋体" w:hAnsi="宋体" w:eastAsia="宋体" w:cs="宋体"/>
          <w:color w:val="auto"/>
          <w:szCs w:val="21"/>
          <w:highlight w:val="none"/>
          <w:u w:val="none"/>
        </w:rPr>
        <w:t>批准建设，施工图批复已由</w:t>
      </w:r>
      <w:r>
        <w:rPr>
          <w:rFonts w:hint="eastAsia" w:ascii="宋体" w:hAnsi="宋体" w:eastAsia="宋体" w:cs="宋体"/>
          <w:color w:val="auto"/>
          <w:szCs w:val="21"/>
          <w:highlight w:val="none"/>
          <w:u w:val="single"/>
        </w:rPr>
        <w:t>淳交〔2024〕2 号文</w:t>
      </w:r>
      <w:r>
        <w:rPr>
          <w:rFonts w:hint="eastAsia" w:ascii="宋体" w:hAnsi="宋体" w:eastAsia="宋体" w:cs="宋体"/>
          <w:color w:val="auto"/>
          <w:szCs w:val="21"/>
          <w:highlight w:val="none"/>
          <w:u w:val="none"/>
        </w:rPr>
        <w:t>批准。</w:t>
      </w:r>
      <w:r>
        <w:rPr>
          <w:rFonts w:hint="eastAsia" w:ascii="宋体" w:hAnsi="宋体" w:eastAsia="宋体" w:cs="宋体"/>
          <w:color w:val="auto"/>
          <w:szCs w:val="21"/>
          <w:highlight w:val="none"/>
        </w:rPr>
        <w:t>项目业主为</w:t>
      </w:r>
      <w:r>
        <w:rPr>
          <w:rFonts w:hint="eastAsia" w:ascii="宋体" w:hAnsi="宋体" w:eastAsia="宋体" w:cs="宋体"/>
          <w:color w:val="auto"/>
          <w:szCs w:val="21"/>
          <w:highlight w:val="none"/>
          <w:u w:val="single"/>
          <w:lang w:eastAsia="zh-CN"/>
        </w:rPr>
        <w:t>淳安县公路服务中心</w:t>
      </w:r>
      <w:r>
        <w:rPr>
          <w:rFonts w:hint="eastAsia" w:ascii="宋体" w:hAnsi="宋体" w:eastAsia="宋体" w:cs="宋体"/>
          <w:color w:val="auto"/>
          <w:szCs w:val="21"/>
          <w:highlight w:val="none"/>
        </w:rPr>
        <w:t>，建设资金来自</w:t>
      </w:r>
      <w:r>
        <w:rPr>
          <w:rFonts w:hint="eastAsia" w:ascii="宋体" w:hAnsi="宋体" w:cs="宋体"/>
          <w:color w:val="auto"/>
          <w:szCs w:val="21"/>
          <w:highlight w:val="none"/>
          <w:u w:val="single"/>
          <w:lang w:eastAsia="zh-CN"/>
        </w:rPr>
        <w:t>县财政出资及上级补助</w:t>
      </w:r>
      <w:r>
        <w:rPr>
          <w:rFonts w:hint="eastAsia" w:ascii="宋体" w:hAnsi="宋体" w:eastAsia="宋体" w:cs="宋体"/>
          <w:color w:val="auto"/>
          <w:szCs w:val="21"/>
          <w:highlight w:val="none"/>
        </w:rPr>
        <w:t>（资金来源），</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lang w:eastAsia="zh-CN"/>
        </w:rPr>
        <w:t>淳安县公路服务中心</w:t>
      </w:r>
      <w:r>
        <w:rPr>
          <w:rFonts w:hint="eastAsia" w:ascii="宋体" w:hAnsi="宋体" w:eastAsia="宋体" w:cs="宋体"/>
          <w:color w:val="auto"/>
          <w:szCs w:val="21"/>
          <w:highlight w:val="none"/>
        </w:rPr>
        <w:t>。项目已具备</w:t>
      </w:r>
      <w:r>
        <w:rPr>
          <w:rFonts w:hint="eastAsia" w:ascii="宋体" w:hAnsi="宋体" w:eastAsia="宋体" w:cs="宋体"/>
          <w:color w:val="auto"/>
          <w:szCs w:val="21"/>
          <w:highlight w:val="none"/>
          <w:lang w:eastAsia="zh-CN"/>
        </w:rPr>
        <w:t>交易条件</w:t>
      </w:r>
      <w:r>
        <w:rPr>
          <w:rFonts w:hint="eastAsia" w:ascii="宋体" w:hAnsi="宋体" w:eastAsia="宋体" w:cs="宋体"/>
          <w:color w:val="auto"/>
          <w:szCs w:val="21"/>
          <w:highlight w:val="none"/>
        </w:rPr>
        <w:t>，现对该项目的</w:t>
      </w:r>
      <w:r>
        <w:rPr>
          <w:rFonts w:hint="eastAsia" w:ascii="宋体" w:hAnsi="宋体" w:cs="宋体"/>
          <w:color w:val="auto"/>
          <w:szCs w:val="21"/>
          <w:highlight w:val="none"/>
          <w:u w:val="single"/>
          <w:lang w:eastAsia="zh-CN"/>
        </w:rPr>
        <w:t>隧道施工监控量测</w:t>
      </w:r>
      <w:r>
        <w:rPr>
          <w:rFonts w:hint="eastAsia" w:ascii="宋体" w:hAnsi="宋体" w:eastAsia="宋体" w:cs="宋体"/>
          <w:color w:val="auto"/>
          <w:szCs w:val="21"/>
          <w:highlight w:val="none"/>
        </w:rPr>
        <w:t>进行公开</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。本工程</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采用资格后审方式，资格审查条件（最低要求）详见</w:t>
      </w:r>
      <w:r>
        <w:rPr>
          <w:rFonts w:hint="eastAsia" w:ascii="宋体" w:hAnsi="宋体" w:eastAsia="宋体" w:cs="宋体"/>
          <w:color w:val="auto"/>
          <w:szCs w:val="21"/>
          <w:highlight w:val="none"/>
          <w:u w:val="single"/>
          <w:lang w:eastAsia="zh-CN"/>
        </w:rPr>
        <w:t>淳安县公共资源交易平台</w:t>
      </w: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eastAsia="zh-CN"/>
        </w:rPr>
        <w:t>交易公告</w:t>
      </w:r>
      <w:r>
        <w:rPr>
          <w:rFonts w:hint="eastAsia" w:ascii="宋体" w:hAnsi="宋体" w:eastAsia="宋体" w:cs="宋体"/>
          <w:color w:val="auto"/>
          <w:szCs w:val="21"/>
          <w:highlight w:val="none"/>
        </w:rPr>
        <w:t>媒体）。</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p>
    <w:p>
      <w:pPr>
        <w:pStyle w:val="97"/>
        <w:pageBreakBefore w:val="0"/>
        <w:wordWrap/>
        <w:overflowPunct/>
        <w:topLinePunct w:val="0"/>
        <w:bidi w:val="0"/>
        <w:spacing w:before="0" w:after="0" w:line="360" w:lineRule="auto"/>
        <w:ind w:right="0" w:rightChars="0"/>
        <w:outlineLvl w:val="0"/>
        <w:rPr>
          <w:rFonts w:hint="eastAsia" w:ascii="宋体" w:hAnsi="宋体" w:eastAsia="宋体" w:cs="宋体"/>
          <w:color w:val="auto"/>
          <w:highlight w:val="none"/>
          <w:lang w:eastAsia="zh-CN"/>
        </w:rPr>
      </w:pPr>
      <w:bookmarkStart w:id="6" w:name="_Toc286826575"/>
      <w:bookmarkStart w:id="7" w:name="_Toc286827072"/>
      <w:bookmarkStart w:id="8" w:name="_Toc286830188"/>
      <w:bookmarkStart w:id="9" w:name="_Toc11321"/>
      <w:r>
        <w:rPr>
          <w:rFonts w:hint="eastAsia" w:ascii="宋体" w:hAnsi="宋体" w:eastAsia="宋体" w:cs="宋体"/>
          <w:b/>
          <w:bCs/>
          <w:color w:val="auto"/>
          <w:highlight w:val="none"/>
        </w:rPr>
        <w:t>2．项目概况与</w:t>
      </w:r>
      <w:bookmarkEnd w:id="6"/>
      <w:bookmarkEnd w:id="7"/>
      <w:bookmarkEnd w:id="8"/>
      <w:r>
        <w:rPr>
          <w:rFonts w:hint="eastAsia" w:ascii="宋体" w:hAnsi="宋体" w:eastAsia="宋体" w:cs="宋体"/>
          <w:b/>
          <w:bCs/>
          <w:color w:val="auto"/>
          <w:highlight w:val="none"/>
          <w:lang w:eastAsia="zh-CN"/>
        </w:rPr>
        <w:t>交易范围</w:t>
      </w:r>
      <w:bookmarkEnd w:id="9"/>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建设地点：淳安县郑鸠线。</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项目概况：云岭隧道位于淳安线郑鸠线。云岭隧道桩号范围K55+470～K56+054，原隧道长584m，隧道净宽8.5m，净高4.5m。隧道于1999年11月建成，断面轮廓采用直墙式，衬砌结构为单层衬砌：洞口20m范围内为现浇混凝土衬砌；洞身直墙采用水泥砂浆砌粗料石衬砌，洞身拱部采用混凝土衬砌，洞门为端墙式暗洞门。</w:t>
      </w:r>
    </w:p>
    <w:p>
      <w:pPr>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原隧道明细表</w:t>
      </w:r>
    </w:p>
    <w:tbl>
      <w:tblPr>
        <w:tblStyle w:val="4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315"/>
        <w:gridCol w:w="1059"/>
        <w:gridCol w:w="1187"/>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隧道编号</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路线</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隧道名称</w:t>
            </w:r>
          </w:p>
        </w:tc>
        <w:tc>
          <w:tcPr>
            <w:tcW w:w="1315"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隧道中心桩号</w:t>
            </w:r>
          </w:p>
        </w:tc>
        <w:tc>
          <w:tcPr>
            <w:tcW w:w="1059"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隧道全长</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隧道宽</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车道数</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路面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87" w:type="dxa"/>
            <w:noWrap w:val="0"/>
            <w:vAlign w:val="center"/>
          </w:tcPr>
          <w:p>
            <w:pPr>
              <w:pStyle w:val="33"/>
              <w:ind w:left="0" w:leftChars="0"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郑鸠线</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云岭隧道</w:t>
            </w:r>
          </w:p>
        </w:tc>
        <w:tc>
          <w:tcPr>
            <w:tcW w:w="1315" w:type="dxa"/>
            <w:noWrap w:val="0"/>
            <w:vAlign w:val="center"/>
          </w:tcPr>
          <w:p>
            <w:pPr>
              <w:pStyle w:val="33"/>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K55+762</w:t>
            </w:r>
          </w:p>
        </w:tc>
        <w:tc>
          <w:tcPr>
            <w:tcW w:w="1059" w:type="dxa"/>
            <w:noWrap w:val="0"/>
            <w:vAlign w:val="center"/>
          </w:tcPr>
          <w:p>
            <w:pPr>
              <w:pStyle w:val="33"/>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584</w:t>
            </w:r>
          </w:p>
        </w:tc>
        <w:tc>
          <w:tcPr>
            <w:tcW w:w="1187" w:type="dxa"/>
            <w:noWrap w:val="0"/>
            <w:vAlign w:val="center"/>
          </w:tcPr>
          <w:p>
            <w:pPr>
              <w:pStyle w:val="33"/>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8.5</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双向两车道</w:t>
            </w:r>
          </w:p>
        </w:tc>
        <w:tc>
          <w:tcPr>
            <w:tcW w:w="1187" w:type="dxa"/>
            <w:noWrap w:val="0"/>
            <w:vAlign w:val="center"/>
          </w:tcPr>
          <w:p>
            <w:pPr>
              <w:pStyle w:val="33"/>
              <w:ind w:left="0" w:leftChars="0" w:firstLine="0" w:firstLineChars="0"/>
              <w:jc w:val="center"/>
              <w:rPr>
                <w:rFonts w:hint="eastAsia" w:eastAsia="宋体"/>
                <w:color w:val="auto"/>
                <w:highlight w:val="none"/>
                <w:vertAlign w:val="baseline"/>
                <w:lang w:eastAsia="zh-CN"/>
              </w:rPr>
            </w:pPr>
            <w:r>
              <w:rPr>
                <w:rFonts w:hint="eastAsia"/>
                <w:color w:val="auto"/>
                <w:highlight w:val="none"/>
                <w:vertAlign w:val="baseline"/>
                <w:lang w:eastAsia="zh-CN"/>
              </w:rPr>
              <w:t>沥青砼路面</w:t>
            </w:r>
          </w:p>
        </w:tc>
      </w:tr>
    </w:tbl>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本项目按三级公路 40km/h 提升改造原隧道，隧道提升改造后长 600m，隧道范围为 K55+462～K56+062，隧洞净空 9.0m×4.5m，隧道两端外各设50m过渡段顺接老路。</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本项目工程概算总投资2795.32万元，概算建安费2555.49万元。</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试验检测服务期：合同签订至所有试验检测报告提交且通过</w:t>
      </w:r>
      <w:r>
        <w:rPr>
          <w:rFonts w:hint="eastAsia" w:ascii="宋体" w:hAnsi="宋体" w:cs="宋体"/>
          <w:color w:val="auto"/>
          <w:szCs w:val="21"/>
          <w:highlight w:val="none"/>
          <w:lang w:eastAsia="zh-CN"/>
        </w:rPr>
        <w:t>竣（交）</w:t>
      </w:r>
      <w:r>
        <w:rPr>
          <w:rFonts w:hint="eastAsia" w:ascii="宋体" w:hAnsi="宋体" w:eastAsia="宋体" w:cs="宋体"/>
          <w:color w:val="auto"/>
          <w:szCs w:val="21"/>
          <w:highlight w:val="none"/>
          <w:lang w:eastAsia="zh-CN"/>
        </w:rPr>
        <w:t>工质量评定止。预计服务期</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个月（暂定</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日历天）。</w:t>
      </w:r>
      <w:r>
        <w:rPr>
          <w:rFonts w:hint="eastAsia" w:ascii="宋体" w:hAnsi="宋体" w:eastAsia="宋体" w:cs="宋体"/>
          <w:color w:val="auto"/>
          <w:szCs w:val="21"/>
          <w:highlight w:val="none"/>
        </w:rPr>
        <w:t xml:space="preserve"> </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交易范围</w:t>
      </w:r>
      <w:r>
        <w:rPr>
          <w:rFonts w:hint="eastAsia" w:ascii="宋体" w:hAnsi="宋体" w:eastAsia="宋体" w:cs="宋体"/>
          <w:color w:val="auto"/>
          <w:szCs w:val="21"/>
          <w:highlight w:val="none"/>
        </w:rPr>
        <w:t>：</w:t>
      </w:r>
    </w:p>
    <w:p>
      <w:pPr>
        <w:pStyle w:val="114"/>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w:t>
      </w:r>
      <w:r>
        <w:rPr>
          <w:rFonts w:hint="eastAsia" w:ascii="宋体" w:hAnsi="宋体" w:cs="宋体"/>
          <w:color w:val="auto"/>
          <w:szCs w:val="21"/>
          <w:highlight w:val="none"/>
          <w:lang w:eastAsia="zh-CN"/>
        </w:rPr>
        <w:t>隧道施工监控量测</w:t>
      </w:r>
      <w:r>
        <w:rPr>
          <w:rFonts w:hint="eastAsia" w:ascii="宋体" w:hAnsi="宋体" w:eastAsia="宋体" w:cs="宋体"/>
          <w:color w:val="auto"/>
          <w:szCs w:val="21"/>
          <w:highlight w:val="none"/>
        </w:rPr>
        <w:t>设1个标段为</w:t>
      </w:r>
      <w:r>
        <w:rPr>
          <w:rFonts w:hint="eastAsia" w:ascii="宋体" w:hAnsi="宋体" w:cs="宋体"/>
          <w:color w:val="auto"/>
          <w:szCs w:val="21"/>
          <w:highlight w:val="none"/>
          <w:lang w:eastAsia="zh-CN"/>
        </w:rPr>
        <w:t>第JKLC01标段</w:t>
      </w:r>
      <w:r>
        <w:rPr>
          <w:rFonts w:hint="eastAsia" w:ascii="宋体" w:hAnsi="宋体" w:eastAsia="宋体" w:cs="宋体"/>
          <w:color w:val="auto"/>
          <w:szCs w:val="21"/>
          <w:highlight w:val="none"/>
        </w:rPr>
        <w:t>，主要服务内容</w:t>
      </w:r>
      <w:r>
        <w:rPr>
          <w:rFonts w:hint="eastAsia" w:ascii="宋体" w:hAnsi="宋体" w:cs="宋体"/>
          <w:color w:val="auto"/>
          <w:szCs w:val="21"/>
          <w:highlight w:val="none"/>
          <w:lang w:eastAsia="zh-CN"/>
        </w:rPr>
        <w:t>：淳安县郑鸠线云岭隧道提升工程隧道施工监控量测</w:t>
      </w:r>
      <w:r>
        <w:rPr>
          <w:rFonts w:hint="eastAsia" w:ascii="宋体" w:hAnsi="宋体" w:eastAsia="宋体" w:cs="宋体"/>
          <w:color w:val="auto"/>
          <w:szCs w:val="21"/>
          <w:highlight w:val="none"/>
        </w:rPr>
        <w:t>等工作，出具调查及检测报告。具体检测内容详见报价清单表。</w:t>
      </w:r>
    </w:p>
    <w:p>
      <w:pPr>
        <w:pStyle w:val="114"/>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2.5试验检测标段划分：设1个检测标段</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即 </w:t>
      </w:r>
      <w:r>
        <w:rPr>
          <w:rFonts w:hint="eastAsia" w:ascii="宋体" w:hAnsi="宋体" w:cs="宋体"/>
          <w:color w:val="auto"/>
          <w:szCs w:val="21"/>
          <w:highlight w:val="none"/>
          <w:lang w:eastAsia="zh-CN"/>
        </w:rPr>
        <w:t>第JKLC01标段</w:t>
      </w:r>
      <w:r>
        <w:rPr>
          <w:rFonts w:hint="eastAsia" w:ascii="宋体" w:hAnsi="宋体" w:eastAsia="宋体" w:cs="宋体"/>
          <w:color w:val="auto"/>
          <w:szCs w:val="21"/>
          <w:highlight w:val="none"/>
        </w:rPr>
        <w:t>。</w:t>
      </w:r>
    </w:p>
    <w:p>
      <w:pPr>
        <w:pStyle w:val="97"/>
        <w:pageBreakBefore w:val="0"/>
        <w:wordWrap/>
        <w:overflowPunct/>
        <w:topLinePunct w:val="0"/>
        <w:bidi w:val="0"/>
        <w:spacing w:before="0" w:after="0" w:line="360" w:lineRule="auto"/>
        <w:ind w:right="0" w:rightChars="0"/>
        <w:outlineLvl w:val="0"/>
        <w:rPr>
          <w:rFonts w:hint="eastAsia" w:ascii="宋体" w:hAnsi="宋体" w:eastAsia="宋体" w:cs="宋体"/>
          <w:b/>
          <w:bCs/>
          <w:color w:val="auto"/>
          <w:highlight w:val="none"/>
        </w:rPr>
      </w:pPr>
      <w:bookmarkStart w:id="10" w:name="_Toc2587"/>
      <w:bookmarkStart w:id="11" w:name="_Toc286826576"/>
      <w:bookmarkStart w:id="12" w:name="_Toc286827073"/>
      <w:bookmarkStart w:id="13" w:name="_Toc286830189"/>
      <w:r>
        <w:rPr>
          <w:rFonts w:hint="eastAsia" w:ascii="宋体" w:hAnsi="宋体" w:eastAsia="宋体" w:cs="宋体"/>
          <w:b/>
          <w:bCs/>
          <w:color w:val="auto"/>
          <w:highlight w:val="none"/>
        </w:rPr>
        <w:t>3．</w:t>
      </w:r>
      <w:r>
        <w:rPr>
          <w:rFonts w:hint="eastAsia" w:ascii="宋体" w:hAnsi="宋体" w:eastAsia="宋体" w:cs="宋体"/>
          <w:b/>
          <w:bCs/>
          <w:color w:val="auto"/>
          <w:highlight w:val="none"/>
          <w:lang w:eastAsia="zh-CN"/>
        </w:rPr>
        <w:t>交易响应人</w:t>
      </w:r>
      <w:r>
        <w:rPr>
          <w:rFonts w:hint="eastAsia" w:ascii="宋体" w:hAnsi="宋体" w:eastAsia="宋体" w:cs="宋体"/>
          <w:b/>
          <w:bCs/>
          <w:color w:val="auto"/>
          <w:highlight w:val="none"/>
        </w:rPr>
        <w:t>资格要求</w:t>
      </w:r>
      <w:bookmarkEnd w:id="10"/>
      <w:bookmarkEnd w:id="11"/>
      <w:bookmarkEnd w:id="12"/>
      <w:bookmarkEnd w:id="13"/>
    </w:p>
    <w:p>
      <w:pPr>
        <w:pageBreakBefore w:val="0"/>
        <w:wordWrap/>
        <w:overflowPunct/>
        <w:topLinePunct w:val="0"/>
        <w:bidi w:val="0"/>
        <w:snapToGrid w:val="0"/>
        <w:spacing w:line="360" w:lineRule="auto"/>
        <w:ind w:right="0" w:rightChars="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本次</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具备独立法人资格</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其本身或内设机构具有交通运输部门核发的</w:t>
      </w:r>
      <w:r>
        <w:rPr>
          <w:rFonts w:hint="eastAsia" w:ascii="宋体" w:hAnsi="宋体" w:eastAsia="宋体" w:cs="宋体"/>
          <w:color w:val="auto"/>
          <w:szCs w:val="21"/>
          <w:highlight w:val="none"/>
          <w:u w:val="single"/>
          <w:lang w:eastAsia="zh-CN"/>
        </w:rPr>
        <w:t>公路工程综合</w:t>
      </w:r>
      <w:r>
        <w:rPr>
          <w:rFonts w:hint="eastAsia" w:ascii="宋体" w:hAnsi="宋体" w:cs="宋体"/>
          <w:color w:val="auto"/>
          <w:szCs w:val="21"/>
          <w:highlight w:val="none"/>
          <w:u w:val="single"/>
          <w:lang w:eastAsia="zh-CN"/>
        </w:rPr>
        <w:t>甲</w:t>
      </w:r>
      <w:r>
        <w:rPr>
          <w:rFonts w:hint="eastAsia" w:ascii="宋体" w:hAnsi="宋体" w:eastAsia="宋体" w:cs="宋体"/>
          <w:color w:val="auto"/>
          <w:szCs w:val="21"/>
          <w:highlight w:val="none"/>
          <w:u w:val="single"/>
          <w:lang w:eastAsia="zh-CN"/>
        </w:rPr>
        <w:t>级</w:t>
      </w:r>
      <w:r>
        <w:rPr>
          <w:rFonts w:hint="eastAsia" w:ascii="宋体" w:hAnsi="宋体" w:eastAsia="宋体" w:cs="宋体"/>
          <w:color w:val="auto"/>
          <w:szCs w:val="21"/>
          <w:highlight w:val="none"/>
        </w:rPr>
        <w:t>试验检测等级证书</w:t>
      </w:r>
      <w:r>
        <w:rPr>
          <w:rFonts w:hint="eastAsia" w:ascii="宋体" w:hAnsi="宋体" w:cs="宋体"/>
          <w:color w:val="auto"/>
          <w:szCs w:val="21"/>
          <w:highlight w:val="none"/>
          <w:lang w:eastAsia="zh-CN"/>
        </w:rPr>
        <w:t>或</w:t>
      </w:r>
      <w:r>
        <w:rPr>
          <w:rFonts w:hint="eastAsia" w:ascii="宋体" w:hAnsi="宋体" w:cs="宋体"/>
          <w:color w:val="auto"/>
          <w:szCs w:val="21"/>
          <w:highlight w:val="none"/>
          <w:u w:val="single"/>
          <w:lang w:eastAsia="zh-CN"/>
        </w:rPr>
        <w:t>桥梁隧道工程专项试验检测</w:t>
      </w:r>
      <w:r>
        <w:rPr>
          <w:rFonts w:hint="eastAsia" w:ascii="宋体" w:hAnsi="宋体" w:cs="宋体"/>
          <w:color w:val="auto"/>
          <w:szCs w:val="21"/>
          <w:highlight w:val="none"/>
          <w:lang w:eastAsia="zh-CN"/>
        </w:rPr>
        <w:t>等级证书</w:t>
      </w:r>
      <w:r>
        <w:rPr>
          <w:rFonts w:hint="eastAsia" w:ascii="宋体" w:hAnsi="宋体" w:eastAsia="宋体" w:cs="宋体"/>
          <w:color w:val="auto"/>
          <w:szCs w:val="21"/>
          <w:highlight w:val="none"/>
        </w:rPr>
        <w:t>；持有市场监督管理部门核发的有效企业法人营业执照或事业单位法人证书，具有省级市场监督管理部门核发的资质认定证书；并在人员组成结构、业绩、试验检测设备、履约信誉等方面满足强制性资格条件要求。</w:t>
      </w:r>
    </w:p>
    <w:p>
      <w:pPr>
        <w:pageBreakBefore w:val="0"/>
        <w:wordWrap/>
        <w:overflowPunct/>
        <w:topLinePunct w:val="0"/>
        <w:bidi w:val="0"/>
        <w:snapToGrid w:val="0"/>
        <w:spacing w:line="360" w:lineRule="auto"/>
        <w:ind w:right="0" w:rightChars="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名称和等级应与交通运输部“公路水运工程质量试验检测管理信息系统”中的相应机构名称和等级完全一致。</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本次</w:t>
      </w:r>
      <w:r>
        <w:rPr>
          <w:rFonts w:hint="eastAsia" w:ascii="宋体" w:hAnsi="宋体" w:eastAsia="宋体" w:cs="宋体"/>
          <w:color w:val="auto"/>
          <w:szCs w:val="21"/>
          <w:highlight w:val="none"/>
          <w:lang w:val="en-US" w:eastAsia="zh-CN"/>
        </w:rPr>
        <w:t>交易</w:t>
      </w:r>
      <w:r>
        <w:rPr>
          <w:rFonts w:hint="eastAsia" w:ascii="宋体" w:hAnsi="宋体" w:eastAsia="宋体" w:cs="宋体"/>
          <w:color w:val="auto"/>
          <w:szCs w:val="21"/>
          <w:highlight w:val="none"/>
        </w:rPr>
        <w:t>不接受联合体</w:t>
      </w:r>
      <w:r>
        <w:rPr>
          <w:rFonts w:hint="eastAsia" w:ascii="宋体" w:hAnsi="宋体" w:eastAsia="宋体" w:cs="宋体"/>
          <w:color w:val="auto"/>
          <w:szCs w:val="21"/>
          <w:highlight w:val="none"/>
          <w:lang w:val="en-US" w:eastAsia="zh-CN"/>
        </w:rPr>
        <w:t>交易响应</w:t>
      </w:r>
      <w:r>
        <w:rPr>
          <w:rFonts w:hint="eastAsia" w:ascii="宋体" w:hAnsi="宋体" w:eastAsia="宋体" w:cs="宋体"/>
          <w:color w:val="auto"/>
          <w:szCs w:val="21"/>
          <w:highlight w:val="none"/>
        </w:rPr>
        <w:t>。</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存在利害关系可能影响</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公正性的法人、其他组织或者个人，不得参加</w:t>
      </w:r>
      <w:r>
        <w:rPr>
          <w:rFonts w:hint="eastAsia" w:ascii="宋体" w:hAnsi="宋体" w:eastAsia="宋体" w:cs="宋体"/>
          <w:color w:val="auto"/>
          <w:szCs w:val="21"/>
          <w:highlight w:val="none"/>
          <w:lang w:val="en-US" w:eastAsia="zh-CN"/>
        </w:rPr>
        <w:t>交易响应</w:t>
      </w:r>
      <w:r>
        <w:rPr>
          <w:rFonts w:hint="eastAsia" w:ascii="宋体" w:hAnsi="宋体" w:eastAsia="宋体" w:cs="宋体"/>
          <w:color w:val="auto"/>
          <w:szCs w:val="21"/>
          <w:highlight w:val="none"/>
        </w:rPr>
        <w:t>；单位负责人为同一人或者存在控股（含法定代表人控股）、管理关系的不同单位，</w:t>
      </w:r>
      <w:r>
        <w:rPr>
          <w:rFonts w:hint="eastAsia" w:ascii="宋体" w:hAnsi="宋体" w:eastAsia="宋体" w:cs="宋体"/>
          <w:color w:val="auto"/>
          <w:szCs w:val="21"/>
          <w:highlight w:val="none"/>
          <w:lang w:eastAsia="zh-CN"/>
        </w:rPr>
        <w:t>不得同时参加同一标段交易响应，否则均按否决交易响应处理</w:t>
      </w:r>
      <w:r>
        <w:rPr>
          <w:rFonts w:hint="eastAsia" w:ascii="宋体" w:hAnsi="宋体" w:eastAsia="宋体" w:cs="宋体"/>
          <w:color w:val="auto"/>
          <w:szCs w:val="21"/>
          <w:highlight w:val="none"/>
        </w:rPr>
        <w:t>。</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在“信用中国”网站中被列入失信被执行人名单的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不得参加交易响应</w:t>
      </w:r>
      <w:r>
        <w:rPr>
          <w:rFonts w:hint="eastAsia" w:ascii="宋体" w:hAnsi="宋体" w:eastAsia="宋体" w:cs="宋体"/>
          <w:color w:val="auto"/>
          <w:szCs w:val="21"/>
          <w:highlight w:val="none"/>
        </w:rPr>
        <w:t>。</w:t>
      </w:r>
    </w:p>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p>
    <w:p>
      <w:pPr>
        <w:pStyle w:val="97"/>
        <w:pageBreakBefore w:val="0"/>
        <w:wordWrap/>
        <w:overflowPunct/>
        <w:topLinePunct w:val="0"/>
        <w:bidi w:val="0"/>
        <w:spacing w:before="0" w:after="0" w:line="360" w:lineRule="auto"/>
        <w:ind w:right="0" w:rightChars="0"/>
        <w:outlineLvl w:val="0"/>
        <w:rPr>
          <w:rFonts w:hint="eastAsia" w:ascii="宋体" w:hAnsi="宋体" w:eastAsia="宋体" w:cs="宋体"/>
          <w:b/>
          <w:bCs/>
          <w:color w:val="auto"/>
          <w:highlight w:val="none"/>
          <w:lang w:eastAsia="zh-CN"/>
        </w:rPr>
      </w:pPr>
      <w:bookmarkStart w:id="14" w:name="_Toc286827074"/>
      <w:bookmarkStart w:id="15" w:name="_Toc286830190"/>
      <w:bookmarkStart w:id="16" w:name="_Toc286826577"/>
      <w:bookmarkStart w:id="17" w:name="_Toc2916"/>
      <w:r>
        <w:rPr>
          <w:rFonts w:hint="eastAsia" w:ascii="宋体" w:hAnsi="宋体" w:eastAsia="宋体" w:cs="宋体"/>
          <w:b/>
          <w:bCs/>
          <w:color w:val="auto"/>
          <w:highlight w:val="none"/>
        </w:rPr>
        <w:t>4．</w:t>
      </w:r>
      <w:bookmarkEnd w:id="14"/>
      <w:bookmarkEnd w:id="15"/>
      <w:bookmarkEnd w:id="16"/>
      <w:r>
        <w:rPr>
          <w:rFonts w:hint="eastAsia" w:ascii="宋体" w:hAnsi="宋体" w:eastAsia="宋体" w:cs="宋体"/>
          <w:b/>
          <w:bCs/>
          <w:color w:val="auto"/>
          <w:highlight w:val="none"/>
          <w:lang w:eastAsia="zh-CN"/>
        </w:rPr>
        <w:t>交易文件的获取</w:t>
      </w:r>
      <w:bookmarkEnd w:id="17"/>
    </w:p>
    <w:p>
      <w:pPr>
        <w:pageBreakBefore w:val="0"/>
        <w:wordWrap/>
        <w:overflowPunct/>
        <w:topLinePunct w:val="0"/>
        <w:bidi w:val="0"/>
        <w:spacing w:line="360" w:lineRule="auto"/>
        <w:ind w:right="0" w:rightChars="0" w:firstLine="420" w:firstLineChars="200"/>
        <w:rPr>
          <w:rFonts w:hint="eastAsia" w:ascii="宋体" w:hAnsi="宋体" w:eastAsia="宋体" w:cs="宋体"/>
          <w:snapToGrid w:val="0"/>
          <w:color w:val="auto"/>
          <w:highlight w:val="none"/>
        </w:rPr>
      </w:pPr>
      <w:bookmarkStart w:id="18" w:name="_Toc286827075"/>
      <w:bookmarkStart w:id="19" w:name="_Toc286826578"/>
      <w:bookmarkStart w:id="20" w:name="_Toc286830191"/>
      <w:r>
        <w:rPr>
          <w:rFonts w:hint="eastAsia" w:ascii="宋体" w:hAnsi="宋体" w:eastAsia="宋体" w:cs="宋体"/>
          <w:snapToGrid w:val="0"/>
          <w:color w:val="auto"/>
          <w:highlight w:val="none"/>
        </w:rPr>
        <w:t>4.1 本项目</w:t>
      </w:r>
      <w:r>
        <w:rPr>
          <w:rFonts w:hint="eastAsia" w:ascii="宋体" w:hAnsi="宋体" w:eastAsia="宋体" w:cs="宋体"/>
          <w:snapToGrid w:val="0"/>
          <w:color w:val="auto"/>
          <w:highlight w:val="none"/>
          <w:lang w:val="en-US" w:eastAsia="zh-CN"/>
        </w:rPr>
        <w:t>交易</w:t>
      </w:r>
      <w:r>
        <w:rPr>
          <w:rFonts w:hint="eastAsia" w:ascii="宋体" w:hAnsi="宋体" w:eastAsia="宋体" w:cs="宋体"/>
          <w:snapToGrid w:val="0"/>
          <w:color w:val="auto"/>
          <w:highlight w:val="none"/>
        </w:rPr>
        <w:t>文件和补充（答疑、澄清）、修改文件以网上下载方式发放。</w:t>
      </w:r>
    </w:p>
    <w:p>
      <w:pPr>
        <w:pageBreakBefore w:val="0"/>
        <w:wordWrap/>
        <w:overflowPunct/>
        <w:topLinePunct w:val="0"/>
        <w:bidi w:val="0"/>
        <w:spacing w:line="360" w:lineRule="auto"/>
        <w:ind w:right="0" w:rightChars="0" w:firstLine="42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4.2 </w:t>
      </w:r>
      <w:r>
        <w:rPr>
          <w:rFonts w:hint="eastAsia" w:ascii="宋体" w:hAnsi="宋体" w:eastAsia="宋体" w:cs="宋体"/>
          <w:snapToGrid w:val="0"/>
          <w:color w:val="auto"/>
          <w:highlight w:val="none"/>
          <w:lang w:val="en-US" w:eastAsia="zh-CN"/>
        </w:rPr>
        <w:t>交易</w:t>
      </w:r>
      <w:r>
        <w:rPr>
          <w:rFonts w:hint="eastAsia" w:ascii="宋体" w:hAnsi="宋体" w:eastAsia="宋体" w:cs="宋体"/>
          <w:snapToGrid w:val="0"/>
          <w:color w:val="auto"/>
          <w:highlight w:val="none"/>
        </w:rPr>
        <w:t>文件网上下载时间：</w:t>
      </w:r>
      <w:r>
        <w:rPr>
          <w:rFonts w:hint="eastAsia" w:ascii="宋体" w:hAnsi="宋体" w:eastAsia="宋体" w:cs="宋体"/>
          <w:color w:val="auto"/>
          <w:highlight w:val="none"/>
          <w:u w:val="single"/>
          <w:lang w:eastAsia="zh-CN"/>
        </w:rPr>
        <w:t>交易公告</w:t>
      </w:r>
      <w:r>
        <w:rPr>
          <w:rFonts w:hint="eastAsia" w:ascii="宋体" w:hAnsi="宋体" w:eastAsia="宋体" w:cs="宋体"/>
          <w:color w:val="auto"/>
          <w:highlight w:val="none"/>
          <w:u w:val="single"/>
        </w:rPr>
        <w:t>发布之日起</w:t>
      </w:r>
      <w:r>
        <w:rPr>
          <w:rFonts w:hint="eastAsia" w:ascii="宋体" w:hAnsi="宋体" w:eastAsia="宋体" w:cs="宋体"/>
          <w:snapToGrid w:val="0"/>
          <w:color w:val="auto"/>
          <w:highlight w:val="none"/>
        </w:rPr>
        <w:t>至</w:t>
      </w:r>
      <w:r>
        <w:rPr>
          <w:rFonts w:hint="eastAsia" w:ascii="宋体" w:hAnsi="宋体" w:eastAsia="宋体" w:cs="宋体"/>
          <w:color w:val="auto"/>
          <w:highlight w:val="none"/>
          <w:u w:val="single"/>
          <w:lang w:val="en-US" w:eastAsia="zh-CN"/>
        </w:rPr>
        <w:t>交易响应</w:t>
      </w:r>
      <w:r>
        <w:rPr>
          <w:rFonts w:hint="eastAsia" w:ascii="宋体" w:hAnsi="宋体" w:eastAsia="宋体" w:cs="宋体"/>
          <w:color w:val="auto"/>
          <w:highlight w:val="none"/>
          <w:u w:val="single"/>
        </w:rPr>
        <w:t>截止时间</w:t>
      </w:r>
      <w:r>
        <w:rPr>
          <w:rFonts w:hint="eastAsia" w:ascii="宋体" w:hAnsi="宋体" w:eastAsia="宋体" w:cs="宋体"/>
          <w:snapToGrid w:val="0"/>
          <w:color w:val="auto"/>
          <w:highlight w:val="none"/>
        </w:rPr>
        <w:t>。</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 潜在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可</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lang w:eastAsia="zh-CN"/>
        </w:rPr>
        <w:t>淳安县公共资源交易平台</w:t>
      </w:r>
      <w:r>
        <w:rPr>
          <w:rFonts w:hint="eastAsia" w:ascii="宋体" w:hAnsi="宋体" w:eastAsia="宋体" w:cs="宋体"/>
          <w:color w:val="auto"/>
          <w:highlight w:val="none"/>
        </w:rPr>
        <w:t>（以下简称“交易平台”），在本</w:t>
      </w:r>
      <w:r>
        <w:rPr>
          <w:rFonts w:hint="eastAsia" w:ascii="宋体" w:hAnsi="宋体" w:eastAsia="宋体" w:cs="宋体"/>
          <w:color w:val="auto"/>
          <w:highlight w:val="none"/>
          <w:lang w:eastAsia="zh-CN"/>
        </w:rPr>
        <w:t>交易项目交易公告</w:t>
      </w:r>
      <w:r>
        <w:rPr>
          <w:rFonts w:hint="eastAsia" w:ascii="宋体" w:hAnsi="宋体" w:eastAsia="宋体" w:cs="宋体"/>
          <w:color w:val="auto"/>
          <w:highlight w:val="none"/>
        </w:rPr>
        <w:t>的下方“相关附件”栏下载</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 xml:space="preserve">及相关资料。 </w:t>
      </w:r>
    </w:p>
    <w:p>
      <w:pPr>
        <w:pageBreakBefore w:val="0"/>
        <w:kinsoku/>
        <w:wordWrap/>
        <w:overflowPunct/>
        <w:topLinePunct w:val="0"/>
        <w:bidi w:val="0"/>
        <w:spacing w:line="360" w:lineRule="auto"/>
        <w:ind w:right="0" w:righ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 潜在</w:t>
      </w:r>
      <w:r>
        <w:rPr>
          <w:rFonts w:hint="eastAsia" w:ascii="宋体" w:hAnsi="宋体" w:eastAsia="宋体" w:cs="宋体"/>
          <w:bCs/>
          <w:color w:val="auto"/>
          <w:szCs w:val="21"/>
          <w:highlight w:val="none"/>
          <w:lang w:eastAsia="zh-CN"/>
        </w:rPr>
        <w:t>交易响应人</w:t>
      </w:r>
      <w:r>
        <w:rPr>
          <w:rFonts w:hint="eastAsia" w:ascii="宋体" w:hAnsi="宋体" w:eastAsia="宋体" w:cs="宋体"/>
          <w:bCs/>
          <w:color w:val="auto"/>
          <w:szCs w:val="21"/>
          <w:highlight w:val="none"/>
        </w:rPr>
        <w:t>对</w:t>
      </w:r>
      <w:r>
        <w:rPr>
          <w:rFonts w:hint="eastAsia" w:ascii="宋体" w:hAnsi="宋体" w:eastAsia="宋体" w:cs="宋体"/>
          <w:bCs/>
          <w:color w:val="auto"/>
          <w:szCs w:val="21"/>
          <w:highlight w:val="none"/>
          <w:lang w:eastAsia="zh-CN"/>
        </w:rPr>
        <w:t>交易文件</w:t>
      </w:r>
      <w:r>
        <w:rPr>
          <w:rFonts w:hint="eastAsia" w:ascii="宋体" w:hAnsi="宋体" w:eastAsia="宋体" w:cs="宋体"/>
          <w:bCs/>
          <w:color w:val="auto"/>
          <w:szCs w:val="21"/>
          <w:highlight w:val="none"/>
        </w:rPr>
        <w:t>有疑问的，</w:t>
      </w:r>
      <w:r>
        <w:rPr>
          <w:rFonts w:hint="eastAsia" w:ascii="宋体" w:hAnsi="宋体" w:eastAsia="宋体" w:cs="宋体"/>
          <w:bCs/>
          <w:color w:val="auto"/>
          <w:szCs w:val="21"/>
          <w:highlight w:val="none"/>
          <w:lang w:eastAsia="zh-CN"/>
        </w:rPr>
        <w:t>可通过</w:t>
      </w:r>
      <w:r>
        <w:rPr>
          <w:rFonts w:hint="eastAsia" w:ascii="宋体" w:hAnsi="宋体" w:eastAsia="宋体" w:cs="宋体"/>
          <w:bCs/>
          <w:color w:val="auto"/>
          <w:szCs w:val="21"/>
          <w:highlight w:val="none"/>
          <w:lang w:val="en-US" w:eastAsia="zh-CN"/>
        </w:rPr>
        <w:t>邮箱</w:t>
      </w:r>
      <w:r>
        <w:rPr>
          <w:rFonts w:hint="eastAsia" w:ascii="宋体" w:hAnsi="宋体" w:eastAsia="宋体" w:cs="宋体"/>
          <w:bCs/>
          <w:color w:val="auto"/>
          <w:szCs w:val="21"/>
          <w:highlight w:val="none"/>
        </w:rPr>
        <w:t>向</w:t>
      </w:r>
      <w:r>
        <w:rPr>
          <w:rFonts w:hint="eastAsia" w:ascii="宋体" w:hAnsi="宋体" w:eastAsia="宋体" w:cs="宋体"/>
          <w:bCs/>
          <w:color w:val="auto"/>
          <w:szCs w:val="21"/>
          <w:highlight w:val="none"/>
          <w:lang w:eastAsia="zh-CN"/>
        </w:rPr>
        <w:t>交易发起人（或</w:t>
      </w:r>
      <w:r>
        <w:rPr>
          <w:rFonts w:hint="eastAsia" w:ascii="宋体" w:hAnsi="宋体" w:eastAsia="宋体" w:cs="宋体"/>
          <w:bCs/>
          <w:color w:val="auto"/>
          <w:szCs w:val="21"/>
          <w:highlight w:val="none"/>
        </w:rPr>
        <w:t>招标</w:t>
      </w:r>
      <w:r>
        <w:rPr>
          <w:rFonts w:hint="eastAsia" w:ascii="宋体" w:hAnsi="宋体" w:eastAsia="宋体" w:cs="宋体"/>
          <w:bCs/>
          <w:color w:val="auto"/>
          <w:szCs w:val="21"/>
          <w:highlight w:val="none"/>
          <w:lang w:eastAsia="zh-CN"/>
        </w:rPr>
        <w:t>代理）</w:t>
      </w:r>
      <w:r>
        <w:rPr>
          <w:rFonts w:hint="eastAsia" w:ascii="宋体" w:hAnsi="宋体" w:eastAsia="宋体" w:cs="宋体"/>
          <w:bCs/>
          <w:color w:val="auto"/>
          <w:szCs w:val="21"/>
          <w:highlight w:val="none"/>
        </w:rPr>
        <w:t>提出。提交疑问截止日为 202</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04</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 xml:space="preserve">25 </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16</w:t>
      </w:r>
      <w:r>
        <w:rPr>
          <w:rFonts w:hint="eastAsia" w:ascii="宋体" w:hAnsi="宋体" w:eastAsia="宋体" w:cs="宋体"/>
          <w:bCs/>
          <w:color w:val="auto"/>
          <w:szCs w:val="21"/>
          <w:highlight w:val="none"/>
        </w:rPr>
        <w:t>时00分止（北京时间，下同）。</w:t>
      </w:r>
      <w:r>
        <w:rPr>
          <w:rFonts w:hint="eastAsia" w:ascii="宋体" w:hAnsi="宋体" w:eastAsia="宋体" w:cs="宋体"/>
          <w:bCs/>
          <w:color w:val="auto"/>
          <w:szCs w:val="21"/>
          <w:highlight w:val="none"/>
          <w:lang w:eastAsia="zh-CN"/>
        </w:rPr>
        <w:t>交易发起人</w:t>
      </w:r>
      <w:r>
        <w:rPr>
          <w:rFonts w:hint="eastAsia" w:ascii="宋体" w:hAnsi="宋体" w:eastAsia="宋体" w:cs="宋体"/>
          <w:bCs/>
          <w:color w:val="auto"/>
          <w:szCs w:val="21"/>
          <w:highlight w:val="none"/>
        </w:rPr>
        <w:t>将202</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04</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27</w:t>
      </w:r>
      <w:r>
        <w:rPr>
          <w:rFonts w:hint="eastAsia" w:ascii="宋体" w:hAnsi="宋体" w:eastAsia="宋体" w:cs="宋体"/>
          <w:bCs/>
          <w:color w:val="auto"/>
          <w:szCs w:val="21"/>
          <w:highlight w:val="none"/>
        </w:rPr>
        <w:t>日在淳安县公共资源交易平台网上发布补充（答疑、澄清、修改）文件。潜在</w:t>
      </w:r>
      <w:r>
        <w:rPr>
          <w:rFonts w:hint="eastAsia" w:ascii="宋体" w:hAnsi="宋体" w:eastAsia="宋体" w:cs="宋体"/>
          <w:bCs/>
          <w:color w:val="auto"/>
          <w:szCs w:val="21"/>
          <w:highlight w:val="none"/>
          <w:lang w:eastAsia="zh-CN"/>
        </w:rPr>
        <w:t>交易响应人</w:t>
      </w:r>
      <w:r>
        <w:rPr>
          <w:rFonts w:hint="eastAsia" w:ascii="宋体" w:hAnsi="宋体" w:eastAsia="宋体" w:cs="宋体"/>
          <w:bCs/>
          <w:color w:val="auto"/>
          <w:szCs w:val="21"/>
          <w:highlight w:val="none"/>
        </w:rPr>
        <w:t>应自行关注网站公告，</w:t>
      </w:r>
      <w:r>
        <w:rPr>
          <w:rFonts w:hint="eastAsia" w:ascii="宋体" w:hAnsi="宋体" w:eastAsia="宋体" w:cs="宋体"/>
          <w:bCs/>
          <w:color w:val="auto"/>
          <w:szCs w:val="21"/>
          <w:highlight w:val="none"/>
          <w:lang w:eastAsia="zh-CN"/>
        </w:rPr>
        <w:t>交易发起人</w:t>
      </w:r>
      <w:r>
        <w:rPr>
          <w:rFonts w:hint="eastAsia" w:ascii="宋体" w:hAnsi="宋体" w:eastAsia="宋体" w:cs="宋体"/>
          <w:bCs/>
          <w:color w:val="auto"/>
          <w:szCs w:val="21"/>
          <w:highlight w:val="none"/>
        </w:rPr>
        <w:t>不再一一通知。</w:t>
      </w:r>
      <w:r>
        <w:rPr>
          <w:rFonts w:hint="eastAsia" w:ascii="宋体" w:hAnsi="宋体" w:eastAsia="宋体" w:cs="宋体"/>
          <w:bCs/>
          <w:color w:val="auto"/>
          <w:szCs w:val="21"/>
          <w:highlight w:val="none"/>
          <w:lang w:eastAsia="zh-CN"/>
        </w:rPr>
        <w:t>交易响应人</w:t>
      </w:r>
      <w:r>
        <w:rPr>
          <w:rFonts w:hint="eastAsia" w:ascii="宋体" w:hAnsi="宋体" w:eastAsia="宋体" w:cs="宋体"/>
          <w:bCs/>
          <w:color w:val="auto"/>
          <w:szCs w:val="21"/>
          <w:highlight w:val="none"/>
        </w:rPr>
        <w:t>因自身贻误行为导致</w:t>
      </w:r>
      <w:r>
        <w:rPr>
          <w:rFonts w:hint="eastAsia" w:ascii="宋体" w:hAnsi="宋体" w:eastAsia="宋体" w:cs="宋体"/>
          <w:bCs/>
          <w:color w:val="auto"/>
          <w:szCs w:val="21"/>
          <w:highlight w:val="none"/>
          <w:lang w:eastAsia="zh-CN"/>
        </w:rPr>
        <w:t>交易响应</w:t>
      </w:r>
      <w:r>
        <w:rPr>
          <w:rFonts w:hint="eastAsia" w:ascii="宋体" w:hAnsi="宋体" w:eastAsia="宋体" w:cs="宋体"/>
          <w:bCs/>
          <w:color w:val="auto"/>
          <w:szCs w:val="21"/>
          <w:highlight w:val="none"/>
        </w:rPr>
        <w:t>失败的，责任自负。</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易文件</w:t>
      </w:r>
      <w:r>
        <w:rPr>
          <w:rFonts w:hint="eastAsia" w:ascii="宋体" w:hAnsi="宋体" w:eastAsia="宋体" w:cs="宋体"/>
          <w:bCs/>
          <w:color w:val="auto"/>
          <w:szCs w:val="21"/>
          <w:highlight w:val="none"/>
        </w:rPr>
        <w:t>每套售价</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元，售后不退。</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bCs/>
          <w:color w:val="auto"/>
          <w:szCs w:val="21"/>
          <w:highlight w:val="none"/>
        </w:rPr>
      </w:pPr>
    </w:p>
    <w:p>
      <w:pPr>
        <w:pStyle w:val="97"/>
        <w:pageBreakBefore w:val="0"/>
        <w:wordWrap/>
        <w:overflowPunct/>
        <w:topLinePunct w:val="0"/>
        <w:bidi w:val="0"/>
        <w:spacing w:before="0" w:after="0" w:line="360" w:lineRule="auto"/>
        <w:ind w:right="0" w:rightChars="0"/>
        <w:rPr>
          <w:rFonts w:hint="eastAsia" w:ascii="宋体" w:hAnsi="宋体" w:eastAsia="宋体" w:cs="宋体"/>
          <w:b/>
          <w:bCs/>
          <w:color w:val="auto"/>
          <w:highlight w:val="none"/>
          <w:lang w:eastAsia="zh-CN"/>
        </w:rPr>
      </w:pPr>
      <w:bookmarkStart w:id="21" w:name="_Toc17646"/>
      <w:r>
        <w:rPr>
          <w:rFonts w:hint="eastAsia" w:ascii="宋体" w:hAnsi="宋体" w:eastAsia="宋体" w:cs="宋体"/>
          <w:b/>
          <w:bCs/>
          <w:color w:val="auto"/>
          <w:highlight w:val="none"/>
        </w:rPr>
        <w:t>5．</w:t>
      </w:r>
      <w:bookmarkEnd w:id="18"/>
      <w:bookmarkEnd w:id="19"/>
      <w:bookmarkEnd w:id="20"/>
      <w:r>
        <w:rPr>
          <w:rFonts w:hint="eastAsia" w:ascii="宋体" w:hAnsi="宋体" w:eastAsia="宋体" w:cs="宋体"/>
          <w:b/>
          <w:bCs/>
          <w:color w:val="auto"/>
          <w:highlight w:val="none"/>
          <w:lang w:eastAsia="zh-CN"/>
        </w:rPr>
        <w:t>交易文件的递交及相关事宜</w:t>
      </w:r>
      <w:bookmarkEnd w:id="21"/>
    </w:p>
    <w:p>
      <w:pPr>
        <w:pStyle w:val="112"/>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bookmarkStart w:id="22" w:name="_Toc286826579"/>
      <w:bookmarkStart w:id="23" w:name="_Toc286830192"/>
      <w:bookmarkStart w:id="24" w:name="_Toc286827076"/>
      <w:r>
        <w:rPr>
          <w:rFonts w:hint="eastAsia" w:ascii="宋体" w:hAnsi="宋体" w:eastAsia="宋体" w:cs="宋体"/>
          <w:color w:val="auto"/>
          <w:szCs w:val="21"/>
          <w:highlight w:val="none"/>
        </w:rPr>
        <w:t>5.1 交易发起人不组织进行工程现场踏勘及交易响应预备会。</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5.2 </w:t>
      </w:r>
      <w:r>
        <w:rPr>
          <w:rFonts w:hint="eastAsia" w:ascii="宋体" w:hAnsi="宋体" w:eastAsia="宋体" w:cs="宋体"/>
          <w:color w:val="auto"/>
          <w:szCs w:val="21"/>
          <w:highlight w:val="none"/>
        </w:rPr>
        <w:t>交易响应文件递交的截止时间（交易响应截止时间，下同）为202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（北京时间，下同），交易响应人应于当日</w:t>
      </w:r>
      <w:r>
        <w:rPr>
          <w:rFonts w:hint="eastAsia" w:ascii="宋体" w:hAnsi="宋体" w:cs="宋体"/>
          <w:color w:val="auto"/>
          <w:szCs w:val="21"/>
          <w:highlight w:val="none"/>
          <w:lang w:val="en-US" w:eastAsia="zh-CN"/>
        </w:rPr>
        <w:t>08:30~09:30</w:t>
      </w:r>
      <w:r>
        <w:rPr>
          <w:rFonts w:hint="eastAsia" w:ascii="宋体" w:hAnsi="宋体" w:eastAsia="宋体" w:cs="宋体"/>
          <w:color w:val="auto"/>
          <w:szCs w:val="21"/>
          <w:highlight w:val="none"/>
        </w:rPr>
        <w:t>将交易响应文件递交至淳安县公共资源交易中心（地址：淳安县千岛湖镇环湖北路375号（淳安县行政审批管理委员会办公室）商务大楼五楼第三</w:t>
      </w:r>
      <w:r>
        <w:rPr>
          <w:rFonts w:hint="eastAsia" w:ascii="宋体" w:hAnsi="宋体" w:eastAsia="宋体" w:cs="宋体"/>
          <w:color w:val="auto"/>
          <w:szCs w:val="21"/>
          <w:highlight w:val="none"/>
          <w:lang w:val="en-US" w:eastAsia="zh-CN"/>
        </w:rPr>
        <w:t>开标室</w:t>
      </w:r>
      <w:r>
        <w:rPr>
          <w:rFonts w:hint="eastAsia" w:ascii="宋体" w:hAnsi="宋体" w:eastAsia="宋体" w:cs="宋体"/>
          <w:color w:val="auto"/>
          <w:szCs w:val="21"/>
          <w:highlight w:val="none"/>
        </w:rPr>
        <w:t>。</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5.3逾期送达的或者未送达指定地点或未按要求密封包装的交易响应文件，交易发起人不予受理。</w:t>
      </w:r>
    </w:p>
    <w:p>
      <w:pPr>
        <w:pStyle w:val="112"/>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p>
    <w:p>
      <w:pPr>
        <w:pStyle w:val="97"/>
        <w:pageBreakBefore w:val="0"/>
        <w:wordWrap/>
        <w:overflowPunct/>
        <w:topLinePunct w:val="0"/>
        <w:bidi w:val="0"/>
        <w:spacing w:before="0" w:after="0" w:line="360" w:lineRule="auto"/>
        <w:ind w:right="0" w:rightChars="0"/>
        <w:rPr>
          <w:rFonts w:hint="eastAsia" w:ascii="宋体" w:hAnsi="宋体" w:eastAsia="宋体" w:cs="宋体"/>
          <w:b/>
          <w:bCs/>
          <w:color w:val="auto"/>
          <w:highlight w:val="none"/>
        </w:rPr>
      </w:pPr>
      <w:bookmarkStart w:id="25" w:name="_Toc30093"/>
      <w:r>
        <w:rPr>
          <w:rFonts w:hint="eastAsia" w:ascii="宋体" w:hAnsi="宋体" w:eastAsia="宋体" w:cs="宋体"/>
          <w:b/>
          <w:bCs/>
          <w:color w:val="auto"/>
          <w:highlight w:val="none"/>
        </w:rPr>
        <w:t>6．发布公告的媒介</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Cs w:val="21"/>
          <w:highlight w:val="none"/>
        </w:rPr>
      </w:pPr>
      <w:bookmarkStart w:id="26" w:name="_Toc286827077"/>
      <w:bookmarkStart w:id="27" w:name="_Toc286826580"/>
      <w:bookmarkStart w:id="28" w:name="_Toc286830193"/>
      <w:r>
        <w:rPr>
          <w:rFonts w:hint="eastAsia" w:ascii="宋体" w:hAnsi="宋体" w:eastAsia="宋体" w:cs="宋体"/>
          <w:color w:val="auto"/>
          <w:szCs w:val="21"/>
          <w:highlight w:val="none"/>
          <w:lang w:eastAsia="zh-CN"/>
        </w:rPr>
        <w:t>交易公告</w:t>
      </w:r>
      <w:r>
        <w:rPr>
          <w:rFonts w:hint="eastAsia" w:ascii="宋体" w:hAnsi="宋体" w:cs="宋体"/>
          <w:color w:val="auto"/>
          <w:szCs w:val="21"/>
          <w:highlight w:val="none"/>
          <w:lang w:eastAsia="zh-CN"/>
        </w:rPr>
        <w:t>下载地址：</w:t>
      </w:r>
      <w:r>
        <w:rPr>
          <w:rFonts w:hint="eastAsia" w:ascii="宋体" w:hAnsi="宋体" w:eastAsia="宋体" w:cs="宋体"/>
          <w:color w:val="auto"/>
          <w:highlight w:val="none"/>
          <w:u w:val="none"/>
          <w:lang w:eastAsia="zh-CN"/>
        </w:rPr>
        <w:t>淳安县公共资源交易平台</w:t>
      </w:r>
      <w:r>
        <w:rPr>
          <w:rFonts w:hint="eastAsia" w:ascii="宋体" w:hAnsi="宋体" w:eastAsia="宋体" w:cs="宋体"/>
          <w:color w:val="auto"/>
          <w:szCs w:val="21"/>
          <w:highlight w:val="none"/>
        </w:rPr>
        <w:t>。</w:t>
      </w:r>
    </w:p>
    <w:p>
      <w:pPr>
        <w:pStyle w:val="42"/>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0" w:afterLines="0"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交易文件下载地址：淳安县公共资源交易平台。</w:t>
      </w:r>
    </w:p>
    <w:p>
      <w:pPr>
        <w:pStyle w:val="42"/>
        <w:keepNext w:val="0"/>
        <w:keepLines w:val="0"/>
        <w:pageBreakBefore w:val="0"/>
        <w:framePr w:wrap="auto" w:vAnchor="margin" w:hAnchor="text" w:yAlign="inline"/>
        <w:widowControl w:val="0"/>
        <w:kinsoku/>
        <w:wordWrap/>
        <w:overflowPunct/>
        <w:topLinePunct w:val="0"/>
        <w:autoSpaceDE/>
        <w:autoSpaceDN/>
        <w:bidi w:val="0"/>
        <w:adjustRightInd/>
        <w:snapToGrid/>
        <w:spacing w:beforeLines="0" w:after="0" w:afterLines="0"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补遗书下载地址：淳安县公共资源交易平台。</w:t>
      </w:r>
    </w:p>
    <w:p>
      <w:pPr>
        <w:rPr>
          <w:rFonts w:hint="eastAsia"/>
          <w:color w:val="auto"/>
          <w:highlight w:val="none"/>
          <w:lang w:val="en-US" w:eastAsia="zh-CN"/>
        </w:rPr>
      </w:pPr>
    </w:p>
    <w:p>
      <w:pPr>
        <w:pStyle w:val="97"/>
        <w:pageBreakBefore w:val="0"/>
        <w:numPr>
          <w:ilvl w:val="0"/>
          <w:numId w:val="1"/>
        </w:numPr>
        <w:wordWrap/>
        <w:overflowPunct/>
        <w:topLinePunct w:val="0"/>
        <w:bidi w:val="0"/>
        <w:spacing w:before="0" w:after="0" w:line="360" w:lineRule="auto"/>
        <w:ind w:right="0" w:rightChars="0"/>
        <w:rPr>
          <w:rFonts w:hint="eastAsia" w:ascii="宋体" w:hAnsi="宋体" w:eastAsia="宋体" w:cs="宋体"/>
          <w:b/>
          <w:bCs/>
          <w:color w:val="auto"/>
          <w:highlight w:val="none"/>
        </w:rPr>
      </w:pPr>
      <w:bookmarkStart w:id="29" w:name="_Toc19373"/>
      <w:r>
        <w:rPr>
          <w:rFonts w:hint="eastAsia" w:ascii="宋体" w:hAnsi="宋体" w:eastAsia="宋体" w:cs="宋体"/>
          <w:b/>
          <w:bCs/>
          <w:color w:val="auto"/>
          <w:highlight w:val="none"/>
        </w:rPr>
        <w:t>联系方式</w:t>
      </w:r>
      <w:bookmarkEnd w:id="26"/>
      <w:bookmarkEnd w:id="27"/>
      <w:bookmarkEnd w:id="28"/>
      <w:bookmarkEnd w:id="29"/>
    </w:p>
    <w:tbl>
      <w:tblPr>
        <w:tblStyle w:val="43"/>
        <w:tblW w:w="9398" w:type="dxa"/>
        <w:tblInd w:w="0" w:type="dxa"/>
        <w:tblLayout w:type="fixed"/>
        <w:tblCellMar>
          <w:top w:w="0" w:type="dxa"/>
          <w:left w:w="108" w:type="dxa"/>
          <w:bottom w:w="0" w:type="dxa"/>
          <w:right w:w="108" w:type="dxa"/>
        </w:tblCellMar>
      </w:tblPr>
      <w:tblGrid>
        <w:gridCol w:w="1547"/>
        <w:gridCol w:w="2710"/>
        <w:gridCol w:w="1898"/>
        <w:gridCol w:w="3243"/>
      </w:tblGrid>
      <w:tr>
        <w:tblPrEx>
          <w:tblCellMar>
            <w:top w:w="0" w:type="dxa"/>
            <w:left w:w="108" w:type="dxa"/>
            <w:bottom w:w="0" w:type="dxa"/>
            <w:right w:w="108" w:type="dxa"/>
          </w:tblCellMar>
        </w:tblPrEx>
        <w:trPr>
          <w:trHeight w:val="454"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lang w:eastAsia="zh-CN"/>
              </w:rPr>
              <w:t>交易发起</w:t>
            </w:r>
            <w:r>
              <w:rPr>
                <w:rFonts w:hint="eastAsia" w:ascii="宋体" w:hAnsi="宋体" w:eastAsia="宋体" w:cs="宋体"/>
                <w:color w:val="auto"/>
                <w:spacing w:val="-2"/>
                <w:szCs w:val="21"/>
                <w:highlight w:val="none"/>
              </w:rPr>
              <w:t>人：</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淳安县公路服务中心</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7"/>
                <w:szCs w:val="21"/>
                <w:highlight w:val="none"/>
              </w:rPr>
              <w:t>招标代理机构</w:t>
            </w:r>
            <w:r>
              <w:rPr>
                <w:rFonts w:hint="eastAsia" w:ascii="宋体" w:hAnsi="宋体" w:eastAsia="宋体" w:cs="宋体"/>
                <w:color w:val="auto"/>
                <w:spacing w:val="6"/>
                <w:szCs w:val="21"/>
                <w:highlight w:val="none"/>
              </w:rPr>
              <w:t>：</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浙江施普工程咨询有限公司</w:t>
            </w:r>
          </w:p>
        </w:tc>
      </w:tr>
      <w:tr>
        <w:tblPrEx>
          <w:tblCellMar>
            <w:top w:w="0" w:type="dxa"/>
            <w:left w:w="108" w:type="dxa"/>
            <w:bottom w:w="0" w:type="dxa"/>
            <w:right w:w="108" w:type="dxa"/>
          </w:tblCellMar>
        </w:tblPrEx>
        <w:trPr>
          <w:trHeight w:val="454"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地址：</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淳安县千岛湖镇环湖北路88号</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地址：</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淳安县千岛湖镇珍珠大道1289号2幢</w:t>
            </w:r>
          </w:p>
        </w:tc>
      </w:tr>
      <w:tr>
        <w:tblPrEx>
          <w:tblCellMar>
            <w:top w:w="0" w:type="dxa"/>
            <w:left w:w="108" w:type="dxa"/>
            <w:bottom w:w="0" w:type="dxa"/>
            <w:right w:w="108" w:type="dxa"/>
          </w:tblCellMar>
        </w:tblPrEx>
        <w:trPr>
          <w:trHeight w:val="454"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邮政编码</w:t>
            </w:r>
            <w:r>
              <w:rPr>
                <w:rFonts w:hint="eastAsia" w:ascii="宋体" w:hAnsi="宋体" w:eastAsia="宋体" w:cs="宋体"/>
                <w:color w:val="auto"/>
                <w:spacing w:val="2"/>
                <w:szCs w:val="21"/>
                <w:highlight w:val="none"/>
              </w:rPr>
              <w:t>：</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311700</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邮政编码</w:t>
            </w:r>
            <w:r>
              <w:rPr>
                <w:rFonts w:hint="eastAsia" w:ascii="宋体" w:hAnsi="宋体" w:eastAsia="宋体" w:cs="宋体"/>
                <w:color w:val="auto"/>
                <w:spacing w:val="2"/>
                <w:szCs w:val="21"/>
                <w:highlight w:val="none"/>
              </w:rPr>
              <w:t>：</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pacing w:val="10"/>
                <w:position w:val="5"/>
                <w:szCs w:val="21"/>
                <w:highlight w:val="none"/>
              </w:rPr>
              <w:t>311700</w:t>
            </w:r>
          </w:p>
        </w:tc>
      </w:tr>
      <w:tr>
        <w:tblPrEx>
          <w:tblCellMar>
            <w:top w:w="0" w:type="dxa"/>
            <w:left w:w="108" w:type="dxa"/>
            <w:bottom w:w="0" w:type="dxa"/>
            <w:right w:w="108" w:type="dxa"/>
          </w:tblCellMar>
        </w:tblPrEx>
        <w:trPr>
          <w:trHeight w:val="454"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pacing w:val="3"/>
                <w:szCs w:val="21"/>
                <w:highlight w:val="none"/>
              </w:rPr>
            </w:pPr>
            <w:r>
              <w:rPr>
                <w:rFonts w:hint="eastAsia" w:ascii="宋体" w:hAnsi="宋体" w:eastAsia="宋体" w:cs="宋体"/>
                <w:color w:val="auto"/>
                <w:spacing w:val="-5"/>
                <w:szCs w:val="21"/>
                <w:highlight w:val="none"/>
              </w:rPr>
              <w:t>电话：</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0571-64826503</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pacing w:val="3"/>
                <w:szCs w:val="21"/>
                <w:highlight w:val="none"/>
              </w:rPr>
            </w:pPr>
            <w:r>
              <w:rPr>
                <w:rFonts w:hint="eastAsia" w:ascii="宋体" w:hAnsi="宋体" w:eastAsia="宋体" w:cs="宋体"/>
                <w:color w:val="auto"/>
                <w:spacing w:val="-5"/>
                <w:szCs w:val="21"/>
                <w:highlight w:val="none"/>
              </w:rPr>
              <w:t>电话：</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pacing w:val="10"/>
                <w:position w:val="5"/>
                <w:szCs w:val="21"/>
                <w:highlight w:val="none"/>
                <w:lang w:eastAsia="zh-CN"/>
              </w:rPr>
            </w:pPr>
            <w:r>
              <w:rPr>
                <w:rFonts w:hint="eastAsia" w:ascii="宋体" w:hAnsi="宋体" w:eastAsia="宋体" w:cs="宋体"/>
                <w:color w:val="auto"/>
                <w:spacing w:val="10"/>
                <w:position w:val="5"/>
                <w:szCs w:val="21"/>
                <w:highlight w:val="none"/>
                <w:lang w:eastAsia="zh-CN"/>
              </w:rPr>
              <w:t>0571-65017019</w:t>
            </w:r>
          </w:p>
        </w:tc>
      </w:tr>
      <w:tr>
        <w:tblPrEx>
          <w:tblCellMar>
            <w:top w:w="0" w:type="dxa"/>
            <w:left w:w="108" w:type="dxa"/>
            <w:bottom w:w="0" w:type="dxa"/>
            <w:right w:w="108" w:type="dxa"/>
          </w:tblCellMar>
        </w:tblPrEx>
        <w:trPr>
          <w:trHeight w:val="442"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1017046051@qq.com</w:t>
            </w:r>
          </w:p>
        </w:tc>
      </w:tr>
      <w:tr>
        <w:tblPrEx>
          <w:tblCellMar>
            <w:top w:w="0" w:type="dxa"/>
            <w:left w:w="108" w:type="dxa"/>
            <w:bottom w:w="0" w:type="dxa"/>
            <w:right w:w="108" w:type="dxa"/>
          </w:tblCellMar>
        </w:tblPrEx>
        <w:trPr>
          <w:trHeight w:val="454" w:hRule="atLeast"/>
        </w:trPr>
        <w:tc>
          <w:tcPr>
            <w:tcW w:w="1547"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联系人：</w:t>
            </w:r>
          </w:p>
        </w:tc>
        <w:tc>
          <w:tcPr>
            <w:tcW w:w="2710"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余</w:t>
            </w:r>
            <w:r>
              <w:rPr>
                <w:rFonts w:hint="eastAsia" w:ascii="宋体" w:hAnsi="宋体" w:eastAsia="宋体" w:cs="宋体"/>
                <w:color w:val="auto"/>
                <w:szCs w:val="21"/>
                <w:highlight w:val="none"/>
                <w:lang w:eastAsia="zh-CN"/>
              </w:rPr>
              <w:t>工</w:t>
            </w:r>
          </w:p>
        </w:tc>
        <w:tc>
          <w:tcPr>
            <w:tcW w:w="1898"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联系人：</w:t>
            </w:r>
          </w:p>
        </w:tc>
        <w:tc>
          <w:tcPr>
            <w:tcW w:w="3243" w:type="dxa"/>
            <w:tcBorders>
              <w:top w:val="nil"/>
              <w:left w:val="nil"/>
              <w:bottom w:val="nil"/>
              <w:right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pacing w:val="10"/>
                <w:position w:val="5"/>
                <w:szCs w:val="21"/>
                <w:highlight w:val="none"/>
                <w:lang w:eastAsia="zh-CN"/>
              </w:rPr>
              <w:t>洪工</w:t>
            </w:r>
          </w:p>
        </w:tc>
      </w:tr>
    </w:tbl>
    <w:p>
      <w:pPr>
        <w:pageBreakBefore w:val="0"/>
        <w:wordWrap/>
        <w:overflowPunct/>
        <w:topLinePunct w:val="0"/>
        <w:bidi w:val="0"/>
        <w:spacing w:line="360" w:lineRule="auto"/>
        <w:ind w:right="0" w:rightChars="0" w:firstLine="420" w:firstLineChars="200"/>
        <w:rPr>
          <w:rFonts w:hint="eastAsia" w:ascii="宋体" w:hAnsi="宋体" w:eastAsia="宋体" w:cs="宋体"/>
          <w:color w:val="auto"/>
          <w:szCs w:val="21"/>
          <w:highlight w:val="none"/>
        </w:rPr>
      </w:pPr>
    </w:p>
    <w:p>
      <w:pPr>
        <w:pageBreakBefore w:val="0"/>
        <w:wordWrap/>
        <w:overflowPunct/>
        <w:topLinePunct w:val="0"/>
        <w:bidi w:val="0"/>
        <w:spacing w:line="360" w:lineRule="auto"/>
        <w:ind w:right="0" w:rightChars="0" w:firstLine="5040" w:firstLineChars="2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w:t>
      </w:r>
      <w:r>
        <w:rPr>
          <w:rFonts w:hint="eastAsia" w:ascii="宋体" w:hAnsi="宋体" w:eastAsia="宋体" w:cs="宋体"/>
          <w:bCs/>
          <w:color w:val="auto"/>
          <w:highlight w:val="none"/>
          <w:lang w:eastAsia="zh-CN"/>
        </w:rPr>
        <w:t>淳安县公路服务中心</w:t>
      </w:r>
    </w:p>
    <w:p>
      <w:pPr>
        <w:pageBreakBefore w:val="0"/>
        <w:wordWrap/>
        <w:overflowPunct/>
        <w:topLinePunct w:val="0"/>
        <w:bidi w:val="0"/>
        <w:spacing w:line="360" w:lineRule="auto"/>
        <w:ind w:right="0" w:rightChars="0" w:firstLine="5985" w:firstLineChars="28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p>
    <w:p>
      <w:pPr>
        <w:pageBreakBefore w:val="0"/>
        <w:wordWrap/>
        <w:overflowPunct/>
        <w:topLinePunct w:val="0"/>
        <w:bidi w:val="0"/>
        <w:spacing w:line="360" w:lineRule="auto"/>
        <w:ind w:right="0" w:rightChars="0"/>
        <w:rPr>
          <w:rFonts w:hint="eastAsia" w:ascii="宋体" w:hAnsi="宋体" w:eastAsia="宋体" w:cs="宋体"/>
          <w:color w:val="auto"/>
          <w:highlight w:val="none"/>
        </w:rPr>
        <w:sectPr>
          <w:headerReference r:id="rId5" w:type="first"/>
          <w:footerReference r:id="rId8" w:type="first"/>
          <w:footerReference r:id="rId6" w:type="default"/>
          <w:footerReference r:id="rId7" w:type="even"/>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pgNumType w:start="1"/>
          <w:cols w:space="720" w:num="1"/>
          <w:titlePg/>
          <w:docGrid w:linePitch="312" w:charSpace="0"/>
        </w:sectPr>
      </w:pPr>
    </w:p>
    <w:p>
      <w:pPr>
        <w:pStyle w:val="2"/>
        <w:jc w:val="center"/>
        <w:rPr>
          <w:rFonts w:hint="eastAsia" w:ascii="宋体" w:hAnsi="宋体" w:eastAsia="宋体" w:cs="宋体"/>
          <w:b w:val="0"/>
          <w:color w:val="auto"/>
          <w:sz w:val="36"/>
          <w:szCs w:val="36"/>
          <w:highlight w:val="none"/>
        </w:rPr>
      </w:pPr>
      <w:bookmarkStart w:id="30" w:name="_Toc21066"/>
      <w:r>
        <w:rPr>
          <w:rFonts w:hint="eastAsia" w:ascii="宋体" w:hAnsi="宋体" w:eastAsia="宋体" w:cs="宋体"/>
          <w:b w:val="0"/>
          <w:color w:val="auto"/>
          <w:sz w:val="36"/>
          <w:szCs w:val="36"/>
          <w:highlight w:val="none"/>
        </w:rPr>
        <w:t xml:space="preserve">第二章 </w:t>
      </w:r>
      <w:r>
        <w:rPr>
          <w:rFonts w:hint="eastAsia" w:ascii="宋体" w:hAnsi="宋体" w:eastAsia="宋体" w:cs="宋体"/>
          <w:b w:val="0"/>
          <w:color w:val="auto"/>
          <w:sz w:val="36"/>
          <w:szCs w:val="36"/>
          <w:highlight w:val="none"/>
          <w:lang w:eastAsia="zh-CN"/>
        </w:rPr>
        <w:t>交易响应人</w:t>
      </w:r>
      <w:r>
        <w:rPr>
          <w:rFonts w:hint="eastAsia" w:ascii="宋体" w:hAnsi="宋体" w:eastAsia="宋体" w:cs="宋体"/>
          <w:b w:val="0"/>
          <w:color w:val="auto"/>
          <w:sz w:val="36"/>
          <w:szCs w:val="36"/>
          <w:highlight w:val="none"/>
        </w:rPr>
        <w:t>须知</w:t>
      </w:r>
      <w:bookmarkEnd w:id="30"/>
    </w:p>
    <w:p>
      <w:pPr>
        <w:pStyle w:val="3"/>
        <w:spacing w:line="240" w:lineRule="auto"/>
        <w:rPr>
          <w:rFonts w:hint="eastAsia" w:ascii="宋体" w:hAnsi="宋体" w:eastAsia="宋体" w:cs="宋体"/>
          <w:b w:val="0"/>
          <w:color w:val="auto"/>
          <w:szCs w:val="24"/>
          <w:highlight w:val="none"/>
        </w:rPr>
      </w:pPr>
      <w:bookmarkStart w:id="31" w:name="_Toc286827079"/>
      <w:bookmarkStart w:id="32" w:name="_Toc8362"/>
      <w:bookmarkStart w:id="33" w:name="_Toc286830195"/>
      <w:bookmarkStart w:id="34" w:name="_Toc286826582"/>
      <w:r>
        <w:rPr>
          <w:rFonts w:hint="eastAsia" w:ascii="宋体" w:hAnsi="宋体" w:eastAsia="宋体" w:cs="宋体"/>
          <w:b w:val="0"/>
          <w:color w:val="auto"/>
          <w:szCs w:val="24"/>
          <w:highlight w:val="none"/>
          <w:lang w:eastAsia="zh-CN"/>
        </w:rPr>
        <w:t>交易响应人</w:t>
      </w:r>
      <w:r>
        <w:rPr>
          <w:rFonts w:hint="eastAsia" w:ascii="宋体" w:hAnsi="宋体" w:eastAsia="宋体" w:cs="宋体"/>
          <w:b w:val="0"/>
          <w:color w:val="auto"/>
          <w:szCs w:val="24"/>
          <w:highlight w:val="none"/>
        </w:rPr>
        <w:t>须知前附表</w:t>
      </w:r>
      <w:bookmarkEnd w:id="31"/>
      <w:bookmarkEnd w:id="32"/>
      <w:bookmarkEnd w:id="33"/>
      <w:bookmarkEnd w:id="34"/>
    </w:p>
    <w:tbl>
      <w:tblPr>
        <w:tblStyle w:val="43"/>
        <w:tblW w:w="9180"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2521"/>
        <w:gridCol w:w="5551"/>
        <w:gridCol w:w="2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3" w:hRule="atLeast"/>
          <w:tblHeader/>
        </w:trPr>
        <w:tc>
          <w:tcPr>
            <w:tcW w:w="1079"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1079" w:type="dxa"/>
            <w:vMerge w:val="restart"/>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交易发起人</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交易发起人：淳安县公路服务中心</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址：淳安县千岛湖镇环湖北路88号</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邮政编码：311700</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话：0571-64826503</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余</w:t>
            </w:r>
            <w:r>
              <w:rPr>
                <w:rFonts w:hint="eastAsia" w:ascii="宋体" w:hAnsi="宋体" w:eastAsia="宋体" w:cs="宋体"/>
                <w:color w:val="auto"/>
                <w:szCs w:val="21"/>
                <w:highlight w:val="none"/>
              </w:rPr>
              <w:t>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招标代理机构：浙江施普工程咨询有限公司</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址：淳安县千岛湖镇珍珠大道1289号2幢</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邮政编码：311700</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话：0571-65017019</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电子邮箱：1017046051@qq.com</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联系人：洪工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580" w:type="dxa"/>
            <w:gridSpan w:val="2"/>
            <w:vAlign w:val="center"/>
          </w:tcPr>
          <w:p>
            <w:pPr>
              <w:pStyle w:val="112"/>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highlight w:val="none"/>
              </w:rPr>
            </w:pPr>
            <w:r>
              <w:rPr>
                <w:rFonts w:hint="eastAsia" w:ascii="宋体" w:hAnsi="宋体" w:cs="宋体"/>
                <w:color w:val="auto"/>
                <w:highlight w:val="none"/>
                <w:lang w:eastAsia="zh-CN"/>
              </w:rPr>
              <w:t>淳安县郑鸠线云岭隧道提升工程隧道施工监控量测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580" w:type="dxa"/>
            <w:gridSpan w:val="2"/>
            <w:vAlign w:val="center"/>
          </w:tcPr>
          <w:p>
            <w:pPr>
              <w:pStyle w:val="112"/>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浙江省</w:t>
            </w:r>
            <w:r>
              <w:rPr>
                <w:rFonts w:hint="eastAsia" w:ascii="宋体" w:hAnsi="宋体" w:eastAsia="宋体" w:cs="宋体"/>
                <w:color w:val="auto"/>
                <w:highlight w:val="none"/>
                <w:lang w:eastAsia="zh-CN"/>
              </w:rPr>
              <w:t>淳安县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079" w:type="dxa"/>
            <w:vMerge w:val="restart"/>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580" w:type="dxa"/>
            <w:gridSpan w:val="2"/>
            <w:vAlign w:val="center"/>
          </w:tcPr>
          <w:p>
            <w:pPr>
              <w:pStyle w:val="112"/>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县财政出资及上级补助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9" w:hRule="atLeast"/>
        </w:trPr>
        <w:tc>
          <w:tcPr>
            <w:tcW w:w="1079" w:type="dxa"/>
            <w:vMerge w:val="restart"/>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交易范围</w:t>
            </w:r>
          </w:p>
        </w:tc>
        <w:tc>
          <w:tcPr>
            <w:tcW w:w="5580" w:type="dxa"/>
            <w:gridSpan w:val="2"/>
            <w:vAlign w:val="center"/>
          </w:tcPr>
          <w:p>
            <w:pPr>
              <w:pStyle w:val="114"/>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w:t>
            </w:r>
            <w:r>
              <w:rPr>
                <w:rFonts w:hint="eastAsia" w:ascii="宋体" w:hAnsi="宋体" w:cs="宋体"/>
                <w:color w:val="auto"/>
                <w:szCs w:val="21"/>
                <w:highlight w:val="none"/>
                <w:lang w:eastAsia="zh-CN"/>
              </w:rPr>
              <w:t>隧道施工监控量测</w:t>
            </w:r>
            <w:r>
              <w:rPr>
                <w:rFonts w:hint="eastAsia" w:ascii="宋体" w:hAnsi="宋体" w:eastAsia="宋体" w:cs="宋体"/>
                <w:color w:val="auto"/>
                <w:szCs w:val="21"/>
                <w:highlight w:val="none"/>
              </w:rPr>
              <w:t>设1个标段为</w:t>
            </w:r>
            <w:r>
              <w:rPr>
                <w:rFonts w:hint="eastAsia" w:ascii="宋体" w:hAnsi="宋体" w:cs="宋体"/>
                <w:color w:val="auto"/>
                <w:szCs w:val="21"/>
                <w:highlight w:val="none"/>
                <w:lang w:eastAsia="zh-CN"/>
              </w:rPr>
              <w:t>第JKLC01标段</w:t>
            </w:r>
            <w:r>
              <w:rPr>
                <w:rFonts w:hint="eastAsia" w:ascii="宋体" w:hAnsi="宋体" w:eastAsia="宋体" w:cs="宋体"/>
                <w:color w:val="auto"/>
                <w:szCs w:val="21"/>
                <w:highlight w:val="none"/>
              </w:rPr>
              <w:t>，主要服务内容：淳安县郑鸠线云岭隧道提升工程隧道施工监控量测等工作，出具调查及检测报告。具体检测内容详见报价清单表。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3" w:hRule="atLeast"/>
        </w:trPr>
        <w:tc>
          <w:tcPr>
            <w:tcW w:w="1079" w:type="dxa"/>
            <w:vMerge w:val="continue"/>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试验检测服务期</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合同签订至所有试验检测报告提交且通过竣（交）工质量评定止。预计服务期5个月（暂定150日历天）。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19" w:hRule="atLeast"/>
        </w:trPr>
        <w:tc>
          <w:tcPr>
            <w:tcW w:w="1079"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资质条件、能力和信誉</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资质最低条件：见附录1</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业绩最低要求：见附录2</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主要人员最低要求：见附录3</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信誉最低要求：见附录4</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主要仪器设备最低要求：见附录5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5" w:hRule="atLeast"/>
        </w:trPr>
        <w:tc>
          <w:tcPr>
            <w:tcW w:w="1079"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079"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不得存在下列不良信用记录</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骗取中标或严重违约或较大及以上工程质量（或生产安全责任事故）负有责任的时间：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日以来</w:t>
            </w:r>
          </w:p>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有行贿犯罪行为的时间：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19</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1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日以来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1079"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521" w:type="dxa"/>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580" w:type="dxa"/>
            <w:gridSpan w:val="2"/>
            <w:vAlign w:val="center"/>
          </w:tcPr>
          <w:p>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交易响应预备会</w:t>
            </w:r>
          </w:p>
        </w:tc>
        <w:tc>
          <w:tcPr>
            <w:tcW w:w="5580" w:type="dxa"/>
            <w:gridSpan w:val="2"/>
            <w:vAlign w:val="center"/>
          </w:tcPr>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19"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提出问题的截止时间、提出疑问的方式</w:t>
            </w:r>
          </w:p>
        </w:tc>
        <w:tc>
          <w:tcPr>
            <w:tcW w:w="5580" w:type="dxa"/>
            <w:gridSpan w:val="2"/>
            <w:vAlign w:val="center"/>
          </w:tcPr>
          <w:p>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提出疑问的截止时间：详见</w:t>
            </w:r>
            <w:r>
              <w:rPr>
                <w:rFonts w:hint="eastAsia" w:ascii="宋体" w:hAnsi="宋体" w:eastAsia="宋体" w:cs="宋体"/>
                <w:color w:val="auto"/>
                <w:szCs w:val="21"/>
                <w:highlight w:val="none"/>
                <w:lang w:eastAsia="zh-CN"/>
              </w:rPr>
              <w:t>交易公告</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提出疑问的方式：</w:t>
            </w:r>
            <w:r>
              <w:rPr>
                <w:rFonts w:hint="eastAsia" w:ascii="宋体" w:hAnsi="宋体" w:eastAsia="宋体" w:cs="宋体"/>
                <w:color w:val="auto"/>
                <w:szCs w:val="21"/>
                <w:highlight w:val="none"/>
                <w:u w:val="single"/>
                <w:lang w:val="en-US" w:eastAsia="zh-CN"/>
              </w:rPr>
              <w:t>详见交易公告。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19"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澄清的时间</w:t>
            </w:r>
          </w:p>
        </w:tc>
        <w:tc>
          <w:tcPr>
            <w:tcW w:w="5580" w:type="dxa"/>
            <w:gridSpan w:val="2"/>
            <w:vAlign w:val="center"/>
          </w:tcPr>
          <w:p>
            <w:pPr>
              <w:keepNext w:val="0"/>
              <w:keepLines w:val="0"/>
              <w:pageBreakBefore w:val="0"/>
              <w:kinsoku/>
              <w:wordWrap/>
              <w:overflowPunct/>
              <w:topLinePunct w:val="0"/>
              <w:bidi w:val="0"/>
              <w:adjustRightInd/>
              <w:snapToGrid/>
              <w:spacing w:line="360" w:lineRule="auto"/>
              <w:ind w:right="241" w:rightChars="115"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澄清、补充、修改的内容影响</w:t>
            </w:r>
            <w:r>
              <w:rPr>
                <w:rFonts w:hint="eastAsia" w:ascii="宋体" w:hAnsi="宋体" w:eastAsia="宋体" w:cs="宋体"/>
                <w:color w:val="auto"/>
                <w:szCs w:val="21"/>
                <w:highlight w:val="none"/>
                <w:lang w:eastAsia="zh-CN"/>
              </w:rPr>
              <w:t>交易响应文件编制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将在</w:t>
            </w:r>
            <w:r>
              <w:rPr>
                <w:rFonts w:hint="eastAsia" w:ascii="宋体" w:hAnsi="宋体" w:eastAsia="宋体" w:cs="宋体"/>
                <w:color w:val="auto"/>
                <w:szCs w:val="21"/>
                <w:highlight w:val="none"/>
                <w:lang w:eastAsia="zh-CN"/>
              </w:rPr>
              <w:t>交易响应截止时间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日前，以电子文件形式上传至</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供</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下载，不足</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天的，</w:t>
            </w:r>
            <w:r>
              <w:rPr>
                <w:rFonts w:hint="eastAsia" w:ascii="宋体" w:hAnsi="宋体" w:eastAsia="宋体" w:cs="宋体"/>
                <w:color w:val="auto"/>
                <w:szCs w:val="21"/>
                <w:highlight w:val="none"/>
                <w:lang w:eastAsia="zh-CN"/>
              </w:rPr>
              <w:t>交易发起人将顺延递交交易响应文件的截止时间。</w:t>
            </w:r>
          </w:p>
          <w:p>
            <w:pPr>
              <w:keepNext w:val="0"/>
              <w:keepLines w:val="0"/>
              <w:pageBreakBefore w:val="0"/>
              <w:kinsoku/>
              <w:wordWrap/>
              <w:overflowPunct/>
              <w:topLinePunct w:val="0"/>
              <w:bidi w:val="0"/>
              <w:adjustRightInd/>
              <w:snapToGrid/>
              <w:spacing w:line="360" w:lineRule="auto"/>
              <w:ind w:right="241" w:rightChars="115"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澄清、补充、修改的内容不影响交易响应文件编制</w:t>
            </w:r>
            <w:r>
              <w:rPr>
                <w:rFonts w:hint="eastAsia" w:ascii="宋体" w:hAnsi="宋体" w:eastAsia="宋体" w:cs="宋体"/>
                <w:color w:val="auto"/>
                <w:szCs w:val="21"/>
                <w:highlight w:val="none"/>
              </w:rPr>
              <w:t>的，将在</w:t>
            </w:r>
            <w:r>
              <w:rPr>
                <w:rFonts w:hint="eastAsia" w:ascii="宋体" w:hAnsi="宋体" w:eastAsia="宋体" w:cs="宋体"/>
                <w:color w:val="auto"/>
                <w:kern w:val="0"/>
                <w:szCs w:val="21"/>
                <w:highlight w:val="none"/>
                <w:lang w:eastAsia="zh-CN"/>
              </w:rPr>
              <w:t>交易响应文件</w:t>
            </w:r>
            <w:r>
              <w:rPr>
                <w:rFonts w:hint="eastAsia" w:ascii="宋体" w:hAnsi="宋体" w:eastAsia="宋体" w:cs="宋体"/>
                <w:color w:val="auto"/>
                <w:kern w:val="0"/>
                <w:szCs w:val="21"/>
                <w:highlight w:val="none"/>
              </w:rPr>
              <w:t>递交截止时间</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rPr>
              <w:t>天前，以上款相同的形式发布。</w:t>
            </w:r>
          </w:p>
          <w:p>
            <w:pPr>
              <w:keepNext w:val="0"/>
              <w:keepLines w:val="0"/>
              <w:pageBreakBefore w:val="0"/>
              <w:kinsoku/>
              <w:wordWrap/>
              <w:overflowPunct/>
              <w:topLinePunct w:val="0"/>
              <w:bidi w:val="0"/>
              <w:adjustRightInd/>
              <w:snapToGrid/>
              <w:spacing w:line="360" w:lineRule="auto"/>
              <w:ind w:right="241" w:rightChars="115"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注：潜在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应密切关注</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，如有补充文件，</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必须下载最新补充文件。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6"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5580" w:type="dxa"/>
            <w:gridSpan w:val="2"/>
            <w:vAlign w:val="center"/>
          </w:tcPr>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cs="宋体"/>
                <w:color w:val="auto"/>
                <w:highlight w:val="none"/>
                <w:lang w:eastAsia="zh-CN"/>
              </w:rPr>
              <w:t>☑</w:t>
            </w:r>
            <w:r>
              <w:rPr>
                <w:rFonts w:hint="eastAsia" w:ascii="宋体" w:hAnsi="宋体" w:eastAsia="宋体" w:cs="宋体"/>
                <w:color w:val="auto"/>
                <w:szCs w:val="21"/>
                <w:highlight w:val="none"/>
              </w:rPr>
              <w:t xml:space="preserve"> 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6"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构成交易文件的其他材料</w:t>
            </w:r>
          </w:p>
        </w:tc>
        <w:tc>
          <w:tcPr>
            <w:tcW w:w="5580"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按规定报备后的标有编号的补遗书和其他正式函件（如有）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8" w:hRule="atLeast"/>
        </w:trPr>
        <w:tc>
          <w:tcPr>
            <w:tcW w:w="1079"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521" w:type="dxa"/>
            <w:vAlign w:val="center"/>
          </w:tcPr>
          <w:p>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要求澄清</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的截止时间</w:t>
            </w:r>
          </w:p>
        </w:tc>
        <w:tc>
          <w:tcPr>
            <w:tcW w:w="5580"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snapToGrid w:val="0"/>
                <w:color w:val="auto"/>
                <w:szCs w:val="21"/>
                <w:highlight w:val="none"/>
              </w:rPr>
              <w:t>提出疑问的方式：</w:t>
            </w:r>
            <w:r>
              <w:rPr>
                <w:rFonts w:hint="eastAsia" w:ascii="宋体" w:hAnsi="宋体" w:eastAsia="宋体" w:cs="宋体"/>
                <w:snapToGrid w:val="0"/>
                <w:color w:val="auto"/>
                <w:szCs w:val="21"/>
                <w:highlight w:val="none"/>
                <w:lang w:val="en-US" w:eastAsia="zh-CN"/>
              </w:rPr>
              <w:t>详见交易公告</w:t>
            </w:r>
            <w:r>
              <w:rPr>
                <w:rFonts w:hint="eastAsia" w:ascii="宋体" w:hAnsi="宋体" w:eastAsia="宋体" w:cs="宋体"/>
                <w:snapToGrid w:val="0"/>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提出疑问的截止时间：见</w:t>
            </w:r>
            <w:r>
              <w:rPr>
                <w:rFonts w:hint="eastAsia" w:ascii="宋体" w:hAnsi="宋体" w:eastAsia="宋体" w:cs="宋体"/>
                <w:snapToGrid w:val="0"/>
                <w:color w:val="auto"/>
                <w:szCs w:val="21"/>
                <w:highlight w:val="none"/>
                <w:lang w:eastAsia="zh-CN"/>
              </w:rPr>
              <w:t>交易公告</w:t>
            </w:r>
            <w:r>
              <w:rPr>
                <w:rFonts w:hint="eastAsia" w:ascii="宋体" w:hAnsi="宋体" w:eastAsia="宋体" w:cs="宋体"/>
                <w:snapToGrid w:val="0"/>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1079"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52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交易响应截止时间</w:t>
            </w:r>
          </w:p>
        </w:tc>
        <w:tc>
          <w:tcPr>
            <w:tcW w:w="5580"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交易公告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交易响应文件形式</w:t>
            </w:r>
          </w:p>
        </w:tc>
        <w:tc>
          <w:tcPr>
            <w:tcW w:w="5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77"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交易响应控制价</w:t>
            </w:r>
          </w:p>
        </w:tc>
        <w:tc>
          <w:tcPr>
            <w:tcW w:w="5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设有</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为</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33.2710</w:t>
            </w:r>
            <w:r>
              <w:rPr>
                <w:rFonts w:hint="eastAsia" w:ascii="宋体" w:hAnsi="宋体" w:eastAsia="宋体" w:cs="宋体"/>
                <w:color w:val="auto"/>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应控制在</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设定的</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（含）以内，高于</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的报价作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交易响应有效期</w:t>
            </w:r>
          </w:p>
        </w:tc>
        <w:tc>
          <w:tcPr>
            <w:tcW w:w="5580" w:type="dxa"/>
            <w:gridSpan w:val="2"/>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截止之日起计算</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06"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交易响应保证金的递交</w:t>
            </w:r>
          </w:p>
        </w:tc>
        <w:tc>
          <w:tcPr>
            <w:tcW w:w="5580" w:type="dxa"/>
            <w:gridSpan w:val="2"/>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要求递交</w:t>
            </w:r>
            <w:r>
              <w:rPr>
                <w:rFonts w:hint="eastAsia" w:ascii="宋体" w:hAnsi="宋体" w:eastAsia="宋体" w:cs="宋体"/>
                <w:color w:val="auto"/>
                <w:highlight w:val="none"/>
                <w:lang w:eastAsia="zh-CN"/>
              </w:rPr>
              <w:t>交易响应保证金</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根据浙江省交通运输厅公布的最近一个周期浙江省公路水运工程检测企业信用评价结果，</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信用等级为AA级的可免交</w:t>
            </w: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交易响应保证金金额：</w:t>
            </w:r>
            <w:r>
              <w:rPr>
                <w:rFonts w:hint="eastAsia" w:ascii="宋体" w:hAnsi="宋体" w:eastAsia="宋体" w:cs="宋体"/>
                <w:b/>
                <w:bCs/>
                <w:color w:val="auto"/>
                <w:szCs w:val="21"/>
                <w:highlight w:val="none"/>
                <w:lang w:val="en-US" w:eastAsia="zh-CN"/>
              </w:rPr>
              <w:t>0.</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万元</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的形式：以下二选一</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一、工程保函形式：银行保函（由企业基本账户开户银行出具）、保险机构保证保险保单、融资担保公司保单；</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中附工程保函复印件及</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基本结算户开户许可证或基本存款账户信息银行备案文件。</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交易响应保证金</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的形式：转账、电汇或企业网银</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收款单位及账号：</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（1）开户银行：中国农业银行淳安县支行营业中心</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收款人：淳安县公共资源交易中心投标保证金专户</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银行账号：19075201040025441</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联系人：唐女士  联系电话：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0571)64819848</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（2）开户银行：中国银行股份有限公司淳安支行</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收款人：淳安县公共资源交易中心建设工程项目投标保证金专户</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银行账号：366274820706</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联系人：方先生联系电话：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0571)65125976</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（3）开户银行：中国工商银行淳安排岭支行</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收款人：淳安县公共资源交易中心建设工程项目投标保证金专户</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银行账号：9558851202039075510</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联系人：吴女士联系电话：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0571)64812603</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04</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09:30</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交易响应截止时间</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前</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必须把</w:t>
            </w: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从基本账户缴至指定的中行、工行、农行三家银行任一指定账户。保证金到账后，</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应在建易投标保证金平台自行注册并打印“缴存确认单”；未开通建易投标保证金平台服务的</w:t>
            </w:r>
            <w:r>
              <w:rPr>
                <w:rFonts w:hint="eastAsia" w:ascii="宋体" w:hAnsi="宋体" w:eastAsia="宋体" w:cs="宋体"/>
                <w:color w:val="auto"/>
                <w:szCs w:val="21"/>
                <w:highlight w:val="none"/>
                <w:lang w:val="en-US" w:eastAsia="zh-CN"/>
              </w:rPr>
              <w:t>交易响应</w:t>
            </w:r>
            <w:r>
              <w:rPr>
                <w:rFonts w:hint="eastAsia" w:ascii="宋体" w:hAnsi="宋体" w:eastAsia="宋体" w:cs="宋体"/>
                <w:color w:val="auto"/>
                <w:szCs w:val="21"/>
                <w:highlight w:val="none"/>
              </w:rPr>
              <w:t>单位须携带盖公司章的银行回单（注明该笔保证金关联的项目）到县行政服务中心一楼所缴款银行窗口打印“缴存确认单”。</w:t>
            </w:r>
            <w:r>
              <w:rPr>
                <w:rFonts w:hint="eastAsia" w:ascii="宋体" w:hAnsi="宋体" w:eastAsia="宋体" w:cs="宋体"/>
                <w:b/>
                <w:bCs/>
                <w:color w:val="auto"/>
                <w:szCs w:val="21"/>
                <w:highlight w:val="none"/>
                <w:lang w:eastAsia="zh-CN"/>
              </w:rPr>
              <w:t>交易响应人</w:t>
            </w:r>
            <w:r>
              <w:rPr>
                <w:rFonts w:hint="eastAsia" w:ascii="宋体" w:hAnsi="宋体" w:eastAsia="宋体" w:cs="宋体"/>
                <w:b/>
                <w:bCs/>
                <w:color w:val="auto"/>
                <w:szCs w:val="21"/>
                <w:highlight w:val="none"/>
              </w:rPr>
              <w:t>须将“缴存确认单”按</w:t>
            </w:r>
            <w:r>
              <w:rPr>
                <w:rFonts w:hint="eastAsia" w:ascii="宋体" w:hAnsi="宋体" w:eastAsia="宋体" w:cs="宋体"/>
                <w:b/>
                <w:bCs/>
                <w:color w:val="auto"/>
                <w:szCs w:val="21"/>
                <w:highlight w:val="none"/>
                <w:lang w:eastAsia="zh-CN"/>
              </w:rPr>
              <w:t>交易文件</w:t>
            </w:r>
            <w:r>
              <w:rPr>
                <w:rFonts w:hint="eastAsia" w:ascii="宋体" w:hAnsi="宋体" w:eastAsia="宋体" w:cs="宋体"/>
                <w:b/>
                <w:bCs/>
                <w:color w:val="auto"/>
                <w:szCs w:val="21"/>
                <w:highlight w:val="none"/>
              </w:rPr>
              <w:t>要求附在</w:t>
            </w:r>
            <w:r>
              <w:rPr>
                <w:rFonts w:hint="eastAsia" w:ascii="宋体" w:hAnsi="宋体" w:eastAsia="宋体" w:cs="宋体"/>
                <w:b/>
                <w:bCs/>
                <w:color w:val="auto"/>
                <w:szCs w:val="21"/>
                <w:highlight w:val="none"/>
                <w:lang w:eastAsia="zh-CN"/>
              </w:rPr>
              <w:t>交易响应文件</w:t>
            </w:r>
            <w:r>
              <w:rPr>
                <w:rFonts w:hint="eastAsia" w:ascii="宋体" w:hAnsi="宋体" w:eastAsia="宋体" w:cs="宋体"/>
                <w:b/>
                <w:bCs/>
                <w:color w:val="auto"/>
                <w:szCs w:val="21"/>
                <w:highlight w:val="none"/>
              </w:rPr>
              <w:t>中，否则其</w:t>
            </w:r>
            <w:r>
              <w:rPr>
                <w:rFonts w:hint="eastAsia" w:ascii="宋体" w:hAnsi="宋体" w:eastAsia="宋体" w:cs="宋体"/>
                <w:b/>
                <w:bCs/>
                <w:color w:val="auto"/>
                <w:szCs w:val="21"/>
                <w:highlight w:val="none"/>
                <w:lang w:eastAsia="zh-CN"/>
              </w:rPr>
              <w:t>交易响应文件</w:t>
            </w:r>
            <w:r>
              <w:rPr>
                <w:rFonts w:hint="eastAsia" w:ascii="宋体" w:hAnsi="宋体" w:eastAsia="宋体" w:cs="宋体"/>
                <w:b/>
                <w:bCs/>
                <w:color w:val="auto"/>
                <w:szCs w:val="21"/>
                <w:highlight w:val="none"/>
              </w:rPr>
              <w:t>将被拒绝；</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重要提醒：</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1、淳安县公共资源交易中心</w:t>
            </w: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收退由中行、工行、农行三家银行来操作，</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单位可以在上述三家银行中任选一家进行保证金缴存；</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交易公告</w:t>
            </w:r>
            <w:r>
              <w:rPr>
                <w:rFonts w:hint="eastAsia" w:ascii="宋体" w:hAnsi="宋体" w:eastAsia="宋体" w:cs="宋体"/>
                <w:color w:val="auto"/>
                <w:szCs w:val="21"/>
                <w:highlight w:val="none"/>
              </w:rPr>
              <w:t>中涉及的</w:t>
            </w: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缴存确认均采用升级后的投标保证金系统；</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使用建易投标保证金平台系统前认真阅读《淳安县公共资源交易中心升级后的投标保证金系统正式上线通知》；</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需提前到行政服务中心一楼中行、工行、农行三家银行任一窗口办理企业基本账户登记（①经办人身份证；②盖公司章的开户许可证复印件；③盖公司章的营业执照复印件）；</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5、以三家银行使用建易投标保证金平台打印的保证金缴存确认汇总表作为</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单位保证金缴存到账（方式</w:t>
            </w:r>
            <w:r>
              <w:rPr>
                <w:rFonts w:hint="eastAsia" w:ascii="宋体" w:hAnsi="宋体" w:cs="宋体"/>
                <w:color w:val="auto"/>
                <w:szCs w:val="21"/>
                <w:highlight w:val="none"/>
                <w:lang w:eastAsia="zh-CN"/>
              </w:rPr>
              <w:t>二</w:t>
            </w:r>
            <w:r>
              <w:rPr>
                <w:rFonts w:hint="eastAsia" w:ascii="宋体" w:hAnsi="宋体" w:eastAsia="宋体" w:cs="宋体"/>
                <w:color w:val="auto"/>
                <w:szCs w:val="21"/>
                <w:highlight w:val="none"/>
              </w:rPr>
              <w:t>）的最终依据。为了不影响</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，汇款时在备注栏或附言内填写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联系人姓名和电话及项目名称（可以简略）或项目编号，缴款方式为电汇或企业网银。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交易响应保证金</w:t>
            </w:r>
            <w:r>
              <w:rPr>
                <w:rFonts w:hint="eastAsia" w:ascii="宋体" w:hAnsi="宋体" w:eastAsia="宋体" w:cs="宋体"/>
                <w:color w:val="auto"/>
                <w:szCs w:val="21"/>
                <w:highlight w:val="none"/>
              </w:rPr>
              <w:t>的退还</w:t>
            </w:r>
          </w:p>
        </w:tc>
        <w:tc>
          <w:tcPr>
            <w:tcW w:w="5580" w:type="dxa"/>
            <w:gridSpan w:val="2"/>
            <w:vAlign w:val="center"/>
          </w:tcPr>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在项目关联成功后，若出现</w:t>
            </w:r>
            <w:r>
              <w:rPr>
                <w:rFonts w:hint="eastAsia" w:ascii="宋体" w:hAnsi="宋体" w:eastAsia="宋体" w:cs="宋体"/>
                <w:color w:val="auto"/>
                <w:highlight w:val="none"/>
                <w:lang w:eastAsia="zh-CN"/>
              </w:rPr>
              <w:t>交易响应撤回</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没有按交易文件规定递交交易响应文件</w:t>
            </w:r>
            <w:r>
              <w:rPr>
                <w:rFonts w:hint="eastAsia" w:ascii="宋体" w:hAnsi="宋体" w:eastAsia="宋体" w:cs="宋体"/>
                <w:color w:val="auto"/>
                <w:highlight w:val="none"/>
              </w:rPr>
              <w:t>、保证金金额不足、</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不足三家等情形，保证金平台在</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w:t>
            </w:r>
            <w:r>
              <w:rPr>
                <w:rFonts w:hint="eastAsia" w:ascii="宋体" w:hAnsi="宋体" w:cs="宋体"/>
                <w:color w:val="auto"/>
                <w:highlight w:val="none"/>
                <w:lang w:eastAsia="zh-CN"/>
              </w:rPr>
              <w:t>交易响应</w:t>
            </w:r>
            <w:r>
              <w:rPr>
                <w:rFonts w:hint="eastAsia" w:ascii="宋体" w:hAnsi="宋体" w:eastAsia="宋体" w:cs="宋体"/>
                <w:color w:val="auto"/>
                <w:highlight w:val="none"/>
              </w:rPr>
              <w:t>截止）后的第二个工作日退还</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交易响应保证金</w:t>
            </w:r>
            <w:r>
              <w:rPr>
                <w:rFonts w:hint="eastAsia" w:ascii="宋体" w:hAnsi="宋体" w:eastAsia="宋体" w:cs="宋体"/>
                <w:color w:val="auto"/>
                <w:highlight w:val="none"/>
              </w:rPr>
              <w:t>。</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公示期结束无异议后，由</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保证金专户所属银行按通知单退还保证金。</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与业主签订合同后，凭合同原件、</w:t>
            </w:r>
            <w:r>
              <w:rPr>
                <w:rFonts w:hint="eastAsia" w:ascii="宋体" w:hAnsi="宋体" w:eastAsia="宋体" w:cs="宋体"/>
                <w:color w:val="auto"/>
                <w:highlight w:val="none"/>
                <w:lang w:eastAsia="zh-CN"/>
              </w:rPr>
              <w:t>成交通知书</w:t>
            </w:r>
            <w:r>
              <w:rPr>
                <w:rFonts w:hint="eastAsia" w:ascii="宋体" w:hAnsi="宋体" w:eastAsia="宋体" w:cs="宋体"/>
                <w:color w:val="auto"/>
                <w:highlight w:val="none"/>
              </w:rPr>
              <w:t>复印件、建设单位的退保证金通知单到县公共资源交易中心业务一科办理手续后，由交易中心通知银行退还保证金。</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缴纳保证金后，由于各种原因未与</w:t>
            </w:r>
            <w:r>
              <w:rPr>
                <w:rFonts w:hint="eastAsia" w:ascii="宋体" w:hAnsi="宋体" w:cs="宋体"/>
                <w:color w:val="auto"/>
                <w:highlight w:val="none"/>
                <w:lang w:eastAsia="zh-CN"/>
              </w:rPr>
              <w:t>交易响应</w:t>
            </w:r>
            <w:r>
              <w:rPr>
                <w:rFonts w:hint="eastAsia" w:ascii="宋体" w:hAnsi="宋体" w:eastAsia="宋体" w:cs="宋体"/>
                <w:color w:val="auto"/>
                <w:highlight w:val="none"/>
              </w:rPr>
              <w:t>项目（标段）关联成功的，由</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在自行办理退款，保证金平台自动核对后沿原路退回交款账户。</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终止的，保证金按以下规则退还：</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（1）尚未</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的项目，保证金平台在</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后的第二个工作日自动退还所有该项目已收到的</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（2）已</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的项目，除</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要求不予退还外，其他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的保证金，保证金平台在收到</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发出项目终止指令后的第二个工作日自动退还。</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6.遇下列情形时，保证金平台将暂缓退还相关</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保证金：</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（标段）发生投诉的，暂缓退还该项目所有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的保证金且</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保证金的退还时间不受保证金有效期约束。投诉人以书面形式向招投标行政监督部门递交投诉书的，暂缓退还自交易中心收到投诉书的当天生效。</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违反</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约定，</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要求暂缓退还相关</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保证金的。</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7.出现投诉的</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（标段），</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保证金及银行同期存款利息的退还时间不受保证金有效期约束。投诉处理完毕，按以下规则退还：</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要求不予退还的以及本条第（2）点所列的保证金以外，其余</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保证金在电子交易平台收到</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退还指令后的第二个工作日自动退还。　</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（2）已超过原</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保证金有效期或者原</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保证金有效期内已不足确定</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或中标合同签订所需合理时间，</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延长保证金有效期，</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同意延长的，</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保证金有效期按延长后计算。</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保证金有效期到期前，</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认为有必要延长</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的，应将希望延长有效期的意向书面通知所有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，并将同意延长有效期的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名单及延长期限告知淳安县交易中心登记并同时报行业监督部门备案，</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保证金有效期按延长后计算。</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9.除</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决定不予退还的、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同意延长有效期的、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因自身原因提出暂缓退还的以及因投诉处理需暂缓退还的</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保证金外，其余</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保证金在原</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到期后退还。</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w:t>
            </w:r>
            <w:r>
              <w:rPr>
                <w:rFonts w:hint="eastAsia" w:ascii="宋体" w:hAnsi="宋体" w:cs="宋体"/>
                <w:color w:val="auto"/>
                <w:highlight w:val="none"/>
                <w:lang w:eastAsia="zh-CN"/>
              </w:rPr>
              <w:t>交易响应</w:t>
            </w:r>
            <w:r>
              <w:rPr>
                <w:rFonts w:hint="eastAsia" w:ascii="宋体" w:hAnsi="宋体" w:eastAsia="宋体" w:cs="宋体"/>
                <w:color w:val="auto"/>
                <w:highlight w:val="none"/>
              </w:rPr>
              <w:t>期间银行基本账户发生变化时，应及时到淳安县交易中心保证金窗口办理变更登记，以确保</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保证金及时准确地退还。</w:t>
            </w:r>
          </w:p>
          <w:p>
            <w:pPr>
              <w:pStyle w:val="1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保证金退还时，同时退还银行同期存款利息。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50"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保证金不予退还的情形</w:t>
            </w:r>
          </w:p>
        </w:tc>
        <w:tc>
          <w:tcPr>
            <w:tcW w:w="5580" w:type="dxa"/>
            <w:gridSpan w:val="2"/>
            <w:vAlign w:val="center"/>
          </w:tcPr>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Cs w:val="22"/>
                <w:highlight w:val="none"/>
              </w:rPr>
            </w:pP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1</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lang w:eastAsia="zh-CN"/>
              </w:rPr>
              <w:t>交易响应人</w:t>
            </w:r>
            <w:r>
              <w:rPr>
                <w:rFonts w:hint="eastAsia" w:ascii="宋体" w:hAnsi="宋体" w:eastAsia="宋体" w:cs="宋体"/>
                <w:color w:val="auto"/>
                <w:szCs w:val="22"/>
                <w:highlight w:val="none"/>
              </w:rPr>
              <w:t>在规定的</w:t>
            </w:r>
            <w:r>
              <w:rPr>
                <w:rFonts w:hint="eastAsia" w:ascii="宋体" w:hAnsi="宋体" w:eastAsia="宋体" w:cs="宋体"/>
                <w:color w:val="auto"/>
                <w:szCs w:val="22"/>
                <w:highlight w:val="none"/>
                <w:lang w:eastAsia="zh-CN"/>
              </w:rPr>
              <w:t>交易响应有效期</w:t>
            </w:r>
            <w:r>
              <w:rPr>
                <w:rFonts w:hint="eastAsia" w:ascii="宋体" w:hAnsi="宋体" w:eastAsia="宋体" w:cs="宋体"/>
                <w:color w:val="auto"/>
                <w:szCs w:val="22"/>
                <w:highlight w:val="none"/>
              </w:rPr>
              <w:t>内撤销或修改其</w:t>
            </w:r>
            <w:r>
              <w:rPr>
                <w:rFonts w:hint="eastAsia" w:ascii="宋体" w:hAnsi="宋体" w:eastAsia="宋体" w:cs="宋体"/>
                <w:color w:val="auto"/>
                <w:szCs w:val="22"/>
                <w:highlight w:val="none"/>
                <w:lang w:val="en-US" w:eastAsia="zh-CN"/>
              </w:rPr>
              <w:t>交易响应</w:t>
            </w:r>
            <w:r>
              <w:rPr>
                <w:rFonts w:hint="eastAsia" w:ascii="宋体" w:hAnsi="宋体" w:eastAsia="宋体" w:cs="宋体"/>
                <w:color w:val="auto"/>
                <w:szCs w:val="22"/>
                <w:highlight w:val="none"/>
              </w:rPr>
              <w:t>文件；</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Cs w:val="22"/>
                <w:highlight w:val="none"/>
              </w:rPr>
            </w:pP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2</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lang w:eastAsia="zh-CN"/>
              </w:rPr>
              <w:t>成交人</w:t>
            </w:r>
            <w:r>
              <w:rPr>
                <w:rFonts w:hint="eastAsia" w:ascii="宋体" w:hAnsi="宋体" w:eastAsia="宋体" w:cs="宋体"/>
                <w:color w:val="auto"/>
                <w:szCs w:val="22"/>
                <w:highlight w:val="none"/>
              </w:rPr>
              <w:t>在收到</w:t>
            </w:r>
            <w:r>
              <w:rPr>
                <w:rFonts w:hint="eastAsia" w:ascii="宋体" w:hAnsi="宋体" w:eastAsia="宋体" w:cs="宋体"/>
                <w:color w:val="auto"/>
                <w:szCs w:val="22"/>
                <w:highlight w:val="none"/>
                <w:lang w:eastAsia="zh-CN"/>
              </w:rPr>
              <w:t>成交通知书</w:t>
            </w:r>
            <w:r>
              <w:rPr>
                <w:rFonts w:hint="eastAsia" w:ascii="宋体" w:hAnsi="宋体" w:eastAsia="宋体" w:cs="宋体"/>
                <w:color w:val="auto"/>
                <w:szCs w:val="22"/>
                <w:highlight w:val="none"/>
              </w:rPr>
              <w:t>后，无正当理由拒签合同协议书或未按</w:t>
            </w:r>
            <w:r>
              <w:rPr>
                <w:rFonts w:hint="eastAsia" w:ascii="宋体" w:hAnsi="宋体" w:eastAsia="宋体" w:cs="宋体"/>
                <w:color w:val="auto"/>
                <w:szCs w:val="22"/>
                <w:highlight w:val="none"/>
                <w:lang w:val="en-US" w:eastAsia="zh-CN"/>
              </w:rPr>
              <w:t>交易</w:t>
            </w:r>
            <w:r>
              <w:rPr>
                <w:rFonts w:hint="eastAsia" w:ascii="宋体" w:hAnsi="宋体" w:eastAsia="宋体" w:cs="宋体"/>
                <w:color w:val="auto"/>
                <w:szCs w:val="22"/>
                <w:highlight w:val="none"/>
              </w:rPr>
              <w:t>文件规定提交履约担保；</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3</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经查实，</w:t>
            </w:r>
            <w:r>
              <w:rPr>
                <w:rFonts w:hint="eastAsia" w:ascii="宋体" w:hAnsi="宋体" w:eastAsia="宋体" w:cs="宋体"/>
                <w:color w:val="auto"/>
                <w:szCs w:val="22"/>
                <w:highlight w:val="none"/>
                <w:lang w:eastAsia="zh-CN"/>
              </w:rPr>
              <w:t>交易响应人</w:t>
            </w:r>
            <w:r>
              <w:rPr>
                <w:rFonts w:hint="eastAsia" w:ascii="宋体" w:hAnsi="宋体" w:eastAsia="宋体" w:cs="宋体"/>
                <w:color w:val="auto"/>
                <w:szCs w:val="22"/>
                <w:highlight w:val="none"/>
              </w:rPr>
              <w:t>在</w:t>
            </w:r>
            <w:r>
              <w:rPr>
                <w:rFonts w:hint="eastAsia" w:ascii="宋体" w:hAnsi="宋体" w:eastAsia="宋体" w:cs="宋体"/>
                <w:color w:val="auto"/>
                <w:szCs w:val="22"/>
                <w:highlight w:val="none"/>
                <w:lang w:eastAsia="zh-CN"/>
              </w:rPr>
              <w:t>交易响应过程</w:t>
            </w:r>
            <w:r>
              <w:rPr>
                <w:rFonts w:hint="eastAsia" w:ascii="宋体" w:hAnsi="宋体" w:eastAsia="宋体" w:cs="宋体"/>
                <w:color w:val="auto"/>
                <w:szCs w:val="22"/>
                <w:highlight w:val="none"/>
              </w:rPr>
              <w:t>中串通</w:t>
            </w:r>
            <w:r>
              <w:rPr>
                <w:rFonts w:hint="eastAsia" w:ascii="宋体" w:hAnsi="宋体" w:eastAsia="宋体" w:cs="宋体"/>
                <w:color w:val="auto"/>
                <w:szCs w:val="22"/>
                <w:highlight w:val="none"/>
                <w:lang w:val="en-US" w:eastAsia="zh-CN"/>
              </w:rPr>
              <w:t>交易响应</w:t>
            </w:r>
            <w:r>
              <w:rPr>
                <w:rFonts w:hint="eastAsia" w:ascii="宋体" w:hAnsi="宋体" w:eastAsia="宋体" w:cs="宋体"/>
                <w:color w:val="auto"/>
                <w:szCs w:val="22"/>
                <w:highlight w:val="none"/>
              </w:rPr>
              <w:t>或弄虚作假的。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8"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5580" w:type="dxa"/>
            <w:gridSpan w:val="2"/>
            <w:vAlign w:val="center"/>
          </w:tcPr>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交易响应文件第一个信封（商务技术文件）签字或盖章要求：在交易文件规定的法定代表人或其委托代理人签字处签署姓名；在交易文件规定的盖公章处加盖单位公章。</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二个信封（报价文件）签字或盖章要求：正本中的所有内容应由交易响应人的法定代表人或其委托代理人逐页签署姓名（本页正文内容已由交易响应人的法定代表人或其委托代理人签署姓名的可不签署）并逐页加盖交易响应人单位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本页正文内容已加盖单位章的除外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交易响应文件份数</w:t>
            </w:r>
          </w:p>
        </w:tc>
        <w:tc>
          <w:tcPr>
            <w:tcW w:w="5580" w:type="dxa"/>
            <w:gridSpan w:val="2"/>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 1份，副本</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（副本可以是正本的复印件）</w:t>
            </w:r>
            <w:r>
              <w:rPr>
                <w:rFonts w:hint="eastAsia" w:ascii="宋体" w:hAnsi="宋体" w:eastAsia="宋体" w:cs="宋体"/>
                <w:color w:val="auto"/>
                <w:szCs w:val="21"/>
                <w:highlight w:val="none"/>
              </w:rPr>
              <w:t>。交易响应人在接到成交通知书后签订合同协议书前，应按正本的复制件再递交</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份交易响应文件的副本。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交易响应文件装订要求</w:t>
            </w:r>
          </w:p>
        </w:tc>
        <w:tc>
          <w:tcPr>
            <w:tcW w:w="55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的正本与副本应分别装订成册（A4纸幅），并编制目录、且逐页标注连续页码。交易响应文件不得采用活页夹装订，否则，交易发起人对由于交易响应文件装订松散而造成的丢失或其他后果不承担任何责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8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封套上写明</w:t>
            </w:r>
          </w:p>
        </w:tc>
        <w:tc>
          <w:tcPr>
            <w:tcW w:w="55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交易响应文件第一个信封（商务及技术文件）内层封套：</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交易响应人邮政编码：______________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交易响应人地址：_______________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交易响应人名称：_______________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交易响应人联系人：______________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交易响应人联系电话：______________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交易发起人地址及名称：________________</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交易响应文件第二个信封（报价文件）内层封套：</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交易响应人邮政编码：______________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交易响应人地址：_______________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交易响应人名称：_______________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交易响应人联系人：______________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交易响应人联系电话：______________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交易发起人地址及名称：________________</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交易响应文件外层封套：</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送达交易响应文件地址：______________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交易发起人名称：______________</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检测交易响应文件</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5"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递交交易响应文件方式和地点</w:t>
            </w:r>
          </w:p>
        </w:tc>
        <w:tc>
          <w:tcPr>
            <w:tcW w:w="5580"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淳安县公共资源交易中心（淳安县千岛湖镇环湖北路375号，淳安县行政审批管理委员会办公室商务大楼5楼</w:t>
            </w:r>
            <w:r>
              <w:rPr>
                <w:rFonts w:hint="eastAsia" w:ascii="宋体" w:hAnsi="宋体" w:eastAsia="宋体" w:cs="宋体"/>
                <w:color w:val="auto"/>
                <w:szCs w:val="21"/>
                <w:highlight w:val="none"/>
              </w:rPr>
              <w:t>第三</w:t>
            </w:r>
            <w:r>
              <w:rPr>
                <w:rFonts w:hint="eastAsia" w:ascii="宋体" w:hAnsi="宋体" w:eastAsia="宋体" w:cs="宋体"/>
                <w:color w:val="auto"/>
                <w:szCs w:val="21"/>
                <w:highlight w:val="none"/>
                <w:lang w:eastAsia="zh-CN"/>
              </w:rPr>
              <w:t>开标</w:t>
            </w:r>
            <w:r>
              <w:rPr>
                <w:rFonts w:hint="eastAsia" w:ascii="宋体" w:hAnsi="宋体" w:eastAsia="宋体" w:cs="宋体"/>
                <w:color w:val="auto"/>
                <w:szCs w:val="21"/>
                <w:highlight w:val="none"/>
              </w:rPr>
              <w:t>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6"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交易响应文件的拒收情形</w:t>
            </w:r>
          </w:p>
        </w:tc>
        <w:tc>
          <w:tcPr>
            <w:tcW w:w="5580" w:type="dxa"/>
            <w:gridSpan w:val="2"/>
            <w:vAlign w:val="center"/>
          </w:tcPr>
          <w:p>
            <w:pPr>
              <w:pStyle w:val="114"/>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（1）交易响应保证金未与所交易项目关联；</w:t>
            </w:r>
          </w:p>
          <w:p>
            <w:pPr>
              <w:pStyle w:val="114"/>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纸质交易响应文件逾期送达或者未送达指定地点的，或未按4.1.2款密封的。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4.2.6</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通知延后</w:t>
            </w:r>
            <w:r>
              <w:rPr>
                <w:rFonts w:hint="eastAsia" w:ascii="宋体" w:hAnsi="宋体" w:eastAsia="宋体" w:cs="宋体"/>
                <w:color w:val="auto"/>
                <w:szCs w:val="21"/>
                <w:highlight w:val="none"/>
                <w:lang w:eastAsia="zh-CN"/>
              </w:rPr>
              <w:t>交易响应截止时间</w:t>
            </w:r>
            <w:r>
              <w:rPr>
                <w:rFonts w:hint="eastAsia" w:ascii="宋体" w:hAnsi="宋体" w:eastAsia="宋体" w:cs="宋体"/>
                <w:color w:val="auto"/>
                <w:szCs w:val="21"/>
                <w:highlight w:val="none"/>
              </w:rPr>
              <w:t>的时间</w:t>
            </w:r>
          </w:p>
        </w:tc>
        <w:tc>
          <w:tcPr>
            <w:tcW w:w="5580"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原定</w:t>
            </w:r>
            <w:r>
              <w:rPr>
                <w:rFonts w:hint="eastAsia" w:ascii="宋体" w:hAnsi="宋体" w:eastAsia="宋体" w:cs="宋体"/>
                <w:color w:val="auto"/>
                <w:szCs w:val="21"/>
                <w:highlight w:val="none"/>
                <w:lang w:eastAsia="zh-CN"/>
              </w:rPr>
              <w:t>交易响应截止时间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8"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交易会议时间和地点</w:t>
            </w:r>
          </w:p>
        </w:tc>
        <w:tc>
          <w:tcPr>
            <w:tcW w:w="5580" w:type="dxa"/>
            <w:gridSpan w:val="2"/>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交易响应文件第一个信封（商务及技术文件）交易会议时间：同交易响应截止时间</w:t>
            </w:r>
          </w:p>
          <w:p>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交易响应文件第一个信封（商务及技术文件）交易会议地点：淳安县公共资源交易中心（淳安县千岛湖镇环湖北路375号，淳安县行政审批管理委员会办公室五楼第三</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室）</w:t>
            </w:r>
          </w:p>
          <w:p>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交易响应文件第二个信封（报价文件）交易会议时间：第一信封交易会议时通知</w:t>
            </w:r>
          </w:p>
          <w:p>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交易响应文件第二个信封（报价文件）交易会议地点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淳安县公共资源交易中心（淳安县千岛湖镇环湖北路375号，淳安县行政审批管理委员会办公室五楼第三</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52"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交易会议程序</w:t>
            </w:r>
            <w:r>
              <w:rPr>
                <w:rFonts w:hint="eastAsia" w:ascii="宋体" w:hAnsi="宋体" w:eastAsia="宋体" w:cs="宋体"/>
                <w:color w:val="auto"/>
                <w:szCs w:val="21"/>
                <w:highlight w:val="none"/>
              </w:rPr>
              <w:t>（双信封）</w:t>
            </w:r>
          </w:p>
        </w:tc>
        <w:tc>
          <w:tcPr>
            <w:tcW w:w="55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1．如发现</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文件有 4.2.5 项情况之一的，相应交易响应文件不予</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2．第一信封（商务及技术文件）</w:t>
            </w:r>
            <w:r>
              <w:rPr>
                <w:rFonts w:hint="eastAsia" w:ascii="宋体" w:hAnsi="宋体" w:eastAsia="宋体" w:cs="宋体"/>
                <w:color w:val="auto"/>
                <w:szCs w:val="21"/>
                <w:highlight w:val="none"/>
                <w:lang w:eastAsia="zh-CN"/>
              </w:rPr>
              <w:t>交易会议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（1）宣布开始</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至交易响应截止时间，</w:t>
            </w: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人宣布开始</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，宣读项目名称、</w:t>
            </w: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人代表、交易中心见证代表、监标人等有关人员姓名。</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（2）公布交易响应人数量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交易发起人公布交易响应人数量及交易响应保证金缴纳情况。若已递交交易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文件的单位数量少于3家，交易发起人公布已递交交易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w:t>
            </w:r>
            <w:r>
              <w:rPr>
                <w:rFonts w:hint="eastAsia" w:ascii="宋体" w:hAnsi="宋体" w:cs="宋体"/>
                <w:color w:val="auto"/>
                <w:szCs w:val="21"/>
                <w:highlight w:val="none"/>
                <w:lang w:eastAsia="zh-CN"/>
              </w:rPr>
              <w:t>件的</w:t>
            </w:r>
            <w:r>
              <w:rPr>
                <w:rFonts w:hint="eastAsia" w:ascii="宋体" w:hAnsi="宋体" w:eastAsia="宋体" w:cs="宋体"/>
                <w:color w:val="auto"/>
                <w:szCs w:val="21"/>
                <w:highlight w:val="none"/>
              </w:rPr>
              <w:t>单位名称，当场宣布</w:t>
            </w:r>
            <w:r>
              <w:rPr>
                <w:rFonts w:hint="eastAsia" w:ascii="宋体" w:hAnsi="宋体" w:eastAsia="宋体" w:cs="宋体"/>
                <w:color w:val="auto"/>
                <w:szCs w:val="21"/>
                <w:highlight w:val="none"/>
                <w:lang w:eastAsia="zh-CN"/>
              </w:rPr>
              <w:t>交易</w:t>
            </w:r>
            <w:r>
              <w:rPr>
                <w:rFonts w:hint="eastAsia" w:ascii="宋体" w:hAnsi="宋体" w:eastAsia="宋体" w:cs="宋体"/>
                <w:color w:val="auto"/>
                <w:szCs w:val="21"/>
                <w:highlight w:val="none"/>
              </w:rPr>
              <w:t>失败，结束</w:t>
            </w:r>
            <w:r>
              <w:rPr>
                <w:rFonts w:hint="eastAsia" w:ascii="宋体" w:hAnsi="宋体" w:eastAsia="宋体" w:cs="宋体"/>
                <w:color w:val="auto"/>
                <w:szCs w:val="21"/>
                <w:highlight w:val="none"/>
                <w:lang w:eastAsia="zh-CN"/>
              </w:rPr>
              <w:t>交易</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（3）交易发起人</w:t>
            </w:r>
            <w:r>
              <w:rPr>
                <w:rFonts w:hint="eastAsia" w:ascii="宋体" w:hAnsi="宋体" w:eastAsia="宋体" w:cs="宋体"/>
                <w:color w:val="auto"/>
                <w:szCs w:val="21"/>
                <w:highlight w:val="none"/>
                <w:lang w:eastAsia="zh-CN"/>
              </w:rPr>
              <w:t>（或招标代理）召开交易会议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人数量大于等于3家，进入</w:t>
            </w:r>
            <w:r>
              <w:rPr>
                <w:rFonts w:hint="eastAsia" w:ascii="宋体" w:hAnsi="宋体" w:eastAsia="宋体" w:cs="宋体"/>
                <w:color w:val="auto"/>
                <w:szCs w:val="21"/>
                <w:highlight w:val="none"/>
                <w:lang w:eastAsia="zh-CN"/>
              </w:rPr>
              <w:t>唱标环节</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（4）公布第一信封交易会议结果</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完成后，</w:t>
            </w: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人公布</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人名单、</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保证金的递交情况、质量目标、工期及其他内容，同时宣布第二信封预计交易会议时间。</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文件第二信封（报价文件）不予开封，在专家完成第一信封评审后，</w:t>
            </w: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人才能组织进行第二信封交易会议。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）异议及回复</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交易响应人对交易响应文件提交、截标时间、</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程序、唱标内容、</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记录等有异议的，应在</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结果公布后</w:t>
            </w:r>
            <w:r>
              <w:rPr>
                <w:rFonts w:hint="eastAsia" w:ascii="宋体" w:hAnsi="宋体" w:eastAsia="宋体" w:cs="宋体"/>
                <w:color w:val="auto"/>
                <w:szCs w:val="21"/>
                <w:highlight w:val="none"/>
                <w:lang w:eastAsia="zh-CN"/>
              </w:rPr>
              <w:t>在交易会议上提出，由交易发起人当面答复。</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人确认</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结果公布后，</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人应在5分钟内对</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结果进行确认，未在规定时间内完成确认的视为自动确认。</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结束</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人宣布本次第一信封</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结束。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103"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交易会议程序</w:t>
            </w:r>
            <w:r>
              <w:rPr>
                <w:rFonts w:hint="eastAsia" w:ascii="宋体" w:hAnsi="宋体" w:eastAsia="宋体" w:cs="宋体"/>
                <w:color w:val="auto"/>
                <w:szCs w:val="21"/>
                <w:highlight w:val="none"/>
              </w:rPr>
              <w:t>（双信封）（续）</w:t>
            </w:r>
          </w:p>
        </w:tc>
        <w:tc>
          <w:tcPr>
            <w:tcW w:w="5551" w:type="dxa"/>
            <w:vAlign w:val="center"/>
          </w:tcPr>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3．第二信封交易会议</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注：交易发起人将按照本章第5.1款规定的时间和地点组织对交易响应文件第二信封的交易会议，具体程序：</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（1）宣布开始</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交易发起人宣布第二信封交易会议开始，宣读项目名称、交易发起人代表、交易中心见证代表、监标人等有关人员姓名。</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（2）抽取系数</w:t>
            </w:r>
            <w:r>
              <w:rPr>
                <w:rFonts w:hint="eastAsia" w:ascii="宋体" w:hAnsi="宋体" w:cs="宋体"/>
                <w:color w:val="auto"/>
                <w:szCs w:val="21"/>
                <w:highlight w:val="none"/>
                <w:lang w:eastAsia="zh-CN"/>
              </w:rPr>
              <w:t>（如有）</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抽取评标办法规定的系数值。</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（3）交易发起人（或招标代理）召开交易会议</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人数量大于等于3家，进入唱标环节。</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（4）公布第二信封交易会议结果</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公布所有交易响应文件第二信封（报价文件）的交易响应人名称、交易响应报价及其他内容。</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（5）异议及回复.</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交易响应人对交易响应文件提交、截标时间、交易会议程序、唱标内容、交易会议记录等有异议的，应在交易会议结果公布后在交易会议上提出，由交易发起人当面答复。</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（6）交易响应人确认</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交易会议结果公布后，交易响应人应在5分钟内对交易会议结果进行确认，未在规定时间内完成确认的视为自动确认。</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（7）交易会议结束</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交易发起人宣布第二信封交易会议结束。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103"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补救措施</w:t>
            </w:r>
          </w:p>
        </w:tc>
        <w:tc>
          <w:tcPr>
            <w:tcW w:w="5551" w:type="dxa"/>
            <w:vAlign w:val="center"/>
          </w:tcPr>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103"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551" w:type="dxa"/>
            <w:vAlign w:val="center"/>
          </w:tcPr>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评标委员会构成：</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人，其中</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代表</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rPr>
              <w:t>人，专家</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rPr>
              <w:t>人；</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代表确定方式：按1：2比例随机抽取。</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评标专家确定方式：从</w:t>
            </w:r>
            <w:r>
              <w:rPr>
                <w:rFonts w:hint="eastAsia" w:ascii="宋体" w:hAnsi="宋体" w:eastAsia="宋体" w:cs="宋体"/>
                <w:color w:val="auto"/>
                <w:highlight w:val="none"/>
                <w:u w:val="single"/>
              </w:rPr>
              <w:t>淳安县交通建设工程评审专家库</w:t>
            </w:r>
            <w:r>
              <w:rPr>
                <w:rFonts w:hint="eastAsia" w:ascii="宋体" w:hAnsi="宋体" w:eastAsia="宋体" w:cs="宋体"/>
                <w:color w:val="auto"/>
                <w:highlight w:val="none"/>
              </w:rPr>
              <w:t>随机抽取</w:t>
            </w:r>
            <w:r>
              <w:rPr>
                <w:rFonts w:hint="eastAsia" w:ascii="宋体" w:hAnsi="宋体" w:cs="宋体"/>
                <w:color w:val="auto"/>
                <w:highlight w:val="none"/>
                <w:lang w:val="en-US" w:eastAsia="zh-CN"/>
              </w:rPr>
              <w:t>5</w:t>
            </w:r>
            <w:r>
              <w:rPr>
                <w:rFonts w:hint="eastAsia" w:ascii="宋体" w:hAnsi="宋体" w:eastAsia="宋体" w:cs="宋体"/>
                <w:color w:val="auto"/>
                <w:highlight w:val="none"/>
              </w:rPr>
              <w:t>人，评标委员会主任在库选专家中推荐或随机抽取。</w:t>
            </w:r>
          </w:p>
          <w:p>
            <w:pPr>
              <w:pStyle w:val="1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交易会议</w:t>
            </w:r>
            <w:r>
              <w:rPr>
                <w:rFonts w:hint="eastAsia" w:ascii="宋体" w:hAnsi="宋体" w:eastAsia="宋体" w:cs="宋体"/>
                <w:color w:val="auto"/>
                <w:szCs w:val="21"/>
                <w:highlight w:val="none"/>
              </w:rPr>
              <w:t>后发现如有与</w:t>
            </w:r>
            <w:r>
              <w:rPr>
                <w:rFonts w:hint="eastAsia" w:ascii="宋体" w:hAnsi="宋体" w:eastAsia="宋体" w:cs="宋体"/>
                <w:color w:val="auto"/>
                <w:szCs w:val="21"/>
                <w:highlight w:val="none"/>
                <w:lang w:eastAsia="zh-CN"/>
              </w:rPr>
              <w:t>交易发起</w:t>
            </w:r>
            <w:r>
              <w:rPr>
                <w:rFonts w:hint="eastAsia" w:ascii="宋体" w:hAnsi="宋体" w:eastAsia="宋体" w:cs="宋体"/>
                <w:color w:val="auto"/>
                <w:szCs w:val="21"/>
                <w:highlight w:val="none"/>
              </w:rPr>
              <w:t>人存在利害关系的单位（企业）参加</w:t>
            </w:r>
            <w:r>
              <w:rPr>
                <w:rFonts w:hint="eastAsia" w:ascii="宋体" w:hAnsi="宋体" w:eastAsia="宋体" w:cs="宋体"/>
                <w:color w:val="auto"/>
                <w:szCs w:val="21"/>
                <w:highlight w:val="none"/>
                <w:lang w:eastAsia="zh-CN"/>
              </w:rPr>
              <w:t>交易响应</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交易</w:t>
            </w:r>
            <w:r>
              <w:rPr>
                <w:rFonts w:hint="eastAsia" w:ascii="宋体" w:hAnsi="宋体" w:eastAsia="宋体" w:cs="宋体"/>
                <w:color w:val="auto"/>
                <w:szCs w:val="21"/>
                <w:highlight w:val="none"/>
                <w:lang w:val="en-US" w:eastAsia="zh-CN"/>
              </w:rPr>
              <w:t>发起</w:t>
            </w:r>
            <w:r>
              <w:rPr>
                <w:rFonts w:hint="eastAsia" w:ascii="宋体" w:hAnsi="宋体" w:eastAsia="宋体" w:cs="宋体"/>
                <w:color w:val="auto"/>
                <w:szCs w:val="21"/>
                <w:highlight w:val="none"/>
              </w:rPr>
              <w:t>人不得派代表参加评标委员会。最终的评标委员会人数少于 5 人时应补抽专家。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59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询问核实限定时间：评标委员会首次通知后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103"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公示及异议</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公示平台：</w:t>
            </w:r>
            <w:r>
              <w:rPr>
                <w:rFonts w:hint="eastAsia" w:ascii="宋体" w:hAnsi="宋体" w:eastAsia="宋体" w:cs="宋体"/>
                <w:snapToGrid w:val="0"/>
                <w:color w:val="auto"/>
                <w:highlight w:val="none"/>
              </w:rPr>
              <w:t>“交易平台”</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公示内容：</w:t>
            </w:r>
            <w:r>
              <w:rPr>
                <w:rFonts w:hint="eastAsia" w:ascii="宋体" w:hAnsi="宋体" w:eastAsia="宋体" w:cs="宋体"/>
                <w:color w:val="auto"/>
                <w:szCs w:val="21"/>
                <w:highlight w:val="none"/>
              </w:rPr>
              <w:t>评标结果、否决</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原因及依据、</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与中标有关的类似项目业绩情况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791"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是否授权评标委员会确定</w:t>
            </w:r>
            <w:r>
              <w:rPr>
                <w:rFonts w:hint="eastAsia" w:ascii="宋体" w:hAnsi="宋体" w:eastAsia="宋体" w:cs="宋体"/>
                <w:color w:val="auto"/>
                <w:szCs w:val="21"/>
                <w:highlight w:val="none"/>
                <w:lang w:eastAsia="zh-CN"/>
              </w:rPr>
              <w:t>成交人</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的人数为1人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79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中标结果公告</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napToGrid w:val="0"/>
                <w:color w:val="auto"/>
                <w:highlight w:val="none"/>
              </w:rPr>
            </w:pPr>
            <w:r>
              <w:rPr>
                <w:rFonts w:hint="eastAsia" w:ascii="宋体" w:hAnsi="宋体" w:eastAsia="宋体" w:cs="宋体"/>
                <w:color w:val="auto"/>
                <w:highlight w:val="none"/>
              </w:rPr>
              <w:t>公示平台：</w:t>
            </w:r>
            <w:r>
              <w:rPr>
                <w:rFonts w:hint="eastAsia" w:ascii="宋体" w:hAnsi="宋体" w:eastAsia="宋体" w:cs="宋体"/>
                <w:snapToGrid w:val="0"/>
                <w:color w:val="auto"/>
                <w:highlight w:val="none"/>
              </w:rPr>
              <w:t>“交易平台”</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napToGrid w:val="0"/>
                <w:color w:val="auto"/>
                <w:highlight w:val="none"/>
              </w:rPr>
            </w:pPr>
            <w:r>
              <w:rPr>
                <w:rFonts w:hint="eastAsia" w:ascii="宋体" w:hAnsi="宋体" w:eastAsia="宋体" w:cs="宋体"/>
                <w:color w:val="auto"/>
                <w:highlight w:val="none"/>
              </w:rPr>
              <w:t>公示内容：</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、中标价等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79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履约担保金额：2%签约合同价</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根据浙江省交通运输厅最新公布（</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截止日为准）有效的公路水运工程试验检测机构信用评价结果，信用评价结果为AA等级信用企业为签约合同价的1％，信用评价结果为A等级信用企业为签约合同价的1.5%，未参加信用评价或其他信用等级的企业为签约合同价的2％。</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履约担保形式：现金（电汇或银行汇票形式）银行保函或者保险公司保函或融资担保公司保函。</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采用银行保函时，出具履约担保的银行级别：国有或股份制商业银行县（区、市）级及以上银行。</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若采用保险公司保证保险保单，出具保证保险保单的保险公司应具备相应的偿付能力，并为项目属地设区市国有或股份制保险公司。</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若采用融资担保公司保函，出具融资担保公司保函的融资担保公司应具备相应的偿付能力，并为项目属地设区市国有或股份制融资担保公司。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79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w:t>
            </w:r>
          </w:p>
        </w:tc>
        <w:tc>
          <w:tcPr>
            <w:tcW w:w="555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监督部门的联系方式：</w:t>
            </w:r>
            <w:bookmarkStart w:id="35" w:name="EB91ceb0d7fb2942af9e4f25be203f1581"/>
            <w:bookmarkEnd w:id="35"/>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淳安县交通运输局     </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邮编：311700    电话：0571-65068831</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地址：淳安千岛湖镇阳光路106号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gridAfter w:val="1"/>
          <w:wAfter w:w="29" w:type="dxa"/>
          <w:trHeight w:val="2979" w:hRule="atLeast"/>
        </w:trPr>
        <w:tc>
          <w:tcPr>
            <w:tcW w:w="1079"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521"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其他约定</w:t>
            </w:r>
          </w:p>
        </w:tc>
        <w:tc>
          <w:tcPr>
            <w:tcW w:w="5551" w:type="dxa"/>
            <w:vAlign w:val="center"/>
          </w:tcPr>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不得通过互联网与任何单位和个人进行与本项目有关图纸资料交换传递，不通过任何途径向本项目无关方泄露和传播本项目有关图纸资料。</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应在签署合同协议书同时签署项目图纸资料保密承诺书。</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在签订合同前，</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应按照专用合同条款第2.1款服务形式中检测人员的要求，将拟投入本项目检测的人员名单及相关资料</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lang w:eastAsia="zh-CN"/>
              </w:rPr>
              <w:t>发起人</w:t>
            </w:r>
            <w:r>
              <w:rPr>
                <w:rFonts w:hint="eastAsia" w:ascii="宋体" w:hAnsi="宋体" w:eastAsia="宋体" w:cs="宋体"/>
                <w:color w:val="auto"/>
                <w:szCs w:val="21"/>
                <w:highlight w:val="none"/>
              </w:rPr>
              <w:t>审查，并满足要求。由于</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原因未能及时提供该资料或资料不满足专用合同条款第2.1款要求，导致签订合同时间延期的，按</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须知第7.5.1项处理。</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须知正文内容与“</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须知前附表”内容不一致的，以“</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须知前附表”为准。</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lang w:val="en-US" w:eastAsia="zh-CN"/>
              </w:rPr>
              <w:t>/</w:t>
            </w:r>
          </w:p>
        </w:tc>
      </w:tr>
    </w:tbl>
    <w:p>
      <w:pPr>
        <w:ind w:right="210"/>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交易响应人</w:t>
      </w:r>
      <w:r>
        <w:rPr>
          <w:rFonts w:hint="eastAsia" w:ascii="宋体" w:hAnsi="宋体" w:eastAsia="宋体" w:cs="宋体"/>
          <w:b/>
          <w:color w:val="auto"/>
          <w:sz w:val="36"/>
          <w:szCs w:val="36"/>
          <w:highlight w:val="none"/>
        </w:rPr>
        <w:t>须知前附表附录</w:t>
      </w:r>
    </w:p>
    <w:p>
      <w:pPr>
        <w:spacing w:line="360" w:lineRule="auto"/>
        <w:jc w:val="left"/>
        <w:rPr>
          <w:rFonts w:hint="eastAsia" w:ascii="宋体" w:hAnsi="宋体" w:eastAsia="宋体" w:cs="宋体"/>
          <w:color w:val="auto"/>
          <w:szCs w:val="21"/>
          <w:highlight w:val="none"/>
        </w:rPr>
      </w:pPr>
    </w:p>
    <w:p>
      <w:pPr>
        <w:pStyle w:val="4"/>
        <w:jc w:val="center"/>
        <w:rPr>
          <w:rFonts w:hint="eastAsia" w:ascii="宋体" w:hAnsi="宋体" w:eastAsia="宋体" w:cs="宋体"/>
          <w:color w:val="auto"/>
          <w:szCs w:val="21"/>
          <w:highlight w:val="none"/>
        </w:rPr>
      </w:pPr>
      <w:bookmarkStart w:id="36" w:name="_Toc22355"/>
      <w:bookmarkStart w:id="37" w:name="_Toc286826583"/>
      <w:r>
        <w:rPr>
          <w:rFonts w:hint="eastAsia" w:ascii="宋体" w:hAnsi="宋体" w:eastAsia="宋体" w:cs="宋体"/>
          <w:color w:val="auto"/>
          <w:szCs w:val="24"/>
          <w:highlight w:val="none"/>
        </w:rPr>
        <w:t>附录1 资格审查条件（资质最低条件）</w:t>
      </w:r>
      <w:bookmarkEnd w:id="36"/>
      <w:bookmarkEnd w:id="37"/>
    </w:p>
    <w:p>
      <w:pPr>
        <w:spacing w:line="360" w:lineRule="auto"/>
        <w:jc w:val="center"/>
        <w:rPr>
          <w:rFonts w:hint="eastAsia" w:ascii="宋体" w:hAnsi="宋体" w:eastAsia="宋体" w:cs="宋体"/>
          <w:color w:val="auto"/>
          <w:szCs w:val="21"/>
          <w:highlight w:val="none"/>
        </w:rPr>
      </w:pPr>
    </w:p>
    <w:tbl>
      <w:tblPr>
        <w:tblStyle w:val="43"/>
        <w:tblW w:w="91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51"/>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75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642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试验检测企业资质等级要求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8" w:hRule="atLeast"/>
          <w:jc w:val="center"/>
        </w:trPr>
        <w:tc>
          <w:tcPr>
            <w:tcW w:w="2751" w:type="dxa"/>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第JKLC01标段</w:t>
            </w:r>
          </w:p>
        </w:tc>
        <w:tc>
          <w:tcPr>
            <w:tcW w:w="6429" w:type="dxa"/>
            <w:vAlign w:val="center"/>
          </w:tcPr>
          <w:p>
            <w:pPr>
              <w:numPr>
                <w:ilvl w:val="0"/>
                <w:numId w:val="2"/>
              </w:numPr>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具备独立法人资格，其本身或内设检测机构具备交通运输部门核发的</w:t>
            </w:r>
            <w:r>
              <w:rPr>
                <w:rFonts w:hint="eastAsia" w:ascii="宋体" w:hAnsi="宋体" w:eastAsia="宋体" w:cs="宋体"/>
                <w:color w:val="auto"/>
                <w:sz w:val="21"/>
                <w:szCs w:val="21"/>
                <w:highlight w:val="none"/>
                <w:u w:val="single"/>
                <w:lang w:eastAsia="zh-CN"/>
              </w:rPr>
              <w:t>公路工程综合</w:t>
            </w:r>
            <w:r>
              <w:rPr>
                <w:rFonts w:hint="eastAsia" w:ascii="宋体" w:hAnsi="宋体" w:cs="宋体"/>
                <w:color w:val="auto"/>
                <w:sz w:val="21"/>
                <w:szCs w:val="21"/>
                <w:highlight w:val="none"/>
                <w:u w:val="single"/>
                <w:lang w:eastAsia="zh-CN"/>
              </w:rPr>
              <w:t>甲</w:t>
            </w:r>
            <w:r>
              <w:rPr>
                <w:rFonts w:hint="eastAsia" w:ascii="宋体" w:hAnsi="宋体" w:eastAsia="宋体" w:cs="宋体"/>
                <w:color w:val="auto"/>
                <w:sz w:val="21"/>
                <w:szCs w:val="21"/>
                <w:highlight w:val="none"/>
                <w:u w:val="single"/>
                <w:lang w:eastAsia="zh-CN"/>
              </w:rPr>
              <w:t>级</w:t>
            </w:r>
            <w:r>
              <w:rPr>
                <w:rFonts w:hint="eastAsia" w:ascii="宋体" w:hAnsi="宋体" w:eastAsia="宋体" w:cs="宋体"/>
                <w:color w:val="auto"/>
                <w:sz w:val="21"/>
                <w:szCs w:val="21"/>
                <w:highlight w:val="none"/>
              </w:rPr>
              <w:t>试验检测等级证书</w:t>
            </w:r>
            <w:r>
              <w:rPr>
                <w:rFonts w:hint="eastAsia" w:ascii="宋体" w:hAnsi="宋体" w:cs="宋体"/>
                <w:color w:val="auto"/>
                <w:szCs w:val="21"/>
                <w:highlight w:val="none"/>
                <w:lang w:eastAsia="zh-CN"/>
              </w:rPr>
              <w:t>或</w:t>
            </w:r>
            <w:r>
              <w:rPr>
                <w:rFonts w:hint="eastAsia" w:ascii="宋体" w:hAnsi="宋体" w:cs="宋体"/>
                <w:color w:val="auto"/>
                <w:szCs w:val="21"/>
                <w:highlight w:val="none"/>
                <w:u w:val="single"/>
                <w:lang w:eastAsia="zh-CN"/>
              </w:rPr>
              <w:t>桥梁隧道工程专项试验检测等级证书</w:t>
            </w:r>
            <w:r>
              <w:rPr>
                <w:rFonts w:hint="eastAsia" w:ascii="宋体" w:hAnsi="宋体" w:eastAsia="宋体" w:cs="宋体"/>
                <w:color w:val="auto"/>
                <w:sz w:val="21"/>
                <w:szCs w:val="21"/>
                <w:highlight w:val="none"/>
              </w:rPr>
              <w:t>；持有市场监督管理部门核发的有效企业法人营业执照或事业单位法人证书</w:t>
            </w:r>
            <w:r>
              <w:rPr>
                <w:rFonts w:hint="eastAsia" w:ascii="宋体" w:hAnsi="宋体" w:cs="宋体"/>
                <w:color w:val="auto"/>
                <w:sz w:val="21"/>
                <w:szCs w:val="21"/>
                <w:highlight w:val="none"/>
                <w:lang w:eastAsia="zh-CN"/>
              </w:rPr>
              <w:t>；</w:t>
            </w:r>
          </w:p>
          <w:p>
            <w:pPr>
              <w:numPr>
                <w:ilvl w:val="0"/>
                <w:numId w:val="2"/>
              </w:numPr>
              <w:snapToGrid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交易响应人</w:t>
            </w:r>
            <w:r>
              <w:rPr>
                <w:rFonts w:hint="eastAsia" w:ascii="宋体" w:hAnsi="宋体" w:eastAsia="宋体" w:cs="宋体"/>
                <w:color w:val="auto"/>
                <w:sz w:val="21"/>
                <w:szCs w:val="21"/>
                <w:highlight w:val="none"/>
              </w:rPr>
              <w:t>名称和等级应与交通运输部“公路水运工程质量试验检测管理信息系统”中的相应机构名称和等级完全一致</w:t>
            </w:r>
            <w:r>
              <w:rPr>
                <w:rFonts w:hint="eastAsia" w:ascii="宋体" w:hAnsi="宋体" w:cs="宋体"/>
                <w:color w:val="auto"/>
                <w:sz w:val="21"/>
                <w:szCs w:val="21"/>
                <w:highlight w:val="none"/>
                <w:lang w:eastAsia="zh-CN"/>
              </w:rPr>
              <w:t>；</w:t>
            </w:r>
          </w:p>
          <w:p>
            <w:pPr>
              <w:numPr>
                <w:ilvl w:val="0"/>
                <w:numId w:val="2"/>
              </w:num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具有省级市场监督管理部门核发的资质认定证书</w:t>
            </w:r>
            <w:r>
              <w:rPr>
                <w:rFonts w:hint="eastAsia" w:ascii="宋体" w:hAnsi="宋体" w:cs="宋体"/>
                <w:color w:val="auto"/>
                <w:sz w:val="21"/>
                <w:szCs w:val="21"/>
                <w:highlight w:val="none"/>
                <w:lang w:eastAsia="zh-CN"/>
              </w:rPr>
              <w:t>。</w:t>
            </w:r>
          </w:p>
        </w:tc>
      </w:tr>
    </w:tbl>
    <w:p>
      <w:pPr>
        <w:spacing w:line="300" w:lineRule="exact"/>
        <w:ind w:right="-153" w:rightChars="-73"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注：1．在本表后应附企业法人营业执照或事业单位法人证书副本的复印件、试验检测等级证书副本的复印件、资质认定证书复印件、</w:t>
      </w:r>
      <w:r>
        <w:rPr>
          <w:rFonts w:hint="eastAsia" w:ascii="宋体" w:hAnsi="宋体" w:eastAsia="宋体" w:cs="宋体"/>
          <w:b/>
          <w:bCs/>
          <w:color w:val="auto"/>
          <w:sz w:val="18"/>
          <w:szCs w:val="18"/>
          <w:highlight w:val="none"/>
        </w:rPr>
        <w:t>公路水运工程质量试验检测管理信息系统公开信息打印件</w:t>
      </w:r>
      <w:r>
        <w:rPr>
          <w:rFonts w:hint="eastAsia" w:ascii="宋体" w:hAnsi="宋体" w:eastAsia="宋体" w:cs="宋体"/>
          <w:color w:val="auto"/>
          <w:sz w:val="18"/>
          <w:szCs w:val="18"/>
          <w:highlight w:val="none"/>
        </w:rPr>
        <w:t>。</w:t>
      </w:r>
    </w:p>
    <w:p>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spacing w:line="360" w:lineRule="auto"/>
        <w:jc w:val="left"/>
        <w:rPr>
          <w:rFonts w:hint="eastAsia" w:ascii="宋体" w:hAnsi="宋体" w:eastAsia="宋体" w:cs="宋体"/>
          <w:color w:val="auto"/>
          <w:szCs w:val="21"/>
          <w:highlight w:val="none"/>
        </w:rPr>
      </w:pPr>
    </w:p>
    <w:p>
      <w:pPr>
        <w:pStyle w:val="4"/>
        <w:jc w:val="center"/>
        <w:rPr>
          <w:rFonts w:hint="eastAsia" w:ascii="宋体" w:hAnsi="宋体" w:eastAsia="宋体" w:cs="宋体"/>
          <w:color w:val="auto"/>
          <w:highlight w:val="none"/>
        </w:rPr>
      </w:pPr>
      <w:bookmarkStart w:id="38" w:name="_Toc13482"/>
      <w:bookmarkStart w:id="39" w:name="_Toc286826584"/>
      <w:r>
        <w:rPr>
          <w:rFonts w:hint="eastAsia" w:ascii="宋体" w:hAnsi="宋体" w:eastAsia="宋体" w:cs="宋体"/>
          <w:color w:val="auto"/>
          <w:highlight w:val="none"/>
        </w:rPr>
        <w:t>附录2 资格审查条件（业绩最低要求）</w:t>
      </w:r>
      <w:bookmarkEnd w:id="38"/>
      <w:bookmarkEnd w:id="39"/>
    </w:p>
    <w:p>
      <w:pPr>
        <w:rPr>
          <w:rFonts w:hint="eastAsia" w:ascii="宋体" w:hAnsi="宋体" w:eastAsia="宋体" w:cs="宋体"/>
          <w:color w:val="auto"/>
          <w:highlight w:val="none"/>
        </w:rPr>
      </w:pPr>
    </w:p>
    <w:tbl>
      <w:tblPr>
        <w:tblStyle w:val="43"/>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59"/>
        <w:gridCol w:w="6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255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668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3" w:hRule="atLeast"/>
        </w:trPr>
        <w:tc>
          <w:tcPr>
            <w:tcW w:w="2559" w:type="dxa"/>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第JKLC01标段</w:t>
            </w:r>
          </w:p>
        </w:tc>
        <w:tc>
          <w:tcPr>
            <w:tcW w:w="6681" w:type="dxa"/>
            <w:vAlign w:val="center"/>
          </w:tcPr>
          <w:p>
            <w:pPr>
              <w:spacing w:line="3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tc>
      </w:tr>
    </w:tbl>
    <w:p>
      <w:pPr>
        <w:pageBreakBefore w:val="0"/>
        <w:kinsoku/>
        <w:wordWrap/>
        <w:bidi w:val="0"/>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注：1、业绩证明文件须附已完工程</w:t>
      </w:r>
      <w:r>
        <w:rPr>
          <w:rFonts w:hint="eastAsia" w:ascii="宋体" w:hAnsi="宋体" w:eastAsia="宋体" w:cs="宋体"/>
          <w:bCs/>
          <w:color w:val="auto"/>
          <w:szCs w:val="21"/>
          <w:highlight w:val="none"/>
        </w:rPr>
        <w:t>合同协议书（或委托书</w:t>
      </w:r>
      <w:r>
        <w:rPr>
          <w:rFonts w:hint="eastAsia" w:ascii="宋体" w:hAnsi="宋体" w:eastAsia="宋体" w:cs="宋体"/>
          <w:color w:val="auto"/>
          <w:szCs w:val="21"/>
          <w:highlight w:val="none"/>
        </w:rPr>
        <w:t>或中标通知书</w:t>
      </w:r>
      <w:r>
        <w:rPr>
          <w:rFonts w:hint="eastAsia" w:ascii="宋体" w:hAnsi="宋体" w:eastAsia="宋体" w:cs="宋体"/>
          <w:bCs/>
          <w:color w:val="auto"/>
          <w:szCs w:val="21"/>
          <w:highlight w:val="none"/>
        </w:rPr>
        <w:t>）复印件、</w:t>
      </w:r>
      <w:r>
        <w:rPr>
          <w:rFonts w:hint="eastAsia" w:ascii="宋体" w:hAnsi="宋体" w:cs="宋体"/>
          <w:bCs/>
          <w:color w:val="auto"/>
          <w:szCs w:val="21"/>
          <w:highlight w:val="none"/>
          <w:lang w:eastAsia="zh-CN"/>
        </w:rPr>
        <w:t>发包人</w:t>
      </w:r>
      <w:r>
        <w:rPr>
          <w:rFonts w:hint="eastAsia" w:ascii="宋体" w:hAnsi="宋体" w:eastAsia="宋体" w:cs="宋体"/>
          <w:bCs/>
          <w:color w:val="auto"/>
          <w:szCs w:val="21"/>
          <w:highlight w:val="none"/>
        </w:rPr>
        <w:t>（或</w:t>
      </w:r>
      <w:r>
        <w:rPr>
          <w:rFonts w:hint="eastAsia" w:ascii="宋体" w:hAnsi="宋体" w:cs="宋体"/>
          <w:bCs/>
          <w:color w:val="auto"/>
          <w:szCs w:val="21"/>
          <w:highlight w:val="none"/>
          <w:lang w:eastAsia="zh-CN"/>
        </w:rPr>
        <w:t>交通运输部门</w:t>
      </w:r>
      <w:r>
        <w:rPr>
          <w:rFonts w:hint="eastAsia" w:ascii="宋体" w:hAnsi="宋体" w:eastAsia="宋体" w:cs="宋体"/>
          <w:bCs/>
          <w:color w:val="auto"/>
          <w:szCs w:val="21"/>
          <w:highlight w:val="none"/>
        </w:rPr>
        <w:t>）出具的证明材料，二者缺一不可，否则业绩不予认可。</w:t>
      </w:r>
    </w:p>
    <w:p>
      <w:pPr>
        <w:pageBreakBefore w:val="0"/>
        <w:kinsoku/>
        <w:wordWrap/>
        <w:bidi w:val="0"/>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szCs w:val="21"/>
          <w:highlight w:val="none"/>
        </w:rPr>
        <w:t>上述资料中的单位名称与</w:t>
      </w:r>
      <w:r>
        <w:rPr>
          <w:rFonts w:hint="eastAsia" w:ascii="宋体" w:hAnsi="宋体" w:eastAsia="宋体" w:cs="宋体"/>
          <w:bCs/>
          <w:color w:val="auto"/>
          <w:szCs w:val="21"/>
          <w:highlight w:val="none"/>
          <w:lang w:eastAsia="zh-CN"/>
        </w:rPr>
        <w:t>交易响应人</w:t>
      </w:r>
      <w:r>
        <w:rPr>
          <w:rFonts w:hint="eastAsia" w:ascii="宋体" w:hAnsi="宋体" w:eastAsia="宋体" w:cs="宋体"/>
          <w:bCs/>
          <w:color w:val="auto"/>
          <w:szCs w:val="21"/>
          <w:highlight w:val="none"/>
        </w:rPr>
        <w:t>名称必须一致（法人主体单位名称发生合法变更的除外，但需提供合法变更的有效文件），否则业绩不予认可</w:t>
      </w:r>
      <w:r>
        <w:rPr>
          <w:rFonts w:hint="eastAsia" w:ascii="宋体" w:hAnsi="宋体" w:eastAsia="宋体" w:cs="宋体"/>
          <w:bCs/>
          <w:color w:val="auto"/>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4"/>
        <w:jc w:val="center"/>
        <w:rPr>
          <w:rFonts w:hint="eastAsia" w:ascii="宋体" w:hAnsi="宋体" w:eastAsia="宋体" w:cs="宋体"/>
          <w:color w:val="auto"/>
          <w:highlight w:val="none"/>
        </w:rPr>
      </w:pPr>
      <w:bookmarkStart w:id="40" w:name="_Toc286826585"/>
      <w:bookmarkStart w:id="41" w:name="_Toc9376"/>
      <w:r>
        <w:rPr>
          <w:rFonts w:hint="eastAsia" w:ascii="宋体" w:hAnsi="宋体" w:eastAsia="宋体" w:cs="宋体"/>
          <w:color w:val="auto"/>
          <w:highlight w:val="none"/>
        </w:rPr>
        <w:t>附录3 资格审查条件（主要人员最低要求）</w:t>
      </w:r>
      <w:bookmarkEnd w:id="40"/>
      <w:bookmarkEnd w:id="41"/>
    </w:p>
    <w:p>
      <w:pPr>
        <w:rPr>
          <w:rFonts w:hint="eastAsia" w:ascii="宋体" w:hAnsi="宋体" w:eastAsia="宋体" w:cs="宋体"/>
          <w:color w:val="auto"/>
          <w:highlight w:val="none"/>
          <w:lang w:eastAsia="zh-CN"/>
        </w:rPr>
      </w:pPr>
      <w:r>
        <w:rPr>
          <w:rFonts w:hint="eastAsia" w:ascii="宋体" w:hAnsi="宋体" w:eastAsia="宋体" w:cs="宋体"/>
          <w:color w:val="auto"/>
          <w:spacing w:val="-4"/>
          <w:sz w:val="24"/>
          <w:highlight w:val="none"/>
        </w:rPr>
        <w:t>标</w:t>
      </w:r>
      <w:r>
        <w:rPr>
          <w:rFonts w:hint="eastAsia" w:ascii="宋体" w:hAnsi="宋体" w:eastAsia="宋体" w:cs="宋体"/>
          <w:color w:val="auto"/>
          <w:sz w:val="24"/>
          <w:highlight w:val="none"/>
        </w:rPr>
        <w:t>段：</w:t>
      </w:r>
      <w:r>
        <w:rPr>
          <w:rFonts w:hint="eastAsia" w:ascii="宋体" w:hAnsi="宋体" w:cs="宋体"/>
          <w:color w:val="auto"/>
          <w:szCs w:val="21"/>
          <w:highlight w:val="none"/>
          <w:lang w:eastAsia="zh-CN"/>
        </w:rPr>
        <w:t>第JKLC01标段</w:t>
      </w:r>
    </w:p>
    <w:tbl>
      <w:tblPr>
        <w:tblStyle w:val="43"/>
        <w:tblW w:w="9803" w:type="dxa"/>
        <w:tblInd w:w="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709"/>
        <w:gridCol w:w="609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7" w:hRule="atLeast"/>
        </w:trPr>
        <w:tc>
          <w:tcPr>
            <w:tcW w:w="1723"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095" w:type="dxa"/>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1276" w:type="dxa"/>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9" w:hRule="atLeast"/>
        </w:trPr>
        <w:tc>
          <w:tcPr>
            <w:tcW w:w="1723" w:type="dxa"/>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709" w:type="dxa"/>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095" w:type="dxa"/>
            <w:tcBorders>
              <w:right w:val="single" w:color="auto" w:sz="4" w:space="0"/>
            </w:tcBorders>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具有</w:t>
            </w:r>
            <w:r>
              <w:rPr>
                <w:rFonts w:hint="eastAsia" w:ascii="宋体" w:hAnsi="宋体" w:eastAsia="宋体" w:cs="宋体"/>
                <w:bCs/>
                <w:color w:val="auto"/>
                <w:szCs w:val="21"/>
                <w:highlight w:val="none"/>
                <w:u w:val="single"/>
              </w:rPr>
              <w:t>工程师及以上技术</w:t>
            </w:r>
            <w:r>
              <w:rPr>
                <w:rFonts w:hint="eastAsia" w:ascii="宋体" w:hAnsi="宋体" w:eastAsia="宋体" w:cs="宋体"/>
                <w:bCs/>
                <w:color w:val="auto"/>
                <w:szCs w:val="21"/>
                <w:highlight w:val="none"/>
              </w:rPr>
              <w:t>职称，且有交通运输部门颁发的</w:t>
            </w:r>
            <w:r>
              <w:rPr>
                <w:rFonts w:hint="eastAsia" w:ascii="宋体" w:hAnsi="宋体" w:eastAsia="宋体" w:cs="宋体"/>
                <w:bCs/>
                <w:color w:val="auto"/>
                <w:szCs w:val="21"/>
                <w:highlight w:val="none"/>
                <w:u w:val="single"/>
              </w:rPr>
              <w:t>试验检测工程师证书</w:t>
            </w:r>
            <w:r>
              <w:rPr>
                <w:rFonts w:hint="eastAsia" w:ascii="宋体" w:hAnsi="宋体" w:cs="宋体"/>
                <w:bCs/>
                <w:color w:val="auto"/>
                <w:szCs w:val="21"/>
                <w:highlight w:val="none"/>
                <w:u w:val="single"/>
                <w:lang w:eastAsia="zh-CN"/>
              </w:rPr>
              <w:t>（隧道</w:t>
            </w:r>
            <w:r>
              <w:rPr>
                <w:rFonts w:hint="eastAsia" w:ascii="宋体" w:hAnsi="宋体" w:eastAsia="宋体" w:cs="宋体"/>
                <w:bCs/>
                <w:color w:val="auto"/>
                <w:szCs w:val="21"/>
                <w:highlight w:val="none"/>
                <w:u w:val="single"/>
              </w:rPr>
              <w:t>专业</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u w:val="single"/>
              </w:rPr>
              <w:t>或交通运输部职业资格中心颁发的公路水运工程试验检测师证书（桥梁隧道工程专业）</w:t>
            </w:r>
            <w:r>
              <w:rPr>
                <w:rFonts w:hint="eastAsia" w:ascii="宋体" w:hAnsi="宋体" w:eastAsia="宋体" w:cs="宋体"/>
                <w:bCs/>
                <w:color w:val="auto"/>
                <w:szCs w:val="21"/>
                <w:highlight w:val="none"/>
              </w:rPr>
              <w:t>资格，</w:t>
            </w:r>
            <w:r>
              <w:rPr>
                <w:rFonts w:hint="eastAsia" w:ascii="宋体" w:hAnsi="宋体" w:eastAsia="宋体" w:cs="宋体"/>
                <w:bCs/>
                <w:color w:val="auto"/>
                <w:szCs w:val="21"/>
                <w:highlight w:val="none"/>
                <w:u w:val="single"/>
              </w:rPr>
              <w:t>担任过一个公路</w:t>
            </w:r>
            <w:r>
              <w:rPr>
                <w:rFonts w:hint="eastAsia" w:ascii="宋体" w:hAnsi="宋体" w:cs="宋体"/>
                <w:bCs/>
                <w:color w:val="auto"/>
                <w:szCs w:val="21"/>
                <w:highlight w:val="none"/>
                <w:u w:val="single"/>
                <w:lang w:eastAsia="zh-CN"/>
              </w:rPr>
              <w:t>隧道工程</w:t>
            </w:r>
            <w:r>
              <w:rPr>
                <w:rFonts w:hint="eastAsia" w:ascii="宋体" w:hAnsi="宋体" w:eastAsia="宋体" w:cs="宋体"/>
                <w:bCs/>
                <w:color w:val="auto"/>
                <w:szCs w:val="21"/>
                <w:highlight w:val="none"/>
                <w:u w:val="single"/>
              </w:rPr>
              <w:t>的试验检测任务【检测内容至少包含</w:t>
            </w:r>
            <w:r>
              <w:rPr>
                <w:rFonts w:hint="eastAsia" w:ascii="宋体" w:hAnsi="宋体" w:cs="宋体"/>
                <w:bCs/>
                <w:color w:val="auto"/>
                <w:szCs w:val="21"/>
                <w:highlight w:val="none"/>
                <w:u w:val="single"/>
                <w:lang w:eastAsia="zh-CN"/>
              </w:rPr>
              <w:t>隧道施工监控量测</w:t>
            </w:r>
            <w:r>
              <w:rPr>
                <w:rFonts w:hint="eastAsia" w:ascii="宋体" w:hAnsi="宋体" w:eastAsia="宋体" w:cs="宋体"/>
                <w:bCs/>
                <w:color w:val="auto"/>
                <w:szCs w:val="21"/>
                <w:highlight w:val="none"/>
                <w:u w:val="single"/>
              </w:rPr>
              <w:t>（或监测）】项目的项目负责人或技术负责人</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60</w:t>
            </w:r>
            <w:r>
              <w:rPr>
                <w:rFonts w:hint="eastAsia" w:ascii="宋体" w:hAnsi="宋体" w:eastAsia="宋体" w:cs="宋体"/>
                <w:bCs/>
                <w:color w:val="auto"/>
                <w:szCs w:val="21"/>
                <w:highlight w:val="none"/>
              </w:rPr>
              <w:t>周岁及以下；自</w:t>
            </w:r>
            <w:r>
              <w:rPr>
                <w:rFonts w:hint="eastAsia" w:ascii="宋体" w:hAnsi="宋体" w:eastAsia="宋体" w:cs="宋体"/>
                <w:bCs/>
                <w:color w:val="auto"/>
                <w:szCs w:val="21"/>
                <w:highlight w:val="none"/>
                <w:u w:val="single"/>
              </w:rPr>
              <w:t>20</w:t>
            </w:r>
            <w:r>
              <w:rPr>
                <w:rFonts w:hint="eastAsia" w:ascii="宋体" w:hAnsi="宋体" w:eastAsia="宋体" w:cs="宋体"/>
                <w:bCs/>
                <w:color w:val="auto"/>
                <w:szCs w:val="21"/>
                <w:highlight w:val="none"/>
                <w:u w:val="single"/>
                <w:lang w:val="en-US" w:eastAsia="zh-CN"/>
              </w:rPr>
              <w:t>19</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rPr>
              <w:t>月1日以来，无行贿犯罪行为（以中国裁判文书网查询结果为准，</w:t>
            </w:r>
            <w:r>
              <w:rPr>
                <w:rFonts w:hint="eastAsia" w:ascii="宋体" w:hAnsi="宋体" w:eastAsia="宋体" w:cs="宋体"/>
                <w:bCs/>
                <w:color w:val="auto"/>
                <w:szCs w:val="21"/>
                <w:highlight w:val="none"/>
                <w:lang w:eastAsia="zh-CN"/>
              </w:rPr>
              <w:t>交易响应人</w:t>
            </w:r>
            <w:r>
              <w:rPr>
                <w:rFonts w:hint="eastAsia" w:ascii="宋体" w:hAnsi="宋体" w:eastAsia="宋体" w:cs="宋体"/>
                <w:bCs/>
                <w:color w:val="auto"/>
                <w:szCs w:val="21"/>
                <w:highlight w:val="none"/>
              </w:rPr>
              <w:t>无需提供），根据交通运输部最新公布的试验检测人员信用评价结果，检测工程师个人扣分在40分以下。</w:t>
            </w:r>
          </w:p>
        </w:tc>
        <w:tc>
          <w:tcPr>
            <w:tcW w:w="1276" w:type="dxa"/>
            <w:tcBorders>
              <w:left w:val="single" w:color="auto" w:sz="4" w:space="0"/>
            </w:tcBorders>
            <w:vAlign w:val="center"/>
          </w:tcPr>
          <w:p>
            <w:pPr>
              <w:spacing w:line="3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0" w:hRule="atLeast"/>
        </w:trPr>
        <w:tc>
          <w:tcPr>
            <w:tcW w:w="1723" w:type="dxa"/>
            <w:vAlign w:val="center"/>
          </w:tcPr>
          <w:p>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70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095" w:type="dxa"/>
            <w:tcBorders>
              <w:right w:val="single" w:color="auto" w:sz="4" w:space="0"/>
            </w:tcBorders>
            <w:vAlign w:val="center"/>
          </w:tcPr>
          <w:p>
            <w:pPr>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具有</w:t>
            </w:r>
            <w:r>
              <w:rPr>
                <w:rFonts w:hint="eastAsia" w:ascii="宋体" w:hAnsi="宋体" w:eastAsia="宋体" w:cs="宋体"/>
                <w:bCs/>
                <w:color w:val="auto"/>
                <w:szCs w:val="21"/>
                <w:highlight w:val="none"/>
                <w:u w:val="single"/>
              </w:rPr>
              <w:t>工程师及以上技术</w:t>
            </w:r>
            <w:r>
              <w:rPr>
                <w:rFonts w:hint="eastAsia" w:ascii="宋体" w:hAnsi="宋体" w:eastAsia="宋体" w:cs="宋体"/>
                <w:bCs/>
                <w:color w:val="auto"/>
                <w:szCs w:val="21"/>
                <w:highlight w:val="none"/>
              </w:rPr>
              <w:t>职称，且有交通运输部门颁发的</w:t>
            </w:r>
            <w:r>
              <w:rPr>
                <w:rFonts w:hint="eastAsia" w:ascii="宋体" w:hAnsi="宋体" w:eastAsia="宋体" w:cs="宋体"/>
                <w:bCs/>
                <w:color w:val="auto"/>
                <w:szCs w:val="21"/>
                <w:highlight w:val="none"/>
                <w:u w:val="single"/>
              </w:rPr>
              <w:t>试验检测工程师证书</w:t>
            </w:r>
            <w:r>
              <w:rPr>
                <w:rFonts w:hint="eastAsia" w:ascii="宋体" w:hAnsi="宋体" w:cs="宋体"/>
                <w:bCs/>
                <w:color w:val="auto"/>
                <w:szCs w:val="21"/>
                <w:highlight w:val="none"/>
                <w:u w:val="single"/>
                <w:lang w:eastAsia="zh-CN"/>
              </w:rPr>
              <w:t>（隧道</w:t>
            </w:r>
            <w:r>
              <w:rPr>
                <w:rFonts w:hint="eastAsia" w:ascii="宋体" w:hAnsi="宋体" w:eastAsia="宋体" w:cs="宋体"/>
                <w:bCs/>
                <w:color w:val="auto"/>
                <w:szCs w:val="21"/>
                <w:highlight w:val="none"/>
                <w:u w:val="single"/>
              </w:rPr>
              <w:t>专业</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u w:val="single"/>
              </w:rPr>
              <w:t>资格或交通运输部职业资格中心颁发的公路水运工程试验检测师证书（桥梁隧道工程专业）</w:t>
            </w:r>
            <w:r>
              <w:rPr>
                <w:rFonts w:hint="eastAsia" w:ascii="宋体" w:hAnsi="宋体" w:eastAsia="宋体" w:cs="宋体"/>
                <w:bCs/>
                <w:color w:val="auto"/>
                <w:szCs w:val="21"/>
                <w:highlight w:val="none"/>
              </w:rPr>
              <w:t>资格，年龄</w:t>
            </w:r>
            <w:r>
              <w:rPr>
                <w:rFonts w:hint="eastAsia" w:ascii="宋体" w:hAnsi="宋体" w:eastAsia="宋体" w:cs="宋体"/>
                <w:bCs/>
                <w:color w:val="auto"/>
                <w:szCs w:val="21"/>
                <w:highlight w:val="none"/>
                <w:u w:val="single"/>
              </w:rPr>
              <w:t>60</w:t>
            </w:r>
            <w:r>
              <w:rPr>
                <w:rFonts w:hint="eastAsia" w:ascii="宋体" w:hAnsi="宋体" w:eastAsia="宋体" w:cs="宋体"/>
                <w:bCs/>
                <w:color w:val="auto"/>
                <w:szCs w:val="21"/>
                <w:highlight w:val="none"/>
              </w:rPr>
              <w:t>周岁及以下，根据交通运输部最新公布的试验检测人员信用评价结果，检测工程师个人扣分在40分以下。</w:t>
            </w:r>
          </w:p>
        </w:tc>
        <w:tc>
          <w:tcPr>
            <w:tcW w:w="1276" w:type="dxa"/>
            <w:tcBorders>
              <w:left w:val="single" w:color="auto" w:sz="4" w:space="0"/>
            </w:tcBorders>
            <w:vAlign w:val="center"/>
          </w:tcPr>
          <w:p>
            <w:pPr>
              <w:spacing w:line="320" w:lineRule="exact"/>
              <w:rPr>
                <w:rFonts w:hint="eastAsia" w:ascii="宋体" w:hAnsi="宋体" w:eastAsia="宋体" w:cs="宋体"/>
                <w:color w:val="auto"/>
                <w:szCs w:val="21"/>
                <w:highlight w:val="none"/>
              </w:rPr>
            </w:pPr>
          </w:p>
        </w:tc>
      </w:tr>
    </w:tbl>
    <w:p>
      <w:pPr>
        <w:pStyle w:val="114"/>
        <w:ind w:left="504" w:right="613"/>
        <w:rPr>
          <w:rFonts w:hint="eastAsia" w:ascii="宋体" w:hAnsi="宋体" w:eastAsia="宋体" w:cs="宋体"/>
          <w:color w:val="auto"/>
          <w:highlight w:val="none"/>
        </w:rPr>
      </w:pPr>
      <w:bookmarkStart w:id="42" w:name="_Toc286826587"/>
      <w:r>
        <w:rPr>
          <w:rFonts w:hint="eastAsia" w:ascii="宋体" w:hAnsi="宋体" w:eastAsia="宋体" w:cs="宋体"/>
          <w:color w:val="auto"/>
          <w:highlight w:val="none"/>
        </w:rPr>
        <w:t>注：1.主要人员证明材料应附：</w:t>
      </w:r>
    </w:p>
    <w:p>
      <w:pPr>
        <w:pStyle w:val="114"/>
        <w:spacing w:line="300" w:lineRule="exact"/>
        <w:ind w:left="504" w:leftChars="240" w:right="613"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a.</w:t>
      </w:r>
      <w:r>
        <w:rPr>
          <w:rFonts w:hint="eastAsia" w:ascii="宋体" w:hAnsi="宋体" w:eastAsia="宋体" w:cs="宋体"/>
          <w:color w:val="auto"/>
          <w:szCs w:val="21"/>
          <w:highlight w:val="none"/>
        </w:rPr>
        <w:t>拟委任的项目负责人、技术负责人的包括职称证、身份证、试验检测人员资格证书、</w:t>
      </w:r>
      <w:r>
        <w:rPr>
          <w:rFonts w:hint="eastAsia" w:ascii="宋体" w:hAnsi="宋体" w:eastAsia="宋体" w:cs="宋体"/>
          <w:bCs/>
          <w:color w:val="auto"/>
          <w:szCs w:val="21"/>
          <w:highlight w:val="none"/>
        </w:rPr>
        <w:t>公路水运工程质量试验检测管理信息系统</w:t>
      </w:r>
      <w:r>
        <w:rPr>
          <w:rFonts w:hint="eastAsia" w:ascii="宋体" w:hAnsi="宋体" w:eastAsia="宋体" w:cs="宋体"/>
          <w:color w:val="auto"/>
          <w:highlight w:val="none"/>
        </w:rPr>
        <w:t>公开</w:t>
      </w:r>
      <w:r>
        <w:rPr>
          <w:rFonts w:hint="eastAsia" w:ascii="宋体" w:hAnsi="宋体" w:eastAsia="宋体" w:cs="宋体"/>
          <w:color w:val="auto"/>
          <w:szCs w:val="21"/>
          <w:highlight w:val="none"/>
        </w:rPr>
        <w:t>信息等，以及</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所属社保机构出具的自</w:t>
      </w:r>
      <w:r>
        <w:rPr>
          <w:rFonts w:hint="eastAsia" w:ascii="宋体" w:hAnsi="宋体" w:eastAsia="宋体" w:cs="宋体"/>
          <w:color w:val="auto"/>
          <w:szCs w:val="21"/>
          <w:highlight w:val="none"/>
          <w:lang w:eastAsia="zh-CN"/>
        </w:rPr>
        <w:t>交易公告</w:t>
      </w:r>
      <w:r>
        <w:rPr>
          <w:rFonts w:hint="eastAsia" w:ascii="宋体" w:hAnsi="宋体" w:eastAsia="宋体" w:cs="宋体"/>
          <w:color w:val="auto"/>
          <w:szCs w:val="21"/>
          <w:highlight w:val="none"/>
        </w:rPr>
        <w:t>发出后的社保缴费证明或其他能够证明项目负责人、技术负责人参加社保的有效证明材料复印件</w:t>
      </w:r>
      <w:r>
        <w:rPr>
          <w:rFonts w:hint="eastAsia" w:ascii="宋体" w:hAnsi="宋体" w:cs="宋体"/>
          <w:color w:val="auto"/>
          <w:szCs w:val="21"/>
          <w:highlight w:val="none"/>
          <w:lang w:eastAsia="zh-CN"/>
        </w:rPr>
        <w:t>；</w:t>
      </w:r>
    </w:p>
    <w:p>
      <w:pPr>
        <w:pStyle w:val="114"/>
        <w:spacing w:line="300" w:lineRule="exact"/>
        <w:ind w:left="504" w:leftChars="240" w:right="613"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b.项目负责人业绩证明材料：</w:t>
      </w:r>
      <w:r>
        <w:rPr>
          <w:rFonts w:hint="eastAsia" w:ascii="宋体" w:hAnsi="宋体" w:eastAsia="宋体" w:cs="宋体"/>
          <w:color w:val="auto"/>
          <w:szCs w:val="21"/>
          <w:highlight w:val="none"/>
          <w:lang w:eastAsia="zh-CN"/>
        </w:rPr>
        <w:t>中标（或成交）通知书</w:t>
      </w:r>
      <w:r>
        <w:rPr>
          <w:rFonts w:hint="eastAsia" w:ascii="宋体" w:hAnsi="宋体" w:eastAsia="宋体" w:cs="宋体"/>
          <w:color w:val="auto"/>
          <w:szCs w:val="21"/>
          <w:highlight w:val="none"/>
        </w:rPr>
        <w:t>或合同协议书或委托书。如</w:t>
      </w:r>
      <w:r>
        <w:rPr>
          <w:rFonts w:hint="eastAsia" w:ascii="宋体" w:hAnsi="宋体" w:eastAsia="宋体" w:cs="宋体"/>
          <w:color w:val="auto"/>
          <w:szCs w:val="21"/>
          <w:highlight w:val="none"/>
          <w:lang w:eastAsia="zh-CN"/>
        </w:rPr>
        <w:t>中标（或成交）通知书</w:t>
      </w:r>
      <w:r>
        <w:rPr>
          <w:rFonts w:hint="eastAsia" w:ascii="宋体" w:hAnsi="宋体" w:eastAsia="宋体" w:cs="宋体"/>
          <w:color w:val="auto"/>
          <w:szCs w:val="21"/>
          <w:highlight w:val="none"/>
        </w:rPr>
        <w:t>或合同协议书或委托书无法体现人员姓名和任职的，应提供项目发包人（或交通运输部门）出具的证明材料，否则业绩不予认可。</w:t>
      </w:r>
      <w:r>
        <w:rPr>
          <w:rFonts w:hint="eastAsia" w:ascii="宋体" w:hAnsi="宋体" w:eastAsia="宋体" w:cs="宋体"/>
          <w:color w:val="auto"/>
          <w:szCs w:val="21"/>
          <w:highlight w:val="none"/>
        </w:rPr>
        <w:br w:type="page"/>
      </w:r>
    </w:p>
    <w:p>
      <w:pPr>
        <w:spacing w:line="300" w:lineRule="exact"/>
        <w:ind w:firstLine="420" w:firstLineChars="200"/>
        <w:rPr>
          <w:rFonts w:hint="eastAsia" w:ascii="宋体" w:hAnsi="宋体" w:eastAsia="宋体" w:cs="宋体"/>
          <w:color w:val="auto"/>
          <w:szCs w:val="21"/>
          <w:highlight w:val="none"/>
        </w:rPr>
      </w:pPr>
    </w:p>
    <w:p>
      <w:pPr>
        <w:pStyle w:val="4"/>
        <w:jc w:val="center"/>
        <w:rPr>
          <w:rFonts w:hint="eastAsia" w:ascii="宋体" w:hAnsi="宋体" w:eastAsia="宋体" w:cs="宋体"/>
          <w:color w:val="auto"/>
          <w:highlight w:val="none"/>
        </w:rPr>
      </w:pPr>
      <w:bookmarkStart w:id="43" w:name="_Toc22784"/>
      <w:r>
        <w:rPr>
          <w:rFonts w:hint="eastAsia" w:ascii="宋体" w:hAnsi="宋体" w:eastAsia="宋体" w:cs="宋体"/>
          <w:color w:val="auto"/>
          <w:highlight w:val="none"/>
        </w:rPr>
        <w:t>附录4 资格审查条件（信誉最低要求）</w:t>
      </w:r>
      <w:bookmarkEnd w:id="42"/>
      <w:bookmarkEnd w:id="43"/>
    </w:p>
    <w:p>
      <w:pPr>
        <w:rPr>
          <w:rFonts w:hint="eastAsia" w:ascii="宋体" w:hAnsi="宋体" w:eastAsia="宋体" w:cs="宋体"/>
          <w:color w:val="auto"/>
          <w:highlight w:val="none"/>
        </w:rPr>
      </w:pPr>
    </w:p>
    <w:tbl>
      <w:tblPr>
        <w:tblStyle w:val="43"/>
        <w:tblW w:w="918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51"/>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75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642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8" w:hRule="atLeast"/>
        </w:trPr>
        <w:tc>
          <w:tcPr>
            <w:tcW w:w="2751" w:type="dxa"/>
            <w:vAlign w:val="center"/>
          </w:tcPr>
          <w:p>
            <w:pPr>
              <w:spacing w:line="360" w:lineRule="auto"/>
              <w:jc w:val="center"/>
              <w:rPr>
                <w:rFonts w:hint="eastAsia" w:ascii="宋体" w:hAnsi="宋体" w:eastAsia="宋体" w:cs="宋体"/>
                <w:color w:val="auto"/>
                <w:highlight w:val="none"/>
                <w:u w:val="single"/>
                <w:lang w:eastAsia="zh-CN"/>
              </w:rPr>
            </w:pPr>
            <w:r>
              <w:rPr>
                <w:rFonts w:hint="eastAsia" w:ascii="宋体" w:hAnsi="宋体" w:cs="宋体"/>
                <w:color w:val="auto"/>
                <w:highlight w:val="none"/>
                <w:lang w:eastAsia="zh-CN"/>
              </w:rPr>
              <w:t>第JKLC01标段</w:t>
            </w:r>
          </w:p>
        </w:tc>
        <w:tc>
          <w:tcPr>
            <w:tcW w:w="6429" w:type="dxa"/>
            <w:vAlign w:val="center"/>
          </w:tcPr>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1、不存在“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须知”第1.4.3、1.4.4项的情形；</w:t>
            </w:r>
          </w:p>
        </w:tc>
      </w:tr>
    </w:tbl>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4"/>
        <w:jc w:val="center"/>
        <w:rPr>
          <w:rFonts w:hint="eastAsia" w:ascii="宋体" w:hAnsi="宋体" w:eastAsia="宋体" w:cs="宋体"/>
          <w:color w:val="auto"/>
          <w:kern w:val="0"/>
          <w:highlight w:val="none"/>
        </w:rPr>
      </w:pPr>
      <w:bookmarkStart w:id="44" w:name="_Toc6788"/>
      <w:bookmarkStart w:id="45" w:name="_Toc152045529"/>
      <w:bookmarkStart w:id="46" w:name="_Toc286826589"/>
      <w:bookmarkStart w:id="47" w:name="_Toc286827080"/>
      <w:bookmarkStart w:id="48" w:name="_Toc286830196"/>
      <w:bookmarkStart w:id="49" w:name="_Toc152042305"/>
      <w:bookmarkStart w:id="50" w:name="_Toc179632546"/>
      <w:bookmarkStart w:id="51" w:name="_Toc144974497"/>
      <w:r>
        <w:rPr>
          <w:rFonts w:hint="eastAsia" w:ascii="宋体" w:hAnsi="宋体" w:eastAsia="宋体" w:cs="宋体"/>
          <w:color w:val="auto"/>
          <w:highlight w:val="none"/>
        </w:rPr>
        <w:t>附录5 资格审查条件（主要试验检测仪器设备最低要求）</w:t>
      </w:r>
      <w:bookmarkEnd w:id="44"/>
    </w:p>
    <w:p>
      <w:pPr>
        <w:spacing w:after="120"/>
        <w:ind w:firstLine="232" w:firstLineChars="100"/>
        <w:jc w:val="left"/>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标</w:t>
      </w:r>
      <w:r>
        <w:rPr>
          <w:rFonts w:hint="eastAsia" w:ascii="宋体" w:hAnsi="宋体" w:eastAsia="宋体" w:cs="宋体"/>
          <w:color w:val="auto"/>
          <w:sz w:val="24"/>
          <w:highlight w:val="none"/>
        </w:rPr>
        <w:t>段：</w:t>
      </w:r>
      <w:r>
        <w:rPr>
          <w:rFonts w:hint="eastAsia" w:ascii="宋体" w:hAnsi="宋体" w:cs="宋体"/>
          <w:color w:val="auto"/>
          <w:szCs w:val="21"/>
          <w:highlight w:val="none"/>
          <w:lang w:eastAsia="zh-CN"/>
        </w:rPr>
        <w:t>第JKLC01标段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3"/>
        <w:gridCol w:w="2071"/>
        <w:gridCol w:w="2253"/>
        <w:gridCol w:w="854"/>
        <w:gridCol w:w="1490"/>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89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71" w:type="dxa"/>
            <w:vAlign w:val="center"/>
          </w:tcPr>
          <w:p>
            <w:pPr>
              <w:tabs>
                <w:tab w:val="left" w:pos="279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仪器设备名称</w:t>
            </w:r>
          </w:p>
        </w:tc>
        <w:tc>
          <w:tcPr>
            <w:tcW w:w="2253" w:type="dxa"/>
            <w:vAlign w:val="center"/>
          </w:tcPr>
          <w:p>
            <w:pPr>
              <w:tabs>
                <w:tab w:val="left" w:pos="279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规格、功能及容量</w:t>
            </w:r>
          </w:p>
        </w:tc>
        <w:tc>
          <w:tcPr>
            <w:tcW w:w="854" w:type="dxa"/>
            <w:vAlign w:val="center"/>
          </w:tcPr>
          <w:p>
            <w:pPr>
              <w:tabs>
                <w:tab w:val="left" w:pos="279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490" w:type="dxa"/>
            <w:vAlign w:val="center"/>
          </w:tcPr>
          <w:p>
            <w:pPr>
              <w:tabs>
                <w:tab w:val="left" w:pos="279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最低数量要求</w:t>
            </w:r>
          </w:p>
        </w:tc>
        <w:tc>
          <w:tcPr>
            <w:tcW w:w="147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全站仪</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szCs w:val="21"/>
                <w:highlight w:val="none"/>
              </w:rPr>
            </w:pPr>
            <w:bookmarkStart w:id="52" w:name="EB059cb1ade0ff4610a363ca969a0df9ca"/>
            <w:bookmarkEnd w:id="5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精密水准仪</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钢弦式测试仪</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压力盒</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爆破测振仪</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477" w:type="dxa"/>
            <w:vAlign w:val="center"/>
          </w:tcPr>
          <w:p>
            <w:pPr>
              <w:pStyle w:val="114"/>
              <w:spacing w:line="32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地质雷达</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收敛计</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2071"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超声波检测仪</w:t>
            </w:r>
          </w:p>
        </w:tc>
        <w:tc>
          <w:tcPr>
            <w:tcW w:w="2253"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满足检测要求</w:t>
            </w:r>
          </w:p>
        </w:tc>
        <w:tc>
          <w:tcPr>
            <w:tcW w:w="854"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1490" w:type="dxa"/>
            <w:vAlign w:val="center"/>
          </w:tcPr>
          <w:p>
            <w:pPr>
              <w:tabs>
                <w:tab w:val="left" w:pos="2790"/>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default" w:ascii="宋体" w:hAnsi="宋体" w:eastAsia="宋体" w:cs="宋体"/>
                <w:color w:val="auto"/>
                <w:highlight w:val="none"/>
                <w:lang w:val="en-US" w:eastAsia="zh-CN"/>
              </w:rPr>
            </w:pPr>
          </w:p>
        </w:tc>
        <w:tc>
          <w:tcPr>
            <w:tcW w:w="2071" w:type="dxa"/>
            <w:vAlign w:val="center"/>
          </w:tcPr>
          <w:p>
            <w:pPr>
              <w:jc w:val="center"/>
              <w:rPr>
                <w:rFonts w:hint="eastAsia" w:ascii="宋体" w:hAnsi="宋体" w:eastAsia="宋体" w:cs="Times New Roman"/>
                <w:color w:val="auto"/>
                <w:szCs w:val="21"/>
                <w:highlight w:val="none"/>
                <w:lang w:eastAsia="zh-CN"/>
              </w:rPr>
            </w:pPr>
          </w:p>
        </w:tc>
        <w:tc>
          <w:tcPr>
            <w:tcW w:w="2253"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854"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90"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default" w:ascii="宋体" w:hAnsi="宋体" w:eastAsia="宋体" w:cs="宋体"/>
                <w:color w:val="auto"/>
                <w:highlight w:val="none"/>
                <w:lang w:val="en-US" w:eastAsia="zh-CN"/>
              </w:rPr>
            </w:pPr>
          </w:p>
        </w:tc>
        <w:tc>
          <w:tcPr>
            <w:tcW w:w="2071" w:type="dxa"/>
            <w:vAlign w:val="center"/>
          </w:tcPr>
          <w:p>
            <w:pPr>
              <w:jc w:val="center"/>
              <w:rPr>
                <w:rFonts w:hint="eastAsia" w:ascii="宋体" w:hAnsi="宋体" w:eastAsia="宋体" w:cs="Times New Roman"/>
                <w:color w:val="auto"/>
                <w:szCs w:val="21"/>
                <w:highlight w:val="none"/>
                <w:lang w:eastAsia="zh-CN"/>
              </w:rPr>
            </w:pPr>
          </w:p>
        </w:tc>
        <w:tc>
          <w:tcPr>
            <w:tcW w:w="2253"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854"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90"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default" w:ascii="宋体" w:hAnsi="宋体" w:eastAsia="宋体" w:cs="宋体"/>
                <w:color w:val="auto"/>
                <w:highlight w:val="none"/>
                <w:lang w:val="en-US" w:eastAsia="zh-CN"/>
              </w:rPr>
            </w:pPr>
          </w:p>
        </w:tc>
        <w:tc>
          <w:tcPr>
            <w:tcW w:w="2071" w:type="dxa"/>
            <w:vAlign w:val="center"/>
          </w:tcPr>
          <w:p>
            <w:pPr>
              <w:jc w:val="center"/>
              <w:rPr>
                <w:rFonts w:hint="eastAsia" w:ascii="宋体" w:hAnsi="宋体" w:eastAsia="宋体" w:cs="Times New Roman"/>
                <w:color w:val="auto"/>
                <w:szCs w:val="21"/>
                <w:highlight w:val="none"/>
                <w:lang w:eastAsia="zh-CN"/>
              </w:rPr>
            </w:pPr>
          </w:p>
        </w:tc>
        <w:tc>
          <w:tcPr>
            <w:tcW w:w="2253"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854"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90"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93" w:type="dxa"/>
            <w:vAlign w:val="center"/>
          </w:tcPr>
          <w:p>
            <w:pPr>
              <w:jc w:val="center"/>
              <w:rPr>
                <w:rFonts w:hint="default" w:ascii="宋体" w:hAnsi="宋体" w:cs="宋体"/>
                <w:color w:val="auto"/>
                <w:highlight w:val="none"/>
                <w:lang w:val="en-US" w:eastAsia="zh-CN"/>
              </w:rPr>
            </w:pPr>
          </w:p>
        </w:tc>
        <w:tc>
          <w:tcPr>
            <w:tcW w:w="2071" w:type="dxa"/>
            <w:vAlign w:val="center"/>
          </w:tcPr>
          <w:p>
            <w:pPr>
              <w:jc w:val="center"/>
              <w:rPr>
                <w:rFonts w:hint="eastAsia" w:ascii="宋体" w:hAnsi="宋体" w:cs="Times New Roman"/>
                <w:color w:val="auto"/>
                <w:szCs w:val="21"/>
                <w:highlight w:val="none"/>
                <w:lang w:eastAsia="zh-CN"/>
              </w:rPr>
            </w:pPr>
          </w:p>
        </w:tc>
        <w:tc>
          <w:tcPr>
            <w:tcW w:w="2253"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854"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90" w:type="dxa"/>
            <w:vAlign w:val="center"/>
          </w:tcPr>
          <w:p>
            <w:pPr>
              <w:jc w:val="center"/>
              <w:rPr>
                <w:rFonts w:hint="eastAsia" w:ascii="宋体" w:hAnsi="宋体" w:eastAsia="宋体" w:cs="宋体"/>
                <w:color w:val="auto"/>
                <w:kern w:val="2"/>
                <w:sz w:val="21"/>
                <w:szCs w:val="24"/>
                <w:highlight w:val="none"/>
                <w:lang w:val="en-US" w:eastAsia="zh-CN" w:bidi="ar-SA"/>
              </w:rPr>
            </w:pPr>
          </w:p>
        </w:tc>
        <w:tc>
          <w:tcPr>
            <w:tcW w:w="1477" w:type="dxa"/>
            <w:vAlign w:val="center"/>
          </w:tcPr>
          <w:p>
            <w:pPr>
              <w:pStyle w:val="114"/>
              <w:spacing w:line="320" w:lineRule="exact"/>
              <w:jc w:val="center"/>
              <w:rPr>
                <w:rFonts w:hint="eastAsia" w:ascii="宋体" w:hAnsi="宋体" w:eastAsia="宋体" w:cs="宋体"/>
                <w:color w:val="auto"/>
                <w:kern w:val="2"/>
                <w:sz w:val="21"/>
                <w:szCs w:val="21"/>
                <w:highlight w:val="none"/>
                <w:lang w:val="en-US" w:eastAsia="zh-CN" w:bidi="ar-SA"/>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格式要求提供承诺函，无需提供试验检测仪器设备的证明材料。</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2"/>
        <w:framePr w:wrap="auto" w:vAnchor="margin" w:hAnchor="text" w:yAlign="in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2"/>
        <w:framePr w:wrap="auto" w:vAnchor="margin" w:hAnchor="text" w:yAlign="in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2"/>
        <w:framePr w:wrap="auto" w:vAnchor="margin" w:hAnchor="text" w:yAlign="inline"/>
        <w:rPr>
          <w:rFonts w:hint="eastAsia" w:ascii="宋体" w:hAnsi="宋体" w:eastAsia="宋体" w:cs="宋体"/>
          <w:color w:val="auto"/>
          <w:highlight w:val="none"/>
        </w:rPr>
      </w:pPr>
    </w:p>
    <w:p>
      <w:pPr>
        <w:pStyle w:val="97"/>
        <w:jc w:val="center"/>
        <w:rPr>
          <w:rFonts w:hint="eastAsia" w:ascii="宋体" w:hAnsi="宋体" w:eastAsia="宋体" w:cs="宋体"/>
          <w:color w:val="auto"/>
          <w:highlight w:val="none"/>
        </w:rPr>
      </w:pPr>
      <w:bookmarkStart w:id="53" w:name="_Toc14271"/>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w:t>
      </w:r>
      <w:bookmarkEnd w:id="53"/>
    </w:p>
    <w:p>
      <w:pPr>
        <w:pStyle w:val="97"/>
        <w:outlineLvl w:val="0"/>
        <w:rPr>
          <w:rFonts w:hint="eastAsia" w:ascii="宋体" w:hAnsi="宋体" w:eastAsia="宋体" w:cs="宋体"/>
          <w:color w:val="auto"/>
          <w:highlight w:val="none"/>
        </w:rPr>
      </w:pPr>
      <w:bookmarkStart w:id="54" w:name="_Toc431"/>
      <w:r>
        <w:rPr>
          <w:rFonts w:hint="eastAsia" w:ascii="宋体" w:hAnsi="宋体" w:eastAsia="宋体" w:cs="宋体"/>
          <w:color w:val="auto"/>
          <w:highlight w:val="none"/>
        </w:rPr>
        <w:t>1.总则</w:t>
      </w:r>
      <w:bookmarkEnd w:id="45"/>
      <w:bookmarkEnd w:id="46"/>
      <w:bookmarkEnd w:id="47"/>
      <w:bookmarkEnd w:id="48"/>
      <w:bookmarkEnd w:id="49"/>
      <w:bookmarkEnd w:id="50"/>
      <w:bookmarkEnd w:id="51"/>
      <w:bookmarkEnd w:id="54"/>
    </w:p>
    <w:p>
      <w:pPr>
        <w:pStyle w:val="72"/>
        <w:outlineLvl w:val="0"/>
        <w:rPr>
          <w:rFonts w:hint="eastAsia" w:ascii="宋体" w:hAnsi="宋体" w:eastAsia="宋体" w:cs="宋体"/>
          <w:color w:val="auto"/>
          <w:highlight w:val="none"/>
        </w:rPr>
      </w:pPr>
      <w:bookmarkStart w:id="55" w:name="_Toc179632547"/>
      <w:bookmarkStart w:id="56" w:name="_Toc152042306"/>
      <w:bookmarkStart w:id="57" w:name="_Toc152045530"/>
      <w:bookmarkStart w:id="58" w:name="_Toc10795"/>
      <w:bookmarkStart w:id="59" w:name="_Toc286826590"/>
      <w:bookmarkStart w:id="60" w:name="_Toc144974498"/>
      <w:r>
        <w:rPr>
          <w:rFonts w:hint="eastAsia" w:ascii="宋体" w:hAnsi="宋体" w:eastAsia="宋体" w:cs="宋体"/>
          <w:color w:val="auto"/>
          <w:highlight w:val="none"/>
        </w:rPr>
        <w:t>1.1 项目概况</w:t>
      </w:r>
      <w:bookmarkEnd w:id="55"/>
      <w:bookmarkEnd w:id="56"/>
      <w:bookmarkEnd w:id="57"/>
      <w:bookmarkEnd w:id="58"/>
      <w:bookmarkEnd w:id="59"/>
      <w:bookmarkEnd w:id="6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1.1.1根据《中华人民共和国</w:t>
      </w:r>
      <w:r>
        <w:rPr>
          <w:rFonts w:hint="eastAsia" w:ascii="宋体" w:hAnsi="宋体" w:eastAsia="宋体" w:cs="宋体"/>
          <w:color w:val="auto"/>
          <w:highlight w:val="none"/>
          <w:lang w:eastAsia="zh-CN"/>
        </w:rPr>
        <w:t>交易交易响应</w:t>
      </w:r>
      <w:r>
        <w:rPr>
          <w:rFonts w:hint="eastAsia" w:ascii="宋体" w:hAnsi="宋体" w:eastAsia="宋体" w:cs="宋体"/>
          <w:color w:val="auto"/>
          <w:highlight w:val="none"/>
        </w:rPr>
        <w:t>法》等有关法律、法规和规章的规定，本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已具备</w:t>
      </w:r>
      <w:r>
        <w:rPr>
          <w:rFonts w:hint="eastAsia" w:ascii="宋体" w:hAnsi="宋体" w:eastAsia="宋体" w:cs="宋体"/>
          <w:color w:val="auto"/>
          <w:highlight w:val="none"/>
          <w:lang w:eastAsia="zh-CN"/>
        </w:rPr>
        <w:t>交易条件</w:t>
      </w:r>
      <w:r>
        <w:rPr>
          <w:rFonts w:hint="eastAsia" w:ascii="宋体" w:hAnsi="宋体" w:eastAsia="宋体" w:cs="宋体"/>
          <w:color w:val="auto"/>
          <w:highlight w:val="none"/>
        </w:rPr>
        <w:t>，现对本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进行</w:t>
      </w:r>
      <w:r>
        <w:rPr>
          <w:rFonts w:hint="eastAsia" w:ascii="宋体" w:hAnsi="宋体" w:cs="宋体"/>
          <w:color w:val="auto"/>
          <w:highlight w:val="none"/>
          <w:lang w:eastAsia="zh-CN"/>
        </w:rPr>
        <w:t>交易</w:t>
      </w:r>
      <w:r>
        <w:rPr>
          <w:rFonts w:hint="eastAsia" w:ascii="宋体" w:hAnsi="宋体" w:eastAsia="宋体" w:cs="宋体"/>
          <w:color w:val="auto"/>
          <w:highlight w:val="none"/>
        </w:rPr>
        <w:t>。</w:t>
      </w:r>
    </w:p>
    <w:p>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1.1.2 本</w:t>
      </w:r>
      <w:r>
        <w:rPr>
          <w:rFonts w:hint="eastAsia" w:ascii="宋体" w:hAnsi="宋体" w:eastAsia="宋体" w:cs="宋体"/>
          <w:color w:val="auto"/>
          <w:highlight w:val="none"/>
          <w:lang w:eastAsia="zh-CN"/>
        </w:rPr>
        <w:t>交易项目交易发起人</w:t>
      </w:r>
      <w:r>
        <w:rPr>
          <w:rFonts w:hint="eastAsia" w:ascii="宋体" w:hAnsi="宋体" w:eastAsia="宋体" w:cs="宋体"/>
          <w:color w:val="auto"/>
          <w:highlight w:val="none"/>
        </w:rPr>
        <w:t>、招标代理机构、项目名称及建设地点：见“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72"/>
        <w:outlineLvl w:val="0"/>
        <w:rPr>
          <w:rFonts w:hint="eastAsia" w:ascii="宋体" w:hAnsi="宋体" w:eastAsia="宋体" w:cs="宋体"/>
          <w:color w:val="auto"/>
          <w:highlight w:val="none"/>
        </w:rPr>
      </w:pPr>
      <w:bookmarkStart w:id="61" w:name="_Toc179632548"/>
      <w:bookmarkStart w:id="62" w:name="_Toc7231"/>
      <w:bookmarkStart w:id="63" w:name="_Toc152045531"/>
      <w:bookmarkStart w:id="64" w:name="_Toc152042307"/>
      <w:bookmarkStart w:id="65" w:name="_Toc286826591"/>
      <w:bookmarkStart w:id="66" w:name="_Toc144974499"/>
      <w:r>
        <w:rPr>
          <w:rFonts w:hint="eastAsia" w:ascii="宋体" w:hAnsi="宋体" w:eastAsia="宋体" w:cs="宋体"/>
          <w:color w:val="auto"/>
          <w:highlight w:val="none"/>
        </w:rPr>
        <w:t>1.2 资金来源和落实情况</w:t>
      </w:r>
      <w:bookmarkEnd w:id="61"/>
      <w:bookmarkEnd w:id="62"/>
      <w:bookmarkEnd w:id="63"/>
      <w:bookmarkEnd w:id="64"/>
      <w:bookmarkEnd w:id="65"/>
      <w:bookmarkEnd w:id="66"/>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的资金来源、出资比例及资金落实情况：见“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72"/>
        <w:outlineLvl w:val="0"/>
        <w:rPr>
          <w:rFonts w:hint="eastAsia" w:ascii="宋体" w:hAnsi="宋体" w:eastAsia="宋体" w:cs="宋体"/>
          <w:color w:val="auto"/>
          <w:highlight w:val="none"/>
          <w:lang w:eastAsia="zh-CN"/>
        </w:rPr>
      </w:pPr>
      <w:bookmarkStart w:id="67" w:name="_Toc152042308"/>
      <w:bookmarkStart w:id="68" w:name="_Toc179632549"/>
      <w:bookmarkStart w:id="69" w:name="_Toc286826592"/>
      <w:bookmarkStart w:id="70" w:name="_Toc144974500"/>
      <w:bookmarkStart w:id="71" w:name="_Toc152045532"/>
      <w:bookmarkStart w:id="72" w:name="_Toc18456"/>
      <w:r>
        <w:rPr>
          <w:rFonts w:hint="eastAsia" w:ascii="宋体" w:hAnsi="宋体" w:eastAsia="宋体" w:cs="宋体"/>
          <w:color w:val="auto"/>
          <w:highlight w:val="none"/>
        </w:rPr>
        <w:t xml:space="preserve">1.3 </w:t>
      </w:r>
      <w:bookmarkEnd w:id="67"/>
      <w:bookmarkEnd w:id="68"/>
      <w:bookmarkEnd w:id="69"/>
      <w:bookmarkEnd w:id="70"/>
      <w:bookmarkEnd w:id="71"/>
      <w:r>
        <w:rPr>
          <w:rFonts w:hint="eastAsia" w:ascii="宋体" w:hAnsi="宋体" w:eastAsia="宋体" w:cs="宋体"/>
          <w:color w:val="auto"/>
          <w:highlight w:val="none"/>
          <w:lang w:eastAsia="zh-CN"/>
        </w:rPr>
        <w:t>交易范围</w:t>
      </w:r>
      <w:r>
        <w:rPr>
          <w:rFonts w:hint="eastAsia" w:ascii="宋体" w:hAnsi="宋体" w:eastAsia="宋体" w:cs="宋体"/>
          <w:color w:val="auto"/>
          <w:highlight w:val="none"/>
        </w:rPr>
        <w:t>和</w:t>
      </w:r>
      <w:bookmarkEnd w:id="72"/>
      <w:r>
        <w:rPr>
          <w:rFonts w:hint="eastAsia" w:ascii="宋体" w:hAnsi="宋体" w:eastAsia="宋体" w:cs="宋体"/>
          <w:color w:val="auto"/>
          <w:highlight w:val="none"/>
          <w:lang w:eastAsia="zh-CN"/>
        </w:rPr>
        <w:t>前期路况检测服务期</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交易范围</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前期路况检测服务期</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72"/>
        <w:outlineLvl w:val="0"/>
        <w:rPr>
          <w:rFonts w:hint="eastAsia" w:ascii="宋体" w:hAnsi="宋体" w:eastAsia="宋体" w:cs="宋体"/>
          <w:color w:val="auto"/>
          <w:highlight w:val="none"/>
        </w:rPr>
      </w:pPr>
      <w:bookmarkStart w:id="73" w:name="_Toc144974502"/>
      <w:bookmarkStart w:id="74" w:name="_Toc152042310"/>
      <w:bookmarkStart w:id="75" w:name="_Toc286826593"/>
      <w:bookmarkStart w:id="76" w:name="_Toc12354"/>
      <w:bookmarkStart w:id="77" w:name="_Toc179632551"/>
      <w:bookmarkStart w:id="78" w:name="_Toc152045534"/>
      <w:r>
        <w:rPr>
          <w:rFonts w:hint="eastAsia" w:ascii="宋体" w:hAnsi="宋体" w:eastAsia="宋体" w:cs="宋体"/>
          <w:color w:val="auto"/>
          <w:highlight w:val="none"/>
        </w:rPr>
        <w:t xml:space="preserve">1.4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资格要求</w:t>
      </w:r>
      <w:bookmarkEnd w:id="73"/>
      <w:bookmarkEnd w:id="74"/>
      <w:bookmarkEnd w:id="75"/>
      <w:bookmarkEnd w:id="76"/>
      <w:bookmarkEnd w:id="77"/>
      <w:bookmarkEnd w:id="78"/>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资质条件、业绩、人员、信誉、仪器设备的要求见“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1.4.2“</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须知前附表”规定接受联合体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的，除应符合本章第1.4.1项和“</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须知前附表”的要求外，还应遵守以下规定：</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联合体各方应按</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提供的格式签订联合体协议书，明确联合体牵头人和各方权利义务；</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由同一专业的单位组成的联合体，按照资质等级较低的单位确定资质等级；</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联合体各方不得再以</w:t>
      </w:r>
      <w:r>
        <w:rPr>
          <w:rFonts w:hint="eastAsia" w:ascii="宋体" w:hAnsi="宋体" w:cs="宋体"/>
          <w:color w:val="auto"/>
          <w:highlight w:val="none"/>
          <w:lang w:eastAsia="zh-CN"/>
        </w:rPr>
        <w:t>自己</w:t>
      </w:r>
      <w:r>
        <w:rPr>
          <w:rFonts w:hint="eastAsia" w:ascii="宋体" w:hAnsi="宋体" w:eastAsia="宋体" w:cs="宋体"/>
          <w:color w:val="auto"/>
          <w:highlight w:val="none"/>
        </w:rPr>
        <w:t>名义单独或参加其他联合体在同一标段中</w:t>
      </w:r>
      <w:r>
        <w:rPr>
          <w:rFonts w:hint="eastAsia" w:ascii="宋体" w:hAnsi="宋体" w:cs="宋体"/>
          <w:color w:val="auto"/>
          <w:highlight w:val="none"/>
          <w:lang w:eastAsia="zh-CN"/>
        </w:rPr>
        <w:t>交易响应</w:t>
      </w:r>
      <w:r>
        <w:rPr>
          <w:rFonts w:hint="eastAsia" w:ascii="宋体" w:hAnsi="宋体" w:eastAsia="宋体" w:cs="宋体"/>
          <w:color w:val="auto"/>
          <w:highlight w:val="none"/>
        </w:rPr>
        <w:t>，否则，相关</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均作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联合体各方应分别按照本</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的要求，填写</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中的相应表格，并由联合体牵头人负责对联合体各成员的资料进行统一汇总后一并提交给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；联合体牵头人所提交的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应认为已代表了联合体各成员的真实情况；</w:t>
      </w:r>
    </w:p>
    <w:p>
      <w:pPr>
        <w:spacing w:line="400" w:lineRule="exact"/>
        <w:ind w:firstLine="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尽管委任了联合体牵头人，但联合体各成员在</w:t>
      </w:r>
      <w:r>
        <w:rPr>
          <w:rFonts w:hint="eastAsia" w:ascii="宋体" w:hAnsi="宋体" w:cs="宋体"/>
          <w:color w:val="auto"/>
          <w:highlight w:val="none"/>
          <w:lang w:eastAsia="zh-CN"/>
        </w:rPr>
        <w:t>交易响应</w:t>
      </w:r>
      <w:r>
        <w:rPr>
          <w:rFonts w:hint="eastAsia" w:ascii="宋体" w:hAnsi="宋体" w:eastAsia="宋体" w:cs="宋体"/>
          <w:color w:val="auto"/>
          <w:highlight w:val="none"/>
        </w:rPr>
        <w:t>、签约与履行合同过程中，对</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仍负有连带的法律责任。</w:t>
      </w:r>
    </w:p>
    <w:p>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1.4.3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的，指联合体各成员）不得存在下列任一情形：</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（1）为</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不具有独立法人资格的附属机构（单位）；</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（2）为本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的代建人；</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（3）为本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的施工承包人；</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（4）为本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提供招标代理服务的；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（5）与本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的代建人或施工承包人或监理人或招标代理机构同为一个法定代表人的；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（6）与本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的代建人或施工承包人或监理人或招标代理机构相互控股或参股的；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（7）与本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的代建人或施工承包人或监理人或招标代理机构相互任职或工作的；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（8）与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存在利害关系可能影响</w:t>
      </w:r>
      <w:r>
        <w:rPr>
          <w:rFonts w:hint="eastAsia" w:ascii="宋体" w:hAnsi="宋体" w:cs="宋体"/>
          <w:color w:val="auto"/>
          <w:highlight w:val="none"/>
          <w:lang w:eastAsia="zh-CN"/>
        </w:rPr>
        <w:t>交易</w:t>
      </w:r>
      <w:r>
        <w:rPr>
          <w:rFonts w:hint="eastAsia" w:ascii="宋体" w:hAnsi="宋体" w:eastAsia="宋体" w:cs="宋体"/>
          <w:color w:val="auto"/>
          <w:highlight w:val="none"/>
        </w:rPr>
        <w:t>公正性的法人、其他组织；</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szCs w:val="21"/>
          <w:highlight w:val="none"/>
        </w:rPr>
        <w:t>与本标段的其他</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存在控股（含法定代表人控股）、管理关系的；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（10）为投资参股本</w:t>
      </w:r>
      <w:r>
        <w:rPr>
          <w:rFonts w:hint="eastAsia" w:ascii="宋体" w:hAnsi="宋体" w:eastAsia="宋体" w:cs="宋体"/>
          <w:color w:val="auto"/>
          <w:highlight w:val="none"/>
          <w:lang w:eastAsia="zh-CN"/>
        </w:rPr>
        <w:t>交易项目</w:t>
      </w:r>
      <w:r>
        <w:rPr>
          <w:rFonts w:hint="eastAsia" w:ascii="宋体" w:hAnsi="宋体" w:eastAsia="宋体" w:cs="宋体"/>
          <w:color w:val="auto"/>
          <w:highlight w:val="none"/>
        </w:rPr>
        <w:t>的法人单位；</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 w:val="22"/>
          <w:szCs w:val="28"/>
          <w:highlight w:val="none"/>
        </w:rPr>
        <w:t>为接受本项目业主或监理或施工等方委托的与本次</w:t>
      </w:r>
      <w:r>
        <w:rPr>
          <w:rFonts w:hint="eastAsia" w:ascii="宋体" w:hAnsi="宋体" w:cs="宋体"/>
          <w:color w:val="auto"/>
          <w:sz w:val="22"/>
          <w:szCs w:val="28"/>
          <w:highlight w:val="none"/>
          <w:lang w:eastAsia="zh-CN"/>
        </w:rPr>
        <w:t>交易</w:t>
      </w:r>
      <w:r>
        <w:rPr>
          <w:rFonts w:hint="eastAsia" w:ascii="宋体" w:hAnsi="宋体" w:eastAsia="宋体" w:cs="宋体"/>
          <w:color w:val="auto"/>
          <w:sz w:val="22"/>
          <w:szCs w:val="28"/>
          <w:highlight w:val="none"/>
        </w:rPr>
        <w:t>相同内容（含）的试验检测单位。</w:t>
      </w:r>
    </w:p>
    <w:p>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1.4.4</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的，指联合体各成员）不得存在下列不良信用记录：</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（1）被责令停业的；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（2）财产被接管或全部冻结的；</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（3）</w:t>
      </w:r>
      <w:bookmarkStart w:id="79" w:name="_Toc179632552"/>
      <w:bookmarkStart w:id="80" w:name="_Toc152045535"/>
      <w:bookmarkStart w:id="81" w:name="_Toc144974503"/>
      <w:bookmarkStart w:id="82" w:name="_Toc152042311"/>
      <w:r>
        <w:rPr>
          <w:rFonts w:hint="eastAsia" w:ascii="宋体" w:hAnsi="宋体" w:eastAsia="宋体" w:cs="宋体"/>
          <w:color w:val="auto"/>
          <w:highlight w:val="none"/>
        </w:rPr>
        <w:t>被交通运输部、浙江省交通运输厅、浙江省发展和改革委员会取消投标资格或禁止进入浙江省建设市场且处于有效期内；</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被列入在全国企业信用信息公示系统中列入严重违法企业名单的；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被列入在“信用中国”网站中被列入失信被执行人名单的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（6）</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须知前附表规定的日期内有骗取中标或较大及以上工程质量（或安全生产责任事故）负有责任的（以司法机关出具的有关法律文书为准）；</w:t>
      </w:r>
    </w:p>
    <w:p>
      <w:pPr>
        <w:spacing w:line="40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须知前附表规定的日期内</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或其法定代表人、拟委任的项目负责人有行贿犯罪行为的（行贿犯罪行为的认定以中国裁判文书网查询结果为准，</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无需提供</w:t>
      </w:r>
      <w:r>
        <w:rPr>
          <w:rFonts w:hint="eastAsia" w:ascii="宋体" w:hAnsi="宋体" w:eastAsia="宋体" w:cs="宋体"/>
          <w:color w:val="auto"/>
          <w:highlight w:val="none"/>
        </w:rPr>
        <w:t>）</w:t>
      </w:r>
      <w:r>
        <w:rPr>
          <w:rFonts w:hint="eastAsia" w:ascii="宋体" w:hAnsi="宋体" w:eastAsia="宋体" w:cs="宋体"/>
          <w:color w:val="auto"/>
          <w:szCs w:val="21"/>
          <w:highlight w:val="none"/>
        </w:rPr>
        <w:t>，在评标结束定标前查询）。</w:t>
      </w:r>
    </w:p>
    <w:p>
      <w:pPr>
        <w:pStyle w:val="72"/>
        <w:outlineLvl w:val="0"/>
        <w:rPr>
          <w:rFonts w:hint="eastAsia" w:ascii="宋体" w:hAnsi="宋体" w:eastAsia="宋体" w:cs="宋体"/>
          <w:color w:val="auto"/>
          <w:highlight w:val="none"/>
        </w:rPr>
      </w:pPr>
      <w:bookmarkStart w:id="83" w:name="_Toc286826594"/>
      <w:bookmarkStart w:id="84" w:name="_Toc7893"/>
      <w:r>
        <w:rPr>
          <w:rFonts w:hint="eastAsia" w:ascii="宋体" w:hAnsi="宋体" w:eastAsia="宋体" w:cs="宋体"/>
          <w:color w:val="auto"/>
          <w:highlight w:val="none"/>
        </w:rPr>
        <w:t>1.5 费用承担</w:t>
      </w:r>
      <w:bookmarkEnd w:id="79"/>
      <w:bookmarkEnd w:id="80"/>
      <w:bookmarkEnd w:id="81"/>
      <w:bookmarkEnd w:id="82"/>
      <w:bookmarkEnd w:id="83"/>
      <w:bookmarkEnd w:id="84"/>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准备和参加</w:t>
      </w:r>
      <w:r>
        <w:rPr>
          <w:rFonts w:hint="eastAsia" w:ascii="宋体" w:hAnsi="宋体" w:cs="宋体"/>
          <w:color w:val="auto"/>
          <w:highlight w:val="none"/>
          <w:lang w:eastAsia="zh-CN"/>
        </w:rPr>
        <w:t>交易响应</w:t>
      </w:r>
      <w:r>
        <w:rPr>
          <w:rFonts w:hint="eastAsia" w:ascii="宋体" w:hAnsi="宋体" w:eastAsia="宋体" w:cs="宋体"/>
          <w:color w:val="auto"/>
          <w:highlight w:val="none"/>
        </w:rPr>
        <w:t>活动发生的所有费用自理。</w:t>
      </w:r>
    </w:p>
    <w:p>
      <w:pPr>
        <w:pStyle w:val="72"/>
        <w:outlineLvl w:val="0"/>
        <w:rPr>
          <w:rFonts w:hint="eastAsia" w:ascii="宋体" w:hAnsi="宋体" w:eastAsia="宋体" w:cs="宋体"/>
          <w:color w:val="auto"/>
          <w:highlight w:val="none"/>
        </w:rPr>
      </w:pPr>
      <w:bookmarkStart w:id="85" w:name="_Toc152042312"/>
      <w:bookmarkStart w:id="86" w:name="_Toc179632553"/>
      <w:bookmarkStart w:id="87" w:name="_Toc144974504"/>
      <w:bookmarkStart w:id="88" w:name="_Toc24406"/>
      <w:bookmarkStart w:id="89" w:name="_Toc152045536"/>
      <w:bookmarkStart w:id="90" w:name="_Toc286826595"/>
      <w:r>
        <w:rPr>
          <w:rFonts w:hint="eastAsia" w:ascii="宋体" w:hAnsi="宋体" w:eastAsia="宋体" w:cs="宋体"/>
          <w:color w:val="auto"/>
          <w:highlight w:val="none"/>
        </w:rPr>
        <w:t>1.6 保密</w:t>
      </w:r>
      <w:bookmarkEnd w:id="85"/>
      <w:bookmarkEnd w:id="86"/>
      <w:bookmarkEnd w:id="87"/>
      <w:bookmarkEnd w:id="88"/>
      <w:bookmarkEnd w:id="89"/>
      <w:bookmarkEnd w:id="9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参与</w:t>
      </w:r>
      <w:r>
        <w:rPr>
          <w:rFonts w:hint="eastAsia" w:ascii="宋体" w:hAnsi="宋体" w:cs="宋体"/>
          <w:color w:val="auto"/>
          <w:highlight w:val="none"/>
          <w:lang w:eastAsia="zh-CN"/>
        </w:rPr>
        <w:t>交易</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活动的各方应对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 xml:space="preserve">中的商业和技术等秘密保密，违者应对由此造成的后果承担法律责任。 </w:t>
      </w:r>
    </w:p>
    <w:p>
      <w:pPr>
        <w:pStyle w:val="72"/>
        <w:outlineLvl w:val="0"/>
        <w:rPr>
          <w:rFonts w:hint="eastAsia" w:ascii="宋体" w:hAnsi="宋体" w:eastAsia="宋体" w:cs="宋体"/>
          <w:color w:val="auto"/>
          <w:highlight w:val="none"/>
        </w:rPr>
      </w:pPr>
      <w:bookmarkStart w:id="91" w:name="_Toc144974505"/>
      <w:bookmarkStart w:id="92" w:name="_Toc179632554"/>
      <w:bookmarkStart w:id="93" w:name="_Toc286826596"/>
      <w:bookmarkStart w:id="94" w:name="_Toc13523"/>
      <w:bookmarkStart w:id="95" w:name="_Toc152045537"/>
      <w:bookmarkStart w:id="96" w:name="_Toc152042313"/>
      <w:r>
        <w:rPr>
          <w:rFonts w:hint="eastAsia" w:ascii="宋体" w:hAnsi="宋体" w:eastAsia="宋体" w:cs="宋体"/>
          <w:color w:val="auto"/>
          <w:highlight w:val="none"/>
        </w:rPr>
        <w:t>1.7 语言</w:t>
      </w:r>
      <w:bookmarkEnd w:id="91"/>
      <w:r>
        <w:rPr>
          <w:rFonts w:hint="eastAsia" w:ascii="宋体" w:hAnsi="宋体" w:eastAsia="宋体" w:cs="宋体"/>
          <w:color w:val="auto"/>
          <w:highlight w:val="none"/>
        </w:rPr>
        <w:t>文字</w:t>
      </w:r>
      <w:bookmarkEnd w:id="92"/>
      <w:bookmarkEnd w:id="93"/>
      <w:bookmarkEnd w:id="94"/>
      <w:bookmarkEnd w:id="95"/>
      <w:bookmarkEnd w:id="96"/>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w:t>
      </w:r>
      <w:r>
        <w:rPr>
          <w:rFonts w:hint="eastAsia" w:ascii="宋体" w:hAnsi="宋体" w:cs="宋体"/>
          <w:color w:val="auto"/>
          <w:highlight w:val="none"/>
          <w:lang w:eastAsia="zh-CN"/>
        </w:rPr>
        <w:t>交易</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有关的语言均使用中文。必要时专用术语应附有中文注释。</w:t>
      </w:r>
    </w:p>
    <w:p>
      <w:pPr>
        <w:pStyle w:val="72"/>
        <w:outlineLvl w:val="0"/>
        <w:rPr>
          <w:rFonts w:hint="eastAsia" w:ascii="宋体" w:hAnsi="宋体" w:eastAsia="宋体" w:cs="宋体"/>
          <w:color w:val="auto"/>
          <w:highlight w:val="none"/>
        </w:rPr>
      </w:pPr>
      <w:bookmarkStart w:id="97" w:name="_Toc179632555"/>
      <w:bookmarkStart w:id="98" w:name="_Toc31823"/>
      <w:bookmarkStart w:id="99" w:name="_Toc152045538"/>
      <w:bookmarkStart w:id="100" w:name="_Toc286826597"/>
      <w:bookmarkStart w:id="101" w:name="_Toc152042314"/>
      <w:bookmarkStart w:id="102" w:name="_Toc144974506"/>
      <w:r>
        <w:rPr>
          <w:rFonts w:hint="eastAsia" w:ascii="宋体" w:hAnsi="宋体" w:eastAsia="宋体" w:cs="宋体"/>
          <w:color w:val="auto"/>
          <w:highlight w:val="none"/>
        </w:rPr>
        <w:t>1.8 计量单位</w:t>
      </w:r>
      <w:bookmarkEnd w:id="97"/>
      <w:bookmarkEnd w:id="98"/>
      <w:bookmarkEnd w:id="99"/>
      <w:bookmarkEnd w:id="100"/>
      <w:bookmarkEnd w:id="101"/>
      <w:bookmarkEnd w:id="102"/>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pPr>
        <w:pStyle w:val="72"/>
        <w:outlineLvl w:val="0"/>
        <w:rPr>
          <w:rFonts w:hint="eastAsia" w:ascii="宋体" w:hAnsi="宋体" w:eastAsia="宋体" w:cs="宋体"/>
          <w:color w:val="auto"/>
          <w:highlight w:val="none"/>
        </w:rPr>
      </w:pPr>
      <w:bookmarkStart w:id="103" w:name="_Toc152042315"/>
      <w:bookmarkStart w:id="104" w:name="_Toc152045539"/>
      <w:bookmarkStart w:id="105" w:name="_Toc179632556"/>
      <w:bookmarkStart w:id="106" w:name="_Toc286826598"/>
      <w:bookmarkStart w:id="107" w:name="_Toc144974507"/>
      <w:bookmarkStart w:id="108" w:name="_Toc26413"/>
      <w:r>
        <w:rPr>
          <w:rFonts w:hint="eastAsia" w:ascii="宋体" w:hAnsi="宋体" w:eastAsia="宋体" w:cs="宋体"/>
          <w:color w:val="auto"/>
          <w:highlight w:val="none"/>
        </w:rPr>
        <w:t>1.9 踏勘现场</w:t>
      </w:r>
      <w:bookmarkEnd w:id="103"/>
      <w:bookmarkEnd w:id="104"/>
      <w:bookmarkEnd w:id="105"/>
      <w:bookmarkEnd w:id="106"/>
      <w:bookmarkEnd w:id="107"/>
      <w:bookmarkEnd w:id="108"/>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1.9.1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须知前附表”规定组织踏勘现场的，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须知前附表”规定的时间、地点组织</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 xml:space="preserve">踏勘项目现场。 </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1.9.2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踏勘现场发生的费用自理。</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 除</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的原因外，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自行负责在踏勘现场中所发生的人员伤亡和财产损失。</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1.9.4 </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在踏勘现场中介绍的工程场地和相关的周边环境情况，供</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在编制</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时参考，</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不对</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据此作出的判断和决策负责。</w:t>
      </w:r>
    </w:p>
    <w:p>
      <w:pPr>
        <w:pStyle w:val="72"/>
        <w:outlineLvl w:val="0"/>
        <w:rPr>
          <w:rFonts w:hint="eastAsia" w:ascii="宋体" w:hAnsi="宋体" w:eastAsia="宋体" w:cs="宋体"/>
          <w:color w:val="auto"/>
          <w:highlight w:val="none"/>
          <w:lang w:eastAsia="zh-CN"/>
        </w:rPr>
      </w:pPr>
      <w:bookmarkStart w:id="109" w:name="_Toc286826599"/>
      <w:bookmarkStart w:id="110" w:name="_Toc152042316"/>
      <w:bookmarkStart w:id="111" w:name="_Toc152045540"/>
      <w:bookmarkStart w:id="112" w:name="_Toc179632557"/>
      <w:bookmarkStart w:id="113" w:name="_Toc144974508"/>
      <w:bookmarkStart w:id="114" w:name="_Toc22284"/>
      <w:r>
        <w:rPr>
          <w:rFonts w:hint="eastAsia" w:ascii="宋体" w:hAnsi="宋体" w:eastAsia="宋体" w:cs="宋体"/>
          <w:color w:val="auto"/>
          <w:highlight w:val="none"/>
        </w:rPr>
        <w:t xml:space="preserve">1.10 </w:t>
      </w:r>
      <w:bookmarkEnd w:id="109"/>
      <w:bookmarkEnd w:id="110"/>
      <w:bookmarkEnd w:id="111"/>
      <w:bookmarkEnd w:id="112"/>
      <w:bookmarkEnd w:id="113"/>
      <w:r>
        <w:rPr>
          <w:rFonts w:hint="eastAsia" w:ascii="宋体" w:hAnsi="宋体" w:eastAsia="宋体" w:cs="宋体"/>
          <w:color w:val="auto"/>
          <w:highlight w:val="none"/>
          <w:lang w:eastAsia="zh-CN"/>
        </w:rPr>
        <w:t>交易响应预备会</w:t>
      </w:r>
      <w:bookmarkEnd w:id="114"/>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1.10.1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须知前附表”规定召开</w:t>
      </w:r>
      <w:r>
        <w:rPr>
          <w:rFonts w:hint="eastAsia" w:ascii="宋体" w:hAnsi="宋体" w:eastAsia="宋体" w:cs="宋体"/>
          <w:color w:val="auto"/>
          <w:highlight w:val="none"/>
          <w:lang w:eastAsia="zh-CN"/>
        </w:rPr>
        <w:t>交易响应预备会</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须知前附表”规定的时间和地点召开</w:t>
      </w:r>
      <w:r>
        <w:rPr>
          <w:rFonts w:hint="eastAsia" w:ascii="宋体" w:hAnsi="宋体" w:eastAsia="宋体" w:cs="宋体"/>
          <w:color w:val="auto"/>
          <w:highlight w:val="none"/>
          <w:lang w:eastAsia="zh-CN"/>
        </w:rPr>
        <w:t>交易响应预备会</w:t>
      </w:r>
      <w:r>
        <w:rPr>
          <w:rFonts w:hint="eastAsia" w:ascii="宋体" w:hAnsi="宋体" w:eastAsia="宋体" w:cs="宋体"/>
          <w:color w:val="auto"/>
          <w:highlight w:val="none"/>
        </w:rPr>
        <w:t>，澄清</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提出的问题。</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1.10.2</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须知前附表规定的时间前，通过</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将提出的问题送达</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，以便</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在会议期间澄清。</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1.10.3 </w:t>
      </w:r>
      <w:r>
        <w:rPr>
          <w:rFonts w:hint="eastAsia" w:ascii="宋体" w:hAnsi="宋体" w:eastAsia="宋体" w:cs="宋体"/>
          <w:color w:val="auto"/>
          <w:szCs w:val="21"/>
          <w:highlight w:val="none"/>
          <w:lang w:eastAsia="zh-CN"/>
        </w:rPr>
        <w:t>交易响应预备会</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须知前附表规定的时间内，将对</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所提问题的澄清，以通过</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通知所有购买</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。该澄清内容为</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的组成部分。</w:t>
      </w:r>
    </w:p>
    <w:p>
      <w:pPr>
        <w:pStyle w:val="72"/>
        <w:outlineLvl w:val="0"/>
        <w:rPr>
          <w:rFonts w:hint="eastAsia" w:ascii="宋体" w:hAnsi="宋体" w:eastAsia="宋体" w:cs="宋体"/>
          <w:color w:val="auto"/>
          <w:highlight w:val="none"/>
        </w:rPr>
      </w:pPr>
      <w:bookmarkStart w:id="115" w:name="_Toc152042317"/>
      <w:bookmarkStart w:id="116" w:name="_Toc22709"/>
      <w:bookmarkStart w:id="117" w:name="_Toc144974509"/>
      <w:bookmarkStart w:id="118" w:name="_Toc179632558"/>
      <w:bookmarkStart w:id="119" w:name="_Toc286826600"/>
      <w:bookmarkStart w:id="120" w:name="_Toc152045541"/>
      <w:r>
        <w:rPr>
          <w:rFonts w:hint="eastAsia" w:ascii="宋体" w:hAnsi="宋体" w:eastAsia="宋体" w:cs="宋体"/>
          <w:color w:val="auto"/>
          <w:highlight w:val="none"/>
        </w:rPr>
        <w:t>1.11 分包</w:t>
      </w:r>
      <w:bookmarkEnd w:id="115"/>
      <w:bookmarkEnd w:id="116"/>
      <w:bookmarkEnd w:id="117"/>
      <w:bookmarkEnd w:id="118"/>
      <w:bookmarkEnd w:id="119"/>
      <w:bookmarkEnd w:id="12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本项目可按“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须知前附表”规定进行分包，并符合以下规定：</w:t>
      </w:r>
    </w:p>
    <w:p>
      <w:pPr>
        <w:spacing w:line="400" w:lineRule="exact"/>
        <w:ind w:firstLine="435"/>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分包人的资格要求：拟定的分包人的试验检测参数应与其承担的工程规模和标准相适应。</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其他要求：</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应将拟定的分包计划，按第七章“</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格式”的要求填写“分包承诺书”，且</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中标后的分包应满足合同条款第5.6款的相关要求。</w:t>
      </w:r>
    </w:p>
    <w:p>
      <w:pPr>
        <w:pStyle w:val="72"/>
        <w:outlineLvl w:val="0"/>
        <w:rPr>
          <w:rFonts w:hint="eastAsia" w:ascii="宋体" w:hAnsi="宋体" w:eastAsia="宋体" w:cs="宋体"/>
          <w:color w:val="auto"/>
          <w:highlight w:val="none"/>
        </w:rPr>
      </w:pPr>
      <w:bookmarkStart w:id="121" w:name="_Toc286826601"/>
      <w:bookmarkStart w:id="122" w:name="_Toc30682"/>
      <w:r>
        <w:rPr>
          <w:rFonts w:hint="eastAsia" w:ascii="宋体" w:hAnsi="宋体" w:eastAsia="宋体" w:cs="宋体"/>
          <w:color w:val="auto"/>
          <w:highlight w:val="none"/>
        </w:rPr>
        <w:t>1.12偏差</w:t>
      </w:r>
      <w:bookmarkEnd w:id="121"/>
      <w:bookmarkEnd w:id="122"/>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偏差分重大偏差和细微偏差。</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1.12.1</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不符合第三章“评标办法”所列的资格审查和初步评审标准以及按照第三章“评标办法”规定对</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进行算术性错误修正后，最终</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超过</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的，属于重大偏差，视为未能对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作出实质性响应，按</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1.12.2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中的下列偏差为细微偏差：</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在按照第三章“评标办法”的规定对</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进行算术性错误修正后，最终</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未超过</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的情况下，出现第三章“评标办法”所列的</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的算术性错误；</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试验检测实施方案不够完善。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1.12.3 评标委员会对</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中的细微偏差按如下规定处理：</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对于本章第1.12.2项</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目所述的细微偏差，按照第三章“评标办法”第2.8款的规定予以修正并要求</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进行澄清；</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对于本章第1.12.2项</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目所述的细微偏差，评标委员会可在相关评审因素的评分中酌情扣分，但最多扣分不得超过各评审因素满分分值的40%。</w:t>
      </w:r>
    </w:p>
    <w:p>
      <w:pPr>
        <w:pStyle w:val="97"/>
        <w:outlineLvl w:val="0"/>
        <w:rPr>
          <w:rFonts w:hint="eastAsia" w:ascii="宋体" w:hAnsi="宋体" w:eastAsia="宋体" w:cs="宋体"/>
          <w:color w:val="auto"/>
          <w:highlight w:val="none"/>
          <w:lang w:eastAsia="zh-CN"/>
        </w:rPr>
      </w:pPr>
      <w:bookmarkStart w:id="123" w:name="_Toc286827081"/>
      <w:bookmarkStart w:id="124" w:name="_Toc286830197"/>
      <w:bookmarkStart w:id="125" w:name="_Toc179632560"/>
      <w:bookmarkStart w:id="126" w:name="_Toc144974510"/>
      <w:bookmarkStart w:id="127" w:name="_Toc152042318"/>
      <w:bookmarkStart w:id="128" w:name="_Toc286826602"/>
      <w:bookmarkStart w:id="129" w:name="_Toc152045542"/>
      <w:bookmarkStart w:id="130" w:name="_Toc9786"/>
      <w:r>
        <w:rPr>
          <w:rFonts w:hint="eastAsia" w:ascii="宋体" w:hAnsi="宋体" w:eastAsia="宋体" w:cs="宋体"/>
          <w:color w:val="auto"/>
          <w:highlight w:val="none"/>
        </w:rPr>
        <w:t xml:space="preserve">2. </w:t>
      </w:r>
      <w:bookmarkEnd w:id="123"/>
      <w:bookmarkEnd w:id="124"/>
      <w:bookmarkEnd w:id="125"/>
      <w:bookmarkEnd w:id="126"/>
      <w:bookmarkEnd w:id="127"/>
      <w:bookmarkEnd w:id="128"/>
      <w:bookmarkEnd w:id="129"/>
      <w:r>
        <w:rPr>
          <w:rFonts w:hint="eastAsia" w:ascii="宋体" w:hAnsi="宋体" w:eastAsia="宋体" w:cs="宋体"/>
          <w:color w:val="auto"/>
          <w:highlight w:val="none"/>
          <w:lang w:eastAsia="zh-CN"/>
        </w:rPr>
        <w:t>交易文件</w:t>
      </w:r>
      <w:bookmarkEnd w:id="130"/>
    </w:p>
    <w:p>
      <w:pPr>
        <w:pStyle w:val="72"/>
        <w:outlineLvl w:val="0"/>
        <w:rPr>
          <w:rFonts w:hint="eastAsia" w:ascii="宋体" w:hAnsi="宋体" w:eastAsia="宋体" w:cs="宋体"/>
          <w:color w:val="auto"/>
          <w:highlight w:val="none"/>
        </w:rPr>
      </w:pPr>
      <w:bookmarkStart w:id="131" w:name="_Toc152045543"/>
      <w:bookmarkStart w:id="132" w:name="_Toc152042319"/>
      <w:bookmarkStart w:id="133" w:name="_Toc20253"/>
      <w:bookmarkStart w:id="134" w:name="_Toc179632561"/>
      <w:bookmarkStart w:id="135" w:name="_Toc144974511"/>
      <w:bookmarkStart w:id="136" w:name="_Toc286826603"/>
      <w:r>
        <w:rPr>
          <w:rFonts w:hint="eastAsia" w:ascii="宋体" w:hAnsi="宋体" w:eastAsia="宋体" w:cs="宋体"/>
          <w:color w:val="auto"/>
          <w:highlight w:val="none"/>
        </w:rPr>
        <w:t xml:space="preserve">2.1 </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的构成</w:t>
      </w:r>
      <w:bookmarkEnd w:id="131"/>
      <w:bookmarkEnd w:id="132"/>
      <w:bookmarkEnd w:id="133"/>
      <w:bookmarkEnd w:id="134"/>
      <w:bookmarkEnd w:id="135"/>
      <w:bookmarkEnd w:id="136"/>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包括：</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交易公告</w:t>
      </w:r>
      <w:r>
        <w:rPr>
          <w:rFonts w:hint="eastAsia" w:ascii="宋体" w:hAnsi="宋体" w:eastAsia="宋体" w:cs="宋体"/>
          <w:color w:val="auto"/>
          <w:highlight w:val="none"/>
        </w:rPr>
        <w:t>；</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评标办法；</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合同条款及格式；</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试验检测技术规范和要求；</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w:t>
      </w:r>
      <w:r>
        <w:rPr>
          <w:rFonts w:hint="eastAsia" w:ascii="宋体" w:hAnsi="宋体" w:eastAsia="宋体" w:cs="宋体"/>
          <w:color w:val="auto"/>
          <w:highlight w:val="none"/>
        </w:rPr>
        <w:t>6</w:t>
      </w:r>
      <w:r>
        <w:rPr>
          <w:rFonts w:hint="eastAsia" w:ascii="宋体" w:hAnsi="宋体" w:cs="宋体"/>
          <w:color w:val="auto"/>
          <w:highlight w:val="none"/>
          <w:lang w:eastAsia="zh-CN"/>
        </w:rPr>
        <w:t>）</w:t>
      </w:r>
      <w:r>
        <w:rPr>
          <w:rFonts w:hint="eastAsia" w:ascii="宋体" w:hAnsi="宋体" w:eastAsia="宋体" w:cs="宋体"/>
          <w:color w:val="auto"/>
          <w:highlight w:val="none"/>
        </w:rPr>
        <w:t>报价清单；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根据本章第1. 10款、第2.2款和第2.3款对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所</w:t>
      </w:r>
      <w:r>
        <w:rPr>
          <w:rFonts w:hint="eastAsia" w:ascii="宋体" w:hAnsi="宋体" w:cs="宋体"/>
          <w:color w:val="auto"/>
          <w:highlight w:val="none"/>
          <w:lang w:eastAsia="zh-CN"/>
        </w:rPr>
        <w:t>做</w:t>
      </w:r>
      <w:r>
        <w:rPr>
          <w:rFonts w:hint="eastAsia" w:ascii="宋体" w:hAnsi="宋体" w:eastAsia="宋体" w:cs="宋体"/>
          <w:color w:val="auto"/>
          <w:highlight w:val="none"/>
        </w:rPr>
        <w:t>的澄清、修改，统称为“补遗书”，按规定报备后构成</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的组成部分。</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当</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的澄清或修改等在同一内容的表述上不一致时，以最后发出的书面文件为准。</w:t>
      </w:r>
    </w:p>
    <w:p>
      <w:pPr>
        <w:pStyle w:val="72"/>
        <w:outlineLvl w:val="0"/>
        <w:rPr>
          <w:rFonts w:hint="eastAsia" w:ascii="宋体" w:hAnsi="宋体" w:eastAsia="宋体" w:cs="宋体"/>
          <w:color w:val="auto"/>
          <w:highlight w:val="none"/>
        </w:rPr>
      </w:pPr>
      <w:bookmarkStart w:id="137" w:name="_Toc179632562"/>
      <w:bookmarkStart w:id="138" w:name="_Toc286826604"/>
      <w:bookmarkStart w:id="139" w:name="_Toc144974512"/>
      <w:bookmarkStart w:id="140" w:name="_Toc29212"/>
      <w:bookmarkStart w:id="141" w:name="_Toc152042320"/>
      <w:bookmarkStart w:id="142" w:name="_Toc152045544"/>
      <w:r>
        <w:rPr>
          <w:rFonts w:hint="eastAsia" w:ascii="宋体" w:hAnsi="宋体" w:eastAsia="宋体" w:cs="宋体"/>
          <w:color w:val="auto"/>
          <w:highlight w:val="none"/>
        </w:rPr>
        <w:t xml:space="preserve">2.2 </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的澄清</w:t>
      </w:r>
      <w:bookmarkEnd w:id="137"/>
      <w:bookmarkEnd w:id="138"/>
      <w:bookmarkEnd w:id="139"/>
      <w:bookmarkEnd w:id="140"/>
      <w:bookmarkEnd w:id="141"/>
      <w:bookmarkEnd w:id="142"/>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应仔细阅读和检查</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的全部内容。如发现缺页或附件不全，应及时向</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提出，以便补齐。如有疑问，应在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须知前附表规定的时间前通过“交易平台”，要求</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予以澄清。</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澄清的内容影响</w:t>
      </w:r>
      <w:r>
        <w:rPr>
          <w:rFonts w:hint="eastAsia" w:ascii="宋体" w:hAnsi="宋体" w:eastAsia="宋体" w:cs="宋体"/>
          <w:color w:val="auto"/>
          <w:highlight w:val="none"/>
          <w:lang w:eastAsia="zh-CN"/>
        </w:rPr>
        <w:t>交易响应文件编制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日前，以电子文件形式上传至“交易平台”供</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下载，不足</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将顺延递交</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的截止时间。</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澄清的内容不影响</w:t>
      </w:r>
      <w:r>
        <w:rPr>
          <w:rFonts w:hint="eastAsia" w:ascii="宋体" w:hAnsi="宋体" w:eastAsia="宋体" w:cs="宋体"/>
          <w:color w:val="auto"/>
          <w:highlight w:val="none"/>
          <w:lang w:eastAsia="zh-CN"/>
        </w:rPr>
        <w:t>交易响应文件编制</w:t>
      </w:r>
      <w:r>
        <w:rPr>
          <w:rFonts w:hint="eastAsia" w:ascii="宋体" w:hAnsi="宋体" w:eastAsia="宋体" w:cs="宋体"/>
          <w:color w:val="auto"/>
          <w:highlight w:val="none"/>
        </w:rPr>
        <w:t>的，将在</w:t>
      </w:r>
      <w:bookmarkStart w:id="143" w:name="EBc08c02ace09442f6b2bbd73c1290281a"/>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7</w:t>
      </w:r>
      <w:bookmarkEnd w:id="143"/>
      <w:r>
        <w:rPr>
          <w:rFonts w:hint="eastAsia" w:ascii="宋体" w:hAnsi="宋体" w:eastAsia="宋体" w:cs="宋体"/>
          <w:color w:val="auto"/>
          <w:highlight w:val="none"/>
        </w:rPr>
        <w:t>天前，以上款相同的形式发布。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2.2.3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在收到澄清后无需向</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确认。潜在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应自行关注“交易平台”，</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不再一一通知。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因自身贻误行为导致</w:t>
      </w:r>
      <w:r>
        <w:rPr>
          <w:rFonts w:hint="eastAsia" w:ascii="宋体" w:hAnsi="宋体" w:cs="宋体"/>
          <w:color w:val="auto"/>
          <w:highlight w:val="none"/>
          <w:lang w:eastAsia="zh-CN"/>
        </w:rPr>
        <w:t>交易响应</w:t>
      </w:r>
      <w:r>
        <w:rPr>
          <w:rFonts w:hint="eastAsia" w:ascii="宋体" w:hAnsi="宋体" w:eastAsia="宋体" w:cs="宋体"/>
          <w:color w:val="auto"/>
          <w:highlight w:val="none"/>
        </w:rPr>
        <w:t>失败的，责任自负。</w:t>
      </w:r>
    </w:p>
    <w:p>
      <w:pPr>
        <w:pStyle w:val="72"/>
        <w:outlineLvl w:val="0"/>
        <w:rPr>
          <w:rFonts w:hint="eastAsia" w:ascii="宋体" w:hAnsi="宋体" w:eastAsia="宋体" w:cs="宋体"/>
          <w:color w:val="auto"/>
          <w:highlight w:val="none"/>
        </w:rPr>
      </w:pPr>
      <w:bookmarkStart w:id="144" w:name="_Toc286826605"/>
      <w:bookmarkStart w:id="145" w:name="_Toc152042321"/>
      <w:bookmarkStart w:id="146" w:name="_Toc144974513"/>
      <w:bookmarkStart w:id="147" w:name="_Toc179632563"/>
      <w:bookmarkStart w:id="148" w:name="_Toc152045545"/>
      <w:bookmarkStart w:id="149" w:name="_Toc17175"/>
      <w:r>
        <w:rPr>
          <w:rFonts w:hint="eastAsia" w:ascii="宋体" w:hAnsi="宋体" w:eastAsia="宋体" w:cs="宋体"/>
          <w:color w:val="auto"/>
          <w:highlight w:val="none"/>
        </w:rPr>
        <w:t xml:space="preserve">2.3 </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的修改</w:t>
      </w:r>
      <w:bookmarkEnd w:id="144"/>
      <w:bookmarkEnd w:id="145"/>
      <w:bookmarkEnd w:id="146"/>
      <w:bookmarkEnd w:id="147"/>
      <w:bookmarkEnd w:id="148"/>
      <w:bookmarkEnd w:id="149"/>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2.3.1在</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天前，</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可以以补充文件的形式修改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，以电子文件形式上传“交易平台”供潜在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自己下载，如果修改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的时间距</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不足</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天，相应延长</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修改的内容不影响</w:t>
      </w:r>
      <w:r>
        <w:rPr>
          <w:rFonts w:hint="eastAsia" w:ascii="宋体" w:hAnsi="宋体" w:eastAsia="宋体" w:cs="宋体"/>
          <w:color w:val="auto"/>
          <w:highlight w:val="none"/>
          <w:lang w:eastAsia="zh-CN"/>
        </w:rPr>
        <w:t>交易响应文件编制</w:t>
      </w:r>
      <w:r>
        <w:rPr>
          <w:rFonts w:hint="eastAsia" w:ascii="宋体" w:hAnsi="宋体" w:eastAsia="宋体" w:cs="宋体"/>
          <w:color w:val="auto"/>
          <w:highlight w:val="none"/>
        </w:rPr>
        <w:t>的，将在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天前，以上款相同的形式发布。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在收到修改内容后无需向</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确认。潜在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应自行关注“交易平台”，</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不再一一通知。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因自身贻误行为导致</w:t>
      </w:r>
      <w:r>
        <w:rPr>
          <w:rFonts w:hint="eastAsia" w:ascii="宋体" w:hAnsi="宋体" w:cs="宋体"/>
          <w:color w:val="auto"/>
          <w:highlight w:val="none"/>
          <w:lang w:eastAsia="zh-CN"/>
        </w:rPr>
        <w:t>交易响应</w:t>
      </w:r>
      <w:r>
        <w:rPr>
          <w:rFonts w:hint="eastAsia" w:ascii="宋体" w:hAnsi="宋体" w:eastAsia="宋体" w:cs="宋体"/>
          <w:color w:val="auto"/>
          <w:highlight w:val="none"/>
        </w:rPr>
        <w:t>失败的，责任自负。</w:t>
      </w:r>
    </w:p>
    <w:p>
      <w:pPr>
        <w:pStyle w:val="72"/>
        <w:outlineLvl w:val="0"/>
        <w:rPr>
          <w:rFonts w:hint="eastAsia" w:ascii="宋体" w:hAnsi="宋体" w:eastAsia="宋体" w:cs="宋体"/>
          <w:color w:val="auto"/>
          <w:highlight w:val="none"/>
        </w:rPr>
      </w:pPr>
      <w:bookmarkStart w:id="150" w:name="_Toc10607"/>
      <w:r>
        <w:rPr>
          <w:rFonts w:hint="eastAsia" w:ascii="宋体" w:hAnsi="宋体" w:eastAsia="宋体" w:cs="宋体"/>
          <w:color w:val="auto"/>
          <w:highlight w:val="none"/>
        </w:rPr>
        <w:t>2.4 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的异议</w:t>
      </w:r>
      <w:bookmarkEnd w:id="15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潜在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或者其他利害关系人对</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有异议的，应当在</w:t>
      </w:r>
      <w:r>
        <w:rPr>
          <w:rFonts w:hint="eastAsia" w:ascii="宋体" w:hAnsi="宋体" w:eastAsia="宋体" w:cs="宋体"/>
          <w:color w:val="auto"/>
          <w:szCs w:val="21"/>
          <w:highlight w:val="none"/>
          <w:lang w:eastAsia="zh-CN"/>
        </w:rPr>
        <w:t>交易响应截止时间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日前提出。</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应当自收到异议之日起3日内作出答复；作出答复前，应当暂停</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活动。</w:t>
      </w:r>
    </w:p>
    <w:p>
      <w:pPr>
        <w:pStyle w:val="97"/>
        <w:outlineLvl w:val="0"/>
        <w:rPr>
          <w:rFonts w:hint="eastAsia" w:ascii="宋体" w:hAnsi="宋体" w:eastAsia="宋体" w:cs="宋体"/>
          <w:color w:val="auto"/>
          <w:highlight w:val="none"/>
          <w:lang w:eastAsia="zh-CN"/>
        </w:rPr>
      </w:pPr>
      <w:bookmarkStart w:id="151" w:name="_Toc286826606"/>
      <w:bookmarkStart w:id="152" w:name="_Toc144974514"/>
      <w:bookmarkStart w:id="153" w:name="_Toc152045546"/>
      <w:bookmarkStart w:id="154" w:name="_Toc179632564"/>
      <w:bookmarkStart w:id="155" w:name="_Toc286827082"/>
      <w:bookmarkStart w:id="156" w:name="_Toc152042322"/>
      <w:bookmarkStart w:id="157" w:name="_Toc286830198"/>
      <w:bookmarkStart w:id="158" w:name="_Toc5375"/>
      <w:r>
        <w:rPr>
          <w:rFonts w:hint="eastAsia" w:ascii="宋体" w:hAnsi="宋体" w:eastAsia="宋体" w:cs="宋体"/>
          <w:color w:val="auto"/>
          <w:highlight w:val="none"/>
        </w:rPr>
        <w:t xml:space="preserve">3. </w:t>
      </w:r>
      <w:bookmarkEnd w:id="151"/>
      <w:bookmarkEnd w:id="152"/>
      <w:bookmarkEnd w:id="153"/>
      <w:bookmarkEnd w:id="154"/>
      <w:bookmarkEnd w:id="155"/>
      <w:bookmarkEnd w:id="156"/>
      <w:bookmarkEnd w:id="157"/>
      <w:r>
        <w:rPr>
          <w:rFonts w:hint="eastAsia" w:ascii="宋体" w:hAnsi="宋体" w:eastAsia="宋体" w:cs="宋体"/>
          <w:color w:val="auto"/>
          <w:highlight w:val="none"/>
          <w:lang w:eastAsia="zh-CN"/>
        </w:rPr>
        <w:t>交易响应文件</w:t>
      </w:r>
      <w:bookmarkEnd w:id="158"/>
    </w:p>
    <w:p>
      <w:pPr>
        <w:pStyle w:val="72"/>
        <w:outlineLvl w:val="0"/>
        <w:rPr>
          <w:rFonts w:hint="eastAsia" w:ascii="宋体" w:hAnsi="宋体" w:eastAsia="宋体" w:cs="宋体"/>
          <w:color w:val="auto"/>
          <w:highlight w:val="none"/>
        </w:rPr>
      </w:pPr>
      <w:bookmarkStart w:id="159" w:name="_Toc152042323"/>
      <w:bookmarkStart w:id="160" w:name="_Toc14133"/>
      <w:bookmarkStart w:id="161" w:name="_Toc286826607"/>
      <w:bookmarkStart w:id="162" w:name="_Toc144974515"/>
      <w:bookmarkStart w:id="163" w:name="_Toc152045547"/>
      <w:bookmarkStart w:id="164" w:name="_Toc179632565"/>
      <w:r>
        <w:rPr>
          <w:rFonts w:hint="eastAsia" w:ascii="宋体" w:hAnsi="宋体" w:eastAsia="宋体" w:cs="宋体"/>
          <w:color w:val="auto"/>
          <w:highlight w:val="none"/>
        </w:rPr>
        <w:t xml:space="preserve">3.1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的构成</w:t>
      </w:r>
      <w:bookmarkEnd w:id="159"/>
      <w:bookmarkEnd w:id="160"/>
      <w:bookmarkEnd w:id="161"/>
      <w:bookmarkEnd w:id="162"/>
      <w:bookmarkEnd w:id="163"/>
      <w:bookmarkEnd w:id="164"/>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采用双信封形式。</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构成如下：</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第一个信封（商务及技术文件）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第一卷商务文件</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交易响应函</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法定代表人身份证明或法定代表人的授权委托书；</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联合体协议书；</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拟分包项目情况表；</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6</w:t>
      </w:r>
      <w:r>
        <w:rPr>
          <w:rFonts w:hint="eastAsia" w:ascii="宋体" w:hAnsi="宋体" w:cs="宋体"/>
          <w:color w:val="auto"/>
          <w:highlight w:val="none"/>
          <w:lang w:eastAsia="zh-CN"/>
        </w:rPr>
        <w:t>）</w:t>
      </w:r>
      <w:r>
        <w:rPr>
          <w:rFonts w:hint="eastAsia" w:ascii="宋体" w:hAnsi="宋体" w:eastAsia="宋体" w:cs="宋体"/>
          <w:color w:val="auto"/>
          <w:highlight w:val="none"/>
        </w:rPr>
        <w:t>资格审查表；</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7</w:t>
      </w:r>
      <w:r>
        <w:rPr>
          <w:rFonts w:hint="eastAsia" w:ascii="宋体" w:hAnsi="宋体" w:cs="宋体"/>
          <w:color w:val="auto"/>
          <w:highlight w:val="none"/>
          <w:lang w:eastAsia="zh-CN"/>
        </w:rPr>
        <w:t>）</w:t>
      </w:r>
      <w:r>
        <w:rPr>
          <w:rFonts w:hint="eastAsia" w:ascii="宋体" w:hAnsi="宋体" w:eastAsia="宋体" w:cs="宋体"/>
          <w:color w:val="auto"/>
          <w:highlight w:val="none"/>
        </w:rPr>
        <w:t>其他材料。</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第二卷技术文件</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8</w:t>
      </w:r>
      <w:r>
        <w:rPr>
          <w:rFonts w:hint="eastAsia" w:ascii="宋体" w:hAnsi="宋体" w:cs="宋体"/>
          <w:color w:val="auto"/>
          <w:highlight w:val="none"/>
          <w:lang w:eastAsia="zh-CN"/>
        </w:rPr>
        <w:t>）</w:t>
      </w:r>
      <w:r>
        <w:rPr>
          <w:rFonts w:hint="eastAsia" w:ascii="宋体" w:hAnsi="宋体" w:eastAsia="宋体" w:cs="宋体"/>
          <w:color w:val="auto"/>
          <w:highlight w:val="none"/>
        </w:rPr>
        <w:t>试验检测实施方案。</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第二个信封（报价文件）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第三卷报价文件</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报价函；</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报价清单；</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cs="宋体"/>
          <w:color w:val="auto"/>
          <w:highlight w:val="none"/>
          <w:lang w:eastAsia="zh-CN"/>
        </w:rPr>
        <w:t>.</w:t>
      </w:r>
      <w:r>
        <w:rPr>
          <w:rFonts w:hint="eastAsia" w:ascii="宋体" w:hAnsi="宋体" w:eastAsia="宋体" w:cs="宋体"/>
          <w:color w:val="auto"/>
          <w:highlight w:val="none"/>
        </w:rPr>
        <w:t>报价清单说明；</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cs="宋体"/>
          <w:color w:val="auto"/>
          <w:highlight w:val="none"/>
          <w:lang w:eastAsia="zh-CN"/>
        </w:rPr>
        <w:t>.</w:t>
      </w:r>
      <w:r>
        <w:rPr>
          <w:rFonts w:hint="eastAsia" w:ascii="宋体" w:hAnsi="宋体" w:eastAsia="宋体" w:cs="宋体"/>
          <w:color w:val="auto"/>
          <w:highlight w:val="none"/>
        </w:rPr>
        <w:t>其他说明；</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c</w:t>
      </w:r>
      <w:r>
        <w:rPr>
          <w:rFonts w:hint="eastAsia" w:ascii="宋体" w:hAnsi="宋体" w:cs="宋体"/>
          <w:color w:val="auto"/>
          <w:highlight w:val="none"/>
          <w:lang w:eastAsia="zh-CN"/>
        </w:rPr>
        <w:t>.</w:t>
      </w:r>
      <w:r>
        <w:rPr>
          <w:rFonts w:hint="eastAsia" w:ascii="宋体" w:hAnsi="宋体" w:eastAsia="宋体" w:cs="宋体"/>
          <w:color w:val="auto"/>
          <w:highlight w:val="none"/>
        </w:rPr>
        <w:t>报价清单表。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须知前附表”规定不接受联合体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没有组成联合体的，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不包括本章第3.1.2（3）目所指的联合体协议书。</w:t>
      </w:r>
    </w:p>
    <w:p>
      <w:pPr>
        <w:pStyle w:val="72"/>
        <w:outlineLvl w:val="0"/>
        <w:rPr>
          <w:rFonts w:hint="eastAsia" w:ascii="宋体" w:hAnsi="宋体" w:eastAsia="宋体" w:cs="宋体"/>
          <w:color w:val="auto"/>
          <w:highlight w:val="none"/>
          <w:lang w:eastAsia="zh-CN"/>
        </w:rPr>
      </w:pPr>
      <w:bookmarkStart w:id="165" w:name="_Toc286826608"/>
      <w:bookmarkStart w:id="166" w:name="_Toc152042324"/>
      <w:bookmarkStart w:id="167" w:name="_Toc179632566"/>
      <w:bookmarkStart w:id="168" w:name="_Toc144974516"/>
      <w:bookmarkStart w:id="169" w:name="_Toc152045548"/>
      <w:bookmarkStart w:id="170" w:name="_Toc8143"/>
      <w:r>
        <w:rPr>
          <w:rFonts w:hint="eastAsia" w:ascii="宋体" w:hAnsi="宋体" w:eastAsia="宋体" w:cs="宋体"/>
          <w:color w:val="auto"/>
          <w:highlight w:val="none"/>
        </w:rPr>
        <w:t xml:space="preserve">3.2 </w:t>
      </w:r>
      <w:bookmarkEnd w:id="165"/>
      <w:bookmarkEnd w:id="166"/>
      <w:bookmarkEnd w:id="167"/>
      <w:bookmarkEnd w:id="168"/>
      <w:bookmarkEnd w:id="169"/>
      <w:r>
        <w:rPr>
          <w:rFonts w:hint="eastAsia" w:ascii="宋体" w:hAnsi="宋体" w:eastAsia="宋体" w:cs="宋体"/>
          <w:color w:val="auto"/>
          <w:highlight w:val="none"/>
          <w:lang w:eastAsia="zh-CN"/>
        </w:rPr>
        <w:t>交易响应报价</w:t>
      </w:r>
      <w:bookmarkEnd w:id="17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应根据相关规定以及本</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规定的试验检测工作内容和计划工作量，自行测算试验检测费用。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3.2.2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应按第七章“</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格式”中的“报价文件”的要求填写相应表格。</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设有</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的，应在“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须知前附表”中明确；同时，本项目</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不得高于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公布的</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rPr>
        <w:t>，否则作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p>
      <w:pPr>
        <w:pStyle w:val="72"/>
        <w:outlineLvl w:val="0"/>
        <w:rPr>
          <w:rFonts w:hint="eastAsia" w:ascii="宋体" w:hAnsi="宋体" w:eastAsia="宋体" w:cs="宋体"/>
          <w:color w:val="auto"/>
          <w:highlight w:val="none"/>
          <w:lang w:eastAsia="zh-CN"/>
        </w:rPr>
      </w:pPr>
      <w:bookmarkStart w:id="171" w:name="_Toc286826609"/>
      <w:bookmarkStart w:id="172" w:name="_Toc15999"/>
      <w:r>
        <w:rPr>
          <w:rFonts w:hint="eastAsia" w:ascii="宋体" w:hAnsi="宋体" w:eastAsia="宋体" w:cs="宋体"/>
          <w:color w:val="auto"/>
          <w:highlight w:val="none"/>
        </w:rPr>
        <w:t xml:space="preserve">3.3 </w:t>
      </w:r>
      <w:bookmarkEnd w:id="171"/>
      <w:r>
        <w:rPr>
          <w:rFonts w:hint="eastAsia" w:ascii="宋体" w:hAnsi="宋体" w:eastAsia="宋体" w:cs="宋体"/>
          <w:color w:val="auto"/>
          <w:highlight w:val="none"/>
          <w:lang w:eastAsia="zh-CN"/>
        </w:rPr>
        <w:t>交易响应有效期</w:t>
      </w:r>
      <w:bookmarkEnd w:id="172"/>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内，</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不得要求撤销或修改其</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3.3.2出现特殊情况需要延长</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以书面形式通知所有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延长</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同意延长的，应相应延长其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保证金的有效期，但不得要求或被允许修改或撤销其</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拒绝延长的，其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失效，但</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有权收回其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w:t>
      </w:r>
    </w:p>
    <w:p>
      <w:pPr>
        <w:framePr w:w="4240" w:h="300" w:wrap="around" w:vAnchor="margin" w:hAnchor="text" w:x="2781" w:y="1560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173" w:name="_Toc18024"/>
      <w:bookmarkStart w:id="174" w:name="_Toc286826610"/>
      <w:r>
        <w:rPr>
          <w:rFonts w:hint="eastAsia" w:ascii="宋体" w:hAnsi="宋体" w:eastAsia="宋体" w:cs="宋体"/>
          <w:color w:val="auto"/>
          <w:highlight w:val="none"/>
        </w:rPr>
        <w:t xml:space="preserve">3.4 </w:t>
      </w:r>
      <w:r>
        <w:rPr>
          <w:rFonts w:hint="eastAsia" w:ascii="宋体" w:hAnsi="宋体" w:eastAsia="宋体" w:cs="宋体"/>
          <w:color w:val="auto"/>
          <w:highlight w:val="none"/>
          <w:lang w:eastAsia="zh-CN"/>
        </w:rPr>
        <w:t>交易响应</w:t>
      </w:r>
      <w:r>
        <w:rPr>
          <w:rFonts w:hint="eastAsia" w:ascii="宋体" w:hAnsi="宋体" w:eastAsia="宋体" w:cs="宋体"/>
          <w:color w:val="auto"/>
          <w:highlight w:val="none"/>
        </w:rPr>
        <w:t>保证金</w:t>
      </w:r>
      <w:bookmarkEnd w:id="173"/>
      <w:bookmarkEnd w:id="174"/>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3.4.1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在递交</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的同时，应按“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须知前附表”规定的金额、担保形式和第七章“</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格式”规定的</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保证金要求递交</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保证金，并作为其</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的组成部分。联合体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保证金由牵头人递交，并应符合“</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须知前附表”的规定。</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3.4.2 </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保证金有效期应与</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一致，</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如果按本章第3.3.2项的规定延长了</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，则</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保证金的有效期也相应延长。</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3.4.3</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不按本章第3.4.1项和第3.4.2项要求提交</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保证金的，其</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3.4.4</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保证金的退还见</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3.4.5有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须知前附表规定情形之一的，</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保证金将不予退还：</w:t>
      </w:r>
    </w:p>
    <w:p>
      <w:pPr>
        <w:pStyle w:val="72"/>
        <w:outlineLvl w:val="0"/>
        <w:rPr>
          <w:rFonts w:hint="eastAsia" w:ascii="宋体" w:hAnsi="宋体" w:eastAsia="宋体" w:cs="宋体"/>
          <w:color w:val="auto"/>
          <w:highlight w:val="none"/>
        </w:rPr>
      </w:pPr>
      <w:bookmarkStart w:id="175" w:name="_Toc286826611"/>
      <w:bookmarkStart w:id="176" w:name="_Toc31343"/>
      <w:r>
        <w:rPr>
          <w:rFonts w:hint="eastAsia" w:ascii="宋体" w:hAnsi="宋体" w:eastAsia="宋体" w:cs="宋体"/>
          <w:color w:val="auto"/>
          <w:highlight w:val="none"/>
        </w:rPr>
        <w:t>3.5 资格审查表</w:t>
      </w:r>
      <w:bookmarkEnd w:id="175"/>
      <w:bookmarkEnd w:id="176"/>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3.5.1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须按</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第七章“</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格式”中规定的表格内容填写资格审查表，并按各资格审查表的具体要求提供相关证件及证明材料。</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3.5.2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须知前附表”规定接受联合体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的，本章第3.5.1项规定的表格和资料应包括联合体各方相关情况。</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3.5.3</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中填报的主要人员不允许更换。</w:t>
      </w:r>
    </w:p>
    <w:p>
      <w:pPr>
        <w:framePr w:w="9020" w:h="300" w:wrap="around" w:vAnchor="margin" w:hAnchor="text" w:x="2781" w:y="1666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177" w:name="_Toc21508"/>
      <w:bookmarkStart w:id="178" w:name="_Toc286826612"/>
      <w:r>
        <w:rPr>
          <w:rFonts w:hint="eastAsia" w:ascii="宋体" w:hAnsi="宋体" w:eastAsia="宋体" w:cs="宋体"/>
          <w:color w:val="auto"/>
          <w:highlight w:val="none"/>
        </w:rPr>
        <w:t xml:space="preserve">3.6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信息的核查</w:t>
      </w:r>
      <w:bookmarkEnd w:id="177"/>
      <w:bookmarkEnd w:id="178"/>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有权核查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中提供的材料，若在评标期间发现</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提供了虚假资料，评标委员会有权对</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，并没收其</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w:t>
      </w:r>
      <w:r>
        <w:rPr>
          <w:rFonts w:hint="eastAsia" w:ascii="宋体" w:hAnsi="宋体" w:eastAsia="宋体" w:cs="宋体"/>
          <w:color w:val="auto"/>
          <w:highlight w:val="none"/>
        </w:rPr>
        <w:t>；若在评标结果公示期间发现作为</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提供了虚假资料，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有权取消其中标资格并没收其</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w:t>
      </w:r>
      <w:r>
        <w:rPr>
          <w:rFonts w:hint="eastAsia" w:ascii="宋体" w:hAnsi="宋体" w:eastAsia="宋体" w:cs="宋体"/>
          <w:color w:val="auto"/>
          <w:highlight w:val="none"/>
        </w:rPr>
        <w:t>；若在合同实施期间发现</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提供了虚假资料，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有权从合同价款或履约担保中扣除不超过2％签约合同价的金额作为违约金。同时</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以上弄虚作假行为抄告交通运输部门。</w:t>
      </w:r>
    </w:p>
    <w:p>
      <w:pPr>
        <w:pStyle w:val="72"/>
        <w:outlineLvl w:val="0"/>
        <w:rPr>
          <w:rFonts w:hint="eastAsia" w:ascii="宋体" w:hAnsi="宋体" w:eastAsia="宋体" w:cs="宋体"/>
          <w:color w:val="auto"/>
          <w:highlight w:val="none"/>
        </w:rPr>
      </w:pPr>
      <w:bookmarkStart w:id="179" w:name="_Toc286826613"/>
      <w:bookmarkStart w:id="180" w:name="_Toc7027"/>
      <w:r>
        <w:rPr>
          <w:rFonts w:hint="eastAsia" w:ascii="宋体" w:hAnsi="宋体" w:eastAsia="宋体" w:cs="宋体"/>
          <w:color w:val="auto"/>
          <w:highlight w:val="none"/>
        </w:rPr>
        <w:t xml:space="preserve">3.7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的编制</w:t>
      </w:r>
      <w:bookmarkEnd w:id="179"/>
      <w:bookmarkEnd w:id="18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应按第七章“</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格式”进行编写，如有必要，可以增加附页，作为</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的组成部分。</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3.7.2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应当对</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有关</w:t>
      </w:r>
      <w:r>
        <w:rPr>
          <w:rFonts w:hint="eastAsia" w:ascii="宋体" w:hAnsi="宋体" w:eastAsia="宋体" w:cs="宋体"/>
          <w:color w:val="auto"/>
          <w:highlight w:val="none"/>
          <w:lang w:eastAsia="zh-CN"/>
        </w:rPr>
        <w:t>前期路况检测服务期</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交易响应有效期</w:t>
      </w:r>
      <w:r>
        <w:rPr>
          <w:rFonts w:hint="eastAsia" w:ascii="宋体" w:hAnsi="宋体" w:eastAsia="宋体" w:cs="宋体"/>
          <w:color w:val="auto"/>
          <w:highlight w:val="none"/>
        </w:rPr>
        <w:t>、技术要求、</w:t>
      </w:r>
      <w:r>
        <w:rPr>
          <w:rFonts w:hint="eastAsia" w:ascii="宋体" w:hAnsi="宋体" w:eastAsia="宋体" w:cs="宋体"/>
          <w:color w:val="auto"/>
          <w:highlight w:val="none"/>
          <w:lang w:eastAsia="zh-CN"/>
        </w:rPr>
        <w:t>交易范围</w:t>
      </w:r>
      <w:r>
        <w:rPr>
          <w:rFonts w:hint="eastAsia" w:ascii="宋体" w:hAnsi="宋体" w:eastAsia="宋体" w:cs="宋体"/>
          <w:color w:val="auto"/>
          <w:highlight w:val="none"/>
        </w:rPr>
        <w:t>等实质性内容作出响应。</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3.7.3</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应在</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将电子</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上传至“交易平台”，</w:t>
      </w:r>
      <w:r>
        <w:rPr>
          <w:rFonts w:hint="eastAsia" w:ascii="宋体" w:hAnsi="宋体" w:eastAsia="宋体" w:cs="宋体"/>
          <w:color w:val="auto"/>
          <w:highlight w:val="none"/>
          <w:lang w:eastAsia="zh-CN"/>
        </w:rPr>
        <w:t>交易响应函</w:t>
      </w:r>
      <w:r>
        <w:rPr>
          <w:rFonts w:hint="eastAsia" w:ascii="宋体" w:hAnsi="宋体" w:eastAsia="宋体" w:cs="宋体"/>
          <w:color w:val="auto"/>
          <w:highlight w:val="none"/>
        </w:rPr>
        <w:t>、报价文件的内容应加盖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的法定代表人电子章，并逐页加盖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单位电子公章。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以联合体形式参与</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由联合体牵头人按上述规定加盖联合体牵头人法定代表人电子章、联合体牵头人单位电子公章。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签字或盖章的其他要求见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3.7.4 </w:t>
      </w:r>
      <w:r>
        <w:rPr>
          <w:rFonts w:hint="eastAsia" w:ascii="宋体" w:hAnsi="宋体" w:eastAsia="宋体" w:cs="宋体"/>
          <w:color w:val="auto"/>
          <w:highlight w:val="none"/>
          <w:lang w:eastAsia="zh-CN"/>
        </w:rPr>
        <w:t>交易响应文件份数</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3.7.5</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的装订要求见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97"/>
        <w:outlineLvl w:val="0"/>
        <w:rPr>
          <w:rFonts w:hint="eastAsia" w:ascii="宋体" w:hAnsi="宋体" w:eastAsia="宋体" w:cs="宋体"/>
          <w:color w:val="auto"/>
          <w:highlight w:val="none"/>
          <w:lang w:eastAsia="zh-CN"/>
        </w:rPr>
      </w:pPr>
      <w:bookmarkStart w:id="181" w:name="_Toc26896"/>
      <w:bookmarkStart w:id="182" w:name="_Toc286826614"/>
      <w:bookmarkStart w:id="183" w:name="_Toc286830199"/>
      <w:bookmarkStart w:id="184" w:name="_Toc286827083"/>
      <w:r>
        <w:rPr>
          <w:rFonts w:hint="eastAsia" w:ascii="宋体" w:hAnsi="宋体" w:eastAsia="宋体" w:cs="宋体"/>
          <w:color w:val="auto"/>
          <w:highlight w:val="none"/>
        </w:rPr>
        <w:t xml:space="preserve">4. </w:t>
      </w:r>
      <w:bookmarkEnd w:id="181"/>
      <w:bookmarkEnd w:id="182"/>
      <w:bookmarkEnd w:id="183"/>
      <w:bookmarkEnd w:id="184"/>
      <w:r>
        <w:rPr>
          <w:rFonts w:hint="eastAsia" w:ascii="宋体" w:hAnsi="宋体" w:eastAsia="宋体" w:cs="宋体"/>
          <w:color w:val="auto"/>
          <w:highlight w:val="none"/>
          <w:lang w:eastAsia="zh-CN"/>
        </w:rPr>
        <w:t>交易响应</w:t>
      </w:r>
    </w:p>
    <w:p>
      <w:pPr>
        <w:pStyle w:val="72"/>
        <w:outlineLvl w:val="0"/>
        <w:rPr>
          <w:rFonts w:hint="eastAsia" w:ascii="宋体" w:hAnsi="宋体" w:eastAsia="宋体" w:cs="宋体"/>
          <w:color w:val="auto"/>
          <w:highlight w:val="none"/>
        </w:rPr>
      </w:pPr>
      <w:bookmarkStart w:id="185" w:name="_Toc29488"/>
      <w:bookmarkStart w:id="186" w:name="_Toc286826615"/>
      <w:r>
        <w:rPr>
          <w:rFonts w:hint="eastAsia" w:ascii="宋体" w:hAnsi="宋体" w:eastAsia="宋体" w:cs="宋体"/>
          <w:color w:val="auto"/>
          <w:highlight w:val="none"/>
        </w:rPr>
        <w:t xml:space="preserve">4.1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的密封和标识</w:t>
      </w:r>
      <w:bookmarkEnd w:id="185"/>
      <w:bookmarkEnd w:id="186"/>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4.1.1本次</w:t>
      </w:r>
      <w:r>
        <w:rPr>
          <w:rFonts w:hint="eastAsia" w:ascii="宋体" w:hAnsi="宋体" w:cs="宋体"/>
          <w:color w:val="auto"/>
          <w:highlight w:val="none"/>
          <w:lang w:eastAsia="zh-CN"/>
        </w:rPr>
        <w:t>交易</w:t>
      </w:r>
      <w:r>
        <w:rPr>
          <w:rFonts w:hint="eastAsia" w:ascii="宋体" w:hAnsi="宋体" w:eastAsia="宋体" w:cs="宋体"/>
          <w:color w:val="auto"/>
          <w:highlight w:val="none"/>
        </w:rPr>
        <w:t>采用双信封形式，若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须知3.7.4项要求提供纸质</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的，纸质</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第一个信封（商务及技术文件）</w:t>
      </w:r>
      <w:r>
        <w:rPr>
          <w:rFonts w:hint="eastAsia" w:ascii="宋体" w:hAnsi="宋体" w:eastAsia="宋体" w:cs="宋体"/>
          <w:color w:val="auto"/>
          <w:szCs w:val="21"/>
          <w:highlight w:val="none"/>
        </w:rPr>
        <w:t>以及第二个信封（报价文件）应单独密封包装。</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电子文件（如需要）应与第二个信封（报价文件）包在同一个封套里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然后将</w:t>
      </w:r>
      <w:r>
        <w:rPr>
          <w:rFonts w:hint="eastAsia" w:ascii="宋体" w:hAnsi="宋体" w:cs="宋体"/>
          <w:color w:val="auto"/>
          <w:szCs w:val="21"/>
          <w:highlight w:val="none"/>
          <w:lang w:eastAsia="zh-CN"/>
        </w:rPr>
        <w:t>第一、</w:t>
      </w:r>
      <w:r>
        <w:rPr>
          <w:rFonts w:hint="eastAsia" w:ascii="宋体" w:hAnsi="宋体" w:eastAsia="宋体" w:cs="宋体"/>
          <w:color w:val="auto"/>
          <w:szCs w:val="21"/>
          <w:highlight w:val="none"/>
        </w:rPr>
        <w:t>第二个信封统一密封在一个外层封套中。内层和外层封套均应加贴封条并在封口处加盖密封章。外层封套不应有任何</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人的识别标志。</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第一个信封（商务及技术文件）以及第二个信封（报价文件）封套上应写明的内容见</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 未按本章第4.1.1项和第4.1.2项要求密封和加写标记的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不予受理。</w:t>
      </w:r>
    </w:p>
    <w:p>
      <w:pPr>
        <w:pStyle w:val="72"/>
        <w:outlineLvl w:val="0"/>
        <w:rPr>
          <w:rFonts w:hint="eastAsia" w:ascii="宋体" w:hAnsi="宋体" w:eastAsia="宋体" w:cs="宋体"/>
          <w:color w:val="auto"/>
          <w:highlight w:val="none"/>
        </w:rPr>
      </w:pPr>
      <w:bookmarkStart w:id="187" w:name="_Toc286826616"/>
      <w:bookmarkStart w:id="188" w:name="_Toc8152"/>
      <w:r>
        <w:rPr>
          <w:rFonts w:hint="eastAsia" w:ascii="宋体" w:hAnsi="宋体" w:eastAsia="宋体" w:cs="宋体"/>
          <w:color w:val="auto"/>
          <w:highlight w:val="none"/>
        </w:rPr>
        <w:t xml:space="preserve">4.2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的递交</w:t>
      </w:r>
      <w:bookmarkEnd w:id="187"/>
      <w:bookmarkEnd w:id="188"/>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4.2.1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应在本章第2.2.2项规定的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前递交</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4.2.2 </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递交</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的地点：见“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4.2.3</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所递交的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不予退还。</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4.2.4</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通过</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接收电子</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送达的电子</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后，即时向</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发出确认回执通知。</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4.2.5</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不予受理（拒收）的情形：见“</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4.2.6在特殊情况下，</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如果决定延后</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，应在“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须知前附表”规定的时间前，以书面形式通知所有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延后</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。在此情况下，</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的权利和义务相应延后至新的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w:t>
      </w:r>
    </w:p>
    <w:p>
      <w:pPr>
        <w:pStyle w:val="72"/>
        <w:outlineLvl w:val="0"/>
        <w:rPr>
          <w:rFonts w:hint="eastAsia" w:ascii="宋体" w:hAnsi="宋体" w:eastAsia="宋体" w:cs="宋体"/>
          <w:color w:val="auto"/>
          <w:highlight w:val="none"/>
        </w:rPr>
      </w:pPr>
      <w:bookmarkStart w:id="189" w:name="_Toc3321"/>
      <w:bookmarkStart w:id="190" w:name="_Toc286826617"/>
      <w:r>
        <w:rPr>
          <w:rFonts w:hint="eastAsia" w:ascii="宋体" w:hAnsi="宋体" w:eastAsia="宋体" w:cs="宋体"/>
          <w:color w:val="auto"/>
          <w:highlight w:val="none"/>
        </w:rPr>
        <w:t xml:space="preserve">4.3 </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的修改与撤回</w:t>
      </w:r>
      <w:bookmarkEnd w:id="189"/>
      <w:bookmarkEnd w:id="19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4.3.1 在本章第2.2.2项规定的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前，</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可以修改或撤回已递交的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4.3.2</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修改已递交</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时，应先在</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对原</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进行撤回操作，修改完成后再重新上传已修改的</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w:t>
      </w:r>
      <w:r>
        <w:rPr>
          <w:rFonts w:hint="eastAsia" w:ascii="宋体" w:hAnsi="宋体" w:eastAsia="宋体" w:cs="宋体"/>
          <w:snapToGrid w:val="0"/>
          <w:color w:val="auto"/>
          <w:highlight w:val="none"/>
        </w:rPr>
        <w:t>“交易平台”</w:t>
      </w:r>
      <w:r>
        <w:rPr>
          <w:rFonts w:hint="eastAsia" w:ascii="宋体" w:hAnsi="宋体" w:eastAsia="宋体" w:cs="宋体"/>
          <w:color w:val="auto"/>
          <w:szCs w:val="21"/>
          <w:highlight w:val="none"/>
        </w:rPr>
        <w:t>将完整记录</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的撤回修改情况。</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4.3.3修改的内容为</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的组成部分。修改的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应按照本章第3条、第4条规定进行编制、密封、标记和递交。</w:t>
      </w:r>
    </w:p>
    <w:p>
      <w:pPr>
        <w:spacing w:line="400" w:lineRule="exact"/>
        <w:ind w:firstLine="420" w:firstLineChars="200"/>
        <w:rPr>
          <w:rFonts w:hint="eastAsia" w:ascii="宋体" w:hAnsi="宋体" w:eastAsia="宋体" w:cs="宋体"/>
          <w:color w:val="auto"/>
          <w:highlight w:val="none"/>
        </w:rPr>
      </w:pPr>
    </w:p>
    <w:p>
      <w:pPr>
        <w:pStyle w:val="97"/>
        <w:outlineLvl w:val="0"/>
        <w:rPr>
          <w:rFonts w:hint="eastAsia" w:ascii="宋体" w:hAnsi="宋体" w:eastAsia="宋体" w:cs="宋体"/>
          <w:color w:val="auto"/>
          <w:highlight w:val="none"/>
          <w:lang w:eastAsia="zh-CN"/>
        </w:rPr>
      </w:pPr>
      <w:bookmarkStart w:id="191" w:name="_Toc286826618"/>
      <w:bookmarkStart w:id="192" w:name="_Toc286830200"/>
      <w:bookmarkStart w:id="193" w:name="_Toc286827084"/>
      <w:bookmarkStart w:id="194" w:name="_Toc12216"/>
      <w:r>
        <w:rPr>
          <w:rFonts w:hint="eastAsia" w:ascii="宋体" w:hAnsi="宋体" w:eastAsia="宋体" w:cs="宋体"/>
          <w:color w:val="auto"/>
          <w:highlight w:val="none"/>
        </w:rPr>
        <w:t xml:space="preserve">5. </w:t>
      </w:r>
      <w:bookmarkEnd w:id="191"/>
      <w:bookmarkEnd w:id="192"/>
      <w:bookmarkEnd w:id="193"/>
      <w:r>
        <w:rPr>
          <w:rFonts w:hint="eastAsia" w:ascii="宋体" w:hAnsi="宋体" w:eastAsia="宋体" w:cs="宋体"/>
          <w:color w:val="auto"/>
          <w:highlight w:val="none"/>
          <w:lang w:eastAsia="zh-CN"/>
        </w:rPr>
        <w:t>交易会议</w:t>
      </w:r>
      <w:bookmarkEnd w:id="194"/>
    </w:p>
    <w:p>
      <w:pPr>
        <w:pStyle w:val="72"/>
        <w:outlineLvl w:val="0"/>
        <w:rPr>
          <w:rFonts w:hint="eastAsia" w:ascii="宋体" w:hAnsi="宋体" w:eastAsia="宋体" w:cs="宋体"/>
          <w:color w:val="auto"/>
          <w:highlight w:val="none"/>
          <w:lang w:eastAsia="zh-CN"/>
        </w:rPr>
      </w:pPr>
      <w:bookmarkStart w:id="195" w:name="_Toc286826619"/>
      <w:bookmarkStart w:id="196" w:name="_Toc32454"/>
      <w:r>
        <w:rPr>
          <w:rFonts w:hint="eastAsia" w:ascii="宋体" w:hAnsi="宋体" w:eastAsia="宋体" w:cs="宋体"/>
          <w:color w:val="auto"/>
          <w:highlight w:val="none"/>
        </w:rPr>
        <w:t xml:space="preserve">5.1 </w:t>
      </w:r>
      <w:bookmarkEnd w:id="195"/>
      <w:r>
        <w:rPr>
          <w:rFonts w:hint="eastAsia" w:ascii="宋体" w:hAnsi="宋体" w:eastAsia="宋体" w:cs="宋体"/>
          <w:color w:val="auto"/>
          <w:highlight w:val="none"/>
          <w:lang w:eastAsia="zh-CN"/>
        </w:rPr>
        <w:t>交易会议时间和地点</w:t>
      </w:r>
      <w:bookmarkEnd w:id="196"/>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在本章第2.2.2项规定的</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时间）和“</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须知前附表”规定的地点对收到的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第一个信封（商务及技术文件）公开</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，并邀请所有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的法定代表人或其委托代理人准时参加。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须知前附表”规定的时间和地点对</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第二个信封（报价文件）进行</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，并邀请所有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的法定代表人或其委托代理人准时参加。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若未派法定代表人或委托代理人出席</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活动，视为该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默认</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结果。</w:t>
      </w:r>
    </w:p>
    <w:p>
      <w:pPr>
        <w:pStyle w:val="72"/>
        <w:outlineLvl w:val="0"/>
        <w:rPr>
          <w:rFonts w:hint="eastAsia" w:ascii="宋体" w:hAnsi="宋体" w:eastAsia="宋体" w:cs="宋体"/>
          <w:color w:val="auto"/>
          <w:highlight w:val="none"/>
          <w:lang w:eastAsia="zh-CN"/>
        </w:rPr>
      </w:pPr>
      <w:bookmarkStart w:id="197" w:name="_Toc286826621"/>
      <w:bookmarkStart w:id="198" w:name="_Toc19115"/>
      <w:r>
        <w:rPr>
          <w:rFonts w:hint="eastAsia" w:ascii="宋体" w:hAnsi="宋体" w:eastAsia="宋体" w:cs="宋体"/>
          <w:color w:val="auto"/>
          <w:highlight w:val="none"/>
        </w:rPr>
        <w:t xml:space="preserve">5.2 </w:t>
      </w:r>
      <w:bookmarkEnd w:id="197"/>
      <w:r>
        <w:rPr>
          <w:rFonts w:hint="eastAsia" w:ascii="宋体" w:hAnsi="宋体" w:eastAsia="宋体" w:cs="宋体"/>
          <w:color w:val="auto"/>
          <w:highlight w:val="none"/>
          <w:lang w:eastAsia="zh-CN"/>
        </w:rPr>
        <w:t>交易会议程序</w:t>
      </w:r>
      <w:bookmarkEnd w:id="198"/>
    </w:p>
    <w:p>
      <w:pPr>
        <w:spacing w:line="400" w:lineRule="exact"/>
        <w:ind w:firstLine="420" w:firstLineChars="200"/>
        <w:rPr>
          <w:rFonts w:hint="eastAsia" w:ascii="宋体" w:hAnsi="宋体" w:eastAsia="宋体" w:cs="宋体"/>
          <w:color w:val="auto"/>
          <w:highlight w:val="none"/>
        </w:rPr>
      </w:pPr>
      <w:bookmarkStart w:id="199" w:name="_Toc452457668"/>
      <w:r>
        <w:rPr>
          <w:rFonts w:hint="eastAsia" w:ascii="宋体" w:hAnsi="宋体" w:eastAsia="宋体" w:cs="宋体"/>
          <w:color w:val="auto"/>
          <w:szCs w:val="21"/>
          <w:highlight w:val="none"/>
          <w:lang w:eastAsia="zh-CN"/>
        </w:rPr>
        <w:t>交易会议程序</w:t>
      </w:r>
      <w:r>
        <w:rPr>
          <w:rFonts w:hint="eastAsia" w:ascii="宋体" w:hAnsi="宋体" w:eastAsia="宋体" w:cs="宋体"/>
          <w:color w:val="auto"/>
          <w:szCs w:val="21"/>
          <w:highlight w:val="none"/>
        </w:rPr>
        <w:t>见</w:t>
      </w:r>
      <w:bookmarkEnd w:id="199"/>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72"/>
        <w:outlineLvl w:val="0"/>
        <w:rPr>
          <w:rFonts w:hint="eastAsia" w:ascii="宋体" w:hAnsi="宋体" w:eastAsia="宋体" w:cs="宋体"/>
          <w:color w:val="auto"/>
          <w:highlight w:val="none"/>
        </w:rPr>
      </w:pPr>
      <w:bookmarkStart w:id="200" w:name="_Toc24319"/>
      <w:r>
        <w:rPr>
          <w:rFonts w:hint="eastAsia" w:ascii="宋体" w:hAnsi="宋体" w:eastAsia="宋体" w:cs="宋体"/>
          <w:color w:val="auto"/>
          <w:highlight w:val="none"/>
        </w:rPr>
        <w:t xml:space="preserve">5.3 </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补救措施</w:t>
      </w:r>
      <w:bookmarkEnd w:id="20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补救措施见“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framePr w:w="4880" w:h="300" w:wrap="around" w:vAnchor="margin" w:hAnchor="text" w:x="2781" w:y="1774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201" w:name="_Toc4203"/>
      <w:r>
        <w:rPr>
          <w:rFonts w:hint="eastAsia" w:ascii="宋体" w:hAnsi="宋体" w:eastAsia="宋体" w:cs="宋体"/>
          <w:color w:val="auto"/>
          <w:highlight w:val="none"/>
        </w:rPr>
        <w:t>5.4 对</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的异议</w:t>
      </w:r>
      <w:bookmarkEnd w:id="201"/>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有异议的，应当在</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现场提出，</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应当当场作出答复，并制作记录。</w:t>
      </w:r>
    </w:p>
    <w:p>
      <w:pPr>
        <w:spacing w:line="400" w:lineRule="exact"/>
        <w:ind w:firstLine="420" w:firstLineChars="200"/>
        <w:rPr>
          <w:rFonts w:hint="eastAsia" w:ascii="宋体" w:hAnsi="宋体" w:eastAsia="宋体" w:cs="宋体"/>
          <w:color w:val="auto"/>
          <w:highlight w:val="none"/>
        </w:rPr>
      </w:pPr>
    </w:p>
    <w:p>
      <w:pPr>
        <w:pStyle w:val="97"/>
        <w:outlineLvl w:val="0"/>
        <w:rPr>
          <w:rFonts w:hint="eastAsia" w:ascii="宋体" w:hAnsi="宋体" w:eastAsia="宋体" w:cs="宋体"/>
          <w:color w:val="auto"/>
          <w:highlight w:val="none"/>
        </w:rPr>
      </w:pPr>
      <w:bookmarkStart w:id="202" w:name="_Toc286826623"/>
      <w:bookmarkStart w:id="203" w:name="_Toc286830201"/>
      <w:bookmarkStart w:id="204" w:name="_Toc28064"/>
      <w:bookmarkStart w:id="205" w:name="_Toc286827085"/>
      <w:r>
        <w:rPr>
          <w:rFonts w:hint="eastAsia" w:ascii="宋体" w:hAnsi="宋体" w:eastAsia="宋体" w:cs="宋体"/>
          <w:color w:val="auto"/>
          <w:highlight w:val="none"/>
        </w:rPr>
        <w:t>6. 评标</w:t>
      </w:r>
      <w:bookmarkEnd w:id="202"/>
      <w:bookmarkEnd w:id="203"/>
      <w:bookmarkEnd w:id="204"/>
      <w:bookmarkEnd w:id="205"/>
    </w:p>
    <w:p>
      <w:pPr>
        <w:pStyle w:val="72"/>
        <w:outlineLvl w:val="0"/>
        <w:rPr>
          <w:rFonts w:hint="eastAsia" w:ascii="宋体" w:hAnsi="宋体" w:eastAsia="宋体" w:cs="宋体"/>
          <w:color w:val="auto"/>
          <w:highlight w:val="none"/>
        </w:rPr>
      </w:pPr>
      <w:bookmarkStart w:id="206" w:name="_Toc2948"/>
      <w:bookmarkStart w:id="207" w:name="_Toc286826624"/>
      <w:r>
        <w:rPr>
          <w:rFonts w:hint="eastAsia" w:ascii="宋体" w:hAnsi="宋体" w:eastAsia="宋体" w:cs="宋体"/>
          <w:color w:val="auto"/>
          <w:highlight w:val="none"/>
        </w:rPr>
        <w:t>6.1 评标委员会</w:t>
      </w:r>
      <w:bookmarkEnd w:id="206"/>
      <w:bookmarkEnd w:id="207"/>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6.1.1 评标由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依法组建的评标委员会负责。评标委员会由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熟悉相关业务的代表，以及有关公路水运试验检测专业方面的专家组成。评标委员会成员人数为5人及以上单数，具体构成见“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6.1.2 评标委员会成员有下列情形之一的，应当回避：</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的主要负责人的近亲属；</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项目主管部门或者行政监督部门的人员；</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有经济利益关系，可能影响对</w:t>
      </w:r>
      <w:r>
        <w:rPr>
          <w:rFonts w:hint="eastAsia" w:ascii="宋体" w:hAnsi="宋体" w:cs="宋体"/>
          <w:color w:val="auto"/>
          <w:highlight w:val="none"/>
          <w:lang w:eastAsia="zh-CN"/>
        </w:rPr>
        <w:t>交易响应</w:t>
      </w:r>
      <w:r>
        <w:rPr>
          <w:rFonts w:hint="eastAsia" w:ascii="宋体" w:hAnsi="宋体" w:eastAsia="宋体" w:cs="宋体"/>
          <w:color w:val="auto"/>
          <w:highlight w:val="none"/>
        </w:rPr>
        <w:t>公正评审的；</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曾因在招标、评标以及其他与</w:t>
      </w:r>
      <w:r>
        <w:rPr>
          <w:rFonts w:hint="eastAsia" w:ascii="宋体" w:hAnsi="宋体" w:cs="宋体"/>
          <w:color w:val="auto"/>
          <w:highlight w:val="none"/>
          <w:lang w:eastAsia="zh-CN"/>
        </w:rPr>
        <w:t>交易响应</w:t>
      </w:r>
      <w:r>
        <w:rPr>
          <w:rFonts w:hint="eastAsia" w:ascii="宋体" w:hAnsi="宋体" w:eastAsia="宋体" w:cs="宋体"/>
          <w:color w:val="auto"/>
          <w:highlight w:val="none"/>
        </w:rPr>
        <w:t>有关活动中从事违法行为而受过行政处罚或刑事处罚的；</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有其他利害关系的。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6.1.3 评标过程中，评标委员会成员有回避事由、擅离职守或因健康等原因不能继续评标的，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有权更换。被更换的评标委员会成员作出的评审结论无效，由更换后的评标委员会成员重新进行评审。</w:t>
      </w:r>
    </w:p>
    <w:p>
      <w:pPr>
        <w:framePr w:w="4940" w:h="260" w:wrap="around" w:vAnchor="margin" w:hAnchor="text" w:x="2261" w:y="1904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208" w:name="_Toc13184"/>
      <w:bookmarkStart w:id="209" w:name="_Toc286826625"/>
      <w:r>
        <w:rPr>
          <w:rFonts w:hint="eastAsia" w:ascii="宋体" w:hAnsi="宋体" w:eastAsia="宋体" w:cs="宋体"/>
          <w:color w:val="auto"/>
          <w:highlight w:val="none"/>
        </w:rPr>
        <w:t>6.2 评标原则</w:t>
      </w:r>
      <w:bookmarkEnd w:id="208"/>
      <w:bookmarkEnd w:id="209"/>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pPr>
        <w:pStyle w:val="72"/>
        <w:outlineLvl w:val="0"/>
        <w:rPr>
          <w:rFonts w:hint="eastAsia" w:ascii="宋体" w:hAnsi="宋体" w:eastAsia="宋体" w:cs="宋体"/>
          <w:color w:val="auto"/>
          <w:highlight w:val="none"/>
        </w:rPr>
      </w:pPr>
      <w:bookmarkStart w:id="210" w:name="_Toc286826626"/>
      <w:bookmarkStart w:id="211" w:name="_Toc4100"/>
      <w:r>
        <w:rPr>
          <w:rFonts w:hint="eastAsia" w:ascii="宋体" w:hAnsi="宋体" w:eastAsia="宋体" w:cs="宋体"/>
          <w:color w:val="auto"/>
          <w:highlight w:val="none"/>
        </w:rPr>
        <w:t>6.3 评标</w:t>
      </w:r>
      <w:bookmarkEnd w:id="210"/>
      <w:bookmarkEnd w:id="211"/>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评标委员会按照第三章“评标办法”规定的方法、评审因素、标准和程序对</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进行评审。第三章“评标办法”没有规定的方法、评审因素和标准，不作为评标依据。</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凡评标委员会拟作出否决</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决定的，应先向</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进行询问核实。未进行询问核实程序的，不得做出否决</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决定（</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所留联系方式无法联系上、在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须知前附表限定时间内</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不参加询问核实或未出具答复意见的除外）。</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第三章“评标办法”中规定的否决</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情形，由评标委员会审核并经过询标程序，其</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作否决处理。</w:t>
      </w:r>
    </w:p>
    <w:p>
      <w:pPr>
        <w:pStyle w:val="72"/>
        <w:outlineLvl w:val="0"/>
        <w:rPr>
          <w:rFonts w:hint="eastAsia" w:ascii="宋体" w:hAnsi="宋体" w:eastAsia="宋体" w:cs="宋体"/>
          <w:color w:val="auto"/>
          <w:highlight w:val="none"/>
        </w:rPr>
      </w:pPr>
      <w:bookmarkStart w:id="212" w:name="_Toc286826627"/>
      <w:bookmarkStart w:id="213" w:name="_Toc12478"/>
      <w:r>
        <w:rPr>
          <w:rFonts w:hint="eastAsia" w:ascii="宋体" w:hAnsi="宋体" w:eastAsia="宋体" w:cs="宋体"/>
          <w:color w:val="auto"/>
          <w:highlight w:val="none"/>
        </w:rPr>
        <w:t>6.4</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的公示</w:t>
      </w:r>
      <w:bookmarkEnd w:id="212"/>
      <w:r>
        <w:rPr>
          <w:rFonts w:hint="eastAsia" w:ascii="宋体" w:hAnsi="宋体" w:eastAsia="宋体" w:cs="宋体"/>
          <w:color w:val="auto"/>
          <w:highlight w:val="none"/>
        </w:rPr>
        <w:t>及异议</w:t>
      </w:r>
      <w:bookmarkEnd w:id="213"/>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应在收到评标报告之日起 3 天内在</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须知前附表规定的网站上公示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，公示期不得少于 3 天，公示内容见</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或者其他利害关系人对依法必须进行</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的项目的评标结果有异议的，应在</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公示期间提出。</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应在收到异议之日起 3 天内作出答复；作出答复前，应暂停</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活动。</w:t>
      </w:r>
    </w:p>
    <w:p>
      <w:pPr>
        <w:pStyle w:val="72"/>
        <w:outlineLvl w:val="0"/>
        <w:rPr>
          <w:rFonts w:hint="eastAsia" w:ascii="宋体" w:hAnsi="宋体" w:eastAsia="宋体" w:cs="宋体"/>
          <w:color w:val="auto"/>
          <w:highlight w:val="none"/>
        </w:rPr>
      </w:pPr>
      <w:bookmarkStart w:id="214" w:name="_Toc20658"/>
      <w:r>
        <w:rPr>
          <w:rFonts w:hint="eastAsia" w:ascii="宋体" w:hAnsi="宋体" w:eastAsia="宋体" w:cs="宋体"/>
          <w:color w:val="auto"/>
          <w:highlight w:val="none"/>
        </w:rPr>
        <w:t>6.5履约能力的审查</w:t>
      </w:r>
      <w:bookmarkEnd w:id="214"/>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如果</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的经营、财务状况发生较大变化或者存在违法行为，</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认为可能影响其履约能力的，应在发出</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前报请行政监督部门，由</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召集原评标委员会按照</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规定的标准和方法审查确认。</w:t>
      </w:r>
    </w:p>
    <w:p>
      <w:pPr>
        <w:spacing w:line="400" w:lineRule="exact"/>
        <w:ind w:firstLine="420" w:firstLineChars="200"/>
        <w:rPr>
          <w:rFonts w:hint="eastAsia" w:ascii="宋体" w:hAnsi="宋体" w:eastAsia="宋体" w:cs="宋体"/>
          <w:color w:val="auto"/>
          <w:highlight w:val="none"/>
        </w:rPr>
      </w:pPr>
    </w:p>
    <w:p>
      <w:pPr>
        <w:pStyle w:val="97"/>
        <w:outlineLvl w:val="0"/>
        <w:rPr>
          <w:rFonts w:hint="eastAsia" w:ascii="宋体" w:hAnsi="宋体" w:eastAsia="宋体" w:cs="宋体"/>
          <w:color w:val="auto"/>
          <w:highlight w:val="none"/>
        </w:rPr>
      </w:pPr>
      <w:bookmarkStart w:id="215" w:name="_Toc286827086"/>
      <w:bookmarkStart w:id="216" w:name="_Toc15262"/>
      <w:bookmarkStart w:id="217" w:name="_Toc286830202"/>
      <w:bookmarkStart w:id="218" w:name="_Toc286826628"/>
      <w:r>
        <w:rPr>
          <w:rFonts w:hint="eastAsia" w:ascii="宋体" w:hAnsi="宋体" w:eastAsia="宋体" w:cs="宋体"/>
          <w:color w:val="auto"/>
          <w:highlight w:val="none"/>
        </w:rPr>
        <w:t>7. 合同授予</w:t>
      </w:r>
      <w:bookmarkEnd w:id="215"/>
      <w:bookmarkEnd w:id="216"/>
      <w:bookmarkEnd w:id="217"/>
      <w:bookmarkEnd w:id="218"/>
    </w:p>
    <w:p>
      <w:pPr>
        <w:pStyle w:val="72"/>
        <w:outlineLvl w:val="0"/>
        <w:rPr>
          <w:rFonts w:hint="eastAsia" w:ascii="宋体" w:hAnsi="宋体" w:eastAsia="宋体" w:cs="宋体"/>
          <w:color w:val="auto"/>
          <w:highlight w:val="none"/>
        </w:rPr>
      </w:pPr>
      <w:bookmarkStart w:id="219" w:name="_Toc286826629"/>
      <w:bookmarkStart w:id="220" w:name="_Toc26352"/>
      <w:r>
        <w:rPr>
          <w:rFonts w:hint="eastAsia" w:ascii="宋体" w:hAnsi="宋体" w:eastAsia="宋体" w:cs="宋体"/>
          <w:color w:val="auto"/>
          <w:highlight w:val="none"/>
        </w:rPr>
        <w:t>7.1 定标</w:t>
      </w:r>
      <w:bookmarkEnd w:id="219"/>
      <w:bookmarkEnd w:id="220"/>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须知前附表”规定授权评标委员会直接确定</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外，</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依据评标委员会推荐的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经公示后确定</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，并抄告相关主管部门；评标委员会推荐</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的人数见</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w:t>
      </w:r>
    </w:p>
    <w:p>
      <w:pPr>
        <w:framePr w:w="2520" w:h="300" w:wrap="around" w:vAnchor="margin" w:hAnchor="text" w:x="2261" w:y="1774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221" w:name="_Toc31590"/>
      <w:bookmarkStart w:id="222" w:name="_Toc286826630"/>
      <w:r>
        <w:rPr>
          <w:rFonts w:hint="eastAsia" w:ascii="宋体" w:hAnsi="宋体" w:eastAsia="宋体" w:cs="宋体"/>
          <w:color w:val="auto"/>
          <w:highlight w:val="none"/>
        </w:rPr>
        <w:t>7.2 中标结果公告</w:t>
      </w:r>
      <w:bookmarkEnd w:id="221"/>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在确定</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之日起3日内，按照</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须知前附表规定的公告媒介和期限公告中标结果，公告期不得少于3日。公告内容包括</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名称、中标价等</w:t>
      </w:r>
    </w:p>
    <w:p>
      <w:pPr>
        <w:pStyle w:val="72"/>
        <w:outlineLvl w:val="0"/>
        <w:rPr>
          <w:rFonts w:hint="eastAsia" w:ascii="宋体" w:hAnsi="宋体" w:eastAsia="宋体" w:cs="宋体"/>
          <w:color w:val="auto"/>
          <w:highlight w:val="none"/>
        </w:rPr>
      </w:pPr>
      <w:bookmarkStart w:id="223" w:name="_Toc10931"/>
      <w:r>
        <w:rPr>
          <w:rFonts w:hint="eastAsia" w:ascii="宋体" w:hAnsi="宋体" w:eastAsia="宋体" w:cs="宋体"/>
          <w:color w:val="auto"/>
          <w:highlight w:val="none"/>
        </w:rPr>
        <w:t>7.3中标通知</w:t>
      </w:r>
      <w:bookmarkEnd w:id="222"/>
      <w:bookmarkEnd w:id="223"/>
    </w:p>
    <w:p>
      <w:pPr>
        <w:pStyle w:val="112"/>
        <w:spacing w:line="380" w:lineRule="exact"/>
        <w:ind w:firstLine="437"/>
        <w:rPr>
          <w:rFonts w:hint="eastAsia" w:ascii="宋体" w:hAnsi="宋体" w:eastAsia="宋体" w:cs="宋体"/>
          <w:color w:val="auto"/>
          <w:highlight w:val="none"/>
        </w:rPr>
      </w:pPr>
      <w:r>
        <w:rPr>
          <w:rFonts w:hint="eastAsia" w:ascii="宋体" w:hAnsi="宋体" w:eastAsia="宋体" w:cs="宋体"/>
          <w:color w:val="auto"/>
          <w:szCs w:val="21"/>
          <w:highlight w:val="none"/>
        </w:rPr>
        <w:t>在本章第3.3款规定的</w:t>
      </w:r>
      <w:r>
        <w:rPr>
          <w:rFonts w:hint="eastAsia" w:ascii="宋体" w:hAnsi="宋体" w:eastAsia="宋体" w:cs="宋体"/>
          <w:color w:val="auto"/>
          <w:szCs w:val="21"/>
          <w:highlight w:val="none"/>
          <w:lang w:eastAsia="zh-CN"/>
        </w:rPr>
        <w:t>交易响应有效期</w:t>
      </w:r>
      <w:r>
        <w:rPr>
          <w:rFonts w:hint="eastAsia" w:ascii="宋体" w:hAnsi="宋体" w:eastAsia="宋体" w:cs="宋体"/>
          <w:color w:val="auto"/>
          <w:szCs w:val="21"/>
          <w:highlight w:val="none"/>
        </w:rPr>
        <w:t>内，</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以书面形式向</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发出</w:t>
      </w:r>
      <w:r>
        <w:rPr>
          <w:rFonts w:hint="eastAsia" w:ascii="宋体" w:hAnsi="宋体" w:eastAsia="宋体" w:cs="宋体"/>
          <w:color w:val="auto"/>
          <w:highlight w:val="none"/>
          <w:lang w:eastAsia="zh-CN"/>
        </w:rPr>
        <w:t>成交通知书</w:t>
      </w:r>
      <w:r>
        <w:rPr>
          <w:rFonts w:hint="eastAsia" w:ascii="宋体" w:hAnsi="宋体" w:eastAsia="宋体" w:cs="宋体"/>
          <w:color w:val="auto"/>
          <w:highlight w:val="none"/>
        </w:rPr>
        <w:t>，同时将中标结果通知未中标的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w:t>
      </w:r>
    </w:p>
    <w:p>
      <w:pPr>
        <w:pStyle w:val="72"/>
        <w:outlineLvl w:val="0"/>
        <w:rPr>
          <w:rFonts w:hint="eastAsia" w:ascii="宋体" w:hAnsi="宋体" w:eastAsia="宋体" w:cs="宋体"/>
          <w:color w:val="auto"/>
          <w:highlight w:val="none"/>
        </w:rPr>
      </w:pPr>
      <w:bookmarkStart w:id="224" w:name="_Toc1778"/>
      <w:bookmarkStart w:id="225" w:name="_Toc286826631"/>
      <w:r>
        <w:rPr>
          <w:rFonts w:hint="eastAsia" w:ascii="宋体" w:hAnsi="宋体" w:eastAsia="宋体" w:cs="宋体"/>
          <w:color w:val="auto"/>
          <w:highlight w:val="none"/>
        </w:rPr>
        <w:t>7.4履约担保</w:t>
      </w:r>
      <w:bookmarkEnd w:id="224"/>
      <w:bookmarkEnd w:id="225"/>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7.4.1在签订合同前，</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须知前附表”规定的金额、担保形式和</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第四章“合同条款及格式”规定的履约担保格式向</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提交履约担保。联合体中标的，其履约担保由牵头人递交，并应符合“</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须知前附表”规定的金额、担保形式和</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第四章“合同条款及格式”规定的履约担保格式要求。采用银行保函时，出具银行保函的银行级别在“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须知前附表”中说明，所需的费用由</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承担，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应保证银行保函有效。</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7.4.2 </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不能按本章第7.4.1项要求提交履约担保的，视为放弃中标，其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保证金不予退还，</w:t>
      </w:r>
      <w:r>
        <w:rPr>
          <w:rFonts w:hint="eastAsia" w:ascii="宋体" w:hAnsi="宋体" w:eastAsia="宋体" w:cs="宋体"/>
          <w:color w:val="auto"/>
          <w:szCs w:val="21"/>
          <w:highlight w:val="none"/>
        </w:rPr>
        <w:t>给</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造成的损失超过</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保证金数额的，</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还应当对超过部分予以赔偿。</w:t>
      </w:r>
      <w:r>
        <w:rPr>
          <w:rFonts w:hint="eastAsia" w:ascii="宋体" w:hAnsi="宋体" w:eastAsia="宋体" w:cs="宋体"/>
          <w:color w:val="auto"/>
          <w:highlight w:val="none"/>
        </w:rPr>
        <w:t>并由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将其行为抄告项目主管交通运输部门。</w:t>
      </w:r>
    </w:p>
    <w:p>
      <w:pPr>
        <w:pStyle w:val="72"/>
        <w:outlineLvl w:val="0"/>
        <w:rPr>
          <w:rFonts w:hint="eastAsia" w:ascii="宋体" w:hAnsi="宋体" w:eastAsia="宋体" w:cs="宋体"/>
          <w:color w:val="auto"/>
          <w:highlight w:val="none"/>
        </w:rPr>
      </w:pPr>
      <w:bookmarkStart w:id="226" w:name="_Toc25397"/>
      <w:bookmarkStart w:id="227" w:name="_Toc286826632"/>
      <w:r>
        <w:rPr>
          <w:rFonts w:hint="eastAsia" w:ascii="宋体" w:hAnsi="宋体" w:eastAsia="宋体" w:cs="宋体"/>
          <w:color w:val="auto"/>
          <w:highlight w:val="none"/>
        </w:rPr>
        <w:t>7.5签订合同</w:t>
      </w:r>
      <w:bookmarkEnd w:id="226"/>
      <w:bookmarkEnd w:id="227"/>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7.5.1</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应当自</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发出之日起30天内，</w:t>
      </w: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订立书面合同。</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无正当理由拒签合同的，</w:t>
      </w:r>
      <w:r>
        <w:rPr>
          <w:rFonts w:hint="eastAsia" w:ascii="宋体" w:hAnsi="宋体" w:eastAsia="宋体" w:cs="宋体"/>
          <w:color w:val="auto"/>
          <w:szCs w:val="21"/>
          <w:highlight w:val="none"/>
        </w:rPr>
        <w:t>或在签订合同时向</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提出附加条件的，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取消其中标资格，其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保证金不予退还；给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造成的损失超过</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保证金数额的，</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还应当对超过部分予以赔偿。并由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将其行为抄告项目主管交通运输部门。</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7.5.2</w:t>
      </w:r>
      <w:r>
        <w:rPr>
          <w:rFonts w:hint="eastAsia" w:ascii="宋体" w:hAnsi="宋体" w:eastAsia="宋体" w:cs="宋体"/>
          <w:color w:val="auto"/>
          <w:szCs w:val="21"/>
          <w:highlight w:val="none"/>
        </w:rPr>
        <w:t>发出</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无正当理由拒签合同的，</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退还</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保证金。同时，</w:t>
      </w:r>
      <w:r>
        <w:rPr>
          <w:rFonts w:hint="eastAsia" w:ascii="宋体" w:hAnsi="宋体" w:eastAsia="宋体" w:cs="宋体"/>
          <w:color w:val="auto"/>
          <w:highlight w:val="none"/>
        </w:rPr>
        <w:t>向</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支付</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保证金等额的赔偿金</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不得以压低试验检测费、增加工作量、缩短</w:t>
      </w:r>
      <w:r>
        <w:rPr>
          <w:rFonts w:hint="eastAsia" w:ascii="宋体" w:hAnsi="宋体" w:eastAsia="宋体" w:cs="宋体"/>
          <w:color w:val="auto"/>
          <w:szCs w:val="21"/>
          <w:highlight w:val="none"/>
          <w:lang w:eastAsia="zh-CN"/>
        </w:rPr>
        <w:t>前期路况检测服务期</w:t>
      </w:r>
      <w:r>
        <w:rPr>
          <w:rFonts w:hint="eastAsia" w:ascii="宋体" w:hAnsi="宋体" w:eastAsia="宋体" w:cs="宋体"/>
          <w:color w:val="auto"/>
          <w:szCs w:val="21"/>
          <w:highlight w:val="none"/>
        </w:rPr>
        <w:t>等作为中标的条件，</w:t>
      </w:r>
      <w:r>
        <w:rPr>
          <w:rFonts w:hint="eastAsia" w:ascii="宋体" w:hAnsi="宋体" w:eastAsia="宋体" w:cs="宋体"/>
          <w:color w:val="auto"/>
          <w:highlight w:val="none"/>
        </w:rPr>
        <w:t>不得与</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再行订立背离合同标的、价款、质量、履行期限等合同实质性内容</w:t>
      </w:r>
      <w:r>
        <w:rPr>
          <w:rFonts w:hint="eastAsia" w:ascii="宋体" w:hAnsi="宋体" w:cs="宋体"/>
          <w:color w:val="auto"/>
          <w:highlight w:val="none"/>
          <w:lang w:eastAsia="zh-CN"/>
        </w:rPr>
        <w:t>的其他</w:t>
      </w:r>
      <w:r>
        <w:rPr>
          <w:rFonts w:hint="eastAsia" w:ascii="宋体" w:hAnsi="宋体" w:eastAsia="宋体" w:cs="宋体"/>
          <w:color w:val="auto"/>
          <w:highlight w:val="none"/>
        </w:rPr>
        <w:t>协议。</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7.5.3 签约合同价的确定原则如下：</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（1）按照评标办法规定对</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进行修正后，若修正后的最终</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小于第二个信封</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时的报价函文字报价，则签订合同时以修正后的最终</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为准；</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（2）按照评标办法规定对</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进行修正后，若修正后的最终</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大于第二个信封</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时的报价函文字报价，则签订合同时以</w:t>
      </w: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时的报价函文字报价为准，同时按比例修正相应子目的单价或合价。</w:t>
      </w:r>
    </w:p>
    <w:p>
      <w:pPr>
        <w:spacing w:line="400" w:lineRule="exact"/>
        <w:ind w:firstLine="420" w:firstLineChars="200"/>
        <w:rPr>
          <w:rFonts w:hint="eastAsia" w:ascii="宋体" w:hAnsi="宋体" w:eastAsia="宋体" w:cs="宋体"/>
          <w:color w:val="auto"/>
          <w:sz w:val="28"/>
          <w:szCs w:val="28"/>
          <w:highlight w:val="none"/>
        </w:rPr>
      </w:pPr>
      <w:r>
        <w:rPr>
          <w:rFonts w:hint="eastAsia" w:ascii="宋体" w:hAnsi="宋体" w:eastAsia="宋体" w:cs="宋体"/>
          <w:color w:val="auto"/>
          <w:highlight w:val="none"/>
        </w:rPr>
        <w:t>7.5.4</w:t>
      </w:r>
      <w:r>
        <w:rPr>
          <w:rFonts w:hint="eastAsia" w:ascii="宋体" w:hAnsi="宋体" w:eastAsia="宋体" w:cs="宋体"/>
          <w:color w:val="auto"/>
          <w:szCs w:val="21"/>
          <w:highlight w:val="none"/>
        </w:rPr>
        <w:t>合同协议书经双方法定代表人或其授权的代理人签署并加盖单位公章后生效</w:t>
      </w:r>
      <w:r>
        <w:rPr>
          <w:rFonts w:hint="eastAsia" w:ascii="宋体" w:hAnsi="宋体" w:eastAsia="宋体" w:cs="宋体"/>
          <w:color w:val="auto"/>
          <w:highlight w:val="none"/>
        </w:rPr>
        <w:t>。若为联合体</w:t>
      </w:r>
      <w:r>
        <w:rPr>
          <w:rFonts w:hint="eastAsia" w:ascii="宋体" w:hAnsi="宋体" w:cs="宋体"/>
          <w:color w:val="auto"/>
          <w:highlight w:val="none"/>
          <w:lang w:eastAsia="zh-CN"/>
        </w:rPr>
        <w:t>交易响应</w:t>
      </w:r>
      <w:r>
        <w:rPr>
          <w:rFonts w:hint="eastAsia" w:ascii="宋体" w:hAnsi="宋体" w:eastAsia="宋体" w:cs="宋体"/>
          <w:color w:val="auto"/>
          <w:highlight w:val="none"/>
        </w:rPr>
        <w:t>，则联合体各成员的法定代表人或其授权的代理人都应在合同协议书上签署并加盖单位公章。发包人和</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在签订合同协议书的同时需按照本</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规定的格式和要求签订廉政合同、安全生产责任合同，明确双方在廉政建设和安全生产方面的权利和义务以及应承担的违约责任</w:t>
      </w:r>
      <w:r>
        <w:rPr>
          <w:rFonts w:hint="eastAsia" w:ascii="宋体" w:hAnsi="宋体" w:eastAsia="宋体" w:cs="宋体"/>
          <w:color w:val="auto"/>
          <w:sz w:val="28"/>
          <w:szCs w:val="28"/>
          <w:highlight w:val="none"/>
        </w:rPr>
        <w:t>。</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7.5.5</w:t>
      </w:r>
      <w:r>
        <w:rPr>
          <w:rFonts w:hint="eastAsia" w:ascii="宋体" w:hAnsi="宋体" w:eastAsia="宋体" w:cs="宋体"/>
          <w:color w:val="auto"/>
          <w:szCs w:val="21"/>
          <w:highlight w:val="none"/>
        </w:rPr>
        <w:t>如果根据本章第3.6款、第7.4.2项或第7.5.1项等规定，</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取消了</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的中标资格，或排名第一的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放弃中标、因不可抗力提出不能履行合同、不按照</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的要求提交履约保证金，或者被查实存在影响中标结果的违法行为等情形，不符合中标条件的，</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可以按照评标委员会提出的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名单排序一次确定其他</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。依次确定其他</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预期差距较大，或者对</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明显不利的，</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重新交易</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color w:val="auto"/>
          <w:highlight w:val="none"/>
        </w:rPr>
      </w:pPr>
    </w:p>
    <w:p>
      <w:pPr>
        <w:framePr w:w="3800" w:h="300" w:wrap="around" w:vAnchor="margin" w:hAnchor="text" w:x="2261" w:y="17201"/>
        <w:spacing w:line="400" w:lineRule="exact"/>
        <w:ind w:firstLine="420" w:firstLineChars="200"/>
        <w:rPr>
          <w:rFonts w:hint="eastAsia" w:ascii="宋体" w:hAnsi="宋体" w:eastAsia="宋体" w:cs="宋体"/>
          <w:color w:val="auto"/>
          <w:highlight w:val="none"/>
        </w:rPr>
      </w:pPr>
    </w:p>
    <w:p>
      <w:pPr>
        <w:pStyle w:val="97"/>
        <w:outlineLvl w:val="0"/>
        <w:rPr>
          <w:rFonts w:hint="eastAsia" w:ascii="宋体" w:hAnsi="宋体" w:eastAsia="宋体" w:cs="宋体"/>
          <w:color w:val="auto"/>
          <w:highlight w:val="none"/>
          <w:lang w:eastAsia="zh-CN"/>
        </w:rPr>
      </w:pPr>
      <w:bookmarkStart w:id="228" w:name="_Toc286830203"/>
      <w:bookmarkStart w:id="229" w:name="_Toc286826633"/>
      <w:bookmarkStart w:id="230" w:name="_Toc286827087"/>
      <w:bookmarkStart w:id="231" w:name="_Toc11545"/>
      <w:r>
        <w:rPr>
          <w:rFonts w:hint="eastAsia" w:ascii="宋体" w:hAnsi="宋体" w:eastAsia="宋体" w:cs="宋体"/>
          <w:color w:val="auto"/>
          <w:highlight w:val="none"/>
        </w:rPr>
        <w:t xml:space="preserve">8. </w:t>
      </w:r>
      <w:r>
        <w:rPr>
          <w:rFonts w:hint="eastAsia" w:ascii="宋体" w:hAnsi="宋体" w:eastAsia="宋体" w:cs="宋体"/>
          <w:color w:val="auto"/>
          <w:highlight w:val="none"/>
          <w:lang w:eastAsia="zh-CN"/>
        </w:rPr>
        <w:t>重新交易</w:t>
      </w:r>
      <w:r>
        <w:rPr>
          <w:rFonts w:hint="eastAsia" w:ascii="宋体" w:hAnsi="宋体" w:eastAsia="宋体" w:cs="宋体"/>
          <w:color w:val="auto"/>
          <w:highlight w:val="none"/>
        </w:rPr>
        <w:t>和</w:t>
      </w:r>
      <w:bookmarkEnd w:id="228"/>
      <w:bookmarkEnd w:id="229"/>
      <w:bookmarkEnd w:id="230"/>
      <w:r>
        <w:rPr>
          <w:rFonts w:hint="eastAsia" w:ascii="宋体" w:hAnsi="宋体" w:eastAsia="宋体" w:cs="宋体"/>
          <w:color w:val="auto"/>
          <w:highlight w:val="none"/>
          <w:lang w:eastAsia="zh-CN"/>
        </w:rPr>
        <w:t>不再交易</w:t>
      </w:r>
      <w:bookmarkEnd w:id="231"/>
    </w:p>
    <w:p>
      <w:pPr>
        <w:pStyle w:val="72"/>
        <w:outlineLvl w:val="0"/>
        <w:rPr>
          <w:rFonts w:hint="eastAsia" w:ascii="宋体" w:hAnsi="宋体" w:eastAsia="宋体" w:cs="宋体"/>
          <w:color w:val="auto"/>
          <w:highlight w:val="none"/>
          <w:lang w:eastAsia="zh-CN"/>
        </w:rPr>
      </w:pPr>
      <w:bookmarkStart w:id="232" w:name="_Toc286826634"/>
      <w:bookmarkStart w:id="233" w:name="_Toc24148"/>
      <w:r>
        <w:rPr>
          <w:rFonts w:hint="eastAsia" w:ascii="宋体" w:hAnsi="宋体" w:eastAsia="宋体" w:cs="宋体"/>
          <w:color w:val="auto"/>
          <w:highlight w:val="none"/>
        </w:rPr>
        <w:t xml:space="preserve">8.1 </w:t>
      </w:r>
      <w:bookmarkEnd w:id="232"/>
      <w:r>
        <w:rPr>
          <w:rFonts w:hint="eastAsia" w:ascii="宋体" w:hAnsi="宋体" w:eastAsia="宋体" w:cs="宋体"/>
          <w:color w:val="auto"/>
          <w:highlight w:val="none"/>
          <w:lang w:eastAsia="zh-CN"/>
        </w:rPr>
        <w:t>重新交易</w:t>
      </w:r>
      <w:bookmarkEnd w:id="233"/>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有下列情形之一的，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将</w:t>
      </w:r>
      <w:r>
        <w:rPr>
          <w:rFonts w:hint="eastAsia" w:ascii="宋体" w:hAnsi="宋体" w:eastAsia="宋体" w:cs="宋体"/>
          <w:color w:val="auto"/>
          <w:highlight w:val="none"/>
          <w:lang w:eastAsia="zh-CN"/>
        </w:rPr>
        <w:t>重新交易</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交易响应截止时间</w:t>
      </w:r>
      <w:r>
        <w:rPr>
          <w:rFonts w:hint="eastAsia" w:ascii="宋体" w:hAnsi="宋体" w:eastAsia="宋体" w:cs="宋体"/>
          <w:color w:val="auto"/>
          <w:highlight w:val="none"/>
        </w:rPr>
        <w:t>止，</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少于3个的；</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经评标委员会评审后否决所有</w:t>
      </w:r>
      <w:r>
        <w:rPr>
          <w:rFonts w:hint="eastAsia" w:ascii="宋体" w:hAnsi="宋体" w:cs="宋体"/>
          <w:color w:val="auto"/>
          <w:highlight w:val="none"/>
          <w:lang w:eastAsia="zh-CN"/>
        </w:rPr>
        <w:t>交易响应</w:t>
      </w:r>
      <w:r>
        <w:rPr>
          <w:rFonts w:hint="eastAsia" w:ascii="宋体" w:hAnsi="宋体" w:eastAsia="宋体" w:cs="宋体"/>
          <w:color w:val="auto"/>
          <w:highlight w:val="none"/>
        </w:rPr>
        <w:t>的；</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评标委员会推荐的</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未能与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签订检测合同的；</w:t>
      </w:r>
    </w:p>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法律规定的其他情形。</w:t>
      </w:r>
    </w:p>
    <w:p>
      <w:pPr>
        <w:pStyle w:val="72"/>
        <w:outlineLvl w:val="0"/>
        <w:rPr>
          <w:rFonts w:hint="eastAsia" w:ascii="宋体" w:hAnsi="宋体" w:eastAsia="宋体" w:cs="宋体"/>
          <w:color w:val="auto"/>
          <w:highlight w:val="none"/>
          <w:lang w:eastAsia="zh-CN"/>
        </w:rPr>
      </w:pPr>
      <w:bookmarkStart w:id="234" w:name="_Toc286826635"/>
      <w:bookmarkStart w:id="235" w:name="_Toc23840"/>
      <w:r>
        <w:rPr>
          <w:rFonts w:hint="eastAsia" w:ascii="宋体" w:hAnsi="宋体" w:eastAsia="宋体" w:cs="宋体"/>
          <w:color w:val="auto"/>
          <w:highlight w:val="none"/>
        </w:rPr>
        <w:t xml:space="preserve">8.2 </w:t>
      </w:r>
      <w:bookmarkEnd w:id="234"/>
      <w:r>
        <w:rPr>
          <w:rFonts w:hint="eastAsia" w:ascii="宋体" w:hAnsi="宋体" w:eastAsia="宋体" w:cs="宋体"/>
          <w:color w:val="auto"/>
          <w:highlight w:val="none"/>
          <w:lang w:eastAsia="zh-CN"/>
        </w:rPr>
        <w:t>不再交易</w:t>
      </w:r>
      <w:bookmarkEnd w:id="235"/>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重新交易</w:t>
      </w:r>
      <w:r>
        <w:rPr>
          <w:rFonts w:hint="eastAsia" w:ascii="宋体" w:hAnsi="宋体" w:eastAsia="宋体" w:cs="宋体"/>
          <w:color w:val="auto"/>
          <w:highlight w:val="none"/>
        </w:rPr>
        <w:t>后</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仍少于3个的，属于必须审批或核准的工程建设项目，经原审批或核准部门批准后不再进行</w:t>
      </w:r>
      <w:r>
        <w:rPr>
          <w:rFonts w:hint="eastAsia" w:ascii="宋体" w:hAnsi="宋体" w:cs="宋体"/>
          <w:color w:val="auto"/>
          <w:highlight w:val="none"/>
          <w:lang w:eastAsia="zh-CN"/>
        </w:rPr>
        <w:t>交易</w:t>
      </w:r>
      <w:r>
        <w:rPr>
          <w:rFonts w:hint="eastAsia" w:ascii="宋体" w:hAnsi="宋体" w:eastAsia="宋体" w:cs="宋体"/>
          <w:color w:val="auto"/>
          <w:highlight w:val="none"/>
        </w:rPr>
        <w:t>。</w:t>
      </w:r>
    </w:p>
    <w:p>
      <w:pPr>
        <w:spacing w:line="400" w:lineRule="exact"/>
        <w:ind w:firstLine="420" w:firstLineChars="200"/>
        <w:rPr>
          <w:rFonts w:hint="eastAsia" w:ascii="宋体" w:hAnsi="宋体" w:eastAsia="宋体" w:cs="宋体"/>
          <w:color w:val="auto"/>
          <w:highlight w:val="none"/>
        </w:rPr>
      </w:pPr>
    </w:p>
    <w:p>
      <w:pPr>
        <w:pStyle w:val="97"/>
        <w:outlineLvl w:val="0"/>
        <w:rPr>
          <w:rFonts w:hint="eastAsia" w:ascii="宋体" w:hAnsi="宋体" w:eastAsia="宋体" w:cs="宋体"/>
          <w:color w:val="auto"/>
          <w:highlight w:val="none"/>
        </w:rPr>
      </w:pPr>
      <w:bookmarkStart w:id="236" w:name="_Toc286827088"/>
      <w:bookmarkStart w:id="237" w:name="_Toc286830204"/>
      <w:bookmarkStart w:id="238" w:name="_Toc11187"/>
      <w:bookmarkStart w:id="239" w:name="_Toc286826636"/>
      <w:r>
        <w:rPr>
          <w:rFonts w:hint="eastAsia" w:ascii="宋体" w:hAnsi="宋体" w:eastAsia="宋体" w:cs="宋体"/>
          <w:color w:val="auto"/>
          <w:highlight w:val="none"/>
        </w:rPr>
        <w:t>9. 纪律和监督</w:t>
      </w:r>
      <w:bookmarkEnd w:id="236"/>
      <w:bookmarkEnd w:id="237"/>
      <w:bookmarkEnd w:id="238"/>
      <w:bookmarkEnd w:id="239"/>
    </w:p>
    <w:p>
      <w:pPr>
        <w:pStyle w:val="72"/>
        <w:outlineLvl w:val="0"/>
        <w:rPr>
          <w:rFonts w:hint="eastAsia" w:ascii="宋体" w:hAnsi="宋体" w:eastAsia="宋体" w:cs="宋体"/>
          <w:color w:val="auto"/>
          <w:highlight w:val="none"/>
        </w:rPr>
      </w:pPr>
      <w:bookmarkStart w:id="240" w:name="_Toc286826637"/>
      <w:bookmarkStart w:id="241" w:name="_Toc6085"/>
      <w:r>
        <w:rPr>
          <w:rFonts w:hint="eastAsia" w:ascii="宋体" w:hAnsi="宋体" w:eastAsia="宋体" w:cs="宋体"/>
          <w:color w:val="auto"/>
          <w:highlight w:val="none"/>
        </w:rPr>
        <w:t>9.1 对</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的纪律要求</w:t>
      </w:r>
      <w:bookmarkEnd w:id="240"/>
      <w:bookmarkEnd w:id="241"/>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不得</w:t>
      </w:r>
      <w:r>
        <w:rPr>
          <w:rFonts w:hint="eastAsia" w:ascii="宋体" w:hAnsi="宋体" w:cs="宋体"/>
          <w:color w:val="auto"/>
          <w:highlight w:val="none"/>
          <w:lang w:eastAsia="zh-CN"/>
        </w:rPr>
        <w:t>泄露交易</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活动中应当保密的情况和资料，不得与</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串通损害国家利益、社会公共利益或者他人合法权益。</w:t>
      </w:r>
    </w:p>
    <w:p>
      <w:pPr>
        <w:pStyle w:val="72"/>
        <w:outlineLvl w:val="0"/>
        <w:rPr>
          <w:rFonts w:hint="eastAsia" w:ascii="宋体" w:hAnsi="宋体" w:eastAsia="宋体" w:cs="宋体"/>
          <w:color w:val="auto"/>
          <w:highlight w:val="none"/>
        </w:rPr>
      </w:pPr>
      <w:bookmarkStart w:id="242" w:name="_Toc286826638"/>
      <w:bookmarkStart w:id="243" w:name="_Toc25114"/>
      <w:r>
        <w:rPr>
          <w:rFonts w:hint="eastAsia" w:ascii="宋体" w:hAnsi="宋体" w:eastAsia="宋体" w:cs="宋体"/>
          <w:color w:val="auto"/>
          <w:highlight w:val="none"/>
        </w:rPr>
        <w:t>9.2 对</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的纪律要求</w:t>
      </w:r>
      <w:bookmarkEnd w:id="242"/>
      <w:bookmarkEnd w:id="243"/>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不得相互串通</w:t>
      </w:r>
      <w:r>
        <w:rPr>
          <w:rFonts w:hint="eastAsia" w:ascii="宋体" w:hAnsi="宋体" w:cs="宋体"/>
          <w:color w:val="auto"/>
          <w:highlight w:val="none"/>
          <w:lang w:eastAsia="zh-CN"/>
        </w:rPr>
        <w:t>交易响应</w:t>
      </w:r>
      <w:r>
        <w:rPr>
          <w:rFonts w:hint="eastAsia" w:ascii="宋体" w:hAnsi="宋体" w:eastAsia="宋体" w:cs="宋体"/>
          <w:color w:val="auto"/>
          <w:highlight w:val="none"/>
        </w:rPr>
        <w:t>或者与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串通</w:t>
      </w:r>
      <w:r>
        <w:rPr>
          <w:rFonts w:hint="eastAsia" w:ascii="宋体" w:hAnsi="宋体" w:cs="宋体"/>
          <w:color w:val="auto"/>
          <w:highlight w:val="none"/>
          <w:lang w:eastAsia="zh-CN"/>
        </w:rPr>
        <w:t>交易响应</w:t>
      </w:r>
      <w:r>
        <w:rPr>
          <w:rFonts w:hint="eastAsia" w:ascii="宋体" w:hAnsi="宋体" w:eastAsia="宋体" w:cs="宋体"/>
          <w:color w:val="auto"/>
          <w:highlight w:val="none"/>
        </w:rPr>
        <w:t>，不得向</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或者评标委员会成员行贿谋取中标，不得以他人名义</w:t>
      </w:r>
      <w:r>
        <w:rPr>
          <w:rFonts w:hint="eastAsia" w:ascii="宋体" w:hAnsi="宋体" w:cs="宋体"/>
          <w:color w:val="auto"/>
          <w:highlight w:val="none"/>
          <w:lang w:eastAsia="zh-CN"/>
        </w:rPr>
        <w:t>交易响应</w:t>
      </w:r>
      <w:r>
        <w:rPr>
          <w:rFonts w:hint="eastAsia" w:ascii="宋体" w:hAnsi="宋体" w:eastAsia="宋体" w:cs="宋体"/>
          <w:color w:val="auto"/>
          <w:highlight w:val="none"/>
        </w:rPr>
        <w:t>或者以其他方式弄虚作假骗取中标；</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不得以任何方式干扰、影响评标工作。</w:t>
      </w:r>
    </w:p>
    <w:p>
      <w:pPr>
        <w:pStyle w:val="72"/>
        <w:outlineLvl w:val="0"/>
        <w:rPr>
          <w:rFonts w:hint="eastAsia" w:ascii="宋体" w:hAnsi="宋体" w:eastAsia="宋体" w:cs="宋体"/>
          <w:color w:val="auto"/>
          <w:highlight w:val="none"/>
        </w:rPr>
      </w:pPr>
      <w:bookmarkStart w:id="244" w:name="_Toc286826639"/>
      <w:bookmarkStart w:id="245" w:name="_Toc21934"/>
      <w:r>
        <w:rPr>
          <w:rFonts w:hint="eastAsia" w:ascii="宋体" w:hAnsi="宋体" w:eastAsia="宋体" w:cs="宋体"/>
          <w:color w:val="auto"/>
          <w:highlight w:val="none"/>
        </w:rPr>
        <w:t>9.3 对评标委员会成员的纪律要求</w:t>
      </w:r>
      <w:bookmarkEnd w:id="244"/>
      <w:bookmarkEnd w:id="245"/>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w:t>
      </w:r>
      <w:r>
        <w:rPr>
          <w:rFonts w:hint="eastAsia" w:ascii="宋体" w:hAnsi="宋体" w:cs="宋体"/>
          <w:color w:val="auto"/>
          <w:highlight w:val="none"/>
          <w:lang w:eastAsia="zh-CN"/>
        </w:rPr>
        <w:t>透露</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的评审和比较、</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的推荐情况以及评标有关的其他情况。在评标活动中，评标委员会成员不得擅离职守，影响评标程序正常进行，不得使用第三章“评标办法”没有规定的评审因素和标准进行评标。</w:t>
      </w:r>
    </w:p>
    <w:p>
      <w:pPr>
        <w:pStyle w:val="72"/>
        <w:outlineLvl w:val="0"/>
        <w:rPr>
          <w:rFonts w:hint="eastAsia" w:ascii="宋体" w:hAnsi="宋体" w:eastAsia="宋体" w:cs="宋体"/>
          <w:color w:val="auto"/>
          <w:highlight w:val="none"/>
        </w:rPr>
      </w:pPr>
      <w:bookmarkStart w:id="246" w:name="_Toc18602"/>
      <w:bookmarkStart w:id="247" w:name="_Toc286826640"/>
      <w:r>
        <w:rPr>
          <w:rFonts w:hint="eastAsia" w:ascii="宋体" w:hAnsi="宋体" w:eastAsia="宋体" w:cs="宋体"/>
          <w:color w:val="auto"/>
          <w:highlight w:val="none"/>
        </w:rPr>
        <w:t>9.4 对与评标活动有关的工作人员的纪律要求</w:t>
      </w:r>
      <w:bookmarkEnd w:id="246"/>
      <w:bookmarkEnd w:id="247"/>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w:t>
      </w:r>
      <w:r>
        <w:rPr>
          <w:rFonts w:hint="eastAsia" w:ascii="宋体" w:hAnsi="宋体" w:cs="宋体"/>
          <w:color w:val="auto"/>
          <w:highlight w:val="none"/>
          <w:lang w:eastAsia="zh-CN"/>
        </w:rPr>
        <w:t>透露</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的评审和比较、</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的推荐情况以及评标有关的其他情况。在评标活动中，与评标活动有关的工作人员不得擅离职守，影响评标程序正常进行。</w:t>
      </w:r>
    </w:p>
    <w:p>
      <w:pPr>
        <w:pStyle w:val="72"/>
        <w:outlineLvl w:val="0"/>
        <w:rPr>
          <w:rFonts w:hint="eastAsia" w:ascii="宋体" w:hAnsi="宋体" w:eastAsia="宋体" w:cs="宋体"/>
          <w:color w:val="auto"/>
          <w:highlight w:val="none"/>
        </w:rPr>
      </w:pPr>
      <w:bookmarkStart w:id="248" w:name="_Toc30268"/>
      <w:bookmarkStart w:id="249" w:name="_Toc286826641"/>
      <w:r>
        <w:rPr>
          <w:rFonts w:hint="eastAsia" w:ascii="宋体" w:hAnsi="宋体" w:eastAsia="宋体" w:cs="宋体"/>
          <w:color w:val="auto"/>
          <w:highlight w:val="none"/>
        </w:rPr>
        <w:t>9.5投诉</w:t>
      </w:r>
      <w:bookmarkEnd w:id="248"/>
      <w:bookmarkEnd w:id="249"/>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w:t>
      </w:r>
      <w:r>
        <w:rPr>
          <w:rFonts w:hint="eastAsia" w:ascii="宋体" w:hAnsi="宋体" w:cs="宋体"/>
          <w:color w:val="auto"/>
          <w:highlight w:val="none"/>
          <w:lang w:eastAsia="zh-CN"/>
        </w:rPr>
        <w:t>或其他</w:t>
      </w:r>
      <w:r>
        <w:rPr>
          <w:rFonts w:hint="eastAsia" w:ascii="宋体" w:hAnsi="宋体" w:eastAsia="宋体" w:cs="宋体"/>
          <w:color w:val="auto"/>
          <w:highlight w:val="none"/>
        </w:rPr>
        <w:t>利害关系人）认为本次</w:t>
      </w:r>
      <w:r>
        <w:rPr>
          <w:rFonts w:hint="eastAsia" w:ascii="宋体" w:hAnsi="宋体" w:cs="宋体"/>
          <w:color w:val="auto"/>
          <w:highlight w:val="none"/>
          <w:lang w:eastAsia="zh-CN"/>
        </w:rPr>
        <w:t>交易</w:t>
      </w:r>
      <w:r>
        <w:rPr>
          <w:rFonts w:hint="eastAsia" w:ascii="宋体" w:hAnsi="宋体" w:eastAsia="宋体" w:cs="宋体"/>
          <w:color w:val="auto"/>
          <w:highlight w:val="none"/>
        </w:rPr>
        <w:t>活动违反法律、法规和规章规定的，或对</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对异议的答复不满意的，或</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逾期未答复的，有权向有关行政监督部门投诉。投诉应按《</w:t>
      </w:r>
      <w:r>
        <w:rPr>
          <w:rFonts w:hint="eastAsia" w:ascii="宋体" w:hAnsi="宋体" w:eastAsia="宋体" w:cs="宋体"/>
          <w:color w:val="auto"/>
          <w:highlight w:val="none"/>
          <w:lang w:eastAsia="zh-CN"/>
        </w:rPr>
        <w:t>中华人民共和国招标投标法实施条例</w:t>
      </w:r>
      <w:r>
        <w:rPr>
          <w:rFonts w:hint="eastAsia" w:ascii="宋体" w:hAnsi="宋体" w:eastAsia="宋体" w:cs="宋体"/>
          <w:color w:val="auto"/>
          <w:highlight w:val="none"/>
        </w:rPr>
        <w:t>》（国务院令第613号）、《工程建设项目</w:t>
      </w:r>
      <w:r>
        <w:rPr>
          <w:rFonts w:hint="eastAsia" w:ascii="宋体" w:hAnsi="宋体" w:eastAsia="宋体" w:cs="宋体"/>
          <w:color w:val="auto"/>
          <w:highlight w:val="none"/>
          <w:lang w:eastAsia="zh-CN"/>
        </w:rPr>
        <w:t>交易交易响应</w:t>
      </w:r>
      <w:r>
        <w:rPr>
          <w:rFonts w:hint="eastAsia" w:ascii="宋体" w:hAnsi="宋体" w:eastAsia="宋体" w:cs="宋体"/>
          <w:color w:val="auto"/>
          <w:highlight w:val="none"/>
        </w:rPr>
        <w:t>活动投诉处理办法》（国家七部委令2004年第11号）及《关于废止和修改部分</w:t>
      </w:r>
      <w:r>
        <w:rPr>
          <w:rFonts w:hint="eastAsia" w:ascii="宋体" w:hAnsi="宋体" w:eastAsia="宋体" w:cs="宋体"/>
          <w:color w:val="auto"/>
          <w:highlight w:val="none"/>
          <w:lang w:eastAsia="zh-CN"/>
        </w:rPr>
        <w:t>交易交易响应</w:t>
      </w:r>
      <w:r>
        <w:rPr>
          <w:rFonts w:hint="eastAsia" w:ascii="宋体" w:hAnsi="宋体" w:eastAsia="宋体" w:cs="宋体"/>
          <w:color w:val="auto"/>
          <w:highlight w:val="none"/>
        </w:rPr>
        <w:t>规章和规范性文件的决定》（国家发改委等九部委令23号）办理。</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监督部门的联系方式见“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spacing w:line="400" w:lineRule="exact"/>
        <w:ind w:firstLine="420" w:firstLineChars="200"/>
        <w:rPr>
          <w:rFonts w:hint="eastAsia" w:ascii="宋体" w:hAnsi="宋体" w:eastAsia="宋体" w:cs="宋体"/>
          <w:color w:val="auto"/>
          <w:highlight w:val="none"/>
        </w:rPr>
      </w:pPr>
    </w:p>
    <w:p>
      <w:pPr>
        <w:framePr w:w="12020" w:h="300" w:wrap="around" w:vAnchor="margin" w:hAnchor="text" w:x="2901" w:y="16141"/>
        <w:spacing w:line="400" w:lineRule="exact"/>
        <w:ind w:firstLine="420" w:firstLineChars="200"/>
        <w:rPr>
          <w:rFonts w:hint="eastAsia" w:ascii="宋体" w:hAnsi="宋体" w:eastAsia="宋体" w:cs="宋体"/>
          <w:color w:val="auto"/>
          <w:highlight w:val="none"/>
        </w:rPr>
      </w:pPr>
    </w:p>
    <w:p>
      <w:pPr>
        <w:pStyle w:val="72"/>
        <w:outlineLvl w:val="0"/>
        <w:rPr>
          <w:rFonts w:hint="eastAsia" w:ascii="宋体" w:hAnsi="宋体" w:eastAsia="宋体" w:cs="宋体"/>
          <w:color w:val="auto"/>
          <w:highlight w:val="none"/>
        </w:rPr>
      </w:pPr>
      <w:bookmarkStart w:id="250" w:name="_Toc286826642"/>
      <w:bookmarkStart w:id="251" w:name="_Toc286827089"/>
      <w:bookmarkStart w:id="252" w:name="_Toc286830205"/>
      <w:bookmarkStart w:id="253" w:name="_Toc19169"/>
      <w:r>
        <w:rPr>
          <w:rFonts w:hint="eastAsia" w:ascii="宋体" w:hAnsi="宋体" w:eastAsia="宋体" w:cs="宋体"/>
          <w:color w:val="auto"/>
          <w:highlight w:val="none"/>
        </w:rPr>
        <w:t>10.</w:t>
      </w:r>
      <w:bookmarkEnd w:id="250"/>
      <w:bookmarkEnd w:id="251"/>
      <w:bookmarkEnd w:id="252"/>
      <w:r>
        <w:rPr>
          <w:rFonts w:hint="eastAsia" w:ascii="宋体" w:hAnsi="宋体" w:eastAsia="宋体" w:cs="宋体"/>
          <w:color w:val="auto"/>
          <w:highlight w:val="none"/>
        </w:rPr>
        <w:t>需要补充的其他内容</w:t>
      </w:r>
      <w:bookmarkEnd w:id="253"/>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10.1自下载（获取）</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之日起，</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应保证其提供的联系方式</w:t>
      </w:r>
      <w:r>
        <w:rPr>
          <w:rFonts w:hint="eastAsia" w:ascii="宋体" w:hAnsi="宋体" w:cs="宋体"/>
          <w:color w:val="auto"/>
          <w:highlight w:val="none"/>
          <w:lang w:eastAsia="zh-CN"/>
        </w:rPr>
        <w:t>（</w:t>
      </w:r>
      <w:r>
        <w:rPr>
          <w:rFonts w:hint="eastAsia" w:ascii="宋体" w:hAnsi="宋体" w:eastAsia="宋体" w:cs="宋体"/>
          <w:color w:val="auto"/>
          <w:highlight w:val="none"/>
        </w:rPr>
        <w:t>电话、传真、电子邮件</w:t>
      </w:r>
      <w:r>
        <w:rPr>
          <w:rFonts w:hint="eastAsia" w:ascii="宋体" w:hAnsi="宋体" w:cs="宋体"/>
          <w:color w:val="auto"/>
          <w:highlight w:val="none"/>
          <w:lang w:eastAsia="zh-CN"/>
        </w:rPr>
        <w:t>）</w:t>
      </w:r>
      <w:r>
        <w:rPr>
          <w:rFonts w:hint="eastAsia" w:ascii="宋体" w:hAnsi="宋体" w:eastAsia="宋体" w:cs="宋体"/>
          <w:color w:val="auto"/>
          <w:highlight w:val="none"/>
        </w:rPr>
        <w:t>一直有效，以保证往来函件</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的澄清、修改</w:t>
      </w:r>
      <w:r>
        <w:rPr>
          <w:rFonts w:hint="eastAsia" w:ascii="宋体" w:hAnsi="宋体" w:cs="宋体"/>
          <w:color w:val="auto"/>
          <w:highlight w:val="none"/>
          <w:lang w:eastAsia="zh-CN"/>
        </w:rPr>
        <w:t>）</w:t>
      </w:r>
      <w:r>
        <w:rPr>
          <w:rFonts w:hint="eastAsia" w:ascii="宋体" w:hAnsi="宋体" w:eastAsia="宋体" w:cs="宋体"/>
          <w:color w:val="auto"/>
          <w:highlight w:val="none"/>
        </w:rPr>
        <w:t>能及时通知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，并能及时反馈信息，否则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不承担由此引起的一切后果。</w:t>
      </w:r>
    </w:p>
    <w:p>
      <w:pPr>
        <w:framePr w:w="8940" w:h="300" w:wrap="around" w:vAnchor="margin" w:hAnchor="text" w:x="2901" w:y="18701"/>
        <w:spacing w:line="400" w:lineRule="exact"/>
        <w:ind w:firstLine="420" w:firstLineChars="200"/>
        <w:rPr>
          <w:rFonts w:hint="eastAsia" w:ascii="宋体" w:hAnsi="宋体" w:eastAsia="宋体" w:cs="宋体"/>
          <w:color w:val="auto"/>
          <w:highlight w:val="none"/>
        </w:rPr>
      </w:pP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10.2其他约定</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需要补充的其他内容 ：见“</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w:t>
      </w:r>
    </w:p>
    <w:p>
      <w:pPr>
        <w:pStyle w:val="97"/>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254" w:name="_Toc8726"/>
      <w:r>
        <w:rPr>
          <w:rFonts w:hint="eastAsia" w:ascii="宋体" w:hAnsi="宋体" w:eastAsia="宋体" w:cs="宋体"/>
          <w:color w:val="auto"/>
          <w:highlight w:val="none"/>
        </w:rPr>
        <w:t>附件1：工程概况及</w:t>
      </w:r>
      <w:r>
        <w:rPr>
          <w:rFonts w:hint="eastAsia" w:ascii="宋体" w:hAnsi="宋体" w:eastAsia="宋体" w:cs="宋体"/>
          <w:color w:val="auto"/>
          <w:highlight w:val="none"/>
          <w:lang w:eastAsia="zh-CN"/>
        </w:rPr>
        <w:t>交易范围</w:t>
      </w:r>
      <w:bookmarkEnd w:id="254"/>
    </w:p>
    <w:p>
      <w:pPr>
        <w:spacing w:line="400" w:lineRule="exact"/>
        <w:jc w:val="center"/>
        <w:rPr>
          <w:rFonts w:hint="eastAsia" w:ascii="宋体" w:hAnsi="宋体" w:eastAsia="宋体" w:cs="宋体"/>
          <w:color w:val="auto"/>
          <w:sz w:val="30"/>
          <w:szCs w:val="30"/>
          <w:highlight w:val="none"/>
        </w:rPr>
      </w:pPr>
    </w:p>
    <w:p>
      <w:pPr>
        <w:spacing w:line="400"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工程概况及</w:t>
      </w:r>
      <w:r>
        <w:rPr>
          <w:rFonts w:hint="eastAsia" w:ascii="宋体" w:hAnsi="宋体" w:eastAsia="宋体" w:cs="宋体"/>
          <w:color w:val="auto"/>
          <w:sz w:val="30"/>
          <w:szCs w:val="30"/>
          <w:highlight w:val="none"/>
          <w:lang w:eastAsia="zh-CN"/>
        </w:rPr>
        <w:t>交易范围</w:t>
      </w:r>
    </w:p>
    <w:p>
      <w:pPr>
        <w:snapToGrid w:val="0"/>
        <w:spacing w:line="300" w:lineRule="auto"/>
        <w:rPr>
          <w:rFonts w:hint="eastAsia" w:ascii="宋体" w:hAnsi="宋体" w:eastAsia="宋体" w:cs="宋体"/>
          <w:color w:val="auto"/>
          <w:sz w:val="24"/>
          <w:highlight w:val="none"/>
        </w:rPr>
      </w:pPr>
    </w:p>
    <w:p>
      <w:pPr>
        <w:pStyle w:val="117"/>
        <w:numPr>
          <w:ilvl w:val="0"/>
          <w:numId w:val="3"/>
        </w:numPr>
        <w:spacing w:line="440" w:lineRule="exact"/>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建设地点：淳安县郑鸠线。</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云岭隧道位于淳安线郑鸠线。云岭隧道桩号范围K55+470～K56+054，原隧道长584m，隧道净宽8.5m，净高4.5m。隧道于1999年11月建成，断面轮廓采用直墙式，衬砌结构为单层衬砌：洞口20m范围内为现浇混凝土衬砌；洞身直墙采用水泥砂浆砌粗料石衬砌，洞身拱部采用混凝土衬砌，洞门为端墙式暗洞门。</w:t>
      </w:r>
    </w:p>
    <w:p>
      <w:pPr>
        <w:keepNext w:val="0"/>
        <w:keepLines w:val="0"/>
        <w:widowControl/>
        <w:suppressLineNumbers w:val="0"/>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原隧道明细表</w:t>
      </w:r>
    </w:p>
    <w:tbl>
      <w:tblPr>
        <w:tblStyle w:val="4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315"/>
        <w:gridCol w:w="1059"/>
        <w:gridCol w:w="1187"/>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隧道编号</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路线</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隧道名称</w:t>
            </w:r>
          </w:p>
        </w:tc>
        <w:tc>
          <w:tcPr>
            <w:tcW w:w="1315"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隧道中心桩号</w:t>
            </w:r>
          </w:p>
        </w:tc>
        <w:tc>
          <w:tcPr>
            <w:tcW w:w="1059"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隧道全长</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隧道宽</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车道数</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路面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1</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郑鸠线</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云岭隧道</w:t>
            </w:r>
          </w:p>
        </w:tc>
        <w:tc>
          <w:tcPr>
            <w:tcW w:w="1315" w:type="dxa"/>
            <w:noWrap w:val="0"/>
            <w:vAlign w:val="center"/>
          </w:tcPr>
          <w:p>
            <w:pPr>
              <w:widowControl w:val="0"/>
              <w:ind w:left="0" w:leftChars="0" w:firstLine="0" w:firstLineChars="0"/>
              <w:jc w:val="center"/>
              <w:rPr>
                <w:rFonts w:hint="default"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K55+762</w:t>
            </w:r>
          </w:p>
        </w:tc>
        <w:tc>
          <w:tcPr>
            <w:tcW w:w="1059" w:type="dxa"/>
            <w:noWrap w:val="0"/>
            <w:vAlign w:val="center"/>
          </w:tcPr>
          <w:p>
            <w:pPr>
              <w:widowControl w:val="0"/>
              <w:ind w:left="0" w:leftChars="0" w:firstLine="0" w:firstLineChars="0"/>
              <w:jc w:val="center"/>
              <w:rPr>
                <w:rFonts w:hint="default"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584</w:t>
            </w:r>
          </w:p>
        </w:tc>
        <w:tc>
          <w:tcPr>
            <w:tcW w:w="1187" w:type="dxa"/>
            <w:noWrap w:val="0"/>
            <w:vAlign w:val="center"/>
          </w:tcPr>
          <w:p>
            <w:pPr>
              <w:widowControl w:val="0"/>
              <w:ind w:left="0" w:leftChars="0" w:firstLine="0" w:firstLineChars="0"/>
              <w:jc w:val="center"/>
              <w:rPr>
                <w:rFonts w:hint="default"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8.5</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双向两车道</w:t>
            </w:r>
          </w:p>
        </w:tc>
        <w:tc>
          <w:tcPr>
            <w:tcW w:w="1187" w:type="dxa"/>
            <w:noWrap w:val="0"/>
            <w:vAlign w:val="center"/>
          </w:tcPr>
          <w:p>
            <w:pPr>
              <w:widowControl w:val="0"/>
              <w:ind w:left="0" w:leftChars="0" w:firstLine="0" w:firstLineChars="0"/>
              <w:jc w:val="center"/>
              <w:rPr>
                <w:rFonts w:hint="eastAsia" w:ascii="Calibri" w:hAnsi="Calibri" w:eastAsia="宋体" w:cs="Calibri"/>
                <w:color w:val="auto"/>
                <w:kern w:val="2"/>
                <w:sz w:val="18"/>
                <w:szCs w:val="18"/>
                <w:highlight w:val="none"/>
                <w:vertAlign w:val="baseline"/>
                <w:lang w:val="en-US" w:eastAsia="zh-CN" w:bidi="ar-SA"/>
              </w:rPr>
            </w:pPr>
            <w:r>
              <w:rPr>
                <w:rFonts w:hint="eastAsia" w:ascii="Calibri" w:hAnsi="Calibri" w:eastAsia="宋体" w:cs="Calibri"/>
                <w:color w:val="auto"/>
                <w:kern w:val="2"/>
                <w:sz w:val="18"/>
                <w:szCs w:val="18"/>
                <w:highlight w:val="none"/>
                <w:vertAlign w:val="baseline"/>
                <w:lang w:val="en-US" w:eastAsia="zh-CN" w:bidi="ar-SA"/>
              </w:rPr>
              <w:t>沥青砼路面</w:t>
            </w:r>
          </w:p>
        </w:tc>
      </w:tr>
    </w:tbl>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本项目按三级公路 40km/h 提升改造原隧道，隧道提升改造后长 600m，隧道范围为 K55+462～K56+062，隧洞净空 9.0m×4.5m，隧道两端外各设50m过渡段顺接老路。</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本项目工程概算总投资2795.32万元，概算建安费2555.49万元。</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前期路况检测服务期</w:t>
      </w:r>
      <w:r>
        <w:rPr>
          <w:rFonts w:hint="eastAsia" w:ascii="宋体" w:hAnsi="宋体" w:eastAsia="宋体" w:cs="宋体"/>
          <w:color w:val="auto"/>
          <w:szCs w:val="21"/>
          <w:highlight w:val="none"/>
        </w:rPr>
        <w:t xml:space="preserve">：合同签订至所有试验检测报告提交且通过竣（交）工质量评定止。预计服务期5个月（暂定150日历天）。 </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交易范围</w:t>
      </w:r>
      <w:r>
        <w:rPr>
          <w:rFonts w:hint="eastAsia" w:ascii="宋体" w:hAnsi="宋体" w:eastAsia="宋体" w:cs="宋体"/>
          <w:color w:val="auto"/>
          <w:szCs w:val="21"/>
          <w:highlight w:val="none"/>
        </w:rPr>
        <w:t>：</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w:t>
      </w:r>
      <w:r>
        <w:rPr>
          <w:rFonts w:hint="eastAsia" w:ascii="宋体" w:hAnsi="宋体" w:cs="宋体"/>
          <w:color w:val="auto"/>
          <w:szCs w:val="21"/>
          <w:highlight w:val="none"/>
          <w:lang w:eastAsia="zh-CN"/>
        </w:rPr>
        <w:t>隧道施工监控量测</w:t>
      </w:r>
      <w:r>
        <w:rPr>
          <w:rFonts w:hint="eastAsia" w:ascii="宋体" w:hAnsi="宋体" w:eastAsia="宋体" w:cs="宋体"/>
          <w:color w:val="auto"/>
          <w:szCs w:val="21"/>
          <w:highlight w:val="none"/>
        </w:rPr>
        <w:t>设1个标段为</w:t>
      </w:r>
      <w:r>
        <w:rPr>
          <w:rFonts w:hint="eastAsia" w:ascii="宋体" w:hAnsi="宋体" w:cs="宋体"/>
          <w:color w:val="auto"/>
          <w:szCs w:val="21"/>
          <w:highlight w:val="none"/>
          <w:lang w:eastAsia="zh-CN"/>
        </w:rPr>
        <w:t>第JKLC01标段</w:t>
      </w:r>
      <w:r>
        <w:rPr>
          <w:rFonts w:hint="eastAsia" w:ascii="宋体" w:hAnsi="宋体" w:eastAsia="宋体" w:cs="宋体"/>
          <w:color w:val="auto"/>
          <w:szCs w:val="21"/>
          <w:highlight w:val="none"/>
        </w:rPr>
        <w:t>，主要服务内容：淳安县郑鸠线云岭隧道提升工程隧道施工监控量测等工作，出具调查及检测报告。具体检测内容详见报价清单表。</w:t>
      </w:r>
    </w:p>
    <w:p>
      <w:pPr>
        <w:pStyle w:val="114"/>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试验检测标段划分：设1个检测标段，即 </w:t>
      </w:r>
      <w:r>
        <w:rPr>
          <w:rFonts w:hint="eastAsia" w:ascii="宋体" w:hAnsi="宋体" w:cs="宋体"/>
          <w:color w:val="auto"/>
          <w:szCs w:val="21"/>
          <w:highlight w:val="none"/>
          <w:lang w:eastAsia="zh-CN"/>
        </w:rPr>
        <w:t>第JKLC01标段</w:t>
      </w:r>
      <w:r>
        <w:rPr>
          <w:rFonts w:hint="eastAsia" w:ascii="宋体" w:hAnsi="宋体" w:eastAsia="宋体" w:cs="宋体"/>
          <w:color w:val="auto"/>
          <w:szCs w:val="21"/>
          <w:highlight w:val="none"/>
        </w:rPr>
        <w:t>。</w:t>
      </w: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pStyle w:val="114"/>
        <w:spacing w:line="440" w:lineRule="exact"/>
        <w:ind w:firstLine="420" w:firstLineChars="200"/>
        <w:rPr>
          <w:rFonts w:hint="eastAsia" w:ascii="宋体" w:hAnsi="宋体" w:eastAsia="宋体" w:cs="宋体"/>
          <w:color w:val="auto"/>
          <w:szCs w:val="21"/>
          <w:highlight w:val="none"/>
        </w:rPr>
      </w:pPr>
    </w:p>
    <w:p>
      <w:pPr>
        <w:spacing w:line="400" w:lineRule="exact"/>
        <w:outlineLvl w:val="1"/>
        <w:rPr>
          <w:rFonts w:hint="eastAsia" w:ascii="宋体" w:hAnsi="宋体" w:eastAsia="宋体" w:cs="宋体"/>
          <w:color w:val="auto"/>
          <w:sz w:val="28"/>
          <w:szCs w:val="20"/>
          <w:highlight w:val="none"/>
        </w:rPr>
      </w:pPr>
      <w:bookmarkStart w:id="255" w:name="_Toc144974548"/>
      <w:bookmarkStart w:id="256" w:name="_Toc286827092"/>
      <w:bookmarkStart w:id="257" w:name="_Toc179632599"/>
      <w:bookmarkStart w:id="258" w:name="_Toc152042358"/>
      <w:bookmarkStart w:id="259" w:name="_Toc286826645"/>
      <w:bookmarkStart w:id="260" w:name="_Toc5501"/>
      <w:bookmarkStart w:id="261" w:name="_Toc152045581"/>
      <w:r>
        <w:rPr>
          <w:rFonts w:hint="eastAsia" w:ascii="宋体" w:hAnsi="宋体" w:eastAsia="宋体" w:cs="宋体"/>
          <w:color w:val="auto"/>
          <w:sz w:val="28"/>
          <w:szCs w:val="20"/>
          <w:highlight w:val="none"/>
        </w:rPr>
        <w:t>附表一：第一个信封（商务及技术文件）</w:t>
      </w:r>
      <w:r>
        <w:rPr>
          <w:rFonts w:hint="eastAsia" w:ascii="宋体" w:hAnsi="宋体" w:eastAsia="宋体" w:cs="宋体"/>
          <w:color w:val="auto"/>
          <w:sz w:val="28"/>
          <w:szCs w:val="20"/>
          <w:highlight w:val="none"/>
          <w:lang w:eastAsia="zh-CN"/>
        </w:rPr>
        <w:t>交易会议</w:t>
      </w:r>
      <w:r>
        <w:rPr>
          <w:rFonts w:hint="eastAsia" w:ascii="宋体" w:hAnsi="宋体" w:eastAsia="宋体" w:cs="宋体"/>
          <w:color w:val="auto"/>
          <w:sz w:val="28"/>
          <w:szCs w:val="20"/>
          <w:highlight w:val="none"/>
        </w:rPr>
        <w:t>记录表</w:t>
      </w:r>
      <w:bookmarkEnd w:id="255"/>
      <w:bookmarkEnd w:id="256"/>
      <w:bookmarkEnd w:id="257"/>
      <w:bookmarkEnd w:id="258"/>
      <w:bookmarkEnd w:id="259"/>
      <w:bookmarkEnd w:id="260"/>
      <w:bookmarkEnd w:id="261"/>
    </w:p>
    <w:p>
      <w:pPr>
        <w:spacing w:line="400" w:lineRule="exact"/>
        <w:rPr>
          <w:rFonts w:hint="eastAsia" w:ascii="宋体" w:hAnsi="宋体" w:eastAsia="宋体" w:cs="宋体"/>
          <w:color w:val="auto"/>
          <w:highlight w:val="none"/>
        </w:rPr>
      </w:pP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_______（项目名称）标段试验检测</w:t>
      </w: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第一个信封（商务及技术文件）</w:t>
      </w:r>
      <w:r>
        <w:rPr>
          <w:rFonts w:hint="eastAsia" w:ascii="宋体" w:hAnsi="宋体" w:eastAsia="宋体" w:cs="宋体"/>
          <w:color w:val="auto"/>
          <w:sz w:val="28"/>
          <w:szCs w:val="28"/>
          <w:highlight w:val="none"/>
          <w:lang w:eastAsia="zh-CN"/>
        </w:rPr>
        <w:t>交易会议</w:t>
      </w:r>
      <w:r>
        <w:rPr>
          <w:rFonts w:hint="eastAsia" w:ascii="宋体" w:hAnsi="宋体" w:eastAsia="宋体" w:cs="宋体"/>
          <w:color w:val="auto"/>
          <w:sz w:val="28"/>
          <w:szCs w:val="28"/>
          <w:highlight w:val="none"/>
        </w:rPr>
        <w:t>记录表</w:t>
      </w:r>
    </w:p>
    <w:p>
      <w:pPr>
        <w:spacing w:line="400" w:lineRule="exact"/>
        <w:rPr>
          <w:rFonts w:hint="eastAsia" w:ascii="宋体" w:hAnsi="宋体" w:eastAsia="宋体" w:cs="宋体"/>
          <w:color w:val="auto"/>
          <w:highlight w:val="none"/>
        </w:rPr>
      </w:pPr>
    </w:p>
    <w:p>
      <w:pPr>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w:t>
      </w:r>
    </w:p>
    <w:tbl>
      <w:tblPr>
        <w:tblStyle w:val="43"/>
        <w:tblW w:w="962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63"/>
        <w:gridCol w:w="1679"/>
        <w:gridCol w:w="1793"/>
        <w:gridCol w:w="1494"/>
        <w:gridCol w:w="1473"/>
        <w:gridCol w:w="20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42" w:hRule="atLeast"/>
        </w:trPr>
        <w:tc>
          <w:tcPr>
            <w:tcW w:w="1163"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79" w:type="dxa"/>
            <w:vAlign w:val="center"/>
          </w:tcPr>
          <w:p>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交易响应人</w:t>
            </w:r>
          </w:p>
        </w:tc>
        <w:tc>
          <w:tcPr>
            <w:tcW w:w="1793"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送达情况</w:t>
            </w:r>
          </w:p>
        </w:tc>
        <w:tc>
          <w:tcPr>
            <w:tcW w:w="1494"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473"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2020"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6"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6"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6"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0"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6" w:hRule="atLeast"/>
        </w:trPr>
        <w:tc>
          <w:tcPr>
            <w:tcW w:w="1163" w:type="dxa"/>
            <w:vAlign w:val="center"/>
          </w:tcPr>
          <w:p>
            <w:pPr>
              <w:spacing w:line="500" w:lineRule="exact"/>
              <w:jc w:val="left"/>
              <w:rPr>
                <w:rFonts w:hint="eastAsia" w:ascii="宋体" w:hAnsi="宋体" w:eastAsia="宋体" w:cs="宋体"/>
                <w:color w:val="auto"/>
                <w:szCs w:val="21"/>
                <w:highlight w:val="none"/>
              </w:rPr>
            </w:pPr>
          </w:p>
        </w:tc>
        <w:tc>
          <w:tcPr>
            <w:tcW w:w="1679" w:type="dxa"/>
            <w:vAlign w:val="center"/>
          </w:tcPr>
          <w:p>
            <w:pPr>
              <w:spacing w:line="500" w:lineRule="exact"/>
              <w:jc w:val="left"/>
              <w:rPr>
                <w:rFonts w:hint="eastAsia" w:ascii="宋体" w:hAnsi="宋体" w:eastAsia="宋体" w:cs="宋体"/>
                <w:color w:val="auto"/>
                <w:szCs w:val="21"/>
                <w:highlight w:val="none"/>
              </w:rPr>
            </w:pPr>
          </w:p>
        </w:tc>
        <w:tc>
          <w:tcPr>
            <w:tcW w:w="1793" w:type="dxa"/>
            <w:vAlign w:val="center"/>
          </w:tcPr>
          <w:p>
            <w:pPr>
              <w:spacing w:line="500" w:lineRule="exact"/>
              <w:jc w:val="left"/>
              <w:rPr>
                <w:rFonts w:hint="eastAsia" w:ascii="宋体" w:hAnsi="宋体" w:eastAsia="宋体" w:cs="宋体"/>
                <w:color w:val="auto"/>
                <w:szCs w:val="21"/>
                <w:highlight w:val="none"/>
              </w:rPr>
            </w:pPr>
          </w:p>
        </w:tc>
        <w:tc>
          <w:tcPr>
            <w:tcW w:w="1494" w:type="dxa"/>
            <w:vAlign w:val="center"/>
          </w:tcPr>
          <w:p>
            <w:pPr>
              <w:spacing w:line="500" w:lineRule="exact"/>
              <w:jc w:val="left"/>
              <w:rPr>
                <w:rFonts w:hint="eastAsia" w:ascii="宋体" w:hAnsi="宋体" w:eastAsia="宋体" w:cs="宋体"/>
                <w:color w:val="auto"/>
                <w:szCs w:val="21"/>
                <w:highlight w:val="none"/>
              </w:rPr>
            </w:pPr>
          </w:p>
        </w:tc>
        <w:tc>
          <w:tcPr>
            <w:tcW w:w="1473" w:type="dxa"/>
            <w:vAlign w:val="center"/>
          </w:tcPr>
          <w:p>
            <w:pPr>
              <w:spacing w:line="500" w:lineRule="exact"/>
              <w:jc w:val="left"/>
              <w:rPr>
                <w:rFonts w:hint="eastAsia" w:ascii="宋体" w:hAnsi="宋体" w:eastAsia="宋体" w:cs="宋体"/>
                <w:color w:val="auto"/>
                <w:szCs w:val="21"/>
                <w:highlight w:val="none"/>
              </w:rPr>
            </w:pPr>
          </w:p>
        </w:tc>
        <w:tc>
          <w:tcPr>
            <w:tcW w:w="2020" w:type="dxa"/>
            <w:vAlign w:val="center"/>
          </w:tcPr>
          <w:p>
            <w:pPr>
              <w:spacing w:line="500" w:lineRule="exact"/>
              <w:jc w:val="left"/>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　　</w:t>
      </w:r>
      <w:r>
        <w:rPr>
          <w:rFonts w:hint="eastAsia" w:ascii="宋体" w:hAnsi="宋体" w:eastAsia="宋体" w:cs="宋体"/>
          <w:color w:val="auto"/>
          <w:szCs w:val="21"/>
          <w:highlight w:val="none"/>
        </w:rPr>
        <w:t>　</w:t>
      </w:r>
    </w:p>
    <w:p>
      <w:pPr>
        <w:pStyle w:val="112"/>
        <w:spacing w:line="380" w:lineRule="exact"/>
        <w:ind w:firstLine="43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代表：记录人：监标人：</w:t>
      </w:r>
    </w:p>
    <w:p>
      <w:pPr>
        <w:pStyle w:val="112"/>
        <w:spacing w:line="380" w:lineRule="exact"/>
        <w:ind w:firstLine="43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年月日</w:t>
      </w:r>
    </w:p>
    <w:p>
      <w:pPr>
        <w:outlineLvl w:val="1"/>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62" w:name="_Toc9957"/>
      <w:bookmarkStart w:id="263" w:name="_Toc286826646"/>
      <w:bookmarkStart w:id="264" w:name="_Toc286827093"/>
      <w:r>
        <w:rPr>
          <w:rFonts w:hint="eastAsia" w:ascii="宋体" w:hAnsi="宋体" w:eastAsia="宋体" w:cs="宋体"/>
          <w:color w:val="auto"/>
          <w:sz w:val="28"/>
          <w:szCs w:val="20"/>
          <w:highlight w:val="none"/>
        </w:rPr>
        <w:t>附表二：</w:t>
      </w:r>
      <w:r>
        <w:rPr>
          <w:rFonts w:hint="eastAsia" w:ascii="宋体" w:hAnsi="宋体" w:eastAsia="宋体" w:cs="宋体"/>
          <w:color w:val="auto"/>
          <w:sz w:val="28"/>
          <w:szCs w:val="28"/>
          <w:highlight w:val="none"/>
        </w:rPr>
        <w:t>第二个信封（报价文件）</w:t>
      </w:r>
      <w:r>
        <w:rPr>
          <w:rFonts w:hint="eastAsia" w:ascii="宋体" w:hAnsi="宋体" w:eastAsia="宋体" w:cs="宋体"/>
          <w:color w:val="auto"/>
          <w:sz w:val="28"/>
          <w:szCs w:val="28"/>
          <w:highlight w:val="none"/>
          <w:lang w:eastAsia="zh-CN"/>
        </w:rPr>
        <w:t>交易会议</w:t>
      </w:r>
      <w:r>
        <w:rPr>
          <w:rFonts w:hint="eastAsia" w:ascii="宋体" w:hAnsi="宋体" w:eastAsia="宋体" w:cs="宋体"/>
          <w:color w:val="auto"/>
          <w:sz w:val="28"/>
          <w:szCs w:val="28"/>
          <w:highlight w:val="none"/>
        </w:rPr>
        <w:t>记录表</w:t>
      </w:r>
      <w:bookmarkEnd w:id="262"/>
      <w:bookmarkEnd w:id="263"/>
      <w:bookmarkEnd w:id="264"/>
    </w:p>
    <w:p>
      <w:pPr>
        <w:spacing w:line="400" w:lineRule="exact"/>
        <w:jc w:val="center"/>
        <w:rPr>
          <w:rFonts w:hint="eastAsia" w:ascii="宋体" w:hAnsi="宋体" w:eastAsia="宋体" w:cs="宋体"/>
          <w:color w:val="auto"/>
          <w:sz w:val="28"/>
          <w:szCs w:val="28"/>
          <w:highlight w:val="none"/>
          <w:u w:val="single"/>
        </w:rPr>
      </w:pP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_______（项目名称）标段试验检测</w:t>
      </w: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第二个信封（报价文件）</w:t>
      </w:r>
      <w:r>
        <w:rPr>
          <w:rFonts w:hint="eastAsia" w:ascii="宋体" w:hAnsi="宋体" w:eastAsia="宋体" w:cs="宋体"/>
          <w:color w:val="auto"/>
          <w:sz w:val="28"/>
          <w:szCs w:val="28"/>
          <w:highlight w:val="none"/>
          <w:lang w:eastAsia="zh-CN"/>
        </w:rPr>
        <w:t>交易会议</w:t>
      </w:r>
      <w:r>
        <w:rPr>
          <w:rFonts w:hint="eastAsia" w:ascii="宋体" w:hAnsi="宋体" w:eastAsia="宋体" w:cs="宋体"/>
          <w:color w:val="auto"/>
          <w:sz w:val="28"/>
          <w:szCs w:val="28"/>
          <w:highlight w:val="none"/>
        </w:rPr>
        <w:t>记录表</w:t>
      </w:r>
    </w:p>
    <w:p>
      <w:pPr>
        <w:spacing w:line="400" w:lineRule="exact"/>
        <w:rPr>
          <w:rFonts w:hint="eastAsia" w:ascii="宋体" w:hAnsi="宋体" w:eastAsia="宋体" w:cs="宋体"/>
          <w:color w:val="auto"/>
          <w:highlight w:val="none"/>
        </w:rPr>
      </w:pPr>
    </w:p>
    <w:p>
      <w:pPr>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交易会议</w:t>
      </w:r>
      <w:r>
        <w:rPr>
          <w:rFonts w:hint="eastAsia" w:ascii="宋体" w:hAnsi="宋体" w:eastAsia="宋体" w:cs="宋体"/>
          <w:color w:val="auto"/>
          <w:highlight w:val="none"/>
        </w:rPr>
        <w:t>时间：年月日时分</w:t>
      </w:r>
    </w:p>
    <w:tbl>
      <w:tblPr>
        <w:tblStyle w:val="43"/>
        <w:tblW w:w="932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6"/>
        <w:gridCol w:w="3323"/>
        <w:gridCol w:w="1842"/>
        <w:gridCol w:w="1701"/>
        <w:gridCol w:w="15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23" w:type="dxa"/>
            <w:vAlign w:val="center"/>
          </w:tcPr>
          <w:p>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交易响应人</w:t>
            </w:r>
          </w:p>
        </w:tc>
        <w:tc>
          <w:tcPr>
            <w:tcW w:w="1842"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（元）</w:t>
            </w:r>
          </w:p>
        </w:tc>
        <w:tc>
          <w:tcPr>
            <w:tcW w:w="1701"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1561" w:type="dxa"/>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6" w:type="dxa"/>
            <w:vAlign w:val="center"/>
          </w:tcPr>
          <w:p>
            <w:pPr>
              <w:spacing w:line="500" w:lineRule="exact"/>
              <w:jc w:val="left"/>
              <w:rPr>
                <w:rFonts w:hint="eastAsia" w:ascii="宋体" w:hAnsi="宋体" w:eastAsia="宋体" w:cs="宋体"/>
                <w:color w:val="auto"/>
                <w:szCs w:val="21"/>
                <w:highlight w:val="none"/>
              </w:rPr>
            </w:pPr>
          </w:p>
        </w:tc>
        <w:tc>
          <w:tcPr>
            <w:tcW w:w="3323" w:type="dxa"/>
            <w:vAlign w:val="center"/>
          </w:tcPr>
          <w:p>
            <w:pPr>
              <w:spacing w:line="500" w:lineRule="exact"/>
              <w:jc w:val="left"/>
              <w:rPr>
                <w:rFonts w:hint="eastAsia" w:ascii="宋体" w:hAnsi="宋体" w:eastAsia="宋体" w:cs="宋体"/>
                <w:color w:val="auto"/>
                <w:szCs w:val="21"/>
                <w:highlight w:val="none"/>
              </w:rPr>
            </w:pPr>
          </w:p>
        </w:tc>
        <w:tc>
          <w:tcPr>
            <w:tcW w:w="1842" w:type="dxa"/>
            <w:vAlign w:val="center"/>
          </w:tcPr>
          <w:p>
            <w:pPr>
              <w:spacing w:line="500" w:lineRule="exact"/>
              <w:jc w:val="left"/>
              <w:rPr>
                <w:rFonts w:hint="eastAsia" w:ascii="宋体" w:hAnsi="宋体" w:eastAsia="宋体" w:cs="宋体"/>
                <w:color w:val="auto"/>
                <w:szCs w:val="21"/>
                <w:highlight w:val="none"/>
              </w:rPr>
            </w:pPr>
          </w:p>
        </w:tc>
        <w:tc>
          <w:tcPr>
            <w:tcW w:w="1701" w:type="dxa"/>
            <w:vAlign w:val="center"/>
          </w:tcPr>
          <w:p>
            <w:pPr>
              <w:spacing w:line="500" w:lineRule="exact"/>
              <w:jc w:val="left"/>
              <w:rPr>
                <w:rFonts w:hint="eastAsia" w:ascii="宋体" w:hAnsi="宋体" w:eastAsia="宋体" w:cs="宋体"/>
                <w:color w:val="auto"/>
                <w:szCs w:val="21"/>
                <w:highlight w:val="none"/>
              </w:rPr>
            </w:pPr>
          </w:p>
        </w:tc>
        <w:tc>
          <w:tcPr>
            <w:tcW w:w="1561" w:type="dxa"/>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219" w:type="dxa"/>
            <w:gridSpan w:val="2"/>
            <w:vAlign w:val="center"/>
          </w:tcPr>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调整系数：</w:t>
            </w:r>
          </w:p>
        </w:tc>
        <w:tc>
          <w:tcPr>
            <w:tcW w:w="5104" w:type="dxa"/>
            <w:gridSpan w:val="3"/>
            <w:vAlign w:val="center"/>
          </w:tcPr>
          <w:p>
            <w:pPr>
              <w:spacing w:line="500" w:lineRule="exact"/>
              <w:jc w:val="left"/>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323" w:type="dxa"/>
            <w:gridSpan w:val="5"/>
            <w:vAlign w:val="center"/>
          </w:tcPr>
          <w:p>
            <w:pP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设定的</w:t>
            </w:r>
            <w:r>
              <w:rPr>
                <w:rFonts w:hint="eastAsia" w:ascii="宋体" w:hAnsi="宋体" w:eastAsia="宋体" w:cs="宋体"/>
                <w:color w:val="auto"/>
                <w:szCs w:val="21"/>
                <w:highlight w:val="none"/>
                <w:lang w:eastAsia="zh-CN"/>
              </w:rPr>
              <w:t>交易响应控制价</w:t>
            </w:r>
            <w:r>
              <w:rPr>
                <w:rFonts w:hint="eastAsia" w:ascii="宋体" w:hAnsi="宋体" w:eastAsia="宋体" w:cs="宋体"/>
                <w:color w:val="auto"/>
                <w:szCs w:val="21"/>
                <w:highlight w:val="none"/>
              </w:rPr>
              <w:t>：元</w:t>
            </w:r>
          </w:p>
        </w:tc>
      </w:tr>
    </w:tbl>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　　</w:t>
      </w:r>
      <w:r>
        <w:rPr>
          <w:rFonts w:hint="eastAsia" w:ascii="宋体" w:hAnsi="宋体" w:eastAsia="宋体" w:cs="宋体"/>
          <w:color w:val="auto"/>
          <w:szCs w:val="21"/>
          <w:highlight w:val="none"/>
        </w:rPr>
        <w:t>　</w:t>
      </w:r>
    </w:p>
    <w:p>
      <w:pPr>
        <w:pStyle w:val="112"/>
        <w:spacing w:line="380" w:lineRule="exact"/>
        <w:ind w:firstLine="43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记录人：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监标人：</w:t>
      </w:r>
    </w:p>
    <w:p>
      <w:pPr>
        <w:pStyle w:val="112"/>
        <w:spacing w:line="380" w:lineRule="exact"/>
        <w:ind w:firstLine="854" w:firstLineChars="40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pPr>
        <w:spacing w:line="440" w:lineRule="exact"/>
        <w:outlineLvl w:val="1"/>
        <w:rPr>
          <w:rFonts w:hint="eastAsia" w:ascii="宋体" w:hAnsi="宋体" w:eastAsia="宋体" w:cs="宋体"/>
          <w:color w:val="auto"/>
          <w:sz w:val="28"/>
          <w:szCs w:val="20"/>
          <w:highlight w:val="none"/>
        </w:rPr>
      </w:pPr>
      <w:r>
        <w:rPr>
          <w:rFonts w:hint="eastAsia" w:ascii="宋体" w:hAnsi="宋体" w:eastAsia="宋体" w:cs="宋体"/>
          <w:color w:val="auto"/>
          <w:highlight w:val="none"/>
        </w:rPr>
        <w:br w:type="page"/>
      </w:r>
      <w:bookmarkStart w:id="265" w:name="_Toc286827094"/>
      <w:bookmarkStart w:id="266" w:name="_Toc27587"/>
      <w:bookmarkStart w:id="267" w:name="_Toc179632600"/>
      <w:bookmarkStart w:id="268" w:name="_Toc152045582"/>
      <w:bookmarkStart w:id="269" w:name="_Toc286826647"/>
      <w:bookmarkStart w:id="270" w:name="_Toc152042359"/>
      <w:bookmarkStart w:id="271" w:name="_Toc144974549"/>
      <w:r>
        <w:rPr>
          <w:rFonts w:hint="eastAsia" w:ascii="宋体" w:hAnsi="宋体" w:eastAsia="宋体" w:cs="宋体"/>
          <w:color w:val="auto"/>
          <w:sz w:val="28"/>
          <w:szCs w:val="20"/>
          <w:highlight w:val="none"/>
        </w:rPr>
        <w:t>附表三：问题澄清通知</w:t>
      </w:r>
      <w:bookmarkEnd w:id="265"/>
      <w:bookmarkEnd w:id="266"/>
      <w:bookmarkEnd w:id="267"/>
      <w:bookmarkEnd w:id="268"/>
      <w:bookmarkEnd w:id="269"/>
      <w:bookmarkEnd w:id="270"/>
      <w:bookmarkEnd w:id="271"/>
    </w:p>
    <w:p>
      <w:pPr>
        <w:spacing w:line="440" w:lineRule="exact"/>
        <w:jc w:val="center"/>
        <w:rPr>
          <w:rFonts w:hint="eastAsia" w:ascii="宋体" w:hAnsi="宋体" w:eastAsia="宋体" w:cs="宋体"/>
          <w:color w:val="auto"/>
          <w:szCs w:val="21"/>
          <w:highlight w:val="none"/>
        </w:rPr>
      </w:pP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问题澄清通知</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r>
        <w:rPr>
          <w:rFonts w:hint="eastAsia" w:ascii="宋体" w:hAnsi="宋体" w:eastAsia="宋体" w:cs="宋体"/>
          <w:color w:val="auto"/>
          <w:highlight w:val="none"/>
        </w:rPr>
        <w:t>__________________</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__________________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名称）：</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_______（项目名称）标段试验检测</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的评标委员会，对你方的</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进行了仔细的审查，现需你方对下列问题通过“交易平台”予以澄清：</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_______（项目名称）标段试验检测</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评标委员会</w:t>
      </w:r>
    </w:p>
    <w:p>
      <w:pPr>
        <w:spacing w:line="440" w:lineRule="exact"/>
        <w:rPr>
          <w:rFonts w:hint="eastAsia" w:ascii="宋体" w:hAnsi="宋体" w:eastAsia="宋体" w:cs="宋体"/>
          <w:color w:val="auto"/>
          <w:szCs w:val="21"/>
          <w:highlight w:val="none"/>
        </w:rPr>
      </w:pPr>
    </w:p>
    <w:p>
      <w:pPr>
        <w:pStyle w:val="112"/>
        <w:spacing w:line="380" w:lineRule="exact"/>
        <w:ind w:firstLine="437"/>
        <w:rPr>
          <w:rFonts w:hint="eastAsia" w:ascii="宋体" w:hAnsi="宋体" w:eastAsia="宋体" w:cs="宋体"/>
          <w:color w:val="auto"/>
          <w:highlight w:val="none"/>
        </w:rPr>
      </w:pPr>
      <w:r>
        <w:rPr>
          <w:rFonts w:hint="eastAsia" w:ascii="宋体" w:hAnsi="宋体" w:eastAsia="宋体" w:cs="宋体"/>
          <w:color w:val="auto"/>
          <w:highlight w:val="none"/>
        </w:rPr>
        <w:t>_______年___月____日</w:t>
      </w:r>
    </w:p>
    <w:p>
      <w:pPr>
        <w:spacing w:line="400" w:lineRule="exact"/>
        <w:rPr>
          <w:rFonts w:hint="eastAsia" w:ascii="宋体" w:hAnsi="宋体" w:eastAsia="宋体" w:cs="宋体"/>
          <w:color w:val="auto"/>
          <w:highlight w:val="none"/>
        </w:rPr>
      </w:pPr>
    </w:p>
    <w:p>
      <w:pPr>
        <w:spacing w:line="400" w:lineRule="exact"/>
        <w:outlineLvl w:val="1"/>
        <w:rPr>
          <w:rFonts w:hint="eastAsia" w:ascii="宋体" w:hAnsi="宋体" w:eastAsia="宋体" w:cs="宋体"/>
          <w:color w:val="auto"/>
          <w:sz w:val="28"/>
          <w:szCs w:val="20"/>
          <w:highlight w:val="none"/>
        </w:rPr>
      </w:pPr>
      <w:r>
        <w:rPr>
          <w:rFonts w:hint="eastAsia" w:ascii="宋体" w:hAnsi="宋体" w:eastAsia="宋体" w:cs="宋体"/>
          <w:color w:val="auto"/>
          <w:highlight w:val="none"/>
        </w:rPr>
        <w:br w:type="page"/>
      </w:r>
      <w:bookmarkStart w:id="272" w:name="_Toc144974550"/>
      <w:bookmarkStart w:id="273" w:name="_Toc152045583"/>
      <w:bookmarkStart w:id="274" w:name="_Toc15897"/>
      <w:bookmarkStart w:id="275" w:name="_Toc286827095"/>
      <w:bookmarkStart w:id="276" w:name="_Toc286826648"/>
      <w:bookmarkStart w:id="277" w:name="_Toc179632601"/>
      <w:bookmarkStart w:id="278" w:name="_Toc152042360"/>
      <w:r>
        <w:rPr>
          <w:rFonts w:hint="eastAsia" w:ascii="宋体" w:hAnsi="宋体" w:eastAsia="宋体" w:cs="宋体"/>
          <w:color w:val="auto"/>
          <w:sz w:val="28"/>
          <w:szCs w:val="20"/>
          <w:highlight w:val="none"/>
        </w:rPr>
        <w:t>附表四：问题的澄清</w:t>
      </w:r>
      <w:bookmarkEnd w:id="272"/>
      <w:bookmarkEnd w:id="273"/>
      <w:bookmarkEnd w:id="274"/>
      <w:bookmarkEnd w:id="275"/>
      <w:bookmarkEnd w:id="276"/>
      <w:bookmarkEnd w:id="277"/>
      <w:bookmarkEnd w:id="278"/>
    </w:p>
    <w:p>
      <w:pPr>
        <w:spacing w:line="400" w:lineRule="exact"/>
        <w:jc w:val="center"/>
        <w:rPr>
          <w:rFonts w:hint="eastAsia" w:ascii="宋体" w:hAnsi="宋体" w:eastAsia="宋体" w:cs="宋体"/>
          <w:color w:val="auto"/>
          <w:sz w:val="28"/>
          <w:szCs w:val="28"/>
          <w:highlight w:val="none"/>
        </w:rPr>
      </w:pP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w:t>
      </w:r>
    </w:p>
    <w:p>
      <w:pPr>
        <w:spacing w:line="400" w:lineRule="exact"/>
        <w:jc w:val="left"/>
        <w:rPr>
          <w:rFonts w:hint="eastAsia" w:ascii="宋体" w:hAnsi="宋体" w:eastAsia="宋体" w:cs="宋体"/>
          <w:color w:val="auto"/>
          <w:highlight w:val="none"/>
        </w:rPr>
      </w:pPr>
    </w:p>
    <w:p>
      <w:pPr>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编号：__________________</w:t>
      </w:r>
    </w:p>
    <w:p>
      <w:pPr>
        <w:spacing w:line="40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_______（项目名称）标段试验检测</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评标委员会：</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问题澄清通知（编号：）已收悉，现澄清如下：</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2.</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40" w:lineRule="exact"/>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highlight w:val="none"/>
        </w:rPr>
        <w:t>_________________________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highlight w:val="none"/>
        </w:rPr>
        <w:t>_________________________</w:t>
      </w:r>
      <w:r>
        <w:rPr>
          <w:rFonts w:hint="eastAsia" w:ascii="宋体" w:hAnsi="宋体" w:eastAsia="宋体" w:cs="宋体"/>
          <w:color w:val="auto"/>
          <w:szCs w:val="21"/>
          <w:highlight w:val="none"/>
        </w:rPr>
        <w:t>（盖法定代表人电子章）</w:t>
      </w:r>
    </w:p>
    <w:p>
      <w:pPr>
        <w:pStyle w:val="112"/>
        <w:spacing w:line="380" w:lineRule="exact"/>
        <w:ind w:firstLine="3901" w:firstLineChars="1858"/>
        <w:rPr>
          <w:rFonts w:hint="eastAsia" w:ascii="宋体" w:hAnsi="宋体" w:eastAsia="宋体" w:cs="宋体"/>
          <w:color w:val="auto"/>
          <w:highlight w:val="none"/>
        </w:rPr>
      </w:pPr>
      <w:r>
        <w:rPr>
          <w:rFonts w:hint="eastAsia" w:ascii="宋体" w:hAnsi="宋体" w:eastAsia="宋体" w:cs="宋体"/>
          <w:color w:val="auto"/>
          <w:highlight w:val="none"/>
        </w:rPr>
        <w:t>________年____月____日</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00" w:lineRule="exact"/>
        <w:rPr>
          <w:rFonts w:hint="eastAsia" w:ascii="宋体" w:hAnsi="宋体" w:eastAsia="宋体" w:cs="宋体"/>
          <w:color w:val="auto"/>
          <w:highlight w:val="none"/>
        </w:rPr>
      </w:pPr>
    </w:p>
    <w:p>
      <w:pPr>
        <w:spacing w:line="400" w:lineRule="exact"/>
        <w:outlineLvl w:val="1"/>
        <w:rPr>
          <w:rFonts w:hint="eastAsia" w:ascii="宋体" w:hAnsi="宋体" w:eastAsia="宋体" w:cs="宋体"/>
          <w:color w:val="auto"/>
          <w:sz w:val="28"/>
          <w:szCs w:val="20"/>
          <w:highlight w:val="none"/>
          <w:lang w:eastAsia="zh-CN"/>
        </w:rPr>
      </w:pPr>
      <w:r>
        <w:rPr>
          <w:rFonts w:hint="eastAsia" w:ascii="宋体" w:hAnsi="宋体" w:eastAsia="宋体" w:cs="宋体"/>
          <w:color w:val="auto"/>
          <w:highlight w:val="none"/>
        </w:rPr>
        <w:br w:type="page"/>
      </w:r>
      <w:bookmarkStart w:id="279" w:name="_Toc144974551"/>
      <w:bookmarkStart w:id="280" w:name="_Toc286827096"/>
      <w:bookmarkStart w:id="281" w:name="_Toc152042361"/>
      <w:bookmarkStart w:id="282" w:name="_Toc152045584"/>
      <w:bookmarkStart w:id="283" w:name="_Toc286826649"/>
      <w:bookmarkStart w:id="284" w:name="_Toc179632602"/>
      <w:bookmarkStart w:id="285" w:name="_Toc32694"/>
      <w:r>
        <w:rPr>
          <w:rFonts w:hint="eastAsia" w:ascii="宋体" w:hAnsi="宋体" w:eastAsia="宋体" w:cs="宋体"/>
          <w:color w:val="auto"/>
          <w:sz w:val="28"/>
          <w:szCs w:val="20"/>
          <w:highlight w:val="none"/>
        </w:rPr>
        <w:t>附表五：</w:t>
      </w:r>
      <w:bookmarkEnd w:id="279"/>
      <w:bookmarkEnd w:id="280"/>
      <w:bookmarkEnd w:id="281"/>
      <w:bookmarkEnd w:id="282"/>
      <w:bookmarkEnd w:id="283"/>
      <w:bookmarkEnd w:id="284"/>
      <w:r>
        <w:rPr>
          <w:rFonts w:hint="eastAsia" w:ascii="宋体" w:hAnsi="宋体" w:eastAsia="宋体" w:cs="宋体"/>
          <w:color w:val="auto"/>
          <w:sz w:val="28"/>
          <w:szCs w:val="20"/>
          <w:highlight w:val="none"/>
          <w:lang w:eastAsia="zh-CN"/>
        </w:rPr>
        <w:t>成交通知书</w:t>
      </w:r>
      <w:bookmarkEnd w:id="285"/>
    </w:p>
    <w:p>
      <w:pPr>
        <w:spacing w:line="400" w:lineRule="exact"/>
        <w:rPr>
          <w:rFonts w:hint="eastAsia" w:ascii="宋体" w:hAnsi="宋体" w:eastAsia="宋体" w:cs="宋体"/>
          <w:color w:val="auto"/>
          <w:highlight w:val="none"/>
        </w:rPr>
      </w:pPr>
    </w:p>
    <w:p>
      <w:pPr>
        <w:spacing w:line="4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成交通知书</w:t>
      </w:r>
    </w:p>
    <w:p>
      <w:pPr>
        <w:spacing w:line="40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你方于</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日期）所递交的_______（项目名称）_______标段试验检测</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已被我方接受，被确定为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中标价：</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元。</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szCs w:val="21"/>
          <w:highlight w:val="none"/>
          <w:lang w:eastAsia="zh-CN"/>
        </w:rPr>
        <w:t>前期路况检测服务期</w:t>
      </w:r>
      <w:r>
        <w:rPr>
          <w:rFonts w:hint="eastAsia" w:ascii="宋体" w:hAnsi="宋体" w:eastAsia="宋体" w:cs="宋体"/>
          <w:color w:val="auto"/>
          <w:szCs w:val="21"/>
          <w:highlight w:val="none"/>
        </w:rPr>
        <w:t>：</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项目负责人：</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（姓名）。</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请你方在接到本通知书后的日内到（指定地点）与我方签订试验检测合同，在此之前按</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第二章“</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须知”第7.4款规定向我方提交履约担保。</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特此通知。</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40" w:lineRule="exact"/>
        <w:ind w:firstLine="3238" w:firstLineChars="154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w:t>
      </w:r>
      <w:r>
        <w:rPr>
          <w:rFonts w:hint="eastAsia" w:ascii="宋体" w:hAnsi="宋体" w:eastAsia="宋体" w:cs="宋体"/>
          <w:color w:val="auto"/>
          <w:highlight w:val="none"/>
        </w:rPr>
        <w:t>_________________________</w:t>
      </w:r>
      <w:r>
        <w:rPr>
          <w:rFonts w:hint="eastAsia" w:ascii="宋体" w:hAnsi="宋体" w:cs="宋体"/>
          <w:color w:val="auto"/>
          <w:highlight w:val="none"/>
          <w:lang w:eastAsia="zh-CN"/>
        </w:rPr>
        <w:t>（</w:t>
      </w:r>
      <w:r>
        <w:rPr>
          <w:rFonts w:hint="eastAsia" w:ascii="宋体" w:hAnsi="宋体" w:eastAsia="宋体" w:cs="宋体"/>
          <w:color w:val="auto"/>
          <w:highlight w:val="none"/>
        </w:rPr>
        <w:t>盖单位公章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pPr>
        <w:spacing w:line="540" w:lineRule="exact"/>
        <w:ind w:firstLine="3238" w:firstLineChars="15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r>
        <w:rPr>
          <w:rFonts w:hint="eastAsia" w:ascii="宋体" w:hAnsi="宋体" w:eastAsia="宋体" w:cs="宋体"/>
          <w:color w:val="auto"/>
          <w:highlight w:val="none"/>
        </w:rPr>
        <w:t>_________________________</w:t>
      </w:r>
      <w:r>
        <w:rPr>
          <w:rFonts w:hint="eastAsia" w:ascii="宋体" w:hAnsi="宋体" w:cs="宋体"/>
          <w:color w:val="auto"/>
          <w:highlight w:val="none"/>
          <w:lang w:eastAsia="zh-CN"/>
        </w:rPr>
        <w:t>（</w:t>
      </w:r>
      <w:r>
        <w:rPr>
          <w:rFonts w:hint="eastAsia" w:ascii="宋体" w:hAnsi="宋体" w:eastAsia="宋体" w:cs="宋体"/>
          <w:color w:val="auto"/>
          <w:highlight w:val="none"/>
        </w:rPr>
        <w:t>盖单位公章</w:t>
      </w:r>
      <w:r>
        <w:rPr>
          <w:rFonts w:hint="eastAsia" w:ascii="宋体" w:hAnsi="宋体" w:cs="宋体"/>
          <w:color w:val="auto"/>
          <w:highlight w:val="none"/>
          <w:lang w:eastAsia="zh-CN"/>
        </w:rPr>
        <w:t>）</w:t>
      </w:r>
    </w:p>
    <w:p>
      <w:pPr>
        <w:pStyle w:val="112"/>
        <w:spacing w:line="380" w:lineRule="exact"/>
        <w:ind w:firstLine="3901" w:firstLineChars="1858"/>
        <w:rPr>
          <w:rFonts w:hint="eastAsia" w:ascii="宋体" w:hAnsi="宋体" w:eastAsia="宋体" w:cs="宋体"/>
          <w:color w:val="auto"/>
          <w:highlight w:val="none"/>
        </w:rPr>
      </w:pPr>
      <w:r>
        <w:rPr>
          <w:rFonts w:hint="eastAsia" w:ascii="宋体" w:hAnsi="宋体" w:eastAsia="宋体" w:cs="宋体"/>
          <w:color w:val="auto"/>
          <w:highlight w:val="none"/>
        </w:rPr>
        <w:t>________年____月____日</w:t>
      </w:r>
    </w:p>
    <w:p>
      <w:pPr>
        <w:spacing w:line="400" w:lineRule="exact"/>
        <w:rPr>
          <w:rFonts w:hint="eastAsia" w:ascii="宋体" w:hAnsi="宋体" w:eastAsia="宋体" w:cs="宋体"/>
          <w:color w:val="auto"/>
          <w:highlight w:val="none"/>
        </w:rPr>
      </w:pPr>
    </w:p>
    <w:p>
      <w:pPr>
        <w:spacing w:line="400" w:lineRule="exact"/>
        <w:outlineLvl w:val="1"/>
        <w:rPr>
          <w:rFonts w:hint="eastAsia" w:ascii="宋体" w:hAnsi="宋体" w:eastAsia="宋体" w:cs="宋体"/>
          <w:color w:val="auto"/>
          <w:sz w:val="28"/>
          <w:szCs w:val="20"/>
          <w:highlight w:val="none"/>
        </w:rPr>
      </w:pPr>
      <w:r>
        <w:rPr>
          <w:rFonts w:hint="eastAsia" w:ascii="宋体" w:hAnsi="宋体" w:eastAsia="宋体" w:cs="宋体"/>
          <w:color w:val="auto"/>
          <w:highlight w:val="none"/>
        </w:rPr>
        <w:br w:type="page"/>
      </w:r>
      <w:bookmarkStart w:id="286" w:name="_Toc144974552"/>
      <w:bookmarkStart w:id="287" w:name="_Toc32433"/>
      <w:bookmarkStart w:id="288" w:name="_Toc286826650"/>
      <w:bookmarkStart w:id="289" w:name="_Toc179632603"/>
      <w:bookmarkStart w:id="290" w:name="_Toc152042362"/>
      <w:bookmarkStart w:id="291" w:name="_Toc286827097"/>
      <w:bookmarkStart w:id="292" w:name="_Toc152045585"/>
      <w:r>
        <w:rPr>
          <w:rFonts w:hint="eastAsia" w:ascii="宋体" w:hAnsi="宋体" w:eastAsia="宋体" w:cs="宋体"/>
          <w:color w:val="auto"/>
          <w:sz w:val="28"/>
          <w:szCs w:val="20"/>
          <w:highlight w:val="none"/>
        </w:rPr>
        <w:t>附表六：中标结果通知书</w:t>
      </w:r>
      <w:bookmarkEnd w:id="286"/>
      <w:bookmarkEnd w:id="287"/>
      <w:bookmarkEnd w:id="288"/>
      <w:bookmarkEnd w:id="289"/>
      <w:bookmarkEnd w:id="290"/>
      <w:bookmarkEnd w:id="291"/>
      <w:bookmarkEnd w:id="292"/>
    </w:p>
    <w:p>
      <w:pPr>
        <w:spacing w:line="400" w:lineRule="exact"/>
        <w:rPr>
          <w:rFonts w:hint="eastAsia" w:ascii="宋体" w:hAnsi="宋体" w:eastAsia="宋体" w:cs="宋体"/>
          <w:color w:val="auto"/>
          <w:sz w:val="28"/>
          <w:szCs w:val="20"/>
          <w:highlight w:val="none"/>
        </w:rPr>
      </w:pP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中标结果通知书</w:t>
      </w:r>
    </w:p>
    <w:p>
      <w:pPr>
        <w:spacing w:line="40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（未</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我方已接受</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名称）于</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日期）所递交的_______（项目名称）</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标段试验检测</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，确定</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感谢你单位对我们工作的大力支持！</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40" w:lineRule="exact"/>
        <w:ind w:firstLine="3238" w:firstLineChars="154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w:t>
      </w:r>
      <w:r>
        <w:rPr>
          <w:rFonts w:hint="eastAsia" w:ascii="宋体" w:hAnsi="宋体" w:eastAsia="宋体" w:cs="宋体"/>
          <w:color w:val="auto"/>
          <w:highlight w:val="none"/>
        </w:rPr>
        <w:t>_________________________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spacing w:line="540" w:lineRule="exact"/>
        <w:ind w:firstLine="3238" w:firstLineChars="15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r>
        <w:rPr>
          <w:rFonts w:hint="eastAsia" w:ascii="宋体" w:hAnsi="宋体" w:eastAsia="宋体" w:cs="宋体"/>
          <w:color w:val="auto"/>
          <w:highlight w:val="none"/>
        </w:rPr>
        <w:t>_________________________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pStyle w:val="112"/>
        <w:spacing w:line="380" w:lineRule="exact"/>
        <w:ind w:firstLine="3901" w:firstLineChars="1858"/>
        <w:rPr>
          <w:rFonts w:hint="eastAsia" w:ascii="宋体" w:hAnsi="宋体" w:eastAsia="宋体" w:cs="宋体"/>
          <w:color w:val="auto"/>
          <w:highlight w:val="none"/>
        </w:rPr>
      </w:pPr>
      <w:r>
        <w:rPr>
          <w:rFonts w:hint="eastAsia" w:ascii="宋体" w:hAnsi="宋体" w:eastAsia="宋体" w:cs="宋体"/>
          <w:color w:val="auto"/>
          <w:highlight w:val="none"/>
        </w:rPr>
        <w:t>________年____月____日</w:t>
      </w: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00" w:lineRule="exact"/>
        <w:outlineLvl w:val="1"/>
        <w:rPr>
          <w:rFonts w:hint="eastAsia" w:ascii="宋体" w:hAnsi="宋体" w:eastAsia="宋体" w:cs="宋体"/>
          <w:color w:val="auto"/>
          <w:sz w:val="28"/>
          <w:szCs w:val="20"/>
          <w:highlight w:val="none"/>
        </w:rPr>
      </w:pPr>
      <w:bookmarkStart w:id="293" w:name="_Toc11579"/>
      <w:bookmarkStart w:id="294" w:name="_Toc286827098"/>
      <w:bookmarkStart w:id="295" w:name="_Toc286826651"/>
      <w:r>
        <w:rPr>
          <w:rFonts w:hint="eastAsia" w:ascii="宋体" w:hAnsi="宋体" w:eastAsia="宋体" w:cs="宋体"/>
          <w:color w:val="auto"/>
          <w:sz w:val="28"/>
          <w:szCs w:val="20"/>
          <w:highlight w:val="none"/>
        </w:rPr>
        <w:t>附表七：确认通知</w:t>
      </w:r>
      <w:bookmarkEnd w:id="293"/>
      <w:bookmarkEnd w:id="294"/>
      <w:bookmarkEnd w:id="295"/>
    </w:p>
    <w:p>
      <w:pPr>
        <w:spacing w:line="400" w:lineRule="exact"/>
        <w:rPr>
          <w:rFonts w:hint="eastAsia" w:ascii="宋体" w:hAnsi="宋体" w:eastAsia="宋体" w:cs="宋体"/>
          <w:color w:val="auto"/>
          <w:highlight w:val="none"/>
        </w:rPr>
      </w:pP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确认通知</w:t>
      </w:r>
    </w:p>
    <w:p>
      <w:pPr>
        <w:spacing w:line="40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名称）：</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我方已接到你方</w:t>
      </w:r>
      <w:r>
        <w:rPr>
          <w:rFonts w:hint="eastAsia" w:ascii="宋体" w:hAnsi="宋体" w:eastAsia="宋体" w:cs="宋体"/>
          <w:color w:val="auto"/>
          <w:highlight w:val="none"/>
        </w:rPr>
        <w:t>______年____月____日</w:t>
      </w:r>
      <w:r>
        <w:rPr>
          <w:rFonts w:hint="eastAsia" w:ascii="宋体" w:hAnsi="宋体" w:eastAsia="宋体" w:cs="宋体"/>
          <w:color w:val="auto"/>
          <w:szCs w:val="21"/>
          <w:highlight w:val="none"/>
        </w:rPr>
        <w:t>发出的_______（项目名称）______标段试验检测</w:t>
      </w:r>
      <w:r>
        <w:rPr>
          <w:rFonts w:hint="eastAsia" w:ascii="宋体" w:hAnsi="宋体" w:cs="宋体"/>
          <w:color w:val="auto"/>
          <w:szCs w:val="21"/>
          <w:highlight w:val="none"/>
          <w:lang w:eastAsia="zh-CN"/>
        </w:rPr>
        <w:t>交易</w:t>
      </w:r>
      <w:r>
        <w:rPr>
          <w:rFonts w:hint="eastAsia" w:ascii="宋体" w:hAnsi="宋体" w:eastAsia="宋体" w:cs="宋体"/>
          <w:color w:val="auto"/>
          <w:szCs w:val="21"/>
          <w:highlight w:val="none"/>
        </w:rPr>
        <w:t>关于___________的通知，我方已于</w:t>
      </w:r>
      <w:r>
        <w:rPr>
          <w:rFonts w:hint="eastAsia" w:ascii="宋体" w:hAnsi="宋体" w:eastAsia="宋体" w:cs="宋体"/>
          <w:color w:val="auto"/>
          <w:highlight w:val="none"/>
        </w:rPr>
        <w:t>______年____月____日</w:t>
      </w:r>
      <w:r>
        <w:rPr>
          <w:rFonts w:hint="eastAsia" w:ascii="宋体" w:hAnsi="宋体" w:eastAsia="宋体" w:cs="宋体"/>
          <w:color w:val="auto"/>
          <w:szCs w:val="21"/>
          <w:highlight w:val="none"/>
        </w:rPr>
        <w:t>收到。</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特此确认。</w:t>
      </w: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540" w:lineRule="exact"/>
        <w:ind w:firstLine="3548" w:firstLineChars="169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highlight w:val="none"/>
        </w:rPr>
        <w:t>______________</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spacing w:line="400" w:lineRule="exact"/>
        <w:ind w:firstLine="4410" w:firstLineChars="2100"/>
        <w:rPr>
          <w:rFonts w:hint="eastAsia" w:ascii="宋体" w:hAnsi="宋体" w:eastAsia="宋体" w:cs="宋体"/>
          <w:color w:val="auto"/>
          <w:highlight w:val="none"/>
        </w:rPr>
      </w:pPr>
      <w:r>
        <w:rPr>
          <w:rFonts w:hint="eastAsia" w:ascii="宋体" w:hAnsi="宋体" w:eastAsia="宋体" w:cs="宋体"/>
          <w:color w:val="auto"/>
          <w:highlight w:val="none"/>
        </w:rPr>
        <w:t>______年____月____日</w:t>
      </w: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sectPr>
          <w:headerReference r:id="rId9" w:type="default"/>
          <w:footnotePr>
            <w:numFmt w:val="decimalEnclosedCircleChinese"/>
            <w:numRestart w:val="eachPage"/>
          </w:footnotePr>
          <w:pgSz w:w="11906" w:h="16838"/>
          <w:pgMar w:top="1418" w:right="1142" w:bottom="1418" w:left="1361" w:header="851" w:footer="992" w:gutter="0"/>
          <w:pgBorders>
            <w:top w:val="none" w:sz="0" w:space="0"/>
            <w:left w:val="none" w:sz="0" w:space="0"/>
            <w:bottom w:val="none" w:sz="0" w:space="0"/>
            <w:right w:val="none" w:sz="0" w:space="0"/>
          </w:pgBorders>
          <w:cols w:space="720" w:num="1"/>
          <w:docGrid w:linePitch="312" w:charSpace="0"/>
        </w:sectPr>
      </w:pPr>
    </w:p>
    <w:p>
      <w:pPr>
        <w:pStyle w:val="2"/>
        <w:jc w:val="center"/>
        <w:rPr>
          <w:rFonts w:hint="eastAsia" w:ascii="宋体" w:hAnsi="宋体" w:eastAsia="宋体" w:cs="宋体"/>
          <w:color w:val="auto"/>
          <w:szCs w:val="32"/>
          <w:highlight w:val="none"/>
        </w:rPr>
      </w:pPr>
      <w:bookmarkStart w:id="296" w:name="_Toc31319"/>
      <w:bookmarkStart w:id="297" w:name="_Toc286827099"/>
      <w:bookmarkStart w:id="298" w:name="_Toc286826652"/>
      <w:bookmarkStart w:id="299" w:name="_Toc286830206"/>
      <w:r>
        <w:rPr>
          <w:rFonts w:hint="eastAsia" w:ascii="宋体" w:hAnsi="宋体" w:eastAsia="宋体" w:cs="宋体"/>
          <w:color w:val="auto"/>
          <w:szCs w:val="32"/>
          <w:highlight w:val="none"/>
        </w:rPr>
        <w:t>第三章 评标办法（综合评估法）</w:t>
      </w:r>
      <w:bookmarkEnd w:id="296"/>
      <w:bookmarkEnd w:id="297"/>
      <w:bookmarkEnd w:id="298"/>
      <w:bookmarkEnd w:id="299"/>
    </w:p>
    <w:p>
      <w:pPr>
        <w:pStyle w:val="3"/>
        <w:spacing w:before="20" w:after="20" w:line="240" w:lineRule="auto"/>
        <w:rPr>
          <w:rFonts w:hint="eastAsia" w:ascii="宋体" w:hAnsi="宋体" w:eastAsia="宋体" w:cs="宋体"/>
          <w:color w:val="auto"/>
          <w:sz w:val="30"/>
          <w:szCs w:val="30"/>
          <w:highlight w:val="none"/>
        </w:rPr>
      </w:pPr>
      <w:bookmarkStart w:id="300" w:name="_Toc286826653"/>
      <w:bookmarkStart w:id="301" w:name="_Toc286830207"/>
      <w:bookmarkStart w:id="302" w:name="_Toc14153"/>
      <w:bookmarkStart w:id="303" w:name="_Toc286827100"/>
      <w:r>
        <w:rPr>
          <w:rFonts w:hint="eastAsia" w:ascii="宋体" w:hAnsi="宋体" w:eastAsia="宋体" w:cs="宋体"/>
          <w:color w:val="auto"/>
          <w:sz w:val="30"/>
          <w:szCs w:val="30"/>
          <w:highlight w:val="none"/>
        </w:rPr>
        <w:t>评标办法前附表</w:t>
      </w:r>
      <w:bookmarkEnd w:id="300"/>
      <w:bookmarkEnd w:id="301"/>
      <w:bookmarkEnd w:id="302"/>
      <w:bookmarkEnd w:id="303"/>
    </w:p>
    <w:tbl>
      <w:tblPr>
        <w:tblStyle w:val="43"/>
        <w:tblW w:w="928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36"/>
        <w:gridCol w:w="1242"/>
        <w:gridCol w:w="71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3" w:hRule="atLeast"/>
        </w:trPr>
        <w:tc>
          <w:tcPr>
            <w:tcW w:w="936"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24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110" w:type="dxa"/>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34" w:hRule="atLeast"/>
        </w:trPr>
        <w:tc>
          <w:tcPr>
            <w:tcW w:w="936"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w:t>
            </w:r>
          </w:p>
        </w:tc>
        <w:tc>
          <w:tcPr>
            <w:tcW w:w="124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第一个信封资格审查</w:t>
            </w:r>
          </w:p>
        </w:tc>
        <w:tc>
          <w:tcPr>
            <w:tcW w:w="7110" w:type="dxa"/>
            <w:vAlign w:val="center"/>
          </w:tcPr>
          <w:p>
            <w:pPr>
              <w:spacing w:line="300" w:lineRule="exact"/>
              <w:ind w:firstLine="420" w:firstLineChars="19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具备有效的营业执照（或事业单位法人证书）；</w:t>
            </w:r>
          </w:p>
          <w:p>
            <w:pPr>
              <w:spacing w:line="300" w:lineRule="exact"/>
              <w:ind w:firstLine="420" w:firstLineChars="19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的资格条件符合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须知前附表”附录1的规定；</w:t>
            </w:r>
          </w:p>
          <w:p>
            <w:pPr>
              <w:spacing w:line="300" w:lineRule="exact"/>
              <w:ind w:firstLine="420" w:firstLineChars="19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的业绩符合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须知前附表”附录2的规定；</w:t>
            </w:r>
          </w:p>
          <w:p>
            <w:pPr>
              <w:spacing w:line="300" w:lineRule="exact"/>
              <w:ind w:firstLine="420" w:firstLineChars="19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的主要人员资格符合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须知前附表”附录3的规定；</w:t>
            </w:r>
          </w:p>
          <w:p>
            <w:pPr>
              <w:spacing w:line="300" w:lineRule="exact"/>
              <w:ind w:firstLine="420" w:firstLineChars="19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的信誉符合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须知前附表”附录4的规定；</w:t>
            </w:r>
          </w:p>
          <w:p>
            <w:pPr>
              <w:spacing w:line="300" w:lineRule="exact"/>
              <w:ind w:firstLine="316" w:firstLineChars="150"/>
              <w:rPr>
                <w:rFonts w:hint="eastAsia" w:ascii="宋体" w:hAnsi="宋体" w:eastAsia="宋体" w:cs="宋体"/>
                <w:color w:val="auto"/>
                <w:kern w:val="2"/>
                <w:sz w:val="21"/>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的主要试验检测仪器设备符合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须知前附表”附录5的规定；</w:t>
            </w:r>
          </w:p>
          <w:p>
            <w:pPr>
              <w:shd w:val="clear" w:color="auto" w:fill="FFFFFF"/>
              <w:spacing w:line="300" w:lineRule="exact"/>
              <w:ind w:firstLine="316" w:firstLineChars="1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未以联合体方式参与</w:t>
            </w:r>
            <w:r>
              <w:rPr>
                <w:rFonts w:hint="eastAsia" w:ascii="宋体" w:hAnsi="宋体" w:cs="宋体"/>
                <w:b/>
                <w:color w:val="auto"/>
                <w:szCs w:val="21"/>
                <w:highlight w:val="none"/>
                <w:lang w:eastAsia="zh-CN"/>
              </w:rPr>
              <w:t>交易响应</w:t>
            </w:r>
            <w:r>
              <w:rPr>
                <w:rFonts w:hint="eastAsia" w:ascii="宋体" w:hAnsi="宋体" w:eastAsia="宋体" w:cs="宋体"/>
                <w:b/>
                <w:color w:val="auto"/>
                <w:szCs w:val="21"/>
                <w:highlight w:val="none"/>
              </w:rPr>
              <w:t>。</w:t>
            </w:r>
          </w:p>
        </w:tc>
      </w:tr>
    </w:tbl>
    <w:p>
      <w:pPr>
        <w:spacing w:line="360" w:lineRule="auto"/>
        <w:ind w:right="105"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续上表</w:t>
      </w:r>
    </w:p>
    <w:tbl>
      <w:tblPr>
        <w:tblStyle w:val="43"/>
        <w:tblW w:w="928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1560"/>
        <w:gridCol w:w="64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52" w:hRule="atLeast"/>
        </w:trPr>
        <w:tc>
          <w:tcPr>
            <w:tcW w:w="1242" w:type="dxa"/>
            <w:tcBorders>
              <w:top w:val="single" w:color="000000" w:sz="12" w:space="0"/>
              <w:left w:val="single" w:color="000000" w:sz="12" w:space="0"/>
              <w:bottom w:val="single" w:color="000000" w:sz="6" w:space="0"/>
              <w:right w:val="single" w:color="000000" w:sz="6" w:space="0"/>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60" w:type="dxa"/>
            <w:tcBorders>
              <w:top w:val="single" w:color="000000" w:sz="12"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486" w:type="dxa"/>
            <w:tcBorders>
              <w:top w:val="single" w:color="000000" w:sz="12" w:space="0"/>
              <w:left w:val="single" w:color="000000" w:sz="6" w:space="0"/>
              <w:bottom w:val="single" w:color="000000" w:sz="6" w:space="0"/>
              <w:right w:val="single" w:color="000000" w:sz="12" w:space="0"/>
            </w:tcBorders>
            <w:vAlign w:val="center"/>
          </w:tcPr>
          <w:p>
            <w:pPr>
              <w:spacing w:line="3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24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560"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第一个信封初步评审</w:t>
            </w:r>
          </w:p>
        </w:tc>
        <w:tc>
          <w:tcPr>
            <w:tcW w:w="6486" w:type="dxa"/>
            <w:vAlign w:val="center"/>
          </w:tcPr>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第一个信封按照</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规定的格式、内容填写，字迹清晰可辨；</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第一个信封上法定代表人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的单位公章盖章齐全，符合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规定；</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按照第二章“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须知”第3.4款的规定提供了</w:t>
            </w:r>
            <w:r>
              <w:rPr>
                <w:rFonts w:hint="eastAsia" w:ascii="宋体" w:hAnsi="宋体" w:cs="宋体"/>
                <w:b/>
                <w:color w:val="auto"/>
                <w:szCs w:val="21"/>
                <w:highlight w:val="none"/>
                <w:lang w:eastAsia="zh-CN"/>
              </w:rPr>
              <w:t>交易响应</w:t>
            </w:r>
            <w:r>
              <w:rPr>
                <w:rFonts w:hint="eastAsia" w:ascii="宋体" w:hAnsi="宋体" w:eastAsia="宋体" w:cs="宋体"/>
                <w:b/>
                <w:color w:val="auto"/>
                <w:szCs w:val="21"/>
                <w:highlight w:val="none"/>
              </w:rPr>
              <w:t>保证金；</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法定代表人的授权代理人签署</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的，需提交附有法定代表人身份证明的授权委托书，并符合下列要求：</w:t>
            </w:r>
          </w:p>
          <w:p>
            <w:pPr>
              <w:pStyle w:val="112"/>
              <w:spacing w:line="360" w:lineRule="exact"/>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a.授权书上有法定代表人和授权代理人签字或盖章；</w:t>
            </w:r>
          </w:p>
          <w:p>
            <w:pPr>
              <w:pStyle w:val="112"/>
              <w:spacing w:line="360" w:lineRule="exact"/>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b.授权书加盖</w:t>
            </w:r>
            <w:r>
              <w:rPr>
                <w:rFonts w:hint="eastAsia" w:ascii="宋体" w:hAnsi="宋体" w:cs="宋体"/>
                <w:b/>
                <w:color w:val="auto"/>
                <w:szCs w:val="21"/>
                <w:highlight w:val="none"/>
                <w:lang w:eastAsia="zh-CN"/>
              </w:rPr>
              <w:t>交易响应</w:t>
            </w:r>
            <w:r>
              <w:rPr>
                <w:rFonts w:hint="eastAsia" w:ascii="宋体" w:hAnsi="宋体" w:eastAsia="宋体" w:cs="宋体"/>
                <w:b/>
                <w:color w:val="auto"/>
                <w:szCs w:val="21"/>
                <w:highlight w:val="none"/>
              </w:rPr>
              <w:t>人单位公章；</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5</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法定代表人若亲自签署</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的，提供了法定代表人身份证明，并符合下列要求：</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法定代表人若亲自签署</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的，提供了法定代表人身份证明，且法定代表人在法定代表人身份证明上</w:t>
            </w:r>
            <w:r>
              <w:rPr>
                <w:rFonts w:hint="eastAsia" w:ascii="宋体" w:hAnsi="宋体" w:eastAsia="宋体" w:cs="宋体"/>
                <w:b/>
                <w:color w:val="auto"/>
                <w:szCs w:val="21"/>
                <w:highlight w:val="none"/>
                <w:lang w:val="en-US" w:eastAsia="zh-CN"/>
              </w:rPr>
              <w:t>签字或盖章</w:t>
            </w:r>
            <w:r>
              <w:rPr>
                <w:rFonts w:hint="eastAsia" w:ascii="宋体" w:hAnsi="宋体" w:eastAsia="宋体" w:cs="宋体"/>
                <w:b/>
                <w:color w:val="auto"/>
                <w:szCs w:val="21"/>
                <w:highlight w:val="none"/>
              </w:rPr>
              <w:t>。</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6</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按第七章“</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格式”的规定填写了“分包承诺书”，且符合第二章“</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须知”第1.11款规定；</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7</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载明的</w:t>
            </w:r>
            <w:r>
              <w:rPr>
                <w:rFonts w:hint="eastAsia" w:ascii="宋体" w:hAnsi="宋体" w:eastAsia="宋体" w:cs="宋体"/>
                <w:b/>
                <w:color w:val="auto"/>
                <w:szCs w:val="21"/>
                <w:highlight w:val="none"/>
                <w:lang w:eastAsia="zh-CN"/>
              </w:rPr>
              <w:t>交易项目</w:t>
            </w:r>
            <w:r>
              <w:rPr>
                <w:rFonts w:hint="eastAsia" w:ascii="宋体" w:hAnsi="宋体" w:eastAsia="宋体" w:cs="宋体"/>
                <w:b/>
                <w:color w:val="auto"/>
                <w:szCs w:val="21"/>
                <w:highlight w:val="none"/>
              </w:rPr>
              <w:t>完成期限未超过</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规定的时限；</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中未出现有关</w:t>
            </w:r>
            <w:r>
              <w:rPr>
                <w:rFonts w:hint="eastAsia" w:ascii="宋体" w:hAnsi="宋体" w:eastAsia="宋体" w:cs="宋体"/>
                <w:b/>
                <w:color w:val="auto"/>
                <w:szCs w:val="21"/>
                <w:highlight w:val="none"/>
                <w:lang w:eastAsia="zh-CN"/>
              </w:rPr>
              <w:t>交易响应报价</w:t>
            </w:r>
            <w:r>
              <w:rPr>
                <w:rFonts w:hint="eastAsia" w:ascii="宋体" w:hAnsi="宋体" w:eastAsia="宋体" w:cs="宋体"/>
                <w:b/>
                <w:color w:val="auto"/>
                <w:szCs w:val="21"/>
                <w:highlight w:val="none"/>
              </w:rPr>
              <w:t>的内容；</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9</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中没有对</w:t>
            </w:r>
            <w:r>
              <w:rPr>
                <w:rFonts w:hint="eastAsia" w:ascii="宋体" w:hAnsi="宋体" w:eastAsia="宋体" w:cs="宋体"/>
                <w:b/>
                <w:color w:val="auto"/>
                <w:szCs w:val="21"/>
                <w:highlight w:val="none"/>
                <w:lang w:eastAsia="zh-CN"/>
              </w:rPr>
              <w:t>交易发起人</w:t>
            </w:r>
            <w:r>
              <w:rPr>
                <w:rFonts w:hint="eastAsia" w:ascii="宋体" w:hAnsi="宋体" w:eastAsia="宋体" w:cs="宋体"/>
                <w:b/>
                <w:color w:val="auto"/>
                <w:szCs w:val="21"/>
                <w:highlight w:val="none"/>
              </w:rPr>
              <w:t>的权利提出削弱性或限制性要求，没有对</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的责任和义务提出实质性修改；</w:t>
            </w:r>
          </w:p>
          <w:p>
            <w:pPr>
              <w:spacing w:line="340" w:lineRule="exact"/>
              <w:ind w:firstLine="422" w:firstLineChars="20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不存在《</w:t>
            </w:r>
            <w:r>
              <w:rPr>
                <w:rFonts w:hint="eastAsia" w:ascii="宋体" w:hAnsi="宋体" w:eastAsia="宋体" w:cs="宋体"/>
                <w:b/>
                <w:color w:val="auto"/>
                <w:szCs w:val="21"/>
                <w:highlight w:val="none"/>
                <w:lang w:eastAsia="zh-CN"/>
              </w:rPr>
              <w:t>中华人民共和国招标投标法实施条例</w:t>
            </w:r>
            <w:r>
              <w:rPr>
                <w:rFonts w:hint="eastAsia" w:ascii="宋体" w:hAnsi="宋体" w:eastAsia="宋体" w:cs="宋体"/>
                <w:b/>
                <w:color w:val="auto"/>
                <w:szCs w:val="21"/>
                <w:highlight w:val="none"/>
              </w:rPr>
              <w:t>》中规定的任何一种串通</w:t>
            </w:r>
            <w:r>
              <w:rPr>
                <w:rFonts w:hint="eastAsia" w:ascii="宋体" w:hAnsi="宋体" w:cs="宋体"/>
                <w:b/>
                <w:color w:val="auto"/>
                <w:szCs w:val="21"/>
                <w:highlight w:val="none"/>
                <w:lang w:eastAsia="zh-CN"/>
              </w:rPr>
              <w:t>交易响应</w:t>
            </w:r>
            <w:r>
              <w:rPr>
                <w:rFonts w:hint="eastAsia" w:ascii="宋体" w:hAnsi="宋体" w:eastAsia="宋体" w:cs="宋体"/>
                <w:b/>
                <w:color w:val="auto"/>
                <w:szCs w:val="21"/>
                <w:highlight w:val="none"/>
              </w:rPr>
              <w:t>或弄虚作假或其他违法行为；</w:t>
            </w:r>
          </w:p>
          <w:p>
            <w:pPr>
              <w:spacing w:line="340" w:lineRule="exact"/>
              <w:ind w:firstLine="422" w:firstLineChars="200"/>
              <w:rPr>
                <w:rFonts w:hint="eastAsia" w:ascii="宋体" w:hAnsi="宋体" w:eastAsia="宋体" w:cs="宋体"/>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11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未附有</w:t>
            </w:r>
            <w:r>
              <w:rPr>
                <w:rFonts w:hint="eastAsia" w:ascii="宋体" w:hAnsi="宋体" w:eastAsia="宋体" w:cs="宋体"/>
                <w:b/>
                <w:color w:val="auto"/>
                <w:szCs w:val="21"/>
                <w:highlight w:val="none"/>
                <w:lang w:eastAsia="zh-CN"/>
              </w:rPr>
              <w:t>交易发起人</w:t>
            </w:r>
            <w:r>
              <w:rPr>
                <w:rFonts w:hint="eastAsia" w:ascii="宋体" w:hAnsi="宋体" w:eastAsia="宋体" w:cs="宋体"/>
                <w:b/>
                <w:color w:val="auto"/>
                <w:szCs w:val="21"/>
                <w:highlight w:val="none"/>
              </w:rPr>
              <w:t>不能接受的条件。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24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w:t>
            </w:r>
          </w:p>
        </w:tc>
        <w:tc>
          <w:tcPr>
            <w:tcW w:w="1560"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第一个信封详细评审</w:t>
            </w:r>
          </w:p>
        </w:tc>
        <w:tc>
          <w:tcPr>
            <w:tcW w:w="6486" w:type="dxa"/>
            <w:vAlign w:val="center"/>
          </w:tcPr>
          <w:tbl>
            <w:tblPr>
              <w:tblStyle w:val="43"/>
              <w:tblW w:w="6491" w:type="dxa"/>
              <w:tblInd w:w="0" w:type="dxa"/>
              <w:tblLayout w:type="fixed"/>
              <w:tblCellMar>
                <w:top w:w="0" w:type="dxa"/>
                <w:left w:w="108" w:type="dxa"/>
                <w:bottom w:w="0" w:type="dxa"/>
                <w:right w:w="108" w:type="dxa"/>
              </w:tblCellMar>
            </w:tblPr>
            <w:tblGrid>
              <w:gridCol w:w="4995"/>
              <w:gridCol w:w="1496"/>
            </w:tblGrid>
            <w:tr>
              <w:tblPrEx>
                <w:tblCellMar>
                  <w:top w:w="0" w:type="dxa"/>
                  <w:left w:w="108" w:type="dxa"/>
                  <w:bottom w:w="0" w:type="dxa"/>
                  <w:right w:w="108" w:type="dxa"/>
                </w:tblCellMar>
              </w:tblPrEx>
              <w:tc>
                <w:tcPr>
                  <w:tcW w:w="4995" w:type="dxa"/>
                </w:tcPr>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1496" w:type="dxa"/>
                </w:tcPr>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评分值</w:t>
                  </w:r>
                </w:p>
              </w:tc>
            </w:tr>
            <w:tr>
              <w:tblPrEx>
                <w:tblCellMar>
                  <w:top w:w="0" w:type="dxa"/>
                  <w:left w:w="108" w:type="dxa"/>
                  <w:bottom w:w="0" w:type="dxa"/>
                  <w:right w:w="108" w:type="dxa"/>
                </w:tblCellMar>
              </w:tblPrEx>
              <w:tc>
                <w:tcPr>
                  <w:tcW w:w="4995" w:type="dxa"/>
                  <w:vAlign w:val="center"/>
                </w:tcPr>
                <w:p>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交易响应文件</w:t>
                  </w:r>
                  <w:r>
                    <w:rPr>
                      <w:rFonts w:hint="eastAsia" w:ascii="宋体" w:hAnsi="宋体" w:eastAsia="宋体" w:cs="宋体"/>
                      <w:b/>
                      <w:color w:val="auto"/>
                      <w:highlight w:val="none"/>
                    </w:rPr>
                    <w:t>第一个信封（商务文件）：</w:t>
                  </w:r>
                </w:p>
              </w:tc>
              <w:tc>
                <w:tcPr>
                  <w:tcW w:w="1496" w:type="dxa"/>
                </w:tcPr>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60</w:t>
                  </w:r>
                  <w:r>
                    <w:rPr>
                      <w:rFonts w:hint="eastAsia" w:ascii="宋体" w:hAnsi="宋体" w:eastAsia="宋体" w:cs="宋体"/>
                      <w:color w:val="auto"/>
                      <w:highlight w:val="none"/>
                    </w:rPr>
                    <w:t>分</w:t>
                  </w:r>
                </w:p>
              </w:tc>
            </w:tr>
            <w:tr>
              <w:tblPrEx>
                <w:tblCellMar>
                  <w:top w:w="0" w:type="dxa"/>
                  <w:left w:w="108" w:type="dxa"/>
                  <w:bottom w:w="0" w:type="dxa"/>
                  <w:right w:w="108" w:type="dxa"/>
                </w:tblCellMar>
              </w:tblPrEx>
              <w:tc>
                <w:tcPr>
                  <w:tcW w:w="4995"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与本项目相关的具体业绩</w:t>
                  </w:r>
                </w:p>
              </w:tc>
              <w:tc>
                <w:tcPr>
                  <w:tcW w:w="1496" w:type="dxa"/>
                </w:tcPr>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25</w:t>
                  </w:r>
                  <w:r>
                    <w:rPr>
                      <w:rFonts w:hint="eastAsia" w:ascii="宋体" w:hAnsi="宋体" w:eastAsia="宋体" w:cs="宋体"/>
                      <w:color w:val="auto"/>
                      <w:highlight w:val="none"/>
                    </w:rPr>
                    <w:t>分</w:t>
                  </w:r>
                </w:p>
              </w:tc>
            </w:tr>
            <w:tr>
              <w:tblPrEx>
                <w:tblCellMar>
                  <w:top w:w="0" w:type="dxa"/>
                  <w:left w:w="108" w:type="dxa"/>
                  <w:bottom w:w="0" w:type="dxa"/>
                  <w:right w:w="108" w:type="dxa"/>
                </w:tblCellMar>
              </w:tblPrEx>
              <w:tc>
                <w:tcPr>
                  <w:tcW w:w="4995"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b.拟投入本项目的主要人员资格和能力</w:t>
                  </w:r>
                </w:p>
              </w:tc>
              <w:tc>
                <w:tcPr>
                  <w:tcW w:w="1496" w:type="dxa"/>
                </w:tcPr>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25</w:t>
                  </w:r>
                  <w:r>
                    <w:rPr>
                      <w:rFonts w:hint="eastAsia" w:ascii="宋体" w:hAnsi="宋体" w:eastAsia="宋体" w:cs="宋体"/>
                      <w:color w:val="auto"/>
                      <w:highlight w:val="none"/>
                    </w:rPr>
                    <w:t>分</w:t>
                  </w:r>
                </w:p>
              </w:tc>
            </w:tr>
            <w:tr>
              <w:tblPrEx>
                <w:tblCellMar>
                  <w:top w:w="0" w:type="dxa"/>
                  <w:left w:w="108" w:type="dxa"/>
                  <w:bottom w:w="0" w:type="dxa"/>
                  <w:right w:w="108" w:type="dxa"/>
                </w:tblCellMar>
              </w:tblPrEx>
              <w:tc>
                <w:tcPr>
                  <w:tcW w:w="4995"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c.拟投入本项目的主要试验检测仪器设备</w:t>
                  </w:r>
                </w:p>
              </w:tc>
              <w:tc>
                <w:tcPr>
                  <w:tcW w:w="1496" w:type="dxa"/>
                </w:tcPr>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6</w:t>
                  </w:r>
                  <w:r>
                    <w:rPr>
                      <w:rFonts w:hint="eastAsia" w:ascii="宋体" w:hAnsi="宋体" w:eastAsia="宋体" w:cs="宋体"/>
                      <w:color w:val="auto"/>
                      <w:highlight w:val="none"/>
                    </w:rPr>
                    <w:t>分</w:t>
                  </w:r>
                </w:p>
              </w:tc>
            </w:tr>
            <w:tr>
              <w:tblPrEx>
                <w:tblCellMar>
                  <w:top w:w="0" w:type="dxa"/>
                  <w:left w:w="108" w:type="dxa"/>
                  <w:bottom w:w="0" w:type="dxa"/>
                  <w:right w:w="108" w:type="dxa"/>
                </w:tblCellMar>
              </w:tblPrEx>
              <w:tc>
                <w:tcPr>
                  <w:tcW w:w="4995"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的信誉</w:t>
                  </w:r>
                </w:p>
              </w:tc>
              <w:tc>
                <w:tcPr>
                  <w:tcW w:w="1496" w:type="dxa"/>
                </w:tcPr>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4</w:t>
                  </w:r>
                  <w:r>
                    <w:rPr>
                      <w:rFonts w:hint="eastAsia" w:ascii="宋体" w:hAnsi="宋体" w:eastAsia="宋体" w:cs="宋体"/>
                      <w:color w:val="auto"/>
                      <w:highlight w:val="none"/>
                    </w:rPr>
                    <w:t>分</w:t>
                  </w:r>
                </w:p>
              </w:tc>
            </w:tr>
          </w:tbl>
          <w:p>
            <w:pPr>
              <w:spacing w:line="360" w:lineRule="auto"/>
              <w:rPr>
                <w:rFonts w:hint="eastAsia" w:ascii="宋体" w:hAnsi="宋体" w:eastAsia="宋体" w:cs="宋体"/>
                <w:color w:val="auto"/>
                <w:highlight w:val="none"/>
              </w:rPr>
            </w:pPr>
          </w:p>
        </w:tc>
      </w:tr>
    </w:tbl>
    <w:p>
      <w:pPr>
        <w:spacing w:line="360" w:lineRule="auto"/>
        <w:ind w:right="105"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续上表</w:t>
      </w:r>
    </w:p>
    <w:tbl>
      <w:tblPr>
        <w:tblStyle w:val="43"/>
        <w:tblW w:w="949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69"/>
        <w:gridCol w:w="1595"/>
        <w:gridCol w:w="66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4"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634" w:type="dxa"/>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13"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第一个信封详细评审</w:t>
            </w:r>
          </w:p>
        </w:tc>
        <w:tc>
          <w:tcPr>
            <w:tcW w:w="6634" w:type="dxa"/>
            <w:vAlign w:val="center"/>
          </w:tcPr>
          <w:tbl>
            <w:tblPr>
              <w:tblStyle w:val="43"/>
              <w:tblW w:w="6180" w:type="dxa"/>
              <w:tblInd w:w="0" w:type="dxa"/>
              <w:tblLayout w:type="fixed"/>
              <w:tblCellMar>
                <w:top w:w="0" w:type="dxa"/>
                <w:left w:w="108" w:type="dxa"/>
                <w:bottom w:w="0" w:type="dxa"/>
                <w:right w:w="108" w:type="dxa"/>
              </w:tblCellMar>
            </w:tblPr>
            <w:tblGrid>
              <w:gridCol w:w="6180"/>
            </w:tblGrid>
            <w:tr>
              <w:tblPrEx>
                <w:tblCellMar>
                  <w:top w:w="0" w:type="dxa"/>
                  <w:left w:w="108" w:type="dxa"/>
                  <w:bottom w:w="0" w:type="dxa"/>
                  <w:right w:w="108" w:type="dxa"/>
                </w:tblCellMar>
              </w:tblPrEx>
              <w:trPr>
                <w:trHeight w:val="195" w:hRule="atLeast"/>
              </w:trPr>
              <w:tc>
                <w:tcPr>
                  <w:tcW w:w="618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eastAsia="zh-CN"/>
                    </w:rPr>
                    <w:t>交易响应文件</w:t>
                  </w:r>
                  <w:r>
                    <w:rPr>
                      <w:rFonts w:hint="eastAsia" w:ascii="宋体" w:hAnsi="宋体" w:eastAsia="宋体" w:cs="宋体"/>
                      <w:b/>
                      <w:color w:val="auto"/>
                      <w:highlight w:val="none"/>
                    </w:rPr>
                    <w:t>第一个信封（技术文件）：      20</w:t>
                  </w:r>
                  <w:r>
                    <w:rPr>
                      <w:rFonts w:hint="eastAsia" w:ascii="宋体" w:hAnsi="宋体" w:eastAsia="宋体" w:cs="宋体"/>
                      <w:color w:val="auto"/>
                      <w:highlight w:val="none"/>
                    </w:rPr>
                    <w:t>分</w:t>
                  </w:r>
                </w:p>
              </w:tc>
            </w:tr>
            <w:tr>
              <w:tblPrEx>
                <w:tblCellMar>
                  <w:top w:w="0" w:type="dxa"/>
                  <w:left w:w="108" w:type="dxa"/>
                  <w:bottom w:w="0" w:type="dxa"/>
                  <w:right w:w="108" w:type="dxa"/>
                </w:tblCellMar>
              </w:tblPrEx>
              <w:trPr>
                <w:trHeight w:val="1791" w:hRule="atLeast"/>
              </w:trPr>
              <w:tc>
                <w:tcPr>
                  <w:tcW w:w="6180" w:type="dxa"/>
                  <w:vAlign w:val="center"/>
                </w:tcPr>
                <w:p>
                  <w:pPr>
                    <w:spacing w:line="360" w:lineRule="exact"/>
                    <w:ind w:right="357" w:rightChars="170"/>
                    <w:jc w:val="distribute"/>
                    <w:rPr>
                      <w:rFonts w:hint="eastAsia" w:ascii="宋体" w:hAnsi="宋体" w:eastAsia="宋体" w:cs="宋体"/>
                      <w:color w:val="auto"/>
                      <w:highlight w:val="none"/>
                    </w:rPr>
                  </w:pPr>
                  <w:r>
                    <w:rPr>
                      <w:rFonts w:hint="eastAsia" w:ascii="宋体" w:hAnsi="宋体" w:eastAsia="宋体" w:cs="宋体"/>
                      <w:color w:val="auto"/>
                      <w:highlight w:val="none"/>
                    </w:rPr>
                    <w:t>e.试验检测的目的、检测内容、方法               5分</w:t>
                  </w:r>
                </w:p>
                <w:p>
                  <w:pPr>
                    <w:spacing w:line="360" w:lineRule="exact"/>
                    <w:ind w:right="357" w:rightChars="170"/>
                    <w:jc w:val="distribute"/>
                    <w:rPr>
                      <w:rFonts w:hint="eastAsia" w:ascii="宋体" w:hAnsi="宋体" w:eastAsia="宋体" w:cs="宋体"/>
                      <w:color w:val="auto"/>
                      <w:highlight w:val="none"/>
                    </w:rPr>
                  </w:pPr>
                  <w:r>
                    <w:rPr>
                      <w:rFonts w:hint="eastAsia" w:ascii="宋体" w:hAnsi="宋体" w:eastAsia="宋体" w:cs="宋体"/>
                      <w:color w:val="auto"/>
                      <w:highlight w:val="none"/>
                    </w:rPr>
                    <w:t>f.本项目管理、试验检测的重点、难点分析         5分</w:t>
                  </w:r>
                </w:p>
                <w:p>
                  <w:pPr>
                    <w:spacing w:line="360" w:lineRule="exact"/>
                    <w:ind w:right="357" w:rightChars="170"/>
                    <w:jc w:val="distribute"/>
                    <w:rPr>
                      <w:rFonts w:hint="eastAsia" w:ascii="宋体" w:hAnsi="宋体" w:eastAsia="宋体" w:cs="宋体"/>
                      <w:color w:val="auto"/>
                      <w:highlight w:val="none"/>
                    </w:rPr>
                  </w:pPr>
                  <w:r>
                    <w:rPr>
                      <w:rFonts w:hint="eastAsia" w:ascii="宋体" w:hAnsi="宋体" w:eastAsia="宋体" w:cs="宋体"/>
                      <w:color w:val="auto"/>
                      <w:highlight w:val="none"/>
                    </w:rPr>
                    <w:t>g.质量保证措施及服务方案                       5分</w:t>
                  </w:r>
                </w:p>
                <w:p>
                  <w:pPr>
                    <w:spacing w:line="360" w:lineRule="exact"/>
                    <w:ind w:right="357" w:rightChars="170"/>
                    <w:rPr>
                      <w:rFonts w:hint="eastAsia" w:ascii="宋体" w:hAnsi="宋体" w:eastAsia="宋体" w:cs="宋体"/>
                      <w:color w:val="auto"/>
                      <w:highlight w:val="none"/>
                    </w:rPr>
                  </w:pPr>
                  <w:r>
                    <w:rPr>
                      <w:rFonts w:hint="eastAsia" w:ascii="宋体" w:hAnsi="宋体" w:eastAsia="宋体" w:cs="宋体"/>
                      <w:color w:val="auto"/>
                      <w:highlight w:val="none"/>
                    </w:rPr>
                    <w:t xml:space="preserve">h.信息化建设方案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3分</w:t>
                  </w:r>
                </w:p>
                <w:p>
                  <w:pPr>
                    <w:spacing w:line="360" w:lineRule="exact"/>
                    <w:ind w:right="357" w:rightChars="170"/>
                    <w:jc w:val="distribute"/>
                    <w:rPr>
                      <w:rFonts w:hint="eastAsia" w:ascii="宋体" w:hAnsi="宋体" w:eastAsia="宋体" w:cs="宋体"/>
                      <w:color w:val="auto"/>
                      <w:highlight w:val="none"/>
                    </w:rPr>
                  </w:pPr>
                  <w:r>
                    <w:rPr>
                      <w:rFonts w:hint="eastAsia" w:ascii="宋体" w:hAnsi="宋体" w:eastAsia="宋体" w:cs="宋体"/>
                      <w:color w:val="auto"/>
                      <w:highlight w:val="none"/>
                    </w:rPr>
                    <w:t>i.安全保证措施及廉政保证措施                  2分</w:t>
                  </w:r>
                </w:p>
              </w:tc>
            </w:tr>
            <w:tr>
              <w:tblPrEx>
                <w:tblCellMar>
                  <w:top w:w="0" w:type="dxa"/>
                  <w:left w:w="108" w:type="dxa"/>
                  <w:bottom w:w="0" w:type="dxa"/>
                  <w:right w:w="108" w:type="dxa"/>
                </w:tblCellMar>
              </w:tblPrEx>
              <w:trPr>
                <w:trHeight w:val="2659" w:hRule="atLeast"/>
              </w:trPr>
              <w:tc>
                <w:tcPr>
                  <w:tcW w:w="6180" w:type="dxa"/>
                  <w:vAlign w:val="center"/>
                </w:tcPr>
                <w:p>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（3）评审要求</w:t>
                  </w:r>
                </w:p>
                <w:p>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第一个信封（商务文件）由评标委员会统一打分；</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技术文件）由评标委员会各成员独立打分。各评审因素得分以评标委员会各成员打分平均值确定，当评标委员会成员总数为7人及以上时该平均值以去掉一个最高分和一个最低分后计算。打分值保留一位小数，计算结果</w:t>
                  </w:r>
                  <w:r>
                    <w:rPr>
                      <w:rFonts w:hint="eastAsia" w:ascii="宋体" w:hAnsi="宋体" w:cs="宋体"/>
                      <w:color w:val="auto"/>
                      <w:highlight w:val="none"/>
                      <w:lang w:eastAsia="zh-CN"/>
                    </w:rPr>
                    <w:t>保留两位</w:t>
                  </w:r>
                  <w:r>
                    <w:rPr>
                      <w:rFonts w:hint="eastAsia" w:ascii="宋体" w:hAnsi="宋体" w:eastAsia="宋体" w:cs="宋体"/>
                      <w:color w:val="auto"/>
                      <w:highlight w:val="none"/>
                    </w:rPr>
                    <w:t>小数。</w:t>
                  </w:r>
                </w:p>
              </w:tc>
            </w:tr>
          </w:tbl>
          <w:p>
            <w:pPr>
              <w:spacing w:line="360" w:lineRule="auto"/>
              <w:rPr>
                <w:rFonts w:hint="eastAsia" w:ascii="宋体" w:hAnsi="宋体" w:eastAsia="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2"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第二个信封初步评审</w:t>
            </w:r>
          </w:p>
        </w:tc>
        <w:tc>
          <w:tcPr>
            <w:tcW w:w="6634" w:type="dxa"/>
            <w:vAlign w:val="center"/>
          </w:tcPr>
          <w:p>
            <w:pPr>
              <w:spacing w:line="320" w:lineRule="exact"/>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第二个信封（报价文件）按照</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规定的格式、内容填写，字迹清晰可辨，内容齐全完整；</w:t>
            </w:r>
          </w:p>
          <w:p>
            <w:pPr>
              <w:spacing w:line="320" w:lineRule="exact"/>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第二个信封（报价文件）法定代表人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的单位公章盖章齐全，符合</w:t>
            </w:r>
            <w:r>
              <w:rPr>
                <w:rFonts w:hint="eastAsia" w:ascii="宋体" w:hAnsi="宋体" w:eastAsia="宋体" w:cs="宋体"/>
                <w:b/>
                <w:color w:val="auto"/>
                <w:szCs w:val="21"/>
                <w:highlight w:val="none"/>
                <w:lang w:eastAsia="zh-CN"/>
              </w:rPr>
              <w:t>交易文件</w:t>
            </w:r>
            <w:r>
              <w:rPr>
                <w:rFonts w:hint="eastAsia" w:ascii="宋体" w:hAnsi="宋体" w:eastAsia="宋体" w:cs="宋体"/>
                <w:b/>
                <w:color w:val="auto"/>
                <w:szCs w:val="21"/>
                <w:highlight w:val="none"/>
              </w:rPr>
              <w:t>规定；</w:t>
            </w:r>
          </w:p>
          <w:p>
            <w:pPr>
              <w:spacing w:line="320" w:lineRule="exact"/>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在报价函上填写了</w:t>
            </w:r>
            <w:r>
              <w:rPr>
                <w:rFonts w:hint="eastAsia" w:ascii="宋体" w:hAnsi="宋体" w:cs="宋体"/>
                <w:b/>
                <w:color w:val="auto"/>
                <w:szCs w:val="21"/>
                <w:highlight w:val="none"/>
                <w:lang w:eastAsia="zh-CN"/>
              </w:rPr>
              <w:t>交易响应</w:t>
            </w:r>
            <w:r>
              <w:rPr>
                <w:rFonts w:hint="eastAsia" w:ascii="宋体" w:hAnsi="宋体" w:eastAsia="宋体" w:cs="宋体"/>
                <w:b/>
                <w:color w:val="auto"/>
                <w:szCs w:val="21"/>
                <w:highlight w:val="none"/>
              </w:rPr>
              <w:t>总价（包括大写金额和小写金额），</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总价不高于</w:t>
            </w:r>
            <w:r>
              <w:rPr>
                <w:rFonts w:hint="eastAsia" w:ascii="宋体" w:hAnsi="宋体" w:eastAsia="宋体" w:cs="宋体"/>
                <w:b/>
                <w:color w:val="auto"/>
                <w:szCs w:val="21"/>
                <w:highlight w:val="none"/>
                <w:lang w:eastAsia="zh-CN"/>
              </w:rPr>
              <w:t>交易响应控制价</w:t>
            </w:r>
            <w:r>
              <w:rPr>
                <w:rFonts w:hint="eastAsia" w:ascii="宋体" w:hAnsi="宋体" w:eastAsia="宋体" w:cs="宋体"/>
                <w:b/>
                <w:color w:val="auto"/>
                <w:szCs w:val="21"/>
                <w:highlight w:val="none"/>
              </w:rPr>
              <w:t>，且报价唯一；</w:t>
            </w:r>
          </w:p>
          <w:p>
            <w:pPr>
              <w:spacing w:line="320" w:lineRule="exact"/>
              <w:ind w:firstLine="422" w:firstLineChars="200"/>
              <w:rPr>
                <w:rFonts w:hint="eastAsia" w:ascii="宋体" w:hAnsi="宋体" w:eastAsia="宋体" w:cs="宋体"/>
                <w:b/>
                <w:color w:val="auto"/>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未修改</w:t>
            </w:r>
            <w:r>
              <w:rPr>
                <w:rFonts w:hint="eastAsia" w:ascii="宋体" w:hAnsi="宋体" w:eastAsia="宋体" w:cs="宋体"/>
                <w:b/>
                <w:color w:val="auto"/>
                <w:szCs w:val="21"/>
                <w:highlight w:val="none"/>
                <w:lang w:eastAsia="zh-CN"/>
              </w:rPr>
              <w:t>交易发起人</w:t>
            </w:r>
            <w:r>
              <w:rPr>
                <w:rFonts w:hint="eastAsia" w:ascii="宋体" w:hAnsi="宋体" w:eastAsia="宋体" w:cs="宋体"/>
                <w:b/>
                <w:color w:val="auto"/>
                <w:szCs w:val="21"/>
                <w:highlight w:val="none"/>
              </w:rPr>
              <w:t>给定的暂列金额（如有）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7"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第二个信封澄清</w:t>
            </w:r>
          </w:p>
        </w:tc>
        <w:tc>
          <w:tcPr>
            <w:tcW w:w="6634"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第二个信封澄清过程中，发生以下任一情形，作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拒绝确认算术性修正后的报价</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修正后的最终</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lang w:eastAsia="zh-CN"/>
              </w:rPr>
              <w:t>交易响应控制价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7"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2.10</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第二个信封详细评审</w:t>
            </w:r>
          </w:p>
        </w:tc>
        <w:tc>
          <w:tcPr>
            <w:tcW w:w="6634" w:type="dxa"/>
            <w:vAlign w:val="center"/>
          </w:tcPr>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评审因素评分值</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第二个信封（报价文件）：           20分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j.</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 xml:space="preserve">                                 20分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64" w:hRule="atLeast"/>
        </w:trPr>
        <w:tc>
          <w:tcPr>
            <w:tcW w:w="1269"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2.12</w:t>
            </w:r>
          </w:p>
        </w:tc>
        <w:tc>
          <w:tcPr>
            <w:tcW w:w="1595"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评标结果</w:t>
            </w:r>
          </w:p>
        </w:tc>
        <w:tc>
          <w:tcPr>
            <w:tcW w:w="6634" w:type="dxa"/>
            <w:vAlign w:val="center"/>
          </w:tcPr>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推荐的</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的人数为</w:t>
            </w:r>
            <w:r>
              <w:rPr>
                <w:rFonts w:hint="eastAsia" w:ascii="宋体" w:hAnsi="宋体" w:eastAsia="宋体" w:cs="宋体"/>
                <w:color w:val="auto"/>
                <w:highlight w:val="none"/>
                <w:u w:val="single"/>
              </w:rPr>
              <w:t>1</w:t>
            </w:r>
            <w:r>
              <w:rPr>
                <w:rFonts w:hint="eastAsia" w:ascii="宋体" w:hAnsi="宋体" w:eastAsia="宋体" w:cs="宋体"/>
                <w:color w:val="auto"/>
                <w:highlight w:val="none"/>
              </w:rPr>
              <w:t>名</w:t>
            </w:r>
          </w:p>
        </w:tc>
      </w:tr>
    </w:tbl>
    <w:p>
      <w:pPr>
        <w:spacing w:afterLines="50" w:line="5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续上表</w:t>
      </w:r>
    </w:p>
    <w:tbl>
      <w:tblPr>
        <w:tblStyle w:val="43"/>
        <w:tblW w:w="94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376"/>
        <w:gridCol w:w="993"/>
        <w:gridCol w:w="1134"/>
        <w:gridCol w:w="765"/>
        <w:gridCol w:w="4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701" w:type="dxa"/>
            <w:gridSpan w:val="5"/>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评审因素与评分值</w:t>
            </w:r>
          </w:p>
        </w:tc>
        <w:tc>
          <w:tcPr>
            <w:tcW w:w="4740" w:type="dxa"/>
            <w:vMerge w:val="restart"/>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33" w:type="dxa"/>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76" w:type="dxa"/>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993"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评审因素评分值</w:t>
            </w:r>
          </w:p>
        </w:tc>
        <w:tc>
          <w:tcPr>
            <w:tcW w:w="1134"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各评审因素细分项</w:t>
            </w:r>
          </w:p>
        </w:tc>
        <w:tc>
          <w:tcPr>
            <w:tcW w:w="765"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4740" w:type="dxa"/>
            <w:vMerge w:val="continue"/>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3" w:type="dxa"/>
            <w:vMerge w:val="restart"/>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p>
        </w:tc>
        <w:tc>
          <w:tcPr>
            <w:tcW w:w="1376" w:type="dxa"/>
            <w:vMerge w:val="restart"/>
            <w:vAlign w:val="center"/>
          </w:tcPr>
          <w:p>
            <w:pPr>
              <w:keepNext w:val="0"/>
              <w:keepLines w:val="0"/>
              <w:pageBreakBefore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与本项目相关的具体业绩</w:t>
            </w:r>
          </w:p>
        </w:tc>
        <w:tc>
          <w:tcPr>
            <w:tcW w:w="993" w:type="dxa"/>
            <w:vMerge w:val="restart"/>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25分</w:t>
            </w:r>
          </w:p>
        </w:tc>
        <w:tc>
          <w:tcPr>
            <w:tcW w:w="1134" w:type="dxa"/>
            <w:vMerge w:val="restart"/>
            <w:vAlign w:val="center"/>
          </w:tcPr>
          <w:p>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类似试验检测项目业绩</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24</w:t>
            </w:r>
            <w:r>
              <w:rPr>
                <w:rFonts w:hint="eastAsia" w:ascii="宋体" w:hAnsi="宋体" w:eastAsia="宋体" w:cs="宋体"/>
                <w:color w:val="auto"/>
                <w:sz w:val="18"/>
                <w:szCs w:val="18"/>
                <w:highlight w:val="none"/>
              </w:rPr>
              <w:t>分</w:t>
            </w:r>
          </w:p>
        </w:tc>
        <w:tc>
          <w:tcPr>
            <w:tcW w:w="4740" w:type="dxa"/>
            <w:vAlign w:val="center"/>
          </w:tcPr>
          <w:p>
            <w:pPr>
              <w:keepNext w:val="0"/>
              <w:keepLines w:val="0"/>
              <w:pageBreakBefore w:val="0"/>
              <w:widowControl/>
              <w:kinsoku/>
              <w:wordWrap/>
              <w:overflowPunct/>
              <w:topLinePunct w:val="0"/>
              <w:bidi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本项目基本得分为</w:t>
            </w:r>
            <w:r>
              <w:rPr>
                <w:rFonts w:hint="eastAsia" w:ascii="宋体" w:hAnsi="宋体" w:cs="宋体"/>
                <w:color w:val="auto"/>
                <w:sz w:val="18"/>
                <w:szCs w:val="18"/>
                <w:highlight w:val="none"/>
                <w:u w:val="single"/>
                <w:lang w:val="en-US" w:eastAsia="zh-CN"/>
              </w:rPr>
              <w:t>24</w:t>
            </w:r>
            <w:r>
              <w:rPr>
                <w:rFonts w:hint="eastAsia" w:ascii="宋体" w:hAnsi="宋体" w:eastAsia="宋体" w:cs="宋体"/>
                <w:color w:val="auto"/>
                <w:sz w:val="18"/>
                <w:szCs w:val="18"/>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376" w:type="dxa"/>
            <w:vMerge w:val="continue"/>
            <w:vAlign w:val="center"/>
          </w:tcPr>
          <w:p>
            <w:pPr>
              <w:keepNext w:val="0"/>
              <w:keepLines w:val="0"/>
              <w:pageBreakBefore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18"/>
                <w:szCs w:val="18"/>
                <w:highlight w:val="none"/>
                <w:lang w:eastAsia="zh-CN"/>
              </w:rPr>
            </w:pPr>
          </w:p>
        </w:tc>
        <w:tc>
          <w:tcPr>
            <w:tcW w:w="99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134" w:type="dxa"/>
            <w:vMerge w:val="continue"/>
            <w:vAlign w:val="center"/>
          </w:tcPr>
          <w:p>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18"/>
                <w:szCs w:val="18"/>
                <w:highlight w:val="none"/>
              </w:rPr>
            </w:pP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0~1分</w:t>
            </w:r>
          </w:p>
        </w:tc>
        <w:tc>
          <w:tcPr>
            <w:tcW w:w="4740" w:type="dxa"/>
            <w:vAlign w:val="center"/>
          </w:tcPr>
          <w:p>
            <w:pPr>
              <w:keepNext w:val="0"/>
              <w:keepLines w:val="0"/>
              <w:pageBreakBefore w:val="0"/>
              <w:widowControl/>
              <w:kinsoku/>
              <w:wordWrap/>
              <w:overflowPunct/>
              <w:topLinePunct w:val="0"/>
              <w:bidi w:val="0"/>
              <w:snapToGrid/>
              <w:spacing w:line="288" w:lineRule="auto"/>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除满足资格审查条件外，自201</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年</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月1日以来【以发包人（或交通运输部门）出具的证明材料时间为准】，</w:t>
            </w:r>
            <w:r>
              <w:rPr>
                <w:rFonts w:hint="eastAsia" w:ascii="宋体" w:hAnsi="宋体" w:eastAsia="宋体" w:cs="宋体"/>
                <w:color w:val="auto"/>
                <w:sz w:val="18"/>
                <w:szCs w:val="18"/>
                <w:highlight w:val="none"/>
                <w:lang w:val="en-US" w:eastAsia="zh-CN"/>
              </w:rPr>
              <w:t>每增加完成过一项</w:t>
            </w:r>
            <w:r>
              <w:rPr>
                <w:rFonts w:hint="eastAsia" w:ascii="宋体" w:hAnsi="宋体" w:eastAsia="宋体" w:cs="宋体"/>
                <w:color w:val="auto"/>
                <w:sz w:val="18"/>
                <w:szCs w:val="18"/>
                <w:highlight w:val="none"/>
                <w:lang w:eastAsia="zh-CN"/>
              </w:rPr>
              <w:t>公路工程的试验检测任务【检测内容至少包含隧道施工监控量测（或监测）】的加</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分，</w:t>
            </w:r>
            <w:r>
              <w:rPr>
                <w:rFonts w:hint="eastAsia" w:ascii="宋体" w:hAnsi="宋体" w:eastAsia="宋体" w:cs="宋体"/>
                <w:color w:val="auto"/>
                <w:sz w:val="18"/>
                <w:szCs w:val="18"/>
                <w:highlight w:val="none"/>
                <w:lang w:val="en-US" w:eastAsia="zh-CN"/>
              </w:rPr>
              <w:t>最多加1.0分。</w:t>
            </w:r>
            <w:r>
              <w:rPr>
                <w:rFonts w:hint="eastAsia" w:ascii="宋体" w:hAnsi="宋体" w:eastAsia="宋体" w:cs="宋体"/>
                <w:color w:val="auto"/>
                <w:sz w:val="18"/>
                <w:szCs w:val="18"/>
                <w:highlight w:val="none"/>
                <w:lang w:eastAsia="zh-CN"/>
              </w:rPr>
              <w:t>（业绩证明文件需附材料同附录2资格审查条件）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33"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w:t>
            </w:r>
          </w:p>
        </w:tc>
        <w:tc>
          <w:tcPr>
            <w:tcW w:w="1376" w:type="dxa"/>
            <w:vAlign w:val="center"/>
          </w:tcPr>
          <w:p>
            <w:pPr>
              <w:keepNext w:val="0"/>
              <w:keepLines w:val="0"/>
              <w:pageBreakBefore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拟投入本项目的人员资格和能力</w:t>
            </w:r>
          </w:p>
        </w:tc>
        <w:tc>
          <w:tcPr>
            <w:tcW w:w="993"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25分</w:t>
            </w:r>
          </w:p>
        </w:tc>
        <w:tc>
          <w:tcPr>
            <w:tcW w:w="1134" w:type="dxa"/>
            <w:vAlign w:val="center"/>
          </w:tcPr>
          <w:p>
            <w:pPr>
              <w:keepNext w:val="0"/>
              <w:keepLines w:val="0"/>
              <w:pageBreakBefore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本项目的人员资格和能力</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24.7～</w:t>
            </w:r>
            <w:r>
              <w:rPr>
                <w:rFonts w:hint="eastAsia" w:ascii="宋体" w:hAnsi="宋体" w:eastAsia="宋体" w:cs="宋体"/>
                <w:color w:val="auto"/>
                <w:sz w:val="18"/>
                <w:szCs w:val="18"/>
                <w:highlight w:val="none"/>
              </w:rPr>
              <w:t>25分</w:t>
            </w:r>
          </w:p>
        </w:tc>
        <w:tc>
          <w:tcPr>
            <w:tcW w:w="4740" w:type="dxa"/>
            <w:vAlign w:val="center"/>
          </w:tcPr>
          <w:p>
            <w:pPr>
              <w:keepNext w:val="0"/>
              <w:keepLines w:val="0"/>
              <w:pageBreakBefore w:val="0"/>
              <w:widowControl/>
              <w:kinsoku/>
              <w:wordWrap/>
              <w:overflowPunct/>
              <w:topLinePunct w:val="0"/>
              <w:bidi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满足资格审查最低要求得</w:t>
            </w:r>
            <w:r>
              <w:rPr>
                <w:rFonts w:hint="eastAsia" w:ascii="宋体" w:hAnsi="宋体" w:eastAsia="宋体" w:cs="宋体"/>
                <w:color w:val="auto"/>
                <w:sz w:val="18"/>
                <w:szCs w:val="18"/>
                <w:highlight w:val="none"/>
                <w:u w:val="single"/>
              </w:rPr>
              <w:t>2</w:t>
            </w:r>
            <w:r>
              <w:rPr>
                <w:rFonts w:hint="eastAsia" w:ascii="宋体" w:hAnsi="宋体" w:cs="宋体"/>
                <w:color w:val="auto"/>
                <w:sz w:val="18"/>
                <w:szCs w:val="18"/>
                <w:highlight w:val="none"/>
                <w:u w:val="single"/>
                <w:lang w:val="en-US" w:eastAsia="zh-CN"/>
              </w:rPr>
              <w:t>4</w:t>
            </w:r>
            <w:r>
              <w:rPr>
                <w:rFonts w:hint="eastAsia" w:ascii="宋体" w:hAnsi="宋体" w:eastAsia="宋体" w:cs="宋体"/>
                <w:color w:val="auto"/>
                <w:sz w:val="18"/>
                <w:szCs w:val="18"/>
                <w:highlight w:val="none"/>
                <w:u w:val="single"/>
              </w:rPr>
              <w:t>.</w:t>
            </w:r>
            <w:r>
              <w:rPr>
                <w:rFonts w:hint="eastAsia" w:ascii="宋体" w:hAnsi="宋体" w:eastAsia="宋体" w:cs="宋体"/>
                <w:color w:val="auto"/>
                <w:sz w:val="18"/>
                <w:szCs w:val="18"/>
                <w:highlight w:val="none"/>
                <w:u w:val="single"/>
                <w:lang w:val="en-US" w:eastAsia="zh-CN"/>
              </w:rPr>
              <w:t>7</w:t>
            </w:r>
            <w:r>
              <w:rPr>
                <w:rFonts w:hint="eastAsia" w:ascii="宋体" w:hAnsi="宋体" w:eastAsia="宋体" w:cs="宋体"/>
                <w:color w:val="auto"/>
                <w:sz w:val="18"/>
                <w:szCs w:val="18"/>
                <w:highlight w:val="none"/>
              </w:rPr>
              <w:t>分。</w:t>
            </w:r>
          </w:p>
          <w:p>
            <w:pPr>
              <w:keepNext w:val="0"/>
              <w:keepLines w:val="0"/>
              <w:pageBreakBefore w:val="0"/>
              <w:widowControl/>
              <w:kinsoku/>
              <w:wordWrap/>
              <w:overflowPunct/>
              <w:topLinePunct w:val="0"/>
              <w:bidi w:val="0"/>
              <w:snapToGrid/>
              <w:spacing w:line="288" w:lineRule="auto"/>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.根据浙江省交通运输厅最新公布</w:t>
            </w:r>
            <w:r>
              <w:rPr>
                <w:rFonts w:hint="eastAsia" w:ascii="宋体" w:hAnsi="宋体" w:eastAsia="宋体" w:cs="宋体"/>
                <w:color w:val="auto"/>
                <w:spacing w:val="-14"/>
                <w:sz w:val="18"/>
                <w:szCs w:val="18"/>
                <w:highlight w:val="none"/>
              </w:rPr>
              <w:t>（</w:t>
            </w:r>
            <w:r>
              <w:rPr>
                <w:rFonts w:hint="eastAsia" w:ascii="宋体" w:hAnsi="宋体" w:cs="宋体"/>
                <w:color w:val="auto"/>
                <w:spacing w:val="-14"/>
                <w:sz w:val="18"/>
                <w:szCs w:val="18"/>
                <w:highlight w:val="none"/>
                <w:lang w:eastAsia="zh-CN"/>
              </w:rPr>
              <w:t>交易响应</w:t>
            </w:r>
            <w:r>
              <w:rPr>
                <w:rFonts w:hint="eastAsia" w:ascii="宋体" w:hAnsi="宋体" w:eastAsia="宋体" w:cs="宋体"/>
                <w:color w:val="auto"/>
                <w:spacing w:val="-14"/>
                <w:sz w:val="18"/>
                <w:szCs w:val="18"/>
                <w:highlight w:val="none"/>
              </w:rPr>
              <w:t>截止日为准）有效的</w:t>
            </w:r>
            <w:r>
              <w:rPr>
                <w:rFonts w:hint="eastAsia" w:ascii="宋体" w:hAnsi="宋体" w:eastAsia="宋体" w:cs="宋体"/>
                <w:color w:val="auto"/>
                <w:sz w:val="18"/>
                <w:szCs w:val="18"/>
                <w:highlight w:val="none"/>
              </w:rPr>
              <w:t>试验检测项目负责人信用评价结果，拟委任项目负责人信用评价结果为 AA级得分为0.3 分； A 级得分为0.1 分</w:t>
            </w:r>
            <w:r>
              <w:rPr>
                <w:rFonts w:hint="eastAsia" w:ascii="宋体" w:hAnsi="宋体" w:eastAsia="宋体" w:cs="宋体"/>
                <w:color w:val="auto"/>
                <w:spacing w:val="-14"/>
                <w:sz w:val="18"/>
                <w:szCs w:val="18"/>
                <w:highlight w:val="none"/>
              </w:rPr>
              <w:t>，其余不得分</w:t>
            </w:r>
            <w:r>
              <w:rPr>
                <w:rFonts w:hint="eastAsia" w:ascii="宋体" w:hAnsi="宋体" w:eastAsia="宋体" w:cs="宋体"/>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33"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c.</w:t>
            </w:r>
          </w:p>
        </w:tc>
        <w:tc>
          <w:tcPr>
            <w:tcW w:w="1376"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拟投入本项目的主要试验检测仪器设备</w:t>
            </w:r>
          </w:p>
        </w:tc>
        <w:tc>
          <w:tcPr>
            <w:tcW w:w="993"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6分</w:t>
            </w:r>
          </w:p>
        </w:tc>
        <w:tc>
          <w:tcPr>
            <w:tcW w:w="1134" w:type="dxa"/>
            <w:vAlign w:val="center"/>
          </w:tcPr>
          <w:p>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主要试验检测仪器设备</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6分</w:t>
            </w:r>
          </w:p>
        </w:tc>
        <w:tc>
          <w:tcPr>
            <w:tcW w:w="4740" w:type="dxa"/>
            <w:vAlign w:val="center"/>
          </w:tcPr>
          <w:p>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满足资格审查最低要求得</w:t>
            </w:r>
            <w:r>
              <w:rPr>
                <w:rFonts w:hint="eastAsia" w:ascii="宋体" w:hAnsi="宋体" w:eastAsia="宋体" w:cs="宋体"/>
                <w:color w:val="auto"/>
                <w:sz w:val="18"/>
                <w:szCs w:val="18"/>
                <w:highlight w:val="none"/>
                <w:u w:val="single"/>
              </w:rPr>
              <w:t>6</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433" w:type="dxa"/>
            <w:vMerge w:val="restart"/>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d.</w:t>
            </w:r>
          </w:p>
        </w:tc>
        <w:tc>
          <w:tcPr>
            <w:tcW w:w="1376" w:type="dxa"/>
            <w:vMerge w:val="restart"/>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的信誉</w:t>
            </w:r>
          </w:p>
        </w:tc>
        <w:tc>
          <w:tcPr>
            <w:tcW w:w="993" w:type="dxa"/>
            <w:vMerge w:val="restart"/>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4分</w:t>
            </w:r>
          </w:p>
        </w:tc>
        <w:tc>
          <w:tcPr>
            <w:tcW w:w="1134"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信用评价</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spacing w:val="-14"/>
                <w:sz w:val="18"/>
                <w:szCs w:val="18"/>
                <w:highlight w:val="none"/>
              </w:rPr>
              <w:t>～</w:t>
            </w:r>
            <w:r>
              <w:rPr>
                <w:rFonts w:hint="eastAsia" w:ascii="宋体" w:hAnsi="宋体" w:eastAsia="宋体" w:cs="宋体"/>
                <w:color w:val="auto"/>
                <w:sz w:val="18"/>
                <w:szCs w:val="18"/>
                <w:highlight w:val="none"/>
              </w:rPr>
              <w:t>2分</w:t>
            </w:r>
          </w:p>
        </w:tc>
        <w:tc>
          <w:tcPr>
            <w:tcW w:w="4740" w:type="dxa"/>
            <w:vAlign w:val="center"/>
          </w:tcPr>
          <w:p>
            <w:pPr>
              <w:keepNext w:val="0"/>
              <w:keepLines w:val="0"/>
              <w:pageBreakBefore w:val="0"/>
              <w:widowControl/>
              <w:kinsoku/>
              <w:wordWrap/>
              <w:overflowPunct/>
              <w:topLinePunct w:val="0"/>
              <w:bidi w:val="0"/>
              <w:snapToGrid/>
              <w:spacing w:line="288" w:lineRule="auto"/>
              <w:ind w:firstLine="304" w:firstLineChars="200"/>
              <w:jc w:val="left"/>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pacing w:val="-14"/>
                <w:sz w:val="18"/>
                <w:szCs w:val="18"/>
                <w:highlight w:val="none"/>
              </w:rPr>
              <w:t>根据浙江省交通运输厅最新公布（</w:t>
            </w:r>
            <w:r>
              <w:rPr>
                <w:rFonts w:hint="eastAsia" w:ascii="宋体" w:hAnsi="宋体" w:cs="宋体"/>
                <w:color w:val="auto"/>
                <w:spacing w:val="-14"/>
                <w:sz w:val="18"/>
                <w:szCs w:val="18"/>
                <w:highlight w:val="none"/>
                <w:lang w:eastAsia="zh-CN"/>
              </w:rPr>
              <w:t>交易响应</w:t>
            </w:r>
            <w:r>
              <w:rPr>
                <w:rFonts w:hint="eastAsia" w:ascii="宋体" w:hAnsi="宋体" w:eastAsia="宋体" w:cs="宋体"/>
                <w:color w:val="auto"/>
                <w:spacing w:val="-14"/>
                <w:sz w:val="18"/>
                <w:szCs w:val="18"/>
                <w:highlight w:val="none"/>
              </w:rPr>
              <w:t>截止日为准）有效的公路水运工程试验检测机构信用评价结果，</w:t>
            </w:r>
            <w:r>
              <w:rPr>
                <w:rFonts w:hint="eastAsia" w:ascii="宋体" w:hAnsi="宋体" w:eastAsia="宋体" w:cs="宋体"/>
                <w:color w:val="auto"/>
                <w:spacing w:val="-14"/>
                <w:sz w:val="18"/>
                <w:szCs w:val="18"/>
                <w:highlight w:val="none"/>
                <w:lang w:eastAsia="zh-CN"/>
              </w:rPr>
              <w:t>交易响应人</w:t>
            </w:r>
            <w:r>
              <w:rPr>
                <w:rFonts w:hint="eastAsia" w:ascii="宋体" w:hAnsi="宋体" w:eastAsia="宋体" w:cs="宋体"/>
                <w:color w:val="auto"/>
                <w:spacing w:val="-14"/>
                <w:sz w:val="18"/>
                <w:szCs w:val="18"/>
                <w:highlight w:val="none"/>
              </w:rPr>
              <w:t>信用评价结果为AA级得分为2分，A级得分为1分，B级得分为0分（无信用评价结果的视为B级），</w:t>
            </w:r>
            <w:r>
              <w:rPr>
                <w:rFonts w:hint="eastAsia" w:ascii="宋体" w:hAnsi="宋体" w:eastAsia="宋体" w:cs="宋体"/>
                <w:color w:val="auto"/>
                <w:sz w:val="18"/>
                <w:szCs w:val="18"/>
                <w:highlight w:val="none"/>
              </w:rPr>
              <w:t>C级得分为-2分，D级得分为-3分</w:t>
            </w:r>
            <w:r>
              <w:rPr>
                <w:rFonts w:hint="eastAsia" w:ascii="宋体" w:hAnsi="宋体" w:eastAsia="宋体" w:cs="宋体"/>
                <w:color w:val="auto"/>
                <w:spacing w:val="-14"/>
                <w:sz w:val="18"/>
                <w:szCs w:val="18"/>
                <w:highlight w:val="none"/>
              </w:rPr>
              <w:t>。</w:t>
            </w:r>
            <w:r>
              <w:rPr>
                <w:rFonts w:hint="eastAsia" w:ascii="宋体" w:hAnsi="宋体" w:eastAsia="宋体" w:cs="宋体"/>
                <w:b/>
                <w:bCs/>
                <w:color w:val="auto"/>
                <w:spacing w:val="-14"/>
                <w:sz w:val="18"/>
                <w:szCs w:val="18"/>
                <w:highlight w:val="none"/>
              </w:rPr>
              <w:t>（提供浙江省交通运输厅最新公布（</w:t>
            </w:r>
            <w:r>
              <w:rPr>
                <w:rFonts w:hint="eastAsia" w:ascii="宋体" w:hAnsi="宋体" w:cs="宋体"/>
                <w:b/>
                <w:bCs/>
                <w:color w:val="auto"/>
                <w:spacing w:val="-14"/>
                <w:sz w:val="18"/>
                <w:szCs w:val="18"/>
                <w:highlight w:val="none"/>
                <w:lang w:eastAsia="zh-CN"/>
              </w:rPr>
              <w:t>交易响应</w:t>
            </w:r>
            <w:r>
              <w:rPr>
                <w:rFonts w:hint="eastAsia" w:ascii="宋体" w:hAnsi="宋体" w:eastAsia="宋体" w:cs="宋体"/>
                <w:b/>
                <w:bCs/>
                <w:color w:val="auto"/>
                <w:spacing w:val="-14"/>
                <w:sz w:val="18"/>
                <w:szCs w:val="18"/>
                <w:highlight w:val="none"/>
              </w:rPr>
              <w:t>截止日为准）有效的公路水运工程试验检测机构信用评价结果正式文件复印件）</w:t>
            </w:r>
          </w:p>
          <w:p>
            <w:pPr>
              <w:keepNext w:val="0"/>
              <w:keepLines w:val="0"/>
              <w:pageBreakBefore w:val="0"/>
              <w:kinsoku/>
              <w:wordWrap/>
              <w:overflowPunct/>
              <w:topLinePunct w:val="0"/>
              <w:bidi w:val="0"/>
              <w:snapToGrid/>
              <w:spacing w:line="288" w:lineRule="auto"/>
              <w:ind w:firstLine="304" w:firstLineChars="200"/>
              <w:textAlignment w:val="auto"/>
              <w:rPr>
                <w:rFonts w:hint="eastAsia" w:ascii="宋体" w:hAnsi="宋体" w:eastAsia="宋体" w:cs="宋体"/>
                <w:color w:val="auto"/>
                <w:spacing w:val="-14"/>
                <w:sz w:val="18"/>
                <w:szCs w:val="18"/>
                <w:highlight w:val="none"/>
              </w:rPr>
            </w:pPr>
            <w:r>
              <w:rPr>
                <w:rFonts w:hint="eastAsia" w:ascii="宋体" w:hAnsi="宋体" w:eastAsia="宋体" w:cs="宋体"/>
                <w:color w:val="auto"/>
                <w:spacing w:val="-14"/>
                <w:sz w:val="18"/>
                <w:szCs w:val="18"/>
                <w:highlight w:val="none"/>
              </w:rPr>
              <w:t>根据交通运输部最新公布的试验检测人员信用评价结果，拟投入的人员中检测工程师个人扣分在20分及以上但不超过40分的，每有1人扣0.5分，最多扣1分。</w:t>
            </w:r>
          </w:p>
          <w:p>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pacing w:val="-14"/>
                <w:sz w:val="18"/>
                <w:szCs w:val="18"/>
                <w:highlight w:val="none"/>
              </w:rPr>
            </w:pPr>
            <w:r>
              <w:rPr>
                <w:rFonts w:hint="eastAsia" w:ascii="宋体" w:hAnsi="宋体" w:eastAsia="宋体" w:cs="宋体"/>
                <w:b/>
                <w:bCs/>
                <w:color w:val="auto"/>
                <w:sz w:val="18"/>
                <w:szCs w:val="18"/>
                <w:highlight w:val="none"/>
              </w:rPr>
              <w:t>（检测工程师个人扣分结果应由</w:t>
            </w:r>
            <w:r>
              <w:rPr>
                <w:rFonts w:hint="eastAsia" w:ascii="宋体" w:hAnsi="宋体" w:eastAsia="宋体" w:cs="宋体"/>
                <w:b/>
                <w:bCs/>
                <w:color w:val="auto"/>
                <w:sz w:val="18"/>
                <w:szCs w:val="18"/>
                <w:highlight w:val="none"/>
                <w:lang w:eastAsia="zh-CN"/>
              </w:rPr>
              <w:t>交易响应人</w:t>
            </w:r>
            <w:r>
              <w:rPr>
                <w:rFonts w:hint="eastAsia" w:ascii="宋体" w:hAnsi="宋体" w:eastAsia="宋体" w:cs="宋体"/>
                <w:b/>
                <w:bCs/>
                <w:color w:val="auto"/>
                <w:sz w:val="18"/>
                <w:szCs w:val="18"/>
                <w:highlight w:val="none"/>
              </w:rPr>
              <w:t>自行查询并附截图）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3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376"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99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134"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信息公开</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0或1或2分</w:t>
            </w:r>
          </w:p>
        </w:tc>
        <w:tc>
          <w:tcPr>
            <w:tcW w:w="4740" w:type="dxa"/>
            <w:vAlign w:val="center"/>
          </w:tcPr>
          <w:p>
            <w:pPr>
              <w:keepNext w:val="0"/>
              <w:keepLines w:val="0"/>
              <w:pageBreakBefore w:val="0"/>
              <w:kinsoku/>
              <w:wordWrap/>
              <w:overflowPunct/>
              <w:topLinePunct w:val="0"/>
              <w:bidi w:val="0"/>
              <w:snapToGrid/>
              <w:spacing w:line="288" w:lineRule="auto"/>
              <w:ind w:firstLine="304" w:firstLineChars="200"/>
              <w:textAlignment w:val="auto"/>
              <w:rPr>
                <w:rFonts w:hint="eastAsia" w:ascii="宋体" w:hAnsi="宋体" w:eastAsia="宋体" w:cs="宋体"/>
                <w:color w:val="auto"/>
                <w:spacing w:val="-14"/>
                <w:sz w:val="18"/>
                <w:szCs w:val="18"/>
                <w:highlight w:val="none"/>
              </w:rPr>
            </w:pPr>
            <w:r>
              <w:rPr>
                <w:rFonts w:hint="eastAsia" w:ascii="宋体" w:hAnsi="宋体" w:eastAsia="宋体" w:cs="宋体"/>
                <w:color w:val="auto"/>
                <w:spacing w:val="-14"/>
                <w:sz w:val="18"/>
                <w:szCs w:val="18"/>
                <w:highlight w:val="none"/>
                <w:lang w:eastAsia="zh-CN"/>
              </w:rPr>
              <w:t>交易响应人</w:t>
            </w:r>
            <w:r>
              <w:rPr>
                <w:rFonts w:hint="eastAsia" w:ascii="宋体" w:hAnsi="宋体" w:eastAsia="宋体" w:cs="宋体"/>
                <w:color w:val="auto"/>
                <w:spacing w:val="-14"/>
                <w:sz w:val="18"/>
                <w:szCs w:val="18"/>
                <w:highlight w:val="none"/>
              </w:rPr>
              <w:t>在公路水运工程质量试验检测管理信息系统中向社会公开信息的，得1分，否则不得分；项目负责人、技术负责人的职称证书、试验检测证书等相关信息在公路水运工程质量试验检测管理信息系统中公开的，得1分，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43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376"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993" w:type="dxa"/>
            <w:vMerge w:val="continue"/>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p>
        </w:tc>
        <w:tc>
          <w:tcPr>
            <w:tcW w:w="1134"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不良信誉扣分</w:t>
            </w:r>
          </w:p>
        </w:tc>
        <w:tc>
          <w:tcPr>
            <w:tcW w:w="765" w:type="dxa"/>
            <w:vAlign w:val="center"/>
          </w:tcPr>
          <w:p>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-2或-1或0分</w:t>
            </w:r>
          </w:p>
        </w:tc>
        <w:tc>
          <w:tcPr>
            <w:tcW w:w="4740" w:type="dxa"/>
            <w:vAlign w:val="center"/>
          </w:tcPr>
          <w:p>
            <w:pPr>
              <w:keepNext w:val="0"/>
              <w:keepLines w:val="0"/>
              <w:pageBreakBefore w:val="0"/>
              <w:kinsoku/>
              <w:wordWrap/>
              <w:overflowPunct/>
              <w:topLinePunct w:val="0"/>
              <w:bidi w:val="0"/>
              <w:snapToGrid/>
              <w:spacing w:line="288" w:lineRule="auto"/>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近1年来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自</w:t>
            </w:r>
            <w:r>
              <w:rPr>
                <w:rFonts w:hint="eastAsia" w:ascii="宋体" w:hAnsi="宋体" w:eastAsia="宋体" w:cs="宋体"/>
                <w:color w:val="auto"/>
                <w:sz w:val="18"/>
                <w:szCs w:val="18"/>
                <w:highlight w:val="none"/>
                <w:u w:val="single"/>
              </w:rPr>
              <w:t>202</w:t>
            </w:r>
            <w:r>
              <w:rPr>
                <w:rFonts w:hint="eastAsia" w:ascii="宋体" w:hAnsi="宋体" w:eastAsia="宋体" w:cs="宋体"/>
                <w:color w:val="auto"/>
                <w:sz w:val="18"/>
                <w:szCs w:val="18"/>
                <w:highlight w:val="none"/>
                <w:u w:val="single"/>
                <w:lang w:val="en-US" w:eastAsia="zh-CN"/>
              </w:rPr>
              <w:t>3</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月1日以来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，被交通运输部、浙江省发展和改革委员会、浙江省交通运输厅三部门以外的省级及以上单位（部门）书面通报限制</w:t>
            </w:r>
            <w:r>
              <w:rPr>
                <w:rFonts w:hint="eastAsia" w:ascii="宋体" w:hAnsi="宋体" w:cs="宋体"/>
                <w:color w:val="auto"/>
                <w:sz w:val="18"/>
                <w:szCs w:val="18"/>
                <w:highlight w:val="none"/>
                <w:lang w:eastAsia="zh-CN"/>
              </w:rPr>
              <w:t>交易响应</w:t>
            </w:r>
            <w:r>
              <w:rPr>
                <w:rFonts w:hint="eastAsia" w:ascii="宋体" w:hAnsi="宋体" w:eastAsia="宋体" w:cs="宋体"/>
                <w:color w:val="auto"/>
                <w:sz w:val="18"/>
                <w:szCs w:val="18"/>
                <w:highlight w:val="none"/>
              </w:rPr>
              <w:t>，并在处罚期内的，如实填报的扣1分；</w:t>
            </w:r>
          </w:p>
          <w:p>
            <w:pPr>
              <w:keepNext w:val="0"/>
              <w:keepLines w:val="0"/>
              <w:pageBreakBefore w:val="0"/>
              <w:kinsoku/>
              <w:wordWrap/>
              <w:overflowPunct/>
              <w:topLinePunct w:val="0"/>
              <w:bidi w:val="0"/>
              <w:snapToGrid/>
              <w:spacing w:line="288" w:lineRule="auto"/>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近</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年来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自</w:t>
            </w:r>
            <w:r>
              <w:rPr>
                <w:rFonts w:hint="eastAsia" w:ascii="宋体" w:hAnsi="宋体" w:eastAsia="宋体" w:cs="宋体"/>
                <w:color w:val="auto"/>
                <w:sz w:val="18"/>
                <w:szCs w:val="18"/>
                <w:highlight w:val="none"/>
                <w:u w:val="single"/>
              </w:rPr>
              <w:t>20</w:t>
            </w:r>
            <w:r>
              <w:rPr>
                <w:rFonts w:hint="eastAsia" w:ascii="宋体" w:hAnsi="宋体" w:eastAsia="宋体" w:cs="宋体"/>
                <w:color w:val="auto"/>
                <w:sz w:val="18"/>
                <w:szCs w:val="18"/>
                <w:highlight w:val="none"/>
                <w:u w:val="single"/>
                <w:lang w:val="en-US" w:eastAsia="zh-CN"/>
              </w:rPr>
              <w:t>19</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月1日以来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或拟委任的项目负责人在工程建设领域中，有行贿受贿行为未构成犯罪的，如实填报的扣1分。</w:t>
            </w:r>
          </w:p>
          <w:p>
            <w:pPr>
              <w:keepNext w:val="0"/>
              <w:keepLines w:val="0"/>
              <w:pageBreakBefore w:val="0"/>
              <w:kinsoku/>
              <w:wordWrap/>
              <w:overflowPunct/>
              <w:topLinePunct w:val="0"/>
              <w:bidi w:val="0"/>
              <w:snapToGrid/>
              <w:spacing w:line="288" w:lineRule="auto"/>
              <w:ind w:firstLine="360" w:firstLineChars="200"/>
              <w:textAlignment w:val="auto"/>
              <w:rPr>
                <w:rFonts w:hint="eastAsia" w:ascii="宋体" w:hAnsi="宋体" w:eastAsia="宋体" w:cs="宋体"/>
                <w:color w:val="auto"/>
                <w:spacing w:val="-20"/>
                <w:sz w:val="18"/>
                <w:szCs w:val="18"/>
                <w:highlight w:val="none"/>
              </w:rPr>
            </w:pPr>
            <w:r>
              <w:rPr>
                <w:rFonts w:hint="eastAsia" w:ascii="宋体" w:hAnsi="宋体" w:eastAsia="宋体" w:cs="宋体"/>
                <w:color w:val="auto"/>
                <w:sz w:val="18"/>
                <w:szCs w:val="18"/>
                <w:highlight w:val="none"/>
              </w:rPr>
              <w:t>有上述行为隐瞒不报的，一经查实，作</w:t>
            </w:r>
            <w:r>
              <w:rPr>
                <w:rFonts w:hint="eastAsia" w:ascii="宋体" w:hAnsi="宋体" w:eastAsia="宋体" w:cs="宋体"/>
                <w:color w:val="auto"/>
                <w:sz w:val="18"/>
                <w:szCs w:val="18"/>
                <w:highlight w:val="none"/>
                <w:lang w:eastAsia="zh-CN"/>
              </w:rPr>
              <w:t>否决交易响应处理</w:t>
            </w:r>
            <w:r>
              <w:rPr>
                <w:rFonts w:hint="eastAsia" w:ascii="宋体" w:hAnsi="宋体" w:eastAsia="宋体" w:cs="宋体"/>
                <w:color w:val="auto"/>
                <w:sz w:val="18"/>
                <w:szCs w:val="18"/>
                <w:highlight w:val="none"/>
              </w:rPr>
              <w:t>，并视为</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提供虚假资料，按</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须知第3.6款处理。</w:t>
            </w:r>
          </w:p>
        </w:tc>
      </w:tr>
    </w:tbl>
    <w:p>
      <w:pPr>
        <w:autoSpaceDE w:val="0"/>
        <w:autoSpaceDN w:val="0"/>
        <w:adjustRightInd w:val="0"/>
        <w:spacing w:line="360" w:lineRule="auto"/>
        <w:ind w:firstLine="420" w:firstLineChars="200"/>
        <w:jc w:val="right"/>
        <w:rPr>
          <w:rFonts w:hint="eastAsia" w:ascii="宋体" w:hAnsi="宋体" w:eastAsia="宋体" w:cs="宋体"/>
          <w:color w:val="auto"/>
          <w:kern w:val="0"/>
          <w:highlight w:val="none"/>
        </w:rPr>
      </w:pPr>
      <w:r>
        <w:rPr>
          <w:rFonts w:hint="eastAsia" w:ascii="宋体" w:hAnsi="宋体" w:eastAsia="宋体" w:cs="宋体"/>
          <w:color w:val="auto"/>
          <w:kern w:val="0"/>
          <w:highlight w:val="none"/>
        </w:rPr>
        <w:br w:type="page"/>
      </w:r>
      <w:r>
        <w:rPr>
          <w:rFonts w:hint="eastAsia" w:ascii="宋体" w:hAnsi="宋体" w:eastAsia="宋体" w:cs="宋体"/>
          <w:color w:val="auto"/>
          <w:kern w:val="0"/>
          <w:highlight w:val="none"/>
        </w:rPr>
        <w:t>续上表</w:t>
      </w:r>
    </w:p>
    <w:tbl>
      <w:tblPr>
        <w:tblStyle w:val="43"/>
        <w:tblW w:w="95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969"/>
        <w:gridCol w:w="1266"/>
        <w:gridCol w:w="2441"/>
        <w:gridCol w:w="31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6345" w:type="dxa"/>
            <w:gridSpan w:val="4"/>
            <w:tcBorders>
              <w:top w:val="single" w:color="auto" w:sz="12" w:space="0"/>
              <w:bottom w:val="single" w:color="auto" w:sz="6" w:space="0"/>
              <w:right w:val="single" w:color="auto" w:sz="4" w:space="0"/>
            </w:tcBorders>
            <w:vAlign w:val="center"/>
          </w:tcPr>
          <w:p>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评审因素与权重分值</w:t>
            </w:r>
          </w:p>
        </w:tc>
        <w:tc>
          <w:tcPr>
            <w:tcW w:w="3185" w:type="dxa"/>
            <w:vMerge w:val="restart"/>
            <w:tcBorders>
              <w:top w:val="single" w:color="auto" w:sz="12" w:space="0"/>
              <w:left w:val="single" w:color="auto" w:sz="4" w:space="0"/>
            </w:tcBorders>
            <w:vAlign w:val="center"/>
          </w:tcPr>
          <w:p>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669" w:type="dxa"/>
            <w:tcBorders>
              <w:top w:val="single" w:color="auto" w:sz="6" w:space="0"/>
              <w:bottom w:val="single" w:color="auto" w:sz="6" w:space="0"/>
            </w:tcBorders>
            <w:vAlign w:val="center"/>
          </w:tcPr>
          <w:p>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69" w:type="dxa"/>
            <w:tcBorders>
              <w:top w:val="single" w:color="auto" w:sz="6" w:space="0"/>
              <w:bottom w:val="single" w:color="auto" w:sz="6" w:space="0"/>
            </w:tcBorders>
            <w:vAlign w:val="center"/>
          </w:tcPr>
          <w:p>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1266" w:type="dxa"/>
            <w:tcBorders>
              <w:top w:val="single" w:color="auto" w:sz="6" w:space="0"/>
              <w:bottom w:val="single" w:color="auto" w:sz="6" w:space="0"/>
            </w:tcBorders>
            <w:vAlign w:val="center"/>
          </w:tcPr>
          <w:p>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评审因素评分值</w:t>
            </w:r>
          </w:p>
        </w:tc>
        <w:tc>
          <w:tcPr>
            <w:tcW w:w="2441" w:type="dxa"/>
            <w:tcBorders>
              <w:top w:val="single" w:color="auto" w:sz="6" w:space="0"/>
              <w:bottom w:val="single" w:color="auto" w:sz="6" w:space="0"/>
              <w:right w:val="single" w:color="auto" w:sz="4" w:space="0"/>
            </w:tcBorders>
            <w:vAlign w:val="center"/>
          </w:tcPr>
          <w:p>
            <w:pPr>
              <w:spacing w:line="2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3185" w:type="dxa"/>
            <w:vMerge w:val="continue"/>
            <w:tcBorders>
              <w:left w:val="single" w:color="auto" w:sz="4" w:space="0"/>
              <w:bottom w:val="single" w:color="auto" w:sz="6" w:space="0"/>
            </w:tcBorders>
            <w:vAlign w:val="center"/>
          </w:tcPr>
          <w:p>
            <w:pPr>
              <w:spacing w:line="28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0" w:hRule="atLeast"/>
        </w:trPr>
        <w:tc>
          <w:tcPr>
            <w:tcW w:w="669" w:type="dxa"/>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e.</w:t>
            </w:r>
          </w:p>
        </w:tc>
        <w:tc>
          <w:tcPr>
            <w:tcW w:w="1969" w:type="dxa"/>
            <w:vAlign w:val="center"/>
          </w:tcPr>
          <w:p>
            <w:pPr>
              <w:spacing w:line="2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试验</w:t>
            </w:r>
            <w:r>
              <w:rPr>
                <w:rFonts w:hint="eastAsia" w:ascii="宋体" w:hAnsi="宋体" w:eastAsia="宋体" w:cs="宋体"/>
                <w:color w:val="auto"/>
                <w:szCs w:val="21"/>
                <w:highlight w:val="none"/>
              </w:rPr>
              <w:t>检测的目的、检测内容、方法；</w:t>
            </w:r>
          </w:p>
        </w:tc>
        <w:tc>
          <w:tcPr>
            <w:tcW w:w="1266"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2441" w:type="dxa"/>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好4.8～5.0分</w:t>
            </w:r>
          </w:p>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较好4.4～4.7分</w:t>
            </w:r>
          </w:p>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一般4.0～4.3分</w:t>
            </w:r>
          </w:p>
        </w:tc>
        <w:tc>
          <w:tcPr>
            <w:tcW w:w="3185" w:type="dxa"/>
            <w:vAlign w:val="center"/>
          </w:tcPr>
          <w:p>
            <w:pPr>
              <w:pStyle w:val="1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视方案优劣酌情打分。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5" w:hRule="atLeast"/>
        </w:trPr>
        <w:tc>
          <w:tcPr>
            <w:tcW w:w="669" w:type="dxa"/>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f.</w:t>
            </w:r>
          </w:p>
        </w:tc>
        <w:tc>
          <w:tcPr>
            <w:tcW w:w="1969" w:type="dxa"/>
            <w:vAlign w:val="center"/>
          </w:tcPr>
          <w:p>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本项目管理、</w:t>
            </w:r>
            <w:r>
              <w:rPr>
                <w:rFonts w:hint="eastAsia" w:ascii="宋体" w:hAnsi="宋体" w:eastAsia="宋体" w:cs="宋体"/>
                <w:color w:val="auto"/>
                <w:highlight w:val="none"/>
              </w:rPr>
              <w:t>试验</w:t>
            </w:r>
            <w:r>
              <w:rPr>
                <w:rFonts w:hint="eastAsia" w:ascii="宋体" w:hAnsi="宋体" w:eastAsia="宋体" w:cs="宋体"/>
                <w:color w:val="auto"/>
                <w:szCs w:val="21"/>
                <w:highlight w:val="none"/>
              </w:rPr>
              <w:t>检测的重点、难点分析；</w:t>
            </w:r>
          </w:p>
        </w:tc>
        <w:tc>
          <w:tcPr>
            <w:tcW w:w="1266"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2441" w:type="dxa"/>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好4.8～5.0分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较好4.4～4.7分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一般4.0～4.3分</w:t>
            </w:r>
          </w:p>
        </w:tc>
        <w:tc>
          <w:tcPr>
            <w:tcW w:w="3185" w:type="dxa"/>
            <w:vAlign w:val="center"/>
          </w:tcPr>
          <w:p>
            <w:pPr>
              <w:pStyle w:val="1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视方案优劣酌情打分。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669" w:type="dxa"/>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g.</w:t>
            </w:r>
          </w:p>
        </w:tc>
        <w:tc>
          <w:tcPr>
            <w:tcW w:w="1969" w:type="dxa"/>
            <w:vAlign w:val="center"/>
          </w:tcPr>
          <w:p>
            <w:pPr>
              <w:spacing w:line="2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质量保证措施及服务方案</w:t>
            </w:r>
          </w:p>
        </w:tc>
        <w:tc>
          <w:tcPr>
            <w:tcW w:w="1266"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2441" w:type="dxa"/>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好4.8～5.0分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较好4.4～4.7分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一般4.0～4.3分</w:t>
            </w:r>
          </w:p>
        </w:tc>
        <w:tc>
          <w:tcPr>
            <w:tcW w:w="3185" w:type="dxa"/>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视方案优劣酌情打分。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0" w:hRule="atLeast"/>
        </w:trPr>
        <w:tc>
          <w:tcPr>
            <w:tcW w:w="669" w:type="dxa"/>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h.</w:t>
            </w:r>
          </w:p>
        </w:tc>
        <w:tc>
          <w:tcPr>
            <w:tcW w:w="1969" w:type="dxa"/>
            <w:vAlign w:val="center"/>
          </w:tcPr>
          <w:p>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信息化建设方案</w:t>
            </w:r>
          </w:p>
        </w:tc>
        <w:tc>
          <w:tcPr>
            <w:tcW w:w="1266" w:type="dxa"/>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2441" w:type="dxa"/>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好2.9～3.0分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较好2.7～2.8分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一般2.4～2.6分</w:t>
            </w:r>
          </w:p>
        </w:tc>
        <w:tc>
          <w:tcPr>
            <w:tcW w:w="3185" w:type="dxa"/>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视方案优劣酌情打分。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0" w:hRule="atLeast"/>
        </w:trPr>
        <w:tc>
          <w:tcPr>
            <w:tcW w:w="669" w:type="dxa"/>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i.</w:t>
            </w:r>
          </w:p>
        </w:tc>
        <w:tc>
          <w:tcPr>
            <w:tcW w:w="1969" w:type="dxa"/>
            <w:vAlign w:val="center"/>
          </w:tcPr>
          <w:p>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安全保证措施及廉政保证措施</w:t>
            </w:r>
          </w:p>
        </w:tc>
        <w:tc>
          <w:tcPr>
            <w:tcW w:w="1266" w:type="dxa"/>
            <w:vAlign w:val="center"/>
          </w:tcPr>
          <w:p>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2441" w:type="dxa"/>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好2.0分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较好1.8～1.9分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一般1.6～1.7分</w:t>
            </w:r>
          </w:p>
        </w:tc>
        <w:tc>
          <w:tcPr>
            <w:tcW w:w="3185" w:type="dxa"/>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视方案优劣酌情打分。</w:t>
            </w:r>
          </w:p>
        </w:tc>
      </w:tr>
    </w:tbl>
    <w:p>
      <w:pPr>
        <w:autoSpaceDE w:val="0"/>
        <w:autoSpaceDN w:val="0"/>
        <w:adjustRightInd w:val="0"/>
        <w:spacing w:line="360" w:lineRule="auto"/>
        <w:ind w:firstLine="420" w:firstLineChars="200"/>
        <w:jc w:val="right"/>
        <w:rPr>
          <w:rFonts w:hint="eastAsia" w:ascii="宋体" w:hAnsi="宋体" w:eastAsia="宋体" w:cs="宋体"/>
          <w:color w:val="auto"/>
          <w:kern w:val="0"/>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highlight w:val="none"/>
        </w:rPr>
        <w:t>续上表</w:t>
      </w:r>
    </w:p>
    <w:tbl>
      <w:tblPr>
        <w:tblStyle w:val="43"/>
        <w:tblW w:w="94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711"/>
        <w:gridCol w:w="1108"/>
        <w:gridCol w:w="2129"/>
        <w:gridCol w:w="1040"/>
        <w:gridCol w:w="3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5720" w:type="dxa"/>
            <w:gridSpan w:val="5"/>
            <w:tcBorders>
              <w:top w:val="single" w:color="auto" w:sz="12" w:space="0"/>
              <w:bottom w:val="single" w:color="auto" w:sz="6" w:space="0"/>
              <w:right w:val="single" w:color="auto" w:sz="4"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评审因素与评分值</w:t>
            </w:r>
          </w:p>
        </w:tc>
        <w:tc>
          <w:tcPr>
            <w:tcW w:w="3717" w:type="dxa"/>
            <w:vMerge w:val="restart"/>
            <w:tcBorders>
              <w:top w:val="single" w:color="auto" w:sz="12" w:space="0"/>
              <w:left w:val="single" w:color="auto" w:sz="4"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732" w:type="dxa"/>
            <w:tcBorders>
              <w:top w:val="single" w:color="auto" w:sz="6" w:space="0"/>
              <w:bottom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11" w:type="dxa"/>
            <w:tcBorders>
              <w:top w:val="single" w:color="auto" w:sz="6" w:space="0"/>
              <w:bottom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1108" w:type="dxa"/>
            <w:tcBorders>
              <w:top w:val="single" w:color="auto" w:sz="6" w:space="0"/>
              <w:bottom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评审因素评分值</w:t>
            </w:r>
          </w:p>
        </w:tc>
        <w:tc>
          <w:tcPr>
            <w:tcW w:w="2129" w:type="dxa"/>
            <w:tcBorders>
              <w:top w:val="single" w:color="auto" w:sz="6" w:space="0"/>
              <w:bottom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各评审因素细分项</w:t>
            </w:r>
          </w:p>
        </w:tc>
        <w:tc>
          <w:tcPr>
            <w:tcW w:w="1040" w:type="dxa"/>
            <w:tcBorders>
              <w:top w:val="single" w:color="auto" w:sz="6" w:space="0"/>
              <w:bottom w:val="single" w:color="auto" w:sz="6" w:space="0"/>
              <w:right w:val="single" w:color="auto" w:sz="4"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3717" w:type="dxa"/>
            <w:vMerge w:val="continue"/>
            <w:tcBorders>
              <w:left w:val="single" w:color="auto" w:sz="4" w:space="0"/>
              <w:bottom w:val="single" w:color="auto" w:sz="6"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0" w:hRule="atLeast"/>
        </w:trPr>
        <w:tc>
          <w:tcPr>
            <w:tcW w:w="732" w:type="dxa"/>
            <w:vMerge w:val="restart"/>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j.</w:t>
            </w:r>
          </w:p>
        </w:tc>
        <w:tc>
          <w:tcPr>
            <w:tcW w:w="711" w:type="dxa"/>
            <w:vMerge w:val="restart"/>
            <w:vAlign w:val="center"/>
          </w:tcPr>
          <w:p>
            <w:pPr>
              <w:autoSpaceDE w:val="0"/>
              <w:autoSpaceDN w:val="0"/>
              <w:adjustRightIn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交易响应报价</w:t>
            </w:r>
          </w:p>
        </w:tc>
        <w:tc>
          <w:tcPr>
            <w:tcW w:w="1108" w:type="dxa"/>
            <w:vMerge w:val="restart"/>
            <w:vAlign w:val="center"/>
          </w:tcPr>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20分</w:t>
            </w:r>
          </w:p>
        </w:tc>
        <w:tc>
          <w:tcPr>
            <w:tcW w:w="6886" w:type="dxa"/>
            <w:gridSpan w:val="3"/>
            <w:tcBorders>
              <w:top w:val="single" w:color="auto" w:sz="4" w:space="0"/>
            </w:tcBorders>
            <w:vAlign w:val="center"/>
          </w:tcPr>
          <w:p>
            <w:pPr>
              <w:spacing w:line="28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1、评标价的确定：评标价=</w:t>
            </w:r>
            <w:r>
              <w:rPr>
                <w:rFonts w:hint="eastAsia" w:ascii="宋体" w:hAnsi="宋体" w:eastAsia="宋体" w:cs="宋体"/>
                <w:color w:val="auto"/>
                <w:highlight w:val="none"/>
                <w:lang w:eastAsia="zh-CN"/>
              </w:rPr>
              <w:t>交易响应函</w:t>
            </w:r>
            <w:r>
              <w:rPr>
                <w:rFonts w:hint="eastAsia" w:ascii="宋体" w:hAnsi="宋体" w:eastAsia="宋体" w:cs="宋体"/>
                <w:color w:val="auto"/>
                <w:highlight w:val="none"/>
              </w:rPr>
              <w:t>文字报价</w:t>
            </w:r>
          </w:p>
          <w:p>
            <w:pPr>
              <w:spacing w:line="28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2、评标基准价的计算：</w:t>
            </w:r>
          </w:p>
          <w:p>
            <w:pPr>
              <w:spacing w:line="280" w:lineRule="exact"/>
              <w:ind w:firstLine="315" w:firstLineChars="15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公路水运工程试验检测</w:t>
            </w:r>
            <w:r>
              <w:rPr>
                <w:rFonts w:hint="eastAsia" w:ascii="宋体" w:hAnsi="宋体" w:cs="宋体"/>
                <w:color w:val="auto"/>
                <w:highlight w:val="none"/>
                <w:lang w:eastAsia="zh-CN"/>
              </w:rPr>
              <w:t>交易</w:t>
            </w:r>
            <w:r>
              <w:rPr>
                <w:rFonts w:hint="eastAsia" w:ascii="宋体" w:hAnsi="宋体" w:eastAsia="宋体" w:cs="宋体"/>
                <w:color w:val="auto"/>
                <w:highlight w:val="none"/>
              </w:rPr>
              <w:t>应设置评标基准价。</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若m≤5，则为直接计算m个</w:t>
            </w:r>
            <w:r>
              <w:rPr>
                <w:rFonts w:hint="eastAsia" w:ascii="宋体" w:hAnsi="宋体" w:eastAsia="宋体" w:cs="宋体"/>
                <w:color w:val="auto"/>
                <w:szCs w:val="20"/>
                <w:highlight w:val="none"/>
                <w:lang w:eastAsia="zh-CN"/>
              </w:rPr>
              <w:t>交易响应人</w:t>
            </w:r>
            <w:r>
              <w:rPr>
                <w:rFonts w:hint="eastAsia" w:ascii="宋体" w:hAnsi="宋体" w:eastAsia="宋体" w:cs="宋体"/>
                <w:color w:val="auto"/>
                <w:szCs w:val="20"/>
                <w:highlight w:val="none"/>
              </w:rPr>
              <w:t>的评标价算术平均值；</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若m≥6，则S=A×r×k+P×（1-k</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m为所有通过第一个信封初步评审、详细评审及第二个信封初步评审、详细评审的</w:t>
            </w:r>
            <w:r>
              <w:rPr>
                <w:rFonts w:hint="eastAsia" w:ascii="宋体" w:hAnsi="宋体" w:eastAsia="宋体" w:cs="宋体"/>
                <w:color w:val="auto"/>
                <w:szCs w:val="20"/>
                <w:highlight w:val="none"/>
                <w:lang w:eastAsia="zh-CN"/>
              </w:rPr>
              <w:t>交易响应人</w:t>
            </w:r>
            <w:r>
              <w:rPr>
                <w:rFonts w:hint="eastAsia" w:ascii="宋体" w:hAnsi="宋体" w:eastAsia="宋体" w:cs="宋体"/>
                <w:color w:val="auto"/>
                <w:szCs w:val="20"/>
                <w:highlight w:val="none"/>
              </w:rPr>
              <w:t>数量；</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S为评标基准价；</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A为</w:t>
            </w:r>
            <w:r>
              <w:rPr>
                <w:rFonts w:hint="eastAsia" w:ascii="宋体" w:hAnsi="宋体" w:eastAsia="宋体" w:cs="宋体"/>
                <w:color w:val="auto"/>
                <w:szCs w:val="20"/>
                <w:highlight w:val="none"/>
                <w:lang w:eastAsia="zh-CN"/>
              </w:rPr>
              <w:t>交易发起人</w:t>
            </w:r>
            <w:r>
              <w:rPr>
                <w:rFonts w:hint="eastAsia" w:ascii="宋体" w:hAnsi="宋体" w:eastAsia="宋体" w:cs="宋体"/>
                <w:color w:val="auto"/>
                <w:szCs w:val="20"/>
                <w:highlight w:val="none"/>
              </w:rPr>
              <w:t>的</w:t>
            </w:r>
            <w:r>
              <w:rPr>
                <w:rFonts w:hint="eastAsia" w:ascii="宋体" w:hAnsi="宋体" w:eastAsia="宋体" w:cs="宋体"/>
                <w:color w:val="auto"/>
                <w:szCs w:val="20"/>
                <w:highlight w:val="none"/>
                <w:lang w:eastAsia="zh-CN"/>
              </w:rPr>
              <w:t>交易响应控制价</w:t>
            </w:r>
            <w:r>
              <w:rPr>
                <w:rFonts w:hint="eastAsia" w:ascii="宋体" w:hAnsi="宋体" w:eastAsia="宋体" w:cs="宋体"/>
                <w:color w:val="auto"/>
                <w:szCs w:val="20"/>
                <w:highlight w:val="none"/>
              </w:rPr>
              <w:t>（见</w:t>
            </w:r>
            <w:r>
              <w:rPr>
                <w:rFonts w:hint="eastAsia" w:ascii="宋体" w:hAnsi="宋体" w:eastAsia="宋体" w:cs="宋体"/>
                <w:color w:val="auto"/>
                <w:szCs w:val="20"/>
                <w:highlight w:val="none"/>
                <w:lang w:eastAsia="zh-CN"/>
              </w:rPr>
              <w:t>交易响应人</w:t>
            </w:r>
            <w:r>
              <w:rPr>
                <w:rFonts w:hint="eastAsia" w:ascii="宋体" w:hAnsi="宋体" w:eastAsia="宋体" w:cs="宋体"/>
                <w:color w:val="auto"/>
                <w:szCs w:val="20"/>
                <w:highlight w:val="none"/>
              </w:rPr>
              <w:t>须知前附表3.2.2项规定）；</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r为调整系数（</w:t>
            </w:r>
            <w:r>
              <w:rPr>
                <w:rFonts w:hint="eastAsia" w:ascii="宋体" w:hAnsi="宋体" w:eastAsia="宋体" w:cs="宋体"/>
                <w:color w:val="auto"/>
                <w:szCs w:val="20"/>
                <w:highlight w:val="none"/>
                <w:lang w:eastAsia="zh-CN"/>
              </w:rPr>
              <w:t>交易会议</w:t>
            </w:r>
            <w:r>
              <w:rPr>
                <w:rFonts w:hint="eastAsia" w:ascii="宋体" w:hAnsi="宋体" w:eastAsia="宋体" w:cs="宋体"/>
                <w:color w:val="auto"/>
                <w:szCs w:val="20"/>
                <w:highlight w:val="none"/>
              </w:rPr>
              <w:t>时从0.95、0.96、0.97三个连续值中随机抽取一个值）；</w:t>
            </w:r>
          </w:p>
          <w:p>
            <w:pPr>
              <w:spacing w:line="28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k</w:t>
            </w:r>
            <w:r>
              <w:rPr>
                <w:rFonts w:hint="eastAsia" w:ascii="宋体" w:hAnsi="宋体" w:eastAsia="宋体" w:cs="宋体"/>
                <w:color w:val="auto"/>
                <w:szCs w:val="20"/>
                <w:highlight w:val="none"/>
              </w:rPr>
              <w:t>为控制价所占的权重值，为</w:t>
            </w:r>
            <w:r>
              <w:rPr>
                <w:rFonts w:hint="eastAsia" w:ascii="宋体" w:hAnsi="宋体" w:eastAsia="宋体" w:cs="宋体"/>
                <w:color w:val="auto"/>
                <w:szCs w:val="20"/>
                <w:highlight w:val="none"/>
                <w:lang w:val="en-US" w:eastAsia="zh-CN"/>
              </w:rPr>
              <w:t>30</w:t>
            </w:r>
            <w:r>
              <w:rPr>
                <w:rFonts w:hint="eastAsia" w:ascii="宋体" w:hAnsi="宋体" w:eastAsia="宋体" w:cs="宋体"/>
                <w:color w:val="auto"/>
                <w:szCs w:val="20"/>
                <w:highlight w:val="none"/>
              </w:rPr>
              <w:t>%。</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P为所有通过第一个信封初步评审、详细评审及第二个信封初步评审、详细评审的</w:t>
            </w:r>
            <w:r>
              <w:rPr>
                <w:rFonts w:hint="eastAsia" w:ascii="宋体" w:hAnsi="宋体" w:eastAsia="宋体" w:cs="宋体"/>
                <w:color w:val="auto"/>
                <w:szCs w:val="20"/>
                <w:highlight w:val="none"/>
                <w:lang w:eastAsia="zh-CN"/>
              </w:rPr>
              <w:t>交易响应人</w:t>
            </w:r>
            <w:r>
              <w:rPr>
                <w:rFonts w:hint="eastAsia" w:ascii="宋体" w:hAnsi="宋体" w:eastAsia="宋体" w:cs="宋体"/>
                <w:color w:val="auto"/>
                <w:szCs w:val="20"/>
                <w:highlight w:val="none"/>
              </w:rPr>
              <w:t>去除n家高值和n家低值后的评标价算术平均值；</w:t>
            </w:r>
          </w:p>
          <w:p>
            <w:pPr>
              <w:spacing w:line="280" w:lineRule="exact"/>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n为m×30%的四舍五入取整值。</w:t>
            </w:r>
          </w:p>
          <w:p>
            <w:pPr>
              <w:spacing w:line="28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评标基准价由评标委员会计算、复核并签字确认。除计算差错外，确认后的评标基准价在本次</w:t>
            </w:r>
            <w:r>
              <w:rPr>
                <w:rFonts w:hint="eastAsia" w:ascii="宋体" w:hAnsi="宋体" w:cs="宋体"/>
                <w:color w:val="auto"/>
                <w:highlight w:val="none"/>
                <w:lang w:eastAsia="zh-CN"/>
              </w:rPr>
              <w:t>交易</w:t>
            </w:r>
            <w:r>
              <w:rPr>
                <w:rFonts w:hint="eastAsia" w:ascii="宋体" w:hAnsi="宋体" w:eastAsia="宋体" w:cs="宋体"/>
                <w:color w:val="auto"/>
                <w:highlight w:val="none"/>
              </w:rPr>
              <w:t>期间保持不变。</w:t>
            </w:r>
          </w:p>
          <w:p>
            <w:pPr>
              <w:spacing w:line="28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计算差错，仅限于以下两种情况：（1）纯算术性四则运算差错；（2）未按约定的计算方法，多计或少计</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报价。由于评标差错，导致否决</w:t>
            </w:r>
            <w:r>
              <w:rPr>
                <w:rFonts w:hint="eastAsia" w:ascii="宋体" w:hAnsi="宋体" w:cs="宋体"/>
                <w:color w:val="auto"/>
                <w:highlight w:val="none"/>
                <w:lang w:eastAsia="zh-CN"/>
              </w:rPr>
              <w:t>交易响应</w:t>
            </w:r>
            <w:r>
              <w:rPr>
                <w:rFonts w:hint="eastAsia" w:ascii="宋体" w:hAnsi="宋体" w:eastAsia="宋体" w:cs="宋体"/>
                <w:color w:val="auto"/>
                <w:highlight w:val="none"/>
              </w:rPr>
              <w:t>错误，重新评标纠正等其他情况，不属于计算差错。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732" w:type="dxa"/>
            <w:vMerge w:val="continue"/>
            <w:vAlign w:val="center"/>
          </w:tcPr>
          <w:p>
            <w:pPr>
              <w:spacing w:line="400" w:lineRule="exact"/>
              <w:jc w:val="center"/>
              <w:rPr>
                <w:rFonts w:hint="eastAsia" w:ascii="宋体" w:hAnsi="宋体" w:eastAsia="宋体" w:cs="宋体"/>
                <w:color w:val="auto"/>
                <w:highlight w:val="none"/>
              </w:rPr>
            </w:pPr>
          </w:p>
        </w:tc>
        <w:tc>
          <w:tcPr>
            <w:tcW w:w="711" w:type="dxa"/>
            <w:vMerge w:val="continue"/>
            <w:vAlign w:val="center"/>
          </w:tcPr>
          <w:p>
            <w:pPr>
              <w:autoSpaceDE w:val="0"/>
              <w:autoSpaceDN w:val="0"/>
              <w:adjustRightInd w:val="0"/>
              <w:spacing w:line="400" w:lineRule="exact"/>
              <w:jc w:val="left"/>
              <w:rPr>
                <w:rFonts w:hint="eastAsia" w:ascii="宋体" w:hAnsi="宋体" w:eastAsia="宋体" w:cs="宋体"/>
                <w:color w:val="auto"/>
                <w:highlight w:val="none"/>
              </w:rPr>
            </w:pPr>
          </w:p>
        </w:tc>
        <w:tc>
          <w:tcPr>
            <w:tcW w:w="1108" w:type="dxa"/>
            <w:vMerge w:val="continue"/>
            <w:vAlign w:val="center"/>
          </w:tcPr>
          <w:p>
            <w:pPr>
              <w:spacing w:line="400" w:lineRule="exact"/>
              <w:rPr>
                <w:rFonts w:hint="eastAsia" w:ascii="宋体" w:hAnsi="宋体" w:eastAsia="宋体" w:cs="宋体"/>
                <w:color w:val="auto"/>
                <w:szCs w:val="21"/>
                <w:highlight w:val="none"/>
              </w:rPr>
            </w:pPr>
          </w:p>
        </w:tc>
        <w:tc>
          <w:tcPr>
            <w:tcW w:w="6886" w:type="dxa"/>
            <w:gridSpan w:val="3"/>
            <w:tcBorders>
              <w:top w:val="single" w:color="auto" w:sz="4" w:space="0"/>
              <w:bottom w:val="single" w:color="auto" w:sz="4" w:space="0"/>
            </w:tcBorders>
            <w:vAlign w:val="center"/>
          </w:tcPr>
          <w:p>
            <w:pPr>
              <w:autoSpaceDE w:val="0"/>
              <w:autoSpaceDN w:val="0"/>
              <w:adjustRightInd w:val="0"/>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得分计算公式为：</w:t>
            </w:r>
          </w:p>
          <w:p>
            <w:pPr>
              <w:autoSpaceDE w:val="0"/>
              <w:autoSpaceDN w:val="0"/>
              <w:adjustRightInd w:val="0"/>
              <w:spacing w:line="300" w:lineRule="exact"/>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如果</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&gt;评标基准价，则</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得分＝F－</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交易响应人交易响应报价</w:t>
            </w:r>
            <w:r>
              <w:rPr>
                <w:rFonts w:hint="eastAsia" w:ascii="宋体" w:hAnsi="宋体" w:eastAsia="宋体" w:cs="宋体"/>
                <w:color w:val="auto"/>
                <w:highlight w:val="none"/>
              </w:rPr>
              <w:t>－评标基准价</w:t>
            </w:r>
            <w:r>
              <w:rPr>
                <w:rFonts w:hint="eastAsia" w:ascii="宋体" w:hAnsi="宋体" w:cs="宋体"/>
                <w:color w:val="auto"/>
                <w:highlight w:val="none"/>
                <w:lang w:eastAsia="zh-CN"/>
              </w:rPr>
              <w:t>）</w:t>
            </w:r>
            <w:r>
              <w:rPr>
                <w:rFonts w:hint="eastAsia" w:ascii="宋体" w:hAnsi="宋体" w:eastAsia="宋体" w:cs="宋体"/>
                <w:color w:val="auto"/>
                <w:highlight w:val="none"/>
              </w:rPr>
              <w:t>/评标基准价×100× E</w:t>
            </w:r>
            <w:r>
              <w:rPr>
                <w:rFonts w:hint="eastAsia" w:ascii="宋体" w:hAnsi="宋体" w:eastAsia="宋体" w:cs="宋体"/>
                <w:color w:val="auto"/>
                <w:highlight w:val="none"/>
                <w:vertAlign w:val="subscript"/>
              </w:rPr>
              <w:t>1</w:t>
            </w:r>
            <w:r>
              <w:rPr>
                <w:rFonts w:hint="eastAsia" w:ascii="宋体" w:hAnsi="宋体" w:eastAsia="宋体" w:cs="宋体"/>
                <w:color w:val="auto"/>
                <w:highlight w:val="none"/>
              </w:rPr>
              <w:t>；</w:t>
            </w:r>
          </w:p>
          <w:p>
            <w:pPr>
              <w:autoSpaceDE w:val="0"/>
              <w:autoSpaceDN w:val="0"/>
              <w:adjustRightInd w:val="0"/>
              <w:spacing w:line="300" w:lineRule="exact"/>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如果</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≤评标基准价，则</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得分＝F＋</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交易响应人交易响应报价</w:t>
            </w:r>
            <w:r>
              <w:rPr>
                <w:rFonts w:hint="eastAsia" w:ascii="宋体" w:hAnsi="宋体" w:eastAsia="宋体" w:cs="宋体"/>
                <w:color w:val="auto"/>
                <w:highlight w:val="none"/>
              </w:rPr>
              <w:t>－评标基准价</w:t>
            </w:r>
            <w:r>
              <w:rPr>
                <w:rFonts w:hint="eastAsia" w:ascii="宋体" w:hAnsi="宋体" w:cs="宋体"/>
                <w:color w:val="auto"/>
                <w:highlight w:val="none"/>
                <w:lang w:eastAsia="zh-CN"/>
              </w:rPr>
              <w:t>）</w:t>
            </w:r>
            <w:r>
              <w:rPr>
                <w:rFonts w:hint="eastAsia" w:ascii="宋体" w:hAnsi="宋体" w:eastAsia="宋体" w:cs="宋体"/>
                <w:color w:val="auto"/>
                <w:highlight w:val="none"/>
              </w:rPr>
              <w:t>/评标基准价×100× E</w:t>
            </w:r>
            <w:r>
              <w:rPr>
                <w:rFonts w:hint="eastAsia" w:ascii="宋体" w:hAnsi="宋体" w:eastAsia="宋体" w:cs="宋体"/>
                <w:color w:val="auto"/>
                <w:highlight w:val="none"/>
                <w:vertAlign w:val="subscript"/>
              </w:rPr>
              <w:t>2</w:t>
            </w:r>
            <w:r>
              <w:rPr>
                <w:rFonts w:hint="eastAsia" w:ascii="宋体" w:hAnsi="宋体" w:eastAsia="宋体" w:cs="宋体"/>
                <w:color w:val="auto"/>
                <w:highlight w:val="none"/>
              </w:rPr>
              <w:t>。</w:t>
            </w:r>
          </w:p>
          <w:p>
            <w:pPr>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其中，F是</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所占的评分满分值；E</w:t>
            </w:r>
            <w:r>
              <w:rPr>
                <w:rFonts w:hint="eastAsia" w:ascii="宋体" w:hAnsi="宋体" w:eastAsia="宋体" w:cs="宋体"/>
                <w:color w:val="auto"/>
                <w:highlight w:val="none"/>
                <w:vertAlign w:val="subscript"/>
              </w:rPr>
              <w:t>1</w:t>
            </w:r>
            <w:r>
              <w:rPr>
                <w:rFonts w:hint="eastAsia" w:ascii="宋体" w:hAnsi="宋体" w:eastAsia="宋体" w:cs="宋体"/>
                <w:color w:val="auto"/>
                <w:highlight w:val="none"/>
              </w:rPr>
              <w:t>是</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每高于评标基准价一个百分点的扣分值；E</w:t>
            </w:r>
            <w:r>
              <w:rPr>
                <w:rFonts w:hint="eastAsia" w:ascii="宋体" w:hAnsi="宋体" w:eastAsia="宋体" w:cs="宋体"/>
                <w:color w:val="auto"/>
                <w:highlight w:val="none"/>
                <w:vertAlign w:val="subscript"/>
              </w:rPr>
              <w:t>2</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每低于评标基准价一个百分点的扣分值。</w:t>
            </w:r>
          </w:p>
          <w:p>
            <w:pPr>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最低得分为0分。</w:t>
            </w:r>
          </w:p>
          <w:p>
            <w:pPr>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得分计算保留两位小数。</w:t>
            </w:r>
          </w:p>
          <w:p>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vertAlign w:val="subscript"/>
              </w:rPr>
              <w:t>1</w:t>
            </w:r>
            <w:r>
              <w:rPr>
                <w:rFonts w:hint="eastAsia" w:ascii="宋体" w:hAnsi="宋体" w:eastAsia="宋体" w:cs="宋体"/>
                <w:color w:val="auto"/>
                <w:highlight w:val="none"/>
              </w:rPr>
              <w:t>=0.3</w:t>
            </w:r>
          </w:p>
          <w:p>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vertAlign w:val="subscript"/>
              </w:rPr>
              <w:t>2</w:t>
            </w:r>
            <w:r>
              <w:rPr>
                <w:rFonts w:hint="eastAsia" w:ascii="宋体" w:hAnsi="宋体" w:eastAsia="宋体" w:cs="宋体"/>
                <w:color w:val="auto"/>
                <w:highlight w:val="none"/>
              </w:rPr>
              <w:t>=0.2</w:t>
            </w:r>
          </w:p>
          <w:p>
            <w:pPr>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F=20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5" w:hRule="atLeast"/>
        </w:trPr>
        <w:tc>
          <w:tcPr>
            <w:tcW w:w="9437" w:type="dxa"/>
            <w:gridSpan w:val="6"/>
            <w:vAlign w:val="center"/>
          </w:tcPr>
          <w:p>
            <w:pPr>
              <w:autoSpaceDE w:val="0"/>
              <w:autoSpaceDN w:val="0"/>
              <w:adjustRightInd w:val="0"/>
              <w:spacing w:line="3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需要补充的其他内容：</w:t>
            </w:r>
          </w:p>
          <w:p>
            <w:pPr>
              <w:autoSpaceDE w:val="0"/>
              <w:autoSpaceDN w:val="0"/>
              <w:adjustRightInd w:val="0"/>
              <w:spacing w:line="3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color w:val="auto"/>
                <w:szCs w:val="21"/>
                <w:highlight w:val="none"/>
              </w:rPr>
              <w:t>2.10  第二个信封详细评审</w:t>
            </w:r>
            <w:r>
              <w:rPr>
                <w:rFonts w:hint="eastAsia" w:ascii="宋体" w:hAnsi="宋体" w:eastAsia="宋体" w:cs="宋体"/>
                <w:color w:val="auto"/>
                <w:highlight w:val="none"/>
              </w:rPr>
              <w:t>评标委员会发现</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的报价明显低于其他</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，建议评标委员会对</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低于</w:t>
            </w:r>
            <w:r>
              <w:rPr>
                <w:rFonts w:hint="eastAsia" w:ascii="宋体" w:hAnsi="宋体" w:eastAsia="宋体" w:cs="宋体"/>
                <w:color w:val="auto"/>
                <w:highlight w:val="none"/>
                <w:lang w:eastAsia="zh-CN"/>
              </w:rPr>
              <w:t>交易响应控制价</w:t>
            </w:r>
            <w:r>
              <w:rPr>
                <w:rFonts w:hint="eastAsia" w:ascii="宋体" w:hAnsi="宋体" w:eastAsia="宋体" w:cs="宋体"/>
                <w:color w:val="auto"/>
                <w:highlight w:val="none"/>
                <w:lang w:val="en-US" w:eastAsia="zh-CN"/>
              </w:rPr>
              <w:t>80</w:t>
            </w:r>
            <w:r>
              <w:rPr>
                <w:rFonts w:hint="eastAsia" w:ascii="宋体" w:hAnsi="宋体" w:eastAsia="宋体" w:cs="宋体"/>
                <w:color w:val="auto"/>
                <w:highlight w:val="none"/>
              </w:rPr>
              <w:t>%</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进行询标，应当要求该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作出说明并提供相应的证明材料。</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不能合理说明或者不能提供相应证明材料的，由评标委员会认定该</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以低于成本报价竞标，其</w:t>
            </w:r>
            <w:r>
              <w:rPr>
                <w:rFonts w:hint="eastAsia" w:ascii="宋体" w:hAnsi="宋体" w:cs="宋体"/>
                <w:color w:val="auto"/>
                <w:highlight w:val="none"/>
                <w:lang w:eastAsia="zh-CN"/>
              </w:rPr>
              <w:t>交易响应</w:t>
            </w:r>
            <w:r>
              <w:rPr>
                <w:rFonts w:hint="eastAsia" w:ascii="宋体" w:hAnsi="宋体" w:eastAsia="宋体" w:cs="宋体"/>
                <w:color w:val="auto"/>
                <w:highlight w:val="none"/>
              </w:rPr>
              <w:t>作</w:t>
            </w:r>
            <w:r>
              <w:rPr>
                <w:rFonts w:hint="eastAsia" w:ascii="宋体" w:hAnsi="宋体" w:eastAsia="宋体" w:cs="宋体"/>
                <w:color w:val="auto"/>
                <w:highlight w:val="none"/>
                <w:lang w:eastAsia="zh-CN"/>
              </w:rPr>
              <w:t>否决交易响应处理</w:t>
            </w:r>
            <w:r>
              <w:rPr>
                <w:rFonts w:hint="eastAsia" w:ascii="宋体" w:hAnsi="宋体" w:eastAsia="宋体" w:cs="宋体"/>
                <w:color w:val="auto"/>
                <w:highlight w:val="none"/>
              </w:rPr>
              <w:t>。</w:t>
            </w:r>
          </w:p>
        </w:tc>
      </w:tr>
    </w:tbl>
    <w:p>
      <w:pPr>
        <w:pStyle w:val="3"/>
        <w:spacing w:line="240" w:lineRule="auto"/>
        <w:rPr>
          <w:rFonts w:hint="eastAsia" w:ascii="宋体" w:hAnsi="宋体" w:eastAsia="宋体" w:cs="宋体"/>
          <w:color w:val="auto"/>
          <w:sz w:val="30"/>
          <w:szCs w:val="30"/>
          <w:highlight w:val="none"/>
        </w:rPr>
      </w:pPr>
      <w:bookmarkStart w:id="304" w:name="_Toc286830208"/>
      <w:r>
        <w:rPr>
          <w:rFonts w:hint="eastAsia" w:ascii="宋体" w:hAnsi="宋体" w:eastAsia="宋体" w:cs="宋体"/>
          <w:color w:val="auto"/>
          <w:highlight w:val="none"/>
        </w:rPr>
        <w:br w:type="page"/>
      </w:r>
      <w:bookmarkStart w:id="305" w:name="_Toc18513"/>
      <w:r>
        <w:rPr>
          <w:rFonts w:hint="eastAsia" w:ascii="宋体" w:hAnsi="宋体" w:eastAsia="宋体" w:cs="宋体"/>
          <w:color w:val="auto"/>
          <w:sz w:val="30"/>
          <w:szCs w:val="30"/>
          <w:highlight w:val="none"/>
        </w:rPr>
        <w:t>1. 总则</w:t>
      </w:r>
      <w:bookmarkEnd w:id="304"/>
      <w:bookmarkEnd w:id="305"/>
    </w:p>
    <w:p>
      <w:pPr>
        <w:spacing w:line="460" w:lineRule="exact"/>
        <w:ind w:firstLine="420" w:firstLineChars="200"/>
        <w:rPr>
          <w:rFonts w:hint="eastAsia" w:ascii="宋体" w:hAnsi="宋体" w:eastAsia="宋体" w:cs="宋体"/>
          <w:b/>
          <w:bCs/>
          <w:color w:val="auto"/>
          <w:szCs w:val="32"/>
          <w:highlight w:val="none"/>
        </w:rPr>
      </w:pPr>
      <w:r>
        <w:rPr>
          <w:rFonts w:hint="eastAsia" w:ascii="宋体" w:hAnsi="宋体" w:eastAsia="宋体" w:cs="宋体"/>
          <w:color w:val="auto"/>
          <w:szCs w:val="21"/>
          <w:highlight w:val="none"/>
        </w:rPr>
        <w:t>本次评标采用综合评估法，评标委员会对满足</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实质性要求的</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，按照本章第2条规定进行评审打分，并按得分由高到低顺序推荐</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，或根据</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授权直接确定</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w:t>
      </w:r>
    </w:p>
    <w:p>
      <w:pPr>
        <w:spacing w:line="460" w:lineRule="exact"/>
        <w:rPr>
          <w:rFonts w:hint="eastAsia" w:ascii="宋体" w:hAnsi="宋体" w:eastAsia="宋体" w:cs="宋体"/>
          <w:color w:val="auto"/>
          <w:sz w:val="30"/>
          <w:szCs w:val="30"/>
          <w:highlight w:val="none"/>
        </w:rPr>
      </w:pPr>
    </w:p>
    <w:p>
      <w:pPr>
        <w:pStyle w:val="3"/>
        <w:spacing w:line="240" w:lineRule="auto"/>
        <w:rPr>
          <w:rFonts w:hint="eastAsia" w:ascii="宋体" w:hAnsi="宋体" w:eastAsia="宋体" w:cs="宋体"/>
          <w:color w:val="auto"/>
          <w:sz w:val="30"/>
          <w:szCs w:val="30"/>
          <w:highlight w:val="none"/>
        </w:rPr>
      </w:pPr>
      <w:bookmarkStart w:id="306" w:name="_Toc24458"/>
      <w:bookmarkStart w:id="307" w:name="_Toc286830209"/>
      <w:r>
        <w:rPr>
          <w:rFonts w:hint="eastAsia" w:ascii="宋体" w:hAnsi="宋体" w:eastAsia="宋体" w:cs="宋体"/>
          <w:color w:val="auto"/>
          <w:sz w:val="30"/>
          <w:szCs w:val="30"/>
          <w:highlight w:val="none"/>
        </w:rPr>
        <w:t>2. 评标程序和评审标准</w:t>
      </w:r>
      <w:bookmarkEnd w:id="306"/>
      <w:bookmarkEnd w:id="307"/>
    </w:p>
    <w:p>
      <w:pPr>
        <w:pStyle w:val="72"/>
        <w:outlineLvl w:val="0"/>
        <w:rPr>
          <w:rFonts w:hint="eastAsia" w:ascii="宋体" w:hAnsi="宋体" w:eastAsia="宋体" w:cs="宋体"/>
          <w:b/>
          <w:color w:val="auto"/>
          <w:szCs w:val="21"/>
          <w:highlight w:val="none"/>
        </w:rPr>
      </w:pPr>
      <w:bookmarkStart w:id="308" w:name="_Toc5405"/>
      <w:r>
        <w:rPr>
          <w:rFonts w:hint="eastAsia" w:ascii="宋体" w:hAnsi="宋体" w:eastAsia="宋体" w:cs="宋体"/>
          <w:b/>
          <w:color w:val="auto"/>
          <w:szCs w:val="21"/>
          <w:highlight w:val="none"/>
        </w:rPr>
        <w:t>2.1  评标程序</w:t>
      </w:r>
      <w:bookmarkEnd w:id="308"/>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评标工作按以下程序进行：</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第一个信封资格审查；</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第一个信封初步评审；</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第一个信封澄清（如果需要）；</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第一个信封详细评审。</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第二个信封初步评审；</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第二个信封算术性修正；</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第二个信封澄清（如果需要）；</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第二个信封详细评审。</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综合评价，推荐</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w:t>
      </w:r>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  编写评标报告。</w:t>
      </w:r>
    </w:p>
    <w:p>
      <w:pPr>
        <w:pStyle w:val="72"/>
        <w:outlineLvl w:val="0"/>
        <w:rPr>
          <w:rFonts w:hint="eastAsia" w:ascii="宋体" w:hAnsi="宋体" w:eastAsia="宋体" w:cs="宋体"/>
          <w:b/>
          <w:color w:val="auto"/>
          <w:szCs w:val="21"/>
          <w:highlight w:val="none"/>
        </w:rPr>
      </w:pPr>
      <w:bookmarkStart w:id="309" w:name="_Toc13341"/>
      <w:r>
        <w:rPr>
          <w:rFonts w:hint="eastAsia" w:ascii="宋体" w:hAnsi="宋体" w:eastAsia="宋体" w:cs="宋体"/>
          <w:b/>
          <w:color w:val="auto"/>
          <w:szCs w:val="21"/>
          <w:highlight w:val="none"/>
        </w:rPr>
        <w:t>2.2  第一个信封资格审查</w:t>
      </w:r>
      <w:bookmarkEnd w:id="309"/>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评标委员会首先对</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提交的资格审查表进行审查，有一项不符合评审标准的，作</w:t>
      </w:r>
      <w:r>
        <w:rPr>
          <w:rFonts w:hint="eastAsia" w:ascii="宋体" w:hAnsi="宋体" w:eastAsia="宋体" w:cs="宋体"/>
          <w:color w:val="auto"/>
          <w:szCs w:val="21"/>
          <w:highlight w:val="none"/>
          <w:lang w:eastAsia="zh-CN"/>
        </w:rPr>
        <w:t>否决交易响应处理</w:t>
      </w:r>
      <w:r>
        <w:rPr>
          <w:rFonts w:hint="eastAsia" w:ascii="宋体" w:hAnsi="宋体" w:eastAsia="宋体" w:cs="宋体"/>
          <w:color w:val="auto"/>
          <w:szCs w:val="21"/>
          <w:highlight w:val="none"/>
        </w:rPr>
        <w:t>。通过资格审查的标准见“评标办法前附表”。</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评标委员会可以要求</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提交第二章“</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须知”第3.5.1项规定的有关证件和证明的原件，以便核验。</w:t>
      </w:r>
    </w:p>
    <w:p>
      <w:pPr>
        <w:rPr>
          <w:rFonts w:hint="eastAsia" w:ascii="宋体" w:hAnsi="宋体" w:eastAsia="宋体" w:cs="宋体"/>
          <w:color w:val="auto"/>
          <w:highlight w:val="none"/>
        </w:rPr>
      </w:pPr>
    </w:p>
    <w:p>
      <w:pPr>
        <w:pStyle w:val="72"/>
        <w:outlineLvl w:val="0"/>
        <w:rPr>
          <w:rFonts w:hint="eastAsia" w:ascii="宋体" w:hAnsi="宋体" w:eastAsia="宋体" w:cs="宋体"/>
          <w:b/>
          <w:color w:val="auto"/>
          <w:szCs w:val="21"/>
          <w:highlight w:val="none"/>
        </w:rPr>
      </w:pPr>
      <w:bookmarkStart w:id="310" w:name="_Toc17319"/>
      <w:r>
        <w:rPr>
          <w:rFonts w:hint="eastAsia" w:ascii="宋体" w:hAnsi="宋体" w:eastAsia="宋体" w:cs="宋体"/>
          <w:b/>
          <w:color w:val="auto"/>
          <w:szCs w:val="21"/>
          <w:highlight w:val="none"/>
        </w:rPr>
        <w:t>2.3  第一个信封初步评审</w:t>
      </w:r>
      <w:bookmarkEnd w:id="310"/>
    </w:p>
    <w:p>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评标委员会对通过资格审查的</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第一个信封（商务及技术文件）进行初步评审，有一项不符合评审标准的，作</w:t>
      </w:r>
      <w:r>
        <w:rPr>
          <w:rFonts w:hint="eastAsia" w:ascii="宋体" w:hAnsi="宋体" w:eastAsia="宋体" w:cs="宋体"/>
          <w:color w:val="auto"/>
          <w:szCs w:val="21"/>
          <w:highlight w:val="none"/>
          <w:lang w:eastAsia="zh-CN"/>
        </w:rPr>
        <w:t>否决交易响应处理</w:t>
      </w:r>
      <w:r>
        <w:rPr>
          <w:rFonts w:hint="eastAsia" w:ascii="宋体" w:hAnsi="宋体" w:eastAsia="宋体" w:cs="宋体"/>
          <w:color w:val="auto"/>
          <w:szCs w:val="21"/>
          <w:highlight w:val="none"/>
        </w:rPr>
        <w:t>。通过初步评审的标准见“评标办法前附表”。</w:t>
      </w:r>
    </w:p>
    <w:p>
      <w:pPr>
        <w:rPr>
          <w:rFonts w:hint="eastAsia" w:ascii="宋体" w:hAnsi="宋体" w:eastAsia="宋体" w:cs="宋体"/>
          <w:color w:val="auto"/>
          <w:highlight w:val="none"/>
        </w:rPr>
      </w:pPr>
    </w:p>
    <w:p>
      <w:pPr>
        <w:pStyle w:val="72"/>
        <w:outlineLvl w:val="0"/>
        <w:rPr>
          <w:rFonts w:hint="eastAsia" w:ascii="宋体" w:hAnsi="宋体" w:eastAsia="宋体" w:cs="宋体"/>
          <w:b/>
          <w:color w:val="auto"/>
          <w:szCs w:val="21"/>
          <w:highlight w:val="none"/>
        </w:rPr>
      </w:pPr>
      <w:bookmarkStart w:id="311" w:name="_Toc3162"/>
      <w:r>
        <w:rPr>
          <w:rFonts w:hint="eastAsia" w:ascii="宋体" w:hAnsi="宋体" w:eastAsia="宋体" w:cs="宋体"/>
          <w:b/>
          <w:color w:val="auto"/>
          <w:szCs w:val="21"/>
          <w:highlight w:val="none"/>
        </w:rPr>
        <w:t>2.4  第一个信封澄清</w:t>
      </w:r>
      <w:bookmarkEnd w:id="311"/>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在评标过程中，评标委员会可以书面形式要求</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对所提交</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中含义不明确、对同类问题表述不一致或者有明显文字错误的内容作必要的澄清、说明或者补正。评标委员会不接受</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主动提出的澄清、说明或补正。</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澄清、说明或者补正应以书面方式进行，并不得超过</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的范围或者改变</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的实质性内容。</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的书面澄清、说明和补正属于</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的组成部分。</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提交的澄清、说明或补正有疑问的，可以要求</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进一步澄清、说明或补正，直至满足评标委员会的要求。凡超出</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规定的或给发包人带来未曾要求的利益的变化、偏差或其他因素在评标时不予考虑。</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2" w:name="_Toc21886"/>
      <w:r>
        <w:rPr>
          <w:rFonts w:hint="eastAsia" w:ascii="宋体" w:hAnsi="宋体" w:eastAsia="宋体" w:cs="宋体"/>
          <w:b/>
          <w:color w:val="auto"/>
          <w:szCs w:val="21"/>
          <w:highlight w:val="none"/>
        </w:rPr>
        <w:t>2.5  第一个信封详细评审</w:t>
      </w:r>
      <w:bookmarkEnd w:id="312"/>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第一个信封（商务文件）由评标委员会统一打分；</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第一个信封（技术文件）由评标委员会各成员独立打分。各评审因素得分以评标委员会各成员打分平均值确定，当评标委员会成员总数为7人及以上时该平均值以去掉一个最高分和一个最低分后计算。打分值保留一位小数，计算结果保留二位小数。</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lang w:eastAsia="zh-CN"/>
        </w:rPr>
      </w:pPr>
      <w:bookmarkStart w:id="313" w:name="_Toc13512"/>
      <w:r>
        <w:rPr>
          <w:rFonts w:hint="eastAsia" w:ascii="宋体" w:hAnsi="宋体" w:eastAsia="宋体" w:cs="宋体"/>
          <w:b/>
          <w:color w:val="auto"/>
          <w:szCs w:val="21"/>
          <w:highlight w:val="none"/>
        </w:rPr>
        <w:t>2.6  第二个信封</w:t>
      </w:r>
      <w:r>
        <w:rPr>
          <w:rFonts w:hint="eastAsia" w:ascii="宋体" w:hAnsi="宋体" w:eastAsia="宋体" w:cs="宋体"/>
          <w:b/>
          <w:color w:val="auto"/>
          <w:szCs w:val="21"/>
          <w:highlight w:val="none"/>
          <w:lang w:eastAsia="zh-CN"/>
        </w:rPr>
        <w:t>交易会议</w:t>
      </w:r>
      <w:bookmarkEnd w:id="313"/>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第一个信封（商务及技术文件）评审结束后，</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将按照第二章“</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须知”第5.1款规定的时间和地点对</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第二个信封（报价文件）进行</w:t>
      </w:r>
      <w:r>
        <w:rPr>
          <w:rFonts w:hint="eastAsia" w:ascii="宋体" w:hAnsi="宋体" w:eastAsia="宋体" w:cs="宋体"/>
          <w:color w:val="auto"/>
          <w:szCs w:val="21"/>
          <w:highlight w:val="none"/>
          <w:lang w:eastAsia="zh-CN"/>
        </w:rPr>
        <w:t>交易会议</w:t>
      </w:r>
      <w:r>
        <w:rPr>
          <w:rFonts w:hint="eastAsia" w:ascii="宋体" w:hAnsi="宋体" w:eastAsia="宋体" w:cs="宋体"/>
          <w:color w:val="auto"/>
          <w:szCs w:val="21"/>
          <w:highlight w:val="none"/>
        </w:rPr>
        <w:t>。</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4" w:name="_Toc14714"/>
      <w:r>
        <w:rPr>
          <w:rFonts w:hint="eastAsia" w:ascii="宋体" w:hAnsi="宋体" w:eastAsia="宋体" w:cs="宋体"/>
          <w:b/>
          <w:color w:val="auto"/>
          <w:szCs w:val="21"/>
          <w:highlight w:val="none"/>
        </w:rPr>
        <w:t>2.7  第二个信封初步评审</w:t>
      </w:r>
      <w:bookmarkEnd w:id="314"/>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第一个信封（商务及技术文件）评审的</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第二个信封（报价文件）进行初步评审。有一项不符合评审标准的，作</w:t>
      </w:r>
      <w:r>
        <w:rPr>
          <w:rFonts w:hint="eastAsia" w:ascii="宋体" w:hAnsi="宋体" w:eastAsia="宋体" w:cs="宋体"/>
          <w:color w:val="auto"/>
          <w:szCs w:val="21"/>
          <w:highlight w:val="none"/>
          <w:lang w:eastAsia="zh-CN"/>
        </w:rPr>
        <w:t>否决交易响应处理</w:t>
      </w:r>
      <w:r>
        <w:rPr>
          <w:rFonts w:hint="eastAsia" w:ascii="宋体" w:hAnsi="宋体" w:eastAsia="宋体" w:cs="宋体"/>
          <w:color w:val="auto"/>
          <w:szCs w:val="21"/>
          <w:highlight w:val="none"/>
        </w:rPr>
        <w:t>。通过初步评审的标准见“评标办法前附表”。</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5" w:name="_Toc2978"/>
      <w:r>
        <w:rPr>
          <w:rFonts w:hint="eastAsia" w:ascii="宋体" w:hAnsi="宋体" w:eastAsia="宋体" w:cs="宋体"/>
          <w:b/>
          <w:color w:val="auto"/>
          <w:szCs w:val="21"/>
          <w:highlight w:val="none"/>
        </w:rPr>
        <w:t>2.8  第二个信封算术性修正</w:t>
      </w:r>
      <w:bookmarkEnd w:id="315"/>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第二个信封（报价文件）初步评审的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进行校核，并对其中的算术性错误予以修正。修正的原则如下：</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大写金额与小写金额不一致的，以大写金额为准；</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单价金额与数量相乘与合价金额不一致的，以单价金额为准；如果单价金额有明显的小数点位置差错，应以标出的合价金额为准，同时对单价金额予以修正；</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合价金额累计与总价金额不一致的，以合价金额为准，修正总价金额。</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6" w:name="_Toc23717"/>
      <w:r>
        <w:rPr>
          <w:rFonts w:hint="eastAsia" w:ascii="宋体" w:hAnsi="宋体" w:eastAsia="宋体" w:cs="宋体"/>
          <w:b/>
          <w:color w:val="auto"/>
          <w:szCs w:val="21"/>
          <w:highlight w:val="none"/>
        </w:rPr>
        <w:t>2.9  第二个信封澄清</w:t>
      </w:r>
      <w:bookmarkEnd w:id="316"/>
    </w:p>
    <w:p>
      <w:pPr>
        <w:spacing w:line="46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算术性修正后的报价如果与</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原报价不同，评标时将书面通知</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进行澄清，</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应确认算术性修正后的报价；</w:t>
      </w:r>
      <w:r>
        <w:rPr>
          <w:rFonts w:hint="eastAsia" w:ascii="宋体" w:hAnsi="宋体" w:eastAsia="宋体" w:cs="宋体"/>
          <w:b/>
          <w:color w:val="auto"/>
          <w:szCs w:val="21"/>
          <w:highlight w:val="none"/>
        </w:rPr>
        <w:t>如</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拒绝确认，则其</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将不予评审，作</w:t>
      </w:r>
      <w:r>
        <w:rPr>
          <w:rFonts w:hint="eastAsia" w:ascii="宋体" w:hAnsi="宋体" w:eastAsia="宋体" w:cs="宋体"/>
          <w:b/>
          <w:color w:val="auto"/>
          <w:szCs w:val="21"/>
          <w:highlight w:val="none"/>
          <w:lang w:eastAsia="zh-CN"/>
        </w:rPr>
        <w:t>否决交易响应处理</w:t>
      </w:r>
      <w:r>
        <w:rPr>
          <w:rFonts w:hint="eastAsia" w:ascii="宋体" w:hAnsi="宋体" w:eastAsia="宋体" w:cs="宋体"/>
          <w:b/>
          <w:color w:val="auto"/>
          <w:szCs w:val="21"/>
          <w:highlight w:val="none"/>
        </w:rPr>
        <w:t>。修正后的最终</w:t>
      </w:r>
      <w:r>
        <w:rPr>
          <w:rFonts w:hint="eastAsia" w:ascii="宋体" w:hAnsi="宋体" w:eastAsia="宋体" w:cs="宋体"/>
          <w:b/>
          <w:color w:val="auto"/>
          <w:szCs w:val="21"/>
          <w:highlight w:val="none"/>
          <w:lang w:eastAsia="zh-CN"/>
        </w:rPr>
        <w:t>交易响应报价</w:t>
      </w:r>
      <w:r>
        <w:rPr>
          <w:rFonts w:hint="eastAsia" w:ascii="宋体" w:hAnsi="宋体" w:eastAsia="宋体" w:cs="宋体"/>
          <w:b/>
          <w:color w:val="auto"/>
          <w:szCs w:val="21"/>
          <w:highlight w:val="none"/>
        </w:rPr>
        <w:t>仅作为签订合同的一个依据，不参与</w:t>
      </w:r>
      <w:r>
        <w:rPr>
          <w:rFonts w:hint="eastAsia" w:ascii="宋体" w:hAnsi="宋体" w:eastAsia="宋体" w:cs="宋体"/>
          <w:b/>
          <w:color w:val="auto"/>
          <w:szCs w:val="21"/>
          <w:highlight w:val="none"/>
          <w:lang w:eastAsia="zh-CN"/>
        </w:rPr>
        <w:t>交易响应报价</w:t>
      </w:r>
      <w:r>
        <w:rPr>
          <w:rFonts w:hint="eastAsia" w:ascii="宋体" w:hAnsi="宋体" w:eastAsia="宋体" w:cs="宋体"/>
          <w:b/>
          <w:color w:val="auto"/>
          <w:szCs w:val="21"/>
          <w:highlight w:val="none"/>
        </w:rPr>
        <w:t>得分的计算。</w:t>
      </w:r>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修正后的最终</w:t>
      </w:r>
      <w:r>
        <w:rPr>
          <w:rFonts w:hint="eastAsia" w:ascii="宋体" w:hAnsi="宋体" w:eastAsia="宋体" w:cs="宋体"/>
          <w:b/>
          <w:color w:val="auto"/>
          <w:szCs w:val="21"/>
          <w:highlight w:val="none"/>
          <w:lang w:eastAsia="zh-CN"/>
        </w:rPr>
        <w:t>交易响应报价</w:t>
      </w:r>
      <w:r>
        <w:rPr>
          <w:rFonts w:hint="eastAsia" w:ascii="宋体" w:hAnsi="宋体" w:eastAsia="宋体" w:cs="宋体"/>
          <w:b/>
          <w:color w:val="auto"/>
          <w:szCs w:val="21"/>
          <w:highlight w:val="none"/>
        </w:rPr>
        <w:t>若超过</w:t>
      </w:r>
      <w:r>
        <w:rPr>
          <w:rFonts w:hint="eastAsia" w:ascii="宋体" w:hAnsi="宋体" w:eastAsia="宋体" w:cs="宋体"/>
          <w:b/>
          <w:color w:val="auto"/>
          <w:szCs w:val="21"/>
          <w:highlight w:val="none"/>
          <w:lang w:eastAsia="zh-CN"/>
        </w:rPr>
        <w:t>交易响应控制价</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交易响应人</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eastAsia="zh-CN"/>
        </w:rPr>
        <w:t>交易响应文件</w:t>
      </w:r>
      <w:r>
        <w:rPr>
          <w:rFonts w:hint="eastAsia" w:ascii="宋体" w:hAnsi="宋体" w:eastAsia="宋体" w:cs="宋体"/>
          <w:b/>
          <w:color w:val="auto"/>
          <w:szCs w:val="21"/>
          <w:highlight w:val="none"/>
        </w:rPr>
        <w:t>作</w:t>
      </w:r>
      <w:r>
        <w:rPr>
          <w:rFonts w:hint="eastAsia" w:ascii="宋体" w:hAnsi="宋体" w:eastAsia="宋体" w:cs="宋体"/>
          <w:b/>
          <w:color w:val="auto"/>
          <w:szCs w:val="21"/>
          <w:highlight w:val="none"/>
          <w:lang w:eastAsia="zh-CN"/>
        </w:rPr>
        <w:t>否决交易响应处理</w:t>
      </w:r>
      <w:r>
        <w:rPr>
          <w:rFonts w:hint="eastAsia" w:ascii="宋体" w:hAnsi="宋体" w:eastAsia="宋体" w:cs="宋体"/>
          <w:b/>
          <w:color w:val="auto"/>
          <w:szCs w:val="21"/>
          <w:highlight w:val="none"/>
        </w:rPr>
        <w:t>。</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7" w:name="_Toc6811"/>
      <w:r>
        <w:rPr>
          <w:rFonts w:hint="eastAsia" w:ascii="宋体" w:hAnsi="宋体" w:eastAsia="宋体" w:cs="宋体"/>
          <w:b/>
          <w:color w:val="auto"/>
          <w:szCs w:val="21"/>
          <w:highlight w:val="none"/>
        </w:rPr>
        <w:t>2.10  第二个信封详细评审</w:t>
      </w:r>
      <w:bookmarkEnd w:id="317"/>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计算所有通过第二个信封（报价文件）初步评审以及算术性修正后的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得分。</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得分的计算方法见“评标办法前附表”。</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8" w:name="_Toc30573"/>
      <w:r>
        <w:rPr>
          <w:rFonts w:hint="eastAsia" w:ascii="宋体" w:hAnsi="宋体" w:eastAsia="宋体" w:cs="宋体"/>
          <w:b/>
          <w:color w:val="auto"/>
          <w:szCs w:val="21"/>
          <w:highlight w:val="none"/>
        </w:rPr>
        <w:t>2.11  评标排序</w:t>
      </w:r>
      <w:bookmarkEnd w:id="318"/>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评标委员会成员应当按照评标办法的规定，独立评分并署名。各</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的综合得分为商务和技术得分与报价得分之和。按照综合得分由高到低的顺序，评标委员会对</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进行排名。如最终得分相同时，则</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第一个信封（商务和技术文件）得分较高的优先。</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第一个信封（商务和技术文件）得分也相同时，</w:t>
      </w:r>
      <w:r>
        <w:rPr>
          <w:rFonts w:hint="eastAsia" w:ascii="宋体" w:hAnsi="宋体" w:eastAsia="宋体" w:cs="宋体"/>
          <w:color w:val="auto"/>
          <w:highlight w:val="none"/>
        </w:rPr>
        <w:t>以评标时采纳的信用评价结果高的优先；信用评价结果也相等的，以</w:t>
      </w:r>
      <w:r>
        <w:rPr>
          <w:rFonts w:hint="eastAsia" w:ascii="宋体" w:hAnsi="宋体" w:eastAsia="宋体" w:cs="宋体"/>
          <w:color w:val="auto"/>
          <w:highlight w:val="none"/>
          <w:lang w:eastAsia="zh-CN"/>
        </w:rPr>
        <w:t>交易响应报价</w:t>
      </w:r>
      <w:r>
        <w:rPr>
          <w:rFonts w:hint="eastAsia" w:ascii="宋体" w:hAnsi="宋体" w:eastAsia="宋体" w:cs="宋体"/>
          <w:color w:val="auto"/>
          <w:highlight w:val="none"/>
        </w:rPr>
        <w:t>低的优先；</w:t>
      </w:r>
      <w:r>
        <w:rPr>
          <w:rFonts w:hint="eastAsia" w:ascii="宋体" w:hAnsi="宋体" w:eastAsia="宋体" w:cs="宋体"/>
          <w:color w:val="auto"/>
          <w:highlight w:val="none"/>
          <w:lang w:eastAsia="zh-CN"/>
        </w:rPr>
        <w:t>交易响应报价</w:t>
      </w:r>
      <w:r>
        <w:rPr>
          <w:rFonts w:hint="eastAsia" w:ascii="宋体" w:hAnsi="宋体" w:eastAsia="宋体" w:cs="宋体"/>
          <w:color w:val="auto"/>
          <w:szCs w:val="21"/>
          <w:highlight w:val="none"/>
        </w:rPr>
        <w:t>也相同时</w:t>
      </w:r>
      <w:r>
        <w:rPr>
          <w:rFonts w:hint="eastAsia" w:ascii="宋体" w:hAnsi="宋体" w:eastAsia="宋体" w:cs="宋体"/>
          <w:color w:val="auto"/>
          <w:highlight w:val="none"/>
        </w:rPr>
        <w:t>，以递交</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时间较前的</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优先。</w:t>
      </w:r>
    </w:p>
    <w:p>
      <w:pPr>
        <w:spacing w:line="460" w:lineRule="exact"/>
        <w:rPr>
          <w:rFonts w:hint="eastAsia" w:ascii="宋体" w:hAnsi="宋体" w:eastAsia="宋体" w:cs="宋体"/>
          <w:b/>
          <w:color w:val="auto"/>
          <w:szCs w:val="21"/>
          <w:highlight w:val="none"/>
        </w:rPr>
      </w:pPr>
    </w:p>
    <w:p>
      <w:pPr>
        <w:pStyle w:val="72"/>
        <w:outlineLvl w:val="0"/>
        <w:rPr>
          <w:rFonts w:hint="eastAsia" w:ascii="宋体" w:hAnsi="宋体" w:eastAsia="宋体" w:cs="宋体"/>
          <w:b/>
          <w:color w:val="auto"/>
          <w:szCs w:val="21"/>
          <w:highlight w:val="none"/>
        </w:rPr>
      </w:pPr>
      <w:bookmarkStart w:id="319" w:name="_Toc24521"/>
      <w:r>
        <w:rPr>
          <w:rFonts w:hint="eastAsia" w:ascii="宋体" w:hAnsi="宋体" w:eastAsia="宋体" w:cs="宋体"/>
          <w:b/>
          <w:color w:val="auto"/>
          <w:szCs w:val="21"/>
          <w:highlight w:val="none"/>
        </w:rPr>
        <w:t>2.12  评标结果</w:t>
      </w:r>
      <w:bookmarkEnd w:id="319"/>
    </w:p>
    <w:p>
      <w:pPr>
        <w:spacing w:line="4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评标委员会应当在评标工作完成后，按“评标办法前附表”规定的人数推荐</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并向</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提交书面评标报告。</w:t>
      </w:r>
    </w:p>
    <w:p>
      <w:pPr>
        <w:spacing w:line="460" w:lineRule="exact"/>
        <w:ind w:firstLine="435"/>
        <w:rPr>
          <w:rFonts w:hint="eastAsia" w:ascii="宋体" w:hAnsi="宋体" w:eastAsia="宋体" w:cs="宋体"/>
          <w:color w:val="auto"/>
          <w:szCs w:val="21"/>
          <w:highlight w:val="none"/>
        </w:rPr>
        <w:sectPr>
          <w:headerReference r:id="rId10" w:type="default"/>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cols w:space="720" w:num="1"/>
          <w:docGrid w:linePitch="312" w:charSpace="0"/>
        </w:sectPr>
      </w:pPr>
    </w:p>
    <w:p>
      <w:pPr>
        <w:pStyle w:val="2"/>
        <w:jc w:val="center"/>
        <w:rPr>
          <w:rFonts w:hint="eastAsia" w:ascii="宋体" w:hAnsi="宋体" w:eastAsia="宋体" w:cs="宋体"/>
          <w:color w:val="auto"/>
          <w:szCs w:val="32"/>
          <w:highlight w:val="none"/>
        </w:rPr>
      </w:pPr>
      <w:bookmarkStart w:id="320" w:name="_Toc8553"/>
      <w:bookmarkStart w:id="321" w:name="_Toc286826654"/>
      <w:bookmarkStart w:id="322" w:name="_Toc286830210"/>
      <w:bookmarkStart w:id="323" w:name="_Toc286827101"/>
      <w:r>
        <w:rPr>
          <w:rFonts w:hint="eastAsia" w:ascii="宋体" w:hAnsi="宋体" w:eastAsia="宋体" w:cs="宋体"/>
          <w:color w:val="auto"/>
          <w:szCs w:val="32"/>
          <w:highlight w:val="none"/>
        </w:rPr>
        <w:t>第四章 合同条款及格式</w:t>
      </w:r>
      <w:bookmarkEnd w:id="320"/>
      <w:bookmarkEnd w:id="321"/>
      <w:bookmarkEnd w:id="322"/>
      <w:bookmarkEnd w:id="323"/>
    </w:p>
    <w:p>
      <w:pPr>
        <w:spacing w:line="360" w:lineRule="auto"/>
        <w:ind w:firstLine="420" w:firstLineChars="200"/>
        <w:rPr>
          <w:rFonts w:hint="eastAsia" w:ascii="宋体" w:hAnsi="宋体" w:eastAsia="宋体" w:cs="宋体"/>
          <w:color w:val="auto"/>
          <w:szCs w:val="21"/>
          <w:highlight w:val="none"/>
        </w:rPr>
      </w:pPr>
    </w:p>
    <w:p>
      <w:pPr>
        <w:spacing w:line="400" w:lineRule="exact"/>
        <w:rPr>
          <w:rFonts w:hint="eastAsia" w:ascii="宋体" w:hAnsi="宋体" w:eastAsia="宋体" w:cs="宋体"/>
          <w:color w:val="auto"/>
          <w:highlight w:val="none"/>
        </w:rPr>
      </w:pPr>
    </w:p>
    <w:p>
      <w:pPr>
        <w:pStyle w:val="97"/>
        <w:jc w:val="center"/>
        <w:rPr>
          <w:rFonts w:hint="eastAsia" w:ascii="宋体" w:hAnsi="宋体" w:eastAsia="宋体" w:cs="宋体"/>
          <w:color w:val="auto"/>
          <w:highlight w:val="none"/>
        </w:rPr>
      </w:pPr>
      <w:bookmarkStart w:id="324" w:name="_Toc18142"/>
      <w:r>
        <w:rPr>
          <w:rFonts w:hint="eastAsia" w:ascii="宋体" w:hAnsi="宋体" w:eastAsia="宋体" w:cs="宋体"/>
          <w:color w:val="auto"/>
          <w:highlight w:val="none"/>
        </w:rPr>
        <w:t>第一节通用合同条款</w:t>
      </w:r>
      <w:bookmarkEnd w:id="324"/>
    </w:p>
    <w:p>
      <w:pPr>
        <w:snapToGrid w:val="0"/>
        <w:spacing w:line="446" w:lineRule="exact"/>
        <w:ind w:firstLine="480" w:firstLineChars="200"/>
        <w:rPr>
          <w:rFonts w:hint="eastAsia" w:ascii="宋体" w:hAnsi="宋体" w:eastAsia="宋体" w:cs="宋体"/>
          <w:color w:val="auto"/>
          <w:sz w:val="24"/>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 w:val="24"/>
          <w:szCs w:val="21"/>
          <w:highlight w:val="none"/>
          <w:lang w:eastAsia="zh-CN"/>
        </w:rPr>
        <w:t>交易发起人</w:t>
      </w:r>
      <w:r>
        <w:rPr>
          <w:rFonts w:hint="eastAsia" w:ascii="宋体" w:hAnsi="宋体" w:eastAsia="宋体" w:cs="宋体"/>
          <w:color w:val="auto"/>
          <w:sz w:val="24"/>
          <w:szCs w:val="21"/>
          <w:highlight w:val="none"/>
        </w:rPr>
        <w:t>在编制</w:t>
      </w:r>
      <w:r>
        <w:rPr>
          <w:rFonts w:hint="eastAsia" w:ascii="宋体" w:hAnsi="宋体" w:eastAsia="宋体" w:cs="宋体"/>
          <w:color w:val="auto"/>
          <w:sz w:val="24"/>
          <w:szCs w:val="21"/>
          <w:highlight w:val="none"/>
          <w:lang w:eastAsia="zh-CN"/>
        </w:rPr>
        <w:t>交易文件</w:t>
      </w:r>
      <w:r>
        <w:rPr>
          <w:rFonts w:hint="eastAsia" w:ascii="宋体" w:hAnsi="宋体" w:eastAsia="宋体" w:cs="宋体"/>
          <w:color w:val="auto"/>
          <w:sz w:val="24"/>
          <w:szCs w:val="21"/>
          <w:highlight w:val="none"/>
        </w:rPr>
        <w:t>时，对通用合同条款不应进行任何改动，如果有不同要求应按照专用合同条款的编写原则在专用合同条款中进行补充、细化或约定。</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Cs w:val="21"/>
          <w:highlight w:val="none"/>
        </w:rPr>
      </w:pPr>
      <w:r>
        <w:rPr>
          <w:rFonts w:hint="eastAsia" w:ascii="宋体" w:hAnsi="宋体" w:eastAsia="宋体" w:cs="宋体"/>
          <w:color w:val="auto"/>
          <w:kern w:val="0"/>
          <w:highlight w:val="none"/>
        </w:rPr>
        <w:br w:type="page"/>
      </w:r>
      <w:bookmarkStart w:id="325" w:name="_Toc18482"/>
      <w:r>
        <w:rPr>
          <w:rFonts w:hint="eastAsia" w:ascii="宋体" w:hAnsi="宋体" w:eastAsia="宋体" w:cs="宋体"/>
          <w:b/>
          <w:bCs/>
          <w:color w:val="auto"/>
          <w:sz w:val="24"/>
          <w:highlight w:val="none"/>
        </w:rPr>
        <w:t>1．</w:t>
      </w:r>
      <w:r>
        <w:rPr>
          <w:rFonts w:hint="eastAsia" w:ascii="宋体" w:hAnsi="宋体" w:eastAsia="宋体" w:cs="宋体"/>
          <w:bCs/>
          <w:color w:val="auto"/>
          <w:sz w:val="24"/>
          <w:highlight w:val="none"/>
        </w:rPr>
        <w:t>定义与解释</w:t>
      </w:r>
      <w:bookmarkEnd w:id="325"/>
    </w:p>
    <w:p>
      <w:pPr>
        <w:pStyle w:val="4"/>
        <w:rPr>
          <w:rFonts w:hint="eastAsia" w:ascii="宋体" w:hAnsi="宋体" w:eastAsia="宋体" w:cs="宋体"/>
          <w:color w:val="auto"/>
          <w:kern w:val="0"/>
          <w:szCs w:val="24"/>
          <w:highlight w:val="none"/>
        </w:rPr>
      </w:pPr>
      <w:bookmarkStart w:id="326" w:name="_Toc7438"/>
      <w:r>
        <w:rPr>
          <w:rFonts w:hint="eastAsia" w:ascii="宋体" w:hAnsi="宋体" w:eastAsia="宋体" w:cs="宋体"/>
          <w:color w:val="auto"/>
          <w:kern w:val="0"/>
          <w:szCs w:val="24"/>
          <w:highlight w:val="none"/>
        </w:rPr>
        <w:t>1.1定义</w:t>
      </w:r>
      <w:bookmarkEnd w:id="326"/>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本文用词定义如下，但根据上下文另有其意义的除外。</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1.1.1  </w:t>
      </w:r>
      <w:r>
        <w:rPr>
          <w:rFonts w:hint="eastAsia" w:ascii="宋体" w:hAnsi="宋体" w:eastAsia="宋体" w:cs="宋体"/>
          <w:b/>
          <w:color w:val="auto"/>
          <w:sz w:val="24"/>
          <w:szCs w:val="21"/>
          <w:highlight w:val="none"/>
        </w:rPr>
        <w:t>项目</w:t>
      </w:r>
      <w:r>
        <w:rPr>
          <w:rFonts w:hint="eastAsia" w:ascii="宋体" w:hAnsi="宋体" w:eastAsia="宋体" w:cs="宋体"/>
          <w:color w:val="auto"/>
          <w:sz w:val="24"/>
          <w:szCs w:val="21"/>
          <w:highlight w:val="none"/>
        </w:rPr>
        <w:t>发包人委托试验检测单位提供试验检测服务的对象，具体情况在专用合同条款中指明。</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1.1.2</w:t>
      </w:r>
      <w:r>
        <w:rPr>
          <w:rFonts w:hint="eastAsia" w:ascii="宋体" w:hAnsi="宋体" w:eastAsia="宋体" w:cs="宋体"/>
          <w:b/>
          <w:color w:val="auto"/>
          <w:sz w:val="24"/>
          <w:szCs w:val="21"/>
          <w:highlight w:val="none"/>
        </w:rPr>
        <w:t>工程</w:t>
      </w:r>
      <w:r>
        <w:rPr>
          <w:rFonts w:hint="eastAsia" w:ascii="宋体" w:hAnsi="宋体" w:eastAsia="宋体" w:cs="宋体"/>
          <w:color w:val="auto"/>
          <w:sz w:val="24"/>
          <w:szCs w:val="21"/>
          <w:highlight w:val="none"/>
        </w:rPr>
        <w:t>为完成项目所实施的一项或若干项永久或临时工程</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包括向发包人提供的物资和设备</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，具体情况在专用合同条款中指明。</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1.1.3</w:t>
      </w:r>
      <w:r>
        <w:rPr>
          <w:rFonts w:hint="eastAsia" w:ascii="宋体" w:hAnsi="宋体" w:eastAsia="宋体" w:cs="宋体"/>
          <w:b/>
          <w:color w:val="auto"/>
          <w:sz w:val="24"/>
          <w:szCs w:val="21"/>
          <w:highlight w:val="none"/>
        </w:rPr>
        <w:t>服务</w:t>
      </w:r>
      <w:r>
        <w:rPr>
          <w:rFonts w:hint="eastAsia" w:ascii="宋体" w:hAnsi="宋体" w:eastAsia="宋体" w:cs="宋体"/>
          <w:color w:val="auto"/>
          <w:sz w:val="24"/>
          <w:szCs w:val="21"/>
          <w:highlight w:val="none"/>
        </w:rPr>
        <w:t>检测人根据试验检测合同所承担的工作，包括正常的服务、附加的服务，亦称试验检测服务。</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1.1.4</w:t>
      </w:r>
      <w:r>
        <w:rPr>
          <w:rFonts w:hint="eastAsia" w:ascii="宋体" w:hAnsi="宋体" w:eastAsia="宋体" w:cs="宋体"/>
          <w:b/>
          <w:color w:val="auto"/>
          <w:sz w:val="24"/>
          <w:szCs w:val="21"/>
          <w:highlight w:val="none"/>
        </w:rPr>
        <w:t>发包人</w:t>
      </w:r>
      <w:r>
        <w:rPr>
          <w:rFonts w:hint="eastAsia" w:ascii="宋体" w:hAnsi="宋体" w:eastAsia="宋体" w:cs="宋体"/>
          <w:color w:val="auto"/>
          <w:sz w:val="24"/>
          <w:szCs w:val="21"/>
          <w:highlight w:val="none"/>
        </w:rPr>
        <w:t>委托检测人提供试验检测服务的建设项目法人或其指定的负责管理建设项目的代表机构，具体情况在专用合同条款中指明。</w:t>
      </w:r>
    </w:p>
    <w:p>
      <w:pPr>
        <w:pStyle w:val="25"/>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1.1.5</w:t>
      </w:r>
      <w:r>
        <w:rPr>
          <w:rFonts w:hint="eastAsia" w:ascii="宋体" w:hAnsi="宋体" w:eastAsia="宋体" w:cs="宋体"/>
          <w:b/>
          <w:bCs/>
          <w:color w:val="auto"/>
          <w:sz w:val="24"/>
          <w:szCs w:val="21"/>
          <w:highlight w:val="none"/>
        </w:rPr>
        <w:t>承包人</w:t>
      </w:r>
      <w:r>
        <w:rPr>
          <w:rFonts w:hint="eastAsia" w:ascii="宋体" w:hAnsi="宋体" w:eastAsia="宋体" w:cs="宋体"/>
          <w:color w:val="auto"/>
          <w:sz w:val="24"/>
          <w:szCs w:val="21"/>
          <w:highlight w:val="none"/>
        </w:rPr>
        <w:t>与发包人签订施工合同协议承担工程施工任务的当事人（单位），以及取得该当事人（单位）资格的合法继承人（单位）。</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1.1.6</w:t>
      </w:r>
      <w:r>
        <w:rPr>
          <w:rFonts w:hint="eastAsia" w:ascii="宋体" w:hAnsi="宋体" w:eastAsia="宋体" w:cs="宋体"/>
          <w:b/>
          <w:color w:val="auto"/>
          <w:sz w:val="24"/>
          <w:szCs w:val="21"/>
          <w:highlight w:val="none"/>
        </w:rPr>
        <w:t>检测人</w:t>
      </w:r>
      <w:r>
        <w:rPr>
          <w:rFonts w:hint="eastAsia" w:ascii="宋体" w:hAnsi="宋体" w:eastAsia="宋体" w:cs="宋体"/>
          <w:color w:val="auto"/>
          <w:sz w:val="24"/>
          <w:szCs w:val="21"/>
          <w:highlight w:val="none"/>
        </w:rPr>
        <w:t>与发包人签订试验检测合同，承担工程试验检测任务的当事人（单位），以及取得该当事人（单位）资格的合法继承人（单位）。根据上下文的内容，亦指检测人根据试验检测合同派驻项目现场履行检测服务的机构。</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1.1.7</w:t>
      </w:r>
      <w:r>
        <w:rPr>
          <w:rFonts w:hint="eastAsia" w:ascii="宋体" w:hAnsi="宋体" w:eastAsia="宋体" w:cs="宋体"/>
          <w:b/>
          <w:color w:val="auto"/>
          <w:sz w:val="24"/>
          <w:szCs w:val="21"/>
          <w:highlight w:val="none"/>
        </w:rPr>
        <w:t>试验检测合同</w:t>
      </w:r>
      <w:r>
        <w:rPr>
          <w:rFonts w:hint="eastAsia" w:ascii="宋体" w:hAnsi="宋体" w:eastAsia="宋体" w:cs="宋体"/>
          <w:color w:val="auto"/>
          <w:sz w:val="24"/>
          <w:szCs w:val="21"/>
          <w:highlight w:val="none"/>
        </w:rPr>
        <w:t>指由合同协议书及附件、</w:t>
      </w:r>
      <w:r>
        <w:rPr>
          <w:rFonts w:hint="eastAsia" w:ascii="宋体" w:hAnsi="宋体" w:eastAsia="宋体" w:cs="宋体"/>
          <w:color w:val="auto"/>
          <w:sz w:val="24"/>
          <w:szCs w:val="21"/>
          <w:highlight w:val="none"/>
          <w:lang w:eastAsia="zh-CN"/>
        </w:rPr>
        <w:t>成交通知书</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交易响应文件</w:t>
      </w:r>
      <w:r>
        <w:rPr>
          <w:rFonts w:hint="eastAsia" w:ascii="宋体" w:hAnsi="宋体" w:eastAsia="宋体" w:cs="宋体"/>
          <w:color w:val="auto"/>
          <w:sz w:val="24"/>
          <w:szCs w:val="21"/>
          <w:highlight w:val="none"/>
        </w:rPr>
        <w:t>、专用合同条款、通用合同条款、技术规范和要求、双方签认的澄清文件等组成的受法律保护并确定当事双方权利、</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"http://baike.baidu.com/view/29528.htm"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1"/>
          <w:highlight w:val="none"/>
        </w:rPr>
        <w:t>义务</w:t>
      </w:r>
      <w:r>
        <w:rPr>
          <w:rFonts w:hint="eastAsia" w:ascii="宋体" w:hAnsi="宋体" w:eastAsia="宋体" w:cs="宋体"/>
          <w:color w:val="auto"/>
          <w:sz w:val="24"/>
          <w:szCs w:val="21"/>
          <w:highlight w:val="none"/>
        </w:rPr>
        <w:fldChar w:fldCharType="end"/>
      </w:r>
      <w:r>
        <w:rPr>
          <w:rFonts w:hint="eastAsia" w:ascii="宋体" w:hAnsi="宋体" w:eastAsia="宋体" w:cs="宋体"/>
          <w:color w:val="auto"/>
          <w:sz w:val="24"/>
          <w:szCs w:val="21"/>
          <w:highlight w:val="none"/>
        </w:rPr>
        <w:t>关系的协议。</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1.1.8</w:t>
      </w:r>
      <w:r>
        <w:rPr>
          <w:rFonts w:hint="eastAsia" w:ascii="宋体" w:hAnsi="宋体" w:eastAsia="宋体" w:cs="宋体"/>
          <w:b/>
          <w:color w:val="auto"/>
          <w:sz w:val="24"/>
          <w:szCs w:val="21"/>
          <w:highlight w:val="none"/>
        </w:rPr>
        <w:t>书面形式</w:t>
      </w:r>
      <w:r>
        <w:rPr>
          <w:rFonts w:hint="eastAsia" w:ascii="宋体" w:hAnsi="宋体" w:eastAsia="宋体" w:cs="宋体"/>
          <w:color w:val="auto"/>
          <w:sz w:val="24"/>
          <w:szCs w:val="21"/>
          <w:highlight w:val="none"/>
        </w:rPr>
        <w:t>指合同书、信件和数据电文（包括电报、电传、传真、电子数据交换和电子邮件）等可以有形地表现所载内容的形式。</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1.1.9</w:t>
      </w:r>
      <w:r>
        <w:rPr>
          <w:rFonts w:hint="eastAsia" w:ascii="宋体" w:hAnsi="宋体" w:eastAsia="宋体" w:cs="宋体"/>
          <w:b/>
          <w:color w:val="auto"/>
          <w:sz w:val="24"/>
          <w:szCs w:val="21"/>
          <w:highlight w:val="none"/>
        </w:rPr>
        <w:t>日</w:t>
      </w:r>
      <w:r>
        <w:rPr>
          <w:rFonts w:hint="eastAsia" w:ascii="宋体" w:hAnsi="宋体" w:eastAsia="宋体" w:cs="宋体"/>
          <w:color w:val="auto"/>
          <w:sz w:val="24"/>
          <w:szCs w:val="21"/>
          <w:highlight w:val="none"/>
        </w:rPr>
        <w:t>即日历日。</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1.1.10</w:t>
      </w:r>
      <w:r>
        <w:rPr>
          <w:rFonts w:hint="eastAsia" w:ascii="宋体" w:hAnsi="宋体" w:eastAsia="宋体" w:cs="宋体"/>
          <w:b/>
          <w:color w:val="auto"/>
          <w:sz w:val="24"/>
          <w:szCs w:val="21"/>
          <w:highlight w:val="none"/>
        </w:rPr>
        <w:t>月</w:t>
      </w:r>
      <w:r>
        <w:rPr>
          <w:rFonts w:hint="eastAsia" w:ascii="宋体" w:hAnsi="宋体" w:eastAsia="宋体" w:cs="宋体"/>
          <w:color w:val="auto"/>
          <w:sz w:val="24"/>
          <w:szCs w:val="21"/>
          <w:highlight w:val="none"/>
        </w:rPr>
        <w:t>根据公历从某一个月份中的任何一日的第二日开始至下一个月份相应日期截止的时间段。</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1.1.11</w:t>
      </w:r>
      <w:r>
        <w:rPr>
          <w:rFonts w:hint="eastAsia" w:ascii="宋体" w:hAnsi="宋体" w:eastAsia="宋体" w:cs="宋体"/>
          <w:b/>
          <w:color w:val="auto"/>
          <w:sz w:val="24"/>
          <w:szCs w:val="21"/>
          <w:highlight w:val="none"/>
        </w:rPr>
        <w:t>正常试验检测服务</w:t>
      </w:r>
      <w:r>
        <w:rPr>
          <w:rFonts w:hint="eastAsia" w:ascii="宋体" w:hAnsi="宋体" w:eastAsia="宋体" w:cs="宋体"/>
          <w:color w:val="auto"/>
          <w:sz w:val="24"/>
          <w:szCs w:val="21"/>
          <w:highlight w:val="none"/>
        </w:rPr>
        <w:t>指在合同约定的期限内的工程范围和工作范围内的试验检测工作。</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1.1.12</w:t>
      </w:r>
      <w:r>
        <w:rPr>
          <w:rFonts w:hint="eastAsia" w:ascii="宋体" w:hAnsi="宋体" w:eastAsia="宋体" w:cs="宋体"/>
          <w:b/>
          <w:color w:val="auto"/>
          <w:sz w:val="24"/>
          <w:szCs w:val="21"/>
          <w:highlight w:val="none"/>
        </w:rPr>
        <w:t>附加试验检测服务</w:t>
      </w:r>
      <w:r>
        <w:rPr>
          <w:rFonts w:hint="eastAsia" w:ascii="宋体" w:hAnsi="宋体" w:eastAsia="宋体" w:cs="宋体"/>
          <w:color w:val="auto"/>
          <w:sz w:val="24"/>
          <w:szCs w:val="21"/>
          <w:highlight w:val="none"/>
        </w:rPr>
        <w:t>指除正常试验检测服务范围以外的试验检测工作。</w:t>
      </w:r>
    </w:p>
    <w:p>
      <w:pPr>
        <w:overflowPunct w:val="0"/>
        <w:adjustRightInd w:val="0"/>
        <w:spacing w:line="440" w:lineRule="exact"/>
        <w:ind w:firstLine="480" w:firstLineChars="200"/>
        <w:rPr>
          <w:rFonts w:hint="eastAsia" w:ascii="宋体" w:hAnsi="宋体" w:eastAsia="宋体" w:cs="宋体"/>
          <w:color w:val="auto"/>
          <w:kern w:val="0"/>
          <w:sz w:val="24"/>
          <w:highlight w:val="none"/>
        </w:rPr>
      </w:pPr>
    </w:p>
    <w:p>
      <w:pPr>
        <w:pStyle w:val="4"/>
        <w:rPr>
          <w:rFonts w:hint="eastAsia" w:ascii="宋体" w:hAnsi="宋体" w:eastAsia="宋体" w:cs="宋体"/>
          <w:color w:val="auto"/>
          <w:kern w:val="0"/>
          <w:szCs w:val="24"/>
          <w:highlight w:val="none"/>
        </w:rPr>
      </w:pPr>
      <w:bookmarkStart w:id="327" w:name="_Toc18978"/>
      <w:r>
        <w:rPr>
          <w:rFonts w:hint="eastAsia" w:ascii="宋体" w:hAnsi="宋体" w:eastAsia="宋体" w:cs="宋体"/>
          <w:color w:val="auto"/>
          <w:kern w:val="0"/>
          <w:szCs w:val="24"/>
          <w:highlight w:val="none"/>
        </w:rPr>
        <w:t>1.2解释</w:t>
      </w:r>
      <w:bookmarkEnd w:id="327"/>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1.2.1  试验检测合同中条款的标题只是为了方便查阅，不应作为试验检测合同本身的内容予以理解，也不应将其用于对检测合同进行解释。</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1.2.2  为了简练文字，试验检测合同中有些词句或用语可能会有多种含义，阅读时应视上下文的实际需要而定义。</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  组成试验检测合同的各个文件应该认为是一个整体，彼此相互解释，相互补充，如出现相互矛盾的情况，以下述文件次序在先者为准：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1.2.3.1  合同协议书及附件。</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1.2.3.2  </w:t>
      </w:r>
      <w:r>
        <w:rPr>
          <w:rFonts w:hint="eastAsia" w:ascii="宋体" w:hAnsi="宋体" w:eastAsia="宋体" w:cs="宋体"/>
          <w:color w:val="auto"/>
          <w:sz w:val="24"/>
          <w:szCs w:val="21"/>
          <w:highlight w:val="none"/>
          <w:lang w:eastAsia="zh-CN"/>
        </w:rPr>
        <w:t>成交通知书</w:t>
      </w:r>
      <w:r>
        <w:rPr>
          <w:rFonts w:hint="eastAsia" w:ascii="宋体" w:hAnsi="宋体" w:eastAsia="宋体" w:cs="宋体"/>
          <w:color w:val="auto"/>
          <w:sz w:val="24"/>
          <w:szCs w:val="21"/>
          <w:highlight w:val="none"/>
        </w:rPr>
        <w:t>。</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1.2.3.3  </w:t>
      </w:r>
      <w:r>
        <w:rPr>
          <w:rFonts w:hint="eastAsia" w:ascii="宋体" w:hAnsi="宋体" w:eastAsia="宋体" w:cs="宋体"/>
          <w:color w:val="auto"/>
          <w:sz w:val="24"/>
          <w:szCs w:val="21"/>
          <w:highlight w:val="none"/>
          <w:lang w:eastAsia="zh-CN"/>
        </w:rPr>
        <w:t>交易响应函</w:t>
      </w:r>
      <w:r>
        <w:rPr>
          <w:rFonts w:hint="eastAsia" w:ascii="宋体" w:hAnsi="宋体" w:eastAsia="宋体" w:cs="宋体"/>
          <w:color w:val="auto"/>
          <w:sz w:val="24"/>
          <w:szCs w:val="21"/>
          <w:highlight w:val="none"/>
        </w:rPr>
        <w:t>。</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1.2.3.4  专用合同条款。</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1.2.3.5  通用合同条款。</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1.2.3.6  试验检测技术规范和要求。</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1.2.3.7  在专用合同条款中约定的构成本合同组成部分的其他文件。</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对于同一类合同文件，以其最新版本或最新颁发者为准。</w:t>
      </w:r>
    </w:p>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b w:val="0"/>
          <w:bCs w:val="0"/>
          <w:color w:val="auto"/>
          <w:sz w:val="24"/>
          <w:highlight w:val="none"/>
        </w:rPr>
      </w:pPr>
      <w:bookmarkStart w:id="328" w:name="_Toc23900"/>
      <w:r>
        <w:rPr>
          <w:rFonts w:hint="eastAsia" w:ascii="宋体" w:hAnsi="宋体" w:eastAsia="宋体" w:cs="宋体"/>
          <w:b w:val="0"/>
          <w:bCs w:val="0"/>
          <w:color w:val="auto"/>
          <w:sz w:val="24"/>
          <w:highlight w:val="none"/>
        </w:rPr>
        <w:t>2．</w:t>
      </w:r>
      <w:r>
        <w:rPr>
          <w:rFonts w:hint="eastAsia" w:ascii="宋体" w:hAnsi="宋体" w:eastAsia="宋体" w:cs="宋体"/>
          <w:bCs w:val="0"/>
          <w:color w:val="auto"/>
          <w:sz w:val="24"/>
          <w:highlight w:val="none"/>
        </w:rPr>
        <w:t>检测人的义务</w:t>
      </w:r>
      <w:bookmarkEnd w:id="328"/>
    </w:p>
    <w:p>
      <w:pPr>
        <w:pStyle w:val="4"/>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Cs w:val="24"/>
          <w:highlight w:val="none"/>
        </w:rPr>
      </w:pPr>
      <w:bookmarkStart w:id="329" w:name="_Toc15355"/>
      <w:r>
        <w:rPr>
          <w:rFonts w:hint="eastAsia" w:ascii="宋体" w:hAnsi="宋体" w:eastAsia="宋体" w:cs="宋体"/>
          <w:color w:val="auto"/>
          <w:kern w:val="0"/>
          <w:szCs w:val="24"/>
          <w:highlight w:val="none"/>
        </w:rPr>
        <w:t xml:space="preserve">2.1  </w:t>
      </w:r>
      <w:r>
        <w:rPr>
          <w:rFonts w:hint="eastAsia" w:ascii="宋体" w:hAnsi="宋体" w:eastAsia="宋体" w:cs="宋体"/>
          <w:color w:val="auto"/>
          <w:szCs w:val="24"/>
          <w:highlight w:val="none"/>
        </w:rPr>
        <w:t>试验</w:t>
      </w:r>
      <w:r>
        <w:rPr>
          <w:rFonts w:hint="eastAsia" w:ascii="宋体" w:hAnsi="宋体" w:eastAsia="宋体" w:cs="宋体"/>
          <w:color w:val="auto"/>
          <w:kern w:val="0"/>
          <w:szCs w:val="24"/>
          <w:highlight w:val="none"/>
        </w:rPr>
        <w:t>检测服务的形式、范围与内容</w:t>
      </w:r>
      <w:bookmarkEnd w:id="329"/>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2.1.1  服务形式</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检测人应根据工程规模、难易程度、合同工期安排、现场条件等因素设置试验检测的组织机构并满足合同要求。发包人对检测人的服务形式具体要求在专用合同条款中约定。</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2.1.2  服务范围</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2.1.2.1  试验检测服务的工程范围：在专用合同条款中约定。</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2.1.2.2  试验检测服务的工作范围：检测人应当按照合同要求和发包人的授权范围进行下述试验检测服务。</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（1）正常试验检测服务的范围：除非专用合同条款另有约定，正常试验检测服务的范围是指在合同约定的工程范围内及约定的正常</w:t>
      </w:r>
      <w:r>
        <w:rPr>
          <w:rFonts w:hint="eastAsia" w:ascii="宋体" w:hAnsi="宋体" w:eastAsia="宋体" w:cs="宋体"/>
          <w:color w:val="auto"/>
          <w:sz w:val="24"/>
          <w:szCs w:val="21"/>
          <w:highlight w:val="none"/>
          <w:lang w:eastAsia="zh-CN"/>
        </w:rPr>
        <w:t>前期路况检测服务期</w:t>
      </w:r>
      <w:r>
        <w:rPr>
          <w:rFonts w:hint="eastAsia" w:ascii="宋体" w:hAnsi="宋体" w:eastAsia="宋体" w:cs="宋体"/>
          <w:color w:val="auto"/>
          <w:sz w:val="24"/>
          <w:szCs w:val="21"/>
          <w:highlight w:val="none"/>
        </w:rPr>
        <w:t>限内，对工程进行工作范围（已标价报价清单所列试验检测项目）内的试验检测。</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（2）附加试验检测服务的范围：包括但不限于：①由于非检测人（含发包人或第三方责任）原因导致合同约定的</w:t>
      </w:r>
      <w:r>
        <w:rPr>
          <w:rFonts w:hint="eastAsia" w:ascii="宋体" w:hAnsi="宋体" w:eastAsia="宋体" w:cs="宋体"/>
          <w:color w:val="auto"/>
          <w:sz w:val="24"/>
          <w:szCs w:val="21"/>
          <w:highlight w:val="none"/>
          <w:lang w:eastAsia="zh-CN"/>
        </w:rPr>
        <w:t>前期路况检测服务期</w:t>
      </w:r>
      <w:r>
        <w:rPr>
          <w:rFonts w:hint="eastAsia" w:ascii="宋体" w:hAnsi="宋体" w:eastAsia="宋体" w:cs="宋体"/>
          <w:color w:val="auto"/>
          <w:sz w:val="24"/>
          <w:szCs w:val="21"/>
          <w:highlight w:val="none"/>
        </w:rPr>
        <w:t>限延长，所延长的服务时间应视为附加试验检测服务；②发包人书面提出正常试验检测服务范围以外的试验检测服务要求，检测人完成此项服务应视为附加试验检测服务；③发包人书面提出试验检测合同约定的工作范围以外的试验检测工作，检测人完成此项工作应视为附加试验检测服务；</w:t>
      </w:r>
      <w:r>
        <w:rPr>
          <w:rFonts w:hint="eastAsia" w:ascii="宋体" w:hAnsi="宋体" w:eastAsia="宋体" w:cs="宋体"/>
          <w:color w:val="auto"/>
          <w:szCs w:val="21"/>
          <w:highlight w:val="none"/>
        </w:rPr>
        <w:t>④</w:t>
      </w:r>
      <w:r>
        <w:rPr>
          <w:rFonts w:hint="eastAsia" w:ascii="宋体" w:hAnsi="宋体" w:eastAsia="宋体" w:cs="宋体"/>
          <w:color w:val="auto"/>
          <w:sz w:val="24"/>
          <w:szCs w:val="21"/>
          <w:highlight w:val="none"/>
        </w:rPr>
        <w:t>发包人书面提出高于试验检测合同约定的服务目标，检测人为完成此目标而增加的投入应视为附加试验检测服务。</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2.1.3  服务内容</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检测人应按照合同规定的内容开展试验检测服务。</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2.1.4  服务要求</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30"/>
          <w:highlight w:val="none"/>
        </w:rPr>
        <w:t>检测人应于每月25日前向发包人报送</w:t>
      </w:r>
      <w:r>
        <w:rPr>
          <w:rFonts w:hint="eastAsia" w:ascii="宋体" w:hAnsi="宋体" w:eastAsia="宋体" w:cs="宋体"/>
          <w:color w:val="auto"/>
          <w:sz w:val="24"/>
          <w:szCs w:val="21"/>
          <w:highlight w:val="none"/>
        </w:rPr>
        <w:t>试验</w:t>
      </w:r>
      <w:r>
        <w:rPr>
          <w:rFonts w:hint="eastAsia" w:ascii="宋体" w:hAnsi="宋体" w:eastAsia="宋体" w:cs="宋体"/>
          <w:color w:val="auto"/>
          <w:sz w:val="24"/>
          <w:szCs w:val="30"/>
          <w:highlight w:val="none"/>
        </w:rPr>
        <w:t>检测情况月报告。</w:t>
      </w:r>
      <w:r>
        <w:rPr>
          <w:rFonts w:hint="eastAsia" w:ascii="宋体" w:hAnsi="宋体" w:eastAsia="宋体" w:cs="宋体"/>
          <w:color w:val="auto"/>
          <w:sz w:val="24"/>
          <w:szCs w:val="21"/>
          <w:highlight w:val="none"/>
        </w:rPr>
        <w:t>发包人应根据规定在专用合同条款中明确具体要求。</w:t>
      </w:r>
    </w:p>
    <w:p>
      <w:pPr>
        <w:pStyle w:val="34"/>
        <w:spacing w:beforeLines="3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检测人应根据本合同条款2.1.1项要求的服务形式完成本次</w:t>
      </w:r>
      <w:r>
        <w:rPr>
          <w:rFonts w:hint="eastAsia" w:hAnsi="宋体" w:cs="宋体"/>
          <w:color w:val="auto"/>
          <w:sz w:val="24"/>
          <w:highlight w:val="none"/>
          <w:lang w:eastAsia="zh-CN"/>
        </w:rPr>
        <w:t>交易</w:t>
      </w:r>
      <w:r>
        <w:rPr>
          <w:rFonts w:hint="eastAsia" w:ascii="宋体" w:hAnsi="宋体" w:eastAsia="宋体" w:cs="宋体"/>
          <w:color w:val="auto"/>
          <w:sz w:val="24"/>
          <w:highlight w:val="none"/>
        </w:rPr>
        <w:t>所有试验检测项目。检测人对各试验检测项目的试验检测方案在实际合同履行中可根据发包人要求</w:t>
      </w:r>
      <w:r>
        <w:rPr>
          <w:rFonts w:hint="eastAsia" w:hAnsi="宋体" w:cs="宋体"/>
          <w:color w:val="auto"/>
          <w:sz w:val="24"/>
          <w:highlight w:val="none"/>
          <w:lang w:eastAsia="zh-CN"/>
        </w:rPr>
        <w:t>做</w:t>
      </w:r>
      <w:r>
        <w:rPr>
          <w:rFonts w:hint="eastAsia" w:ascii="宋体" w:hAnsi="宋体" w:eastAsia="宋体" w:cs="宋体"/>
          <w:color w:val="auto"/>
          <w:sz w:val="24"/>
          <w:highlight w:val="none"/>
        </w:rPr>
        <w:t>适当调整。</w:t>
      </w:r>
    </w:p>
    <w:p>
      <w:pPr>
        <w:pStyle w:val="34"/>
        <w:spacing w:beforeLines="3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发包人对检测人的授权</w:t>
      </w:r>
    </w:p>
    <w:p>
      <w:pPr>
        <w:pStyle w:val="34"/>
        <w:spacing w:beforeLines="3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发包人对检测人的授权应在专用合同条款中约定。</w:t>
      </w:r>
    </w:p>
    <w:p>
      <w:pPr>
        <w:pStyle w:val="4"/>
        <w:rPr>
          <w:rFonts w:hint="eastAsia" w:ascii="宋体" w:hAnsi="宋体" w:eastAsia="宋体" w:cs="宋体"/>
          <w:color w:val="auto"/>
          <w:kern w:val="0"/>
          <w:szCs w:val="24"/>
          <w:highlight w:val="none"/>
        </w:rPr>
      </w:pPr>
      <w:bookmarkStart w:id="330" w:name="_Toc24615"/>
      <w:r>
        <w:rPr>
          <w:rFonts w:hint="eastAsia" w:ascii="宋体" w:hAnsi="宋体" w:eastAsia="宋体" w:cs="宋体"/>
          <w:color w:val="auto"/>
          <w:kern w:val="0"/>
          <w:szCs w:val="24"/>
          <w:highlight w:val="none"/>
        </w:rPr>
        <w:t>2.2  试验检测服务的依据</w:t>
      </w:r>
      <w:bookmarkEnd w:id="330"/>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2.2.1  适用的法律、法规、规章。</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2.2.2  国家和行业有关标准、规范、规程；浙江省关于公路水运试验检测方面现行的标准、规范、规程、办法、规定。</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2.2.3  试验检测合同。</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2.2.4  工程设计文件和图纸。</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2.2.5  工程实施过程中有关的函件。</w:t>
      </w:r>
    </w:p>
    <w:p>
      <w:pPr>
        <w:pStyle w:val="4"/>
        <w:rPr>
          <w:rFonts w:hint="eastAsia" w:ascii="宋体" w:hAnsi="宋体" w:eastAsia="宋体" w:cs="宋体"/>
          <w:color w:val="auto"/>
          <w:kern w:val="0"/>
          <w:szCs w:val="24"/>
          <w:highlight w:val="none"/>
        </w:rPr>
      </w:pPr>
      <w:bookmarkStart w:id="331" w:name="_Toc22715"/>
      <w:r>
        <w:rPr>
          <w:rFonts w:hint="eastAsia" w:ascii="宋体" w:hAnsi="宋体" w:eastAsia="宋体" w:cs="宋体"/>
          <w:color w:val="auto"/>
          <w:kern w:val="0"/>
          <w:szCs w:val="24"/>
          <w:highlight w:val="none"/>
        </w:rPr>
        <w:t>2.3  试验检测职责</w:t>
      </w:r>
      <w:bookmarkEnd w:id="331"/>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2.3.1  检测人应本着“科学、客观、严谨、公正”的原则，按照国家和行业有关标准、规范、规程，出具试验检测报告。</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2.3.2  </w:t>
      </w:r>
      <w:r>
        <w:rPr>
          <w:rFonts w:hint="eastAsia" w:ascii="宋体" w:hAnsi="宋体" w:eastAsia="宋体" w:cs="宋体"/>
          <w:color w:val="auto"/>
          <w:sz w:val="24"/>
          <w:szCs w:val="30"/>
          <w:highlight w:val="none"/>
        </w:rPr>
        <w:t>检测项目负责人必须得到该单位法人的书面授权。</w:t>
      </w:r>
    </w:p>
    <w:p>
      <w:pPr>
        <w:pStyle w:val="4"/>
        <w:rPr>
          <w:rFonts w:hint="eastAsia" w:ascii="宋体" w:hAnsi="宋体" w:eastAsia="宋体" w:cs="宋体"/>
          <w:color w:val="auto"/>
          <w:kern w:val="0"/>
          <w:szCs w:val="24"/>
          <w:highlight w:val="none"/>
        </w:rPr>
      </w:pPr>
      <w:bookmarkStart w:id="332" w:name="_Toc4131"/>
      <w:r>
        <w:rPr>
          <w:rFonts w:hint="eastAsia" w:ascii="宋体" w:hAnsi="宋体" w:eastAsia="宋体" w:cs="宋体"/>
          <w:color w:val="auto"/>
          <w:kern w:val="0"/>
          <w:szCs w:val="24"/>
          <w:highlight w:val="none"/>
        </w:rPr>
        <w:t>2.4  试验检测人员</w:t>
      </w:r>
      <w:bookmarkEnd w:id="332"/>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2.4.1  检测人为本项目配备的试验检测人员，应能够胜任试验检测合同约定的试验检测服务工作，检测人配备的重要试验检测岗位人员职称、专业、年龄、资格、资历、业绩、数量等须满足</w:t>
      </w:r>
      <w:r>
        <w:rPr>
          <w:rFonts w:hint="eastAsia" w:ascii="宋体" w:hAnsi="宋体" w:eastAsia="宋体" w:cs="宋体"/>
          <w:color w:val="auto"/>
          <w:sz w:val="24"/>
          <w:szCs w:val="21"/>
          <w:highlight w:val="none"/>
          <w:lang w:eastAsia="zh-CN"/>
        </w:rPr>
        <w:t>交易文件</w:t>
      </w:r>
      <w:r>
        <w:rPr>
          <w:rFonts w:hint="eastAsia" w:ascii="宋体" w:hAnsi="宋体" w:eastAsia="宋体" w:cs="宋体"/>
          <w:color w:val="auto"/>
          <w:sz w:val="24"/>
          <w:szCs w:val="21"/>
          <w:highlight w:val="none"/>
        </w:rPr>
        <w:t>的要求，除非专用合同条款另有约定。</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2.4.2  为了进行试验检测服务，检测人应在</w:t>
      </w:r>
      <w:r>
        <w:rPr>
          <w:rFonts w:hint="eastAsia" w:ascii="宋体" w:hAnsi="宋体" w:eastAsia="宋体" w:cs="宋体"/>
          <w:color w:val="auto"/>
          <w:sz w:val="24"/>
          <w:szCs w:val="21"/>
          <w:highlight w:val="none"/>
          <w:lang w:eastAsia="zh-CN"/>
        </w:rPr>
        <w:t>交易响应文件</w:t>
      </w:r>
      <w:r>
        <w:rPr>
          <w:rFonts w:hint="eastAsia" w:ascii="宋体" w:hAnsi="宋体" w:eastAsia="宋体" w:cs="宋体"/>
          <w:color w:val="auto"/>
          <w:sz w:val="24"/>
          <w:szCs w:val="21"/>
          <w:highlight w:val="none"/>
        </w:rPr>
        <w:t>中授权</w:t>
      </w:r>
      <w:r>
        <w:rPr>
          <w:rFonts w:hint="eastAsia" w:ascii="宋体" w:hAnsi="宋体" w:eastAsia="宋体" w:cs="宋体"/>
          <w:color w:val="auto"/>
          <w:sz w:val="24"/>
          <w:szCs w:val="30"/>
          <w:highlight w:val="none"/>
        </w:rPr>
        <w:t>项目负责人</w:t>
      </w:r>
      <w:r>
        <w:rPr>
          <w:rFonts w:hint="eastAsia" w:ascii="宋体" w:hAnsi="宋体" w:eastAsia="宋体" w:cs="宋体"/>
          <w:color w:val="auto"/>
          <w:sz w:val="24"/>
          <w:szCs w:val="21"/>
          <w:highlight w:val="none"/>
        </w:rPr>
        <w:t>代表检测人全面履行试验检测合同；与发包人的授权代表建立工作联系。更换或变更其授权时，必须提前7日通知发包人，并得到发包人的同意。</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2.4.3  检测人因工作安排或其他原因，需要更换本项目的重要岗位试验检测人员时，应事先得到发包人的同意。</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2.4.4  即使是发包人要求或同意更换的试验检测人员，其代替人员的资质不得低于被代替人员且应得到发包人的认可。</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2.4.5  发包人有权以书面形式要求检测人更换不能按照试验检测合同的约定进行试验检测服务的派驻人员。</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2.4.6  检测人为本项目配备的项目负责人、技术负责人及重要岗位试验检测人员，必须根据本合同条款2.1.1项要求满足现场试验检测。</w:t>
      </w:r>
    </w:p>
    <w:p>
      <w:pPr>
        <w:pStyle w:val="4"/>
        <w:rPr>
          <w:rFonts w:hint="eastAsia" w:ascii="宋体" w:hAnsi="宋体" w:eastAsia="宋体" w:cs="宋体"/>
          <w:color w:val="auto"/>
          <w:kern w:val="0"/>
          <w:szCs w:val="24"/>
          <w:highlight w:val="none"/>
        </w:rPr>
      </w:pPr>
      <w:bookmarkStart w:id="333" w:name="_Toc21809"/>
      <w:r>
        <w:rPr>
          <w:rFonts w:hint="eastAsia" w:ascii="宋体" w:hAnsi="宋体" w:eastAsia="宋体" w:cs="宋体"/>
          <w:color w:val="auto"/>
          <w:kern w:val="0"/>
          <w:szCs w:val="24"/>
          <w:highlight w:val="none"/>
        </w:rPr>
        <w:t>2.5  试验检测设备</w:t>
      </w:r>
      <w:bookmarkEnd w:id="333"/>
    </w:p>
    <w:p>
      <w:pPr>
        <w:spacing w:line="440" w:lineRule="exact"/>
        <w:ind w:firstLine="450"/>
        <w:rPr>
          <w:rFonts w:hint="eastAsia" w:ascii="宋体" w:hAnsi="宋体" w:eastAsia="宋体" w:cs="宋体"/>
          <w:color w:val="auto"/>
          <w:highlight w:val="none"/>
        </w:rPr>
      </w:pPr>
      <w:r>
        <w:rPr>
          <w:rFonts w:hint="eastAsia" w:ascii="宋体" w:hAnsi="宋体" w:eastAsia="宋体" w:cs="宋体"/>
          <w:color w:val="auto"/>
          <w:sz w:val="24"/>
          <w:highlight w:val="none"/>
        </w:rPr>
        <w:t>检测人应投入</w:t>
      </w:r>
      <w:r>
        <w:rPr>
          <w:rFonts w:hint="eastAsia" w:ascii="宋体" w:hAnsi="宋体" w:eastAsia="宋体" w:cs="宋体"/>
          <w:color w:val="auto"/>
          <w:sz w:val="24"/>
          <w:highlight w:val="none"/>
          <w:lang w:eastAsia="zh-CN"/>
        </w:rPr>
        <w:t>交易响应文件</w:t>
      </w:r>
      <w:r>
        <w:rPr>
          <w:rFonts w:hint="eastAsia" w:ascii="宋体" w:hAnsi="宋体" w:eastAsia="宋体" w:cs="宋体"/>
          <w:color w:val="auto"/>
          <w:sz w:val="24"/>
          <w:highlight w:val="none"/>
        </w:rPr>
        <w:t>中所列的试验检测仪器、设备及设施。尽管检测人已按照</w:t>
      </w:r>
      <w:r>
        <w:rPr>
          <w:rFonts w:hint="eastAsia" w:ascii="宋体" w:hAnsi="宋体" w:eastAsia="宋体" w:cs="宋体"/>
          <w:color w:val="auto"/>
          <w:sz w:val="24"/>
          <w:highlight w:val="none"/>
          <w:lang w:eastAsia="zh-CN"/>
        </w:rPr>
        <w:t>交易响应文件</w:t>
      </w:r>
      <w:r>
        <w:rPr>
          <w:rFonts w:hint="eastAsia" w:ascii="宋体" w:hAnsi="宋体" w:eastAsia="宋体" w:cs="宋体"/>
          <w:color w:val="auto"/>
          <w:sz w:val="24"/>
          <w:highlight w:val="none"/>
        </w:rPr>
        <w:t>所列的试验检测仪器设备投入本项目，若发包人认为投入的仪器设备仍不足以满足</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检测服务的需要而影响了对工程质量及进度的控制时，发包人有权要求检测人增加仪器设备的投入，因此而增加的费用视为已包含在其</w:t>
      </w:r>
      <w:r>
        <w:rPr>
          <w:rFonts w:hint="eastAsia" w:ascii="宋体" w:hAnsi="宋体" w:eastAsia="宋体" w:cs="宋体"/>
          <w:color w:val="auto"/>
          <w:sz w:val="24"/>
          <w:highlight w:val="none"/>
          <w:lang w:eastAsia="zh-CN"/>
        </w:rPr>
        <w:t>交易响应报价</w:t>
      </w:r>
      <w:r>
        <w:rPr>
          <w:rFonts w:hint="eastAsia" w:ascii="宋体" w:hAnsi="宋体" w:eastAsia="宋体" w:cs="宋体"/>
          <w:color w:val="auto"/>
          <w:sz w:val="24"/>
          <w:highlight w:val="none"/>
        </w:rPr>
        <w:t>中，发包人将不另行支付</w:t>
      </w:r>
      <w:r>
        <w:rPr>
          <w:rFonts w:hint="eastAsia" w:ascii="宋体" w:hAnsi="宋体" w:eastAsia="宋体" w:cs="宋体"/>
          <w:color w:val="auto"/>
          <w:highlight w:val="none"/>
        </w:rPr>
        <w:t>。</w:t>
      </w:r>
    </w:p>
    <w:p>
      <w:pPr>
        <w:pStyle w:val="4"/>
        <w:rPr>
          <w:rFonts w:hint="eastAsia" w:ascii="宋体" w:hAnsi="宋体" w:eastAsia="宋体" w:cs="宋体"/>
          <w:color w:val="auto"/>
          <w:kern w:val="0"/>
          <w:szCs w:val="24"/>
          <w:highlight w:val="none"/>
        </w:rPr>
      </w:pPr>
      <w:bookmarkStart w:id="334" w:name="_Toc6184"/>
      <w:r>
        <w:rPr>
          <w:rFonts w:hint="eastAsia" w:ascii="宋体" w:hAnsi="宋体" w:eastAsia="宋体" w:cs="宋体"/>
          <w:color w:val="auto"/>
          <w:kern w:val="0"/>
          <w:szCs w:val="24"/>
          <w:highlight w:val="none"/>
        </w:rPr>
        <w:t>2.6  联合体</w:t>
      </w:r>
      <w:bookmarkEnd w:id="334"/>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2.6.1 联合体各方应共同与发包人签订合同协议书。联合体各方应为履行合同承担连带责任。</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2.6.2 联合体协议经发包人确认后作为合同附件。在履行合同过程中，未经发包人同意，不得修改联合体协议。</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2.6.3 联合体牵头人负责与发包人联系并接受指示，负责组织联合体各成员全面履行合同。发包人就本合同工程向联合体牵头人发布的任何指令、指示、通知等均对联合体其他成员具有同等效力。</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2.6.4 联合体牵头人应按本合同规定代表联合体向发包人提交全部合格的试验检测报告。</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2.6.5 未经发包人事先同意，联合体的组成、结构与业务分工均不得变动。</w:t>
      </w:r>
    </w:p>
    <w:p>
      <w:pPr>
        <w:pStyle w:val="4"/>
        <w:rPr>
          <w:rFonts w:hint="eastAsia" w:ascii="宋体" w:hAnsi="宋体" w:eastAsia="宋体" w:cs="宋体"/>
          <w:color w:val="auto"/>
          <w:kern w:val="0"/>
          <w:szCs w:val="24"/>
          <w:highlight w:val="none"/>
        </w:rPr>
      </w:pPr>
      <w:bookmarkStart w:id="335" w:name="_Toc23817"/>
      <w:r>
        <w:rPr>
          <w:rFonts w:hint="eastAsia" w:ascii="宋体" w:hAnsi="宋体" w:eastAsia="宋体" w:cs="宋体"/>
          <w:color w:val="auto"/>
          <w:kern w:val="0"/>
          <w:szCs w:val="24"/>
          <w:highlight w:val="none"/>
        </w:rPr>
        <w:t>2.7  保密</w:t>
      </w:r>
      <w:bookmarkEnd w:id="335"/>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在专用合同条款约定的时间内，未经发包人的书面同意，检测人不得泄露发包人与本项目、本工程、本试验检测合同有关的保密资料。</w:t>
      </w:r>
    </w:p>
    <w:p>
      <w:pPr>
        <w:pStyle w:val="3"/>
        <w:rPr>
          <w:rFonts w:hint="eastAsia" w:ascii="宋体" w:hAnsi="宋体" w:eastAsia="宋体" w:cs="宋体"/>
          <w:bCs w:val="0"/>
          <w:color w:val="auto"/>
          <w:sz w:val="24"/>
          <w:highlight w:val="none"/>
        </w:rPr>
      </w:pPr>
      <w:bookmarkStart w:id="336" w:name="_Toc22661"/>
      <w:r>
        <w:rPr>
          <w:rFonts w:hint="eastAsia" w:ascii="宋体" w:hAnsi="宋体" w:eastAsia="宋体" w:cs="宋体"/>
          <w:bCs w:val="0"/>
          <w:color w:val="auto"/>
          <w:sz w:val="24"/>
          <w:highlight w:val="none"/>
        </w:rPr>
        <w:t>3.发包人的义务</w:t>
      </w:r>
      <w:bookmarkEnd w:id="336"/>
    </w:p>
    <w:p>
      <w:pPr>
        <w:pStyle w:val="4"/>
        <w:rPr>
          <w:rFonts w:hint="eastAsia" w:ascii="宋体" w:hAnsi="宋体" w:eastAsia="宋体" w:cs="宋体"/>
          <w:color w:val="auto"/>
          <w:kern w:val="0"/>
          <w:highlight w:val="none"/>
        </w:rPr>
      </w:pPr>
      <w:bookmarkStart w:id="337" w:name="_Toc28009"/>
      <w:r>
        <w:rPr>
          <w:rFonts w:hint="eastAsia" w:ascii="宋体" w:hAnsi="宋体" w:eastAsia="宋体" w:cs="宋体"/>
          <w:color w:val="auto"/>
          <w:kern w:val="0"/>
          <w:highlight w:val="none"/>
        </w:rPr>
        <w:t>3.1  试验检测工作条件</w:t>
      </w:r>
      <w:bookmarkEnd w:id="337"/>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发包人应按照试验检测合同约定向检测人提供履行试验检测服务所必需的工作条件。</w:t>
      </w:r>
    </w:p>
    <w:p>
      <w:pPr>
        <w:pStyle w:val="4"/>
        <w:rPr>
          <w:rFonts w:hint="eastAsia" w:ascii="宋体" w:hAnsi="宋体" w:eastAsia="宋体" w:cs="宋体"/>
          <w:color w:val="auto"/>
          <w:kern w:val="0"/>
          <w:szCs w:val="24"/>
          <w:highlight w:val="none"/>
        </w:rPr>
      </w:pPr>
      <w:bookmarkStart w:id="338" w:name="_Toc10151"/>
      <w:r>
        <w:rPr>
          <w:rFonts w:hint="eastAsia" w:ascii="宋体" w:hAnsi="宋体" w:eastAsia="宋体" w:cs="宋体"/>
          <w:color w:val="auto"/>
          <w:kern w:val="0"/>
          <w:szCs w:val="24"/>
          <w:highlight w:val="none"/>
        </w:rPr>
        <w:t>3.2  文件和资料</w:t>
      </w:r>
      <w:bookmarkEnd w:id="338"/>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发包人在试验检测合同生效之日起，且在取得相关文件、资料7日内，向检测人免费提供与本试验检测项目相关图纸、工程地质勘察报告、试验检测相关用图等资料（复印件）各1套。</w:t>
      </w:r>
    </w:p>
    <w:p>
      <w:pPr>
        <w:pStyle w:val="4"/>
        <w:rPr>
          <w:rFonts w:hint="eastAsia" w:ascii="宋体" w:hAnsi="宋体" w:eastAsia="宋体" w:cs="宋体"/>
          <w:color w:val="auto"/>
          <w:kern w:val="0"/>
          <w:szCs w:val="24"/>
          <w:highlight w:val="none"/>
        </w:rPr>
      </w:pPr>
      <w:bookmarkStart w:id="339" w:name="_Toc8539"/>
      <w:r>
        <w:rPr>
          <w:rFonts w:hint="eastAsia" w:ascii="宋体" w:hAnsi="宋体" w:eastAsia="宋体" w:cs="宋体"/>
          <w:color w:val="auto"/>
          <w:kern w:val="0"/>
          <w:szCs w:val="24"/>
          <w:highlight w:val="none"/>
        </w:rPr>
        <w:t>3.3  协助</w:t>
      </w:r>
      <w:bookmarkEnd w:id="339"/>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在工程所在地对检测人提供进场试验检测的相关条件，解决非检测人原因而发生意外事件时，试验检测工作人员的撤场和相关事宜；并避免或解决检测人根据试验检测合同进行试验检测服务而导致的第三方的干扰或收费</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不含税金</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w:t>
      </w:r>
    </w:p>
    <w:p>
      <w:pPr>
        <w:pStyle w:val="4"/>
        <w:rPr>
          <w:rFonts w:hint="eastAsia" w:ascii="宋体" w:hAnsi="宋体" w:eastAsia="宋体" w:cs="宋体"/>
          <w:color w:val="auto"/>
          <w:kern w:val="0"/>
          <w:szCs w:val="24"/>
          <w:highlight w:val="none"/>
        </w:rPr>
      </w:pPr>
      <w:bookmarkStart w:id="340" w:name="_Toc16738"/>
      <w:r>
        <w:rPr>
          <w:rFonts w:hint="eastAsia" w:ascii="宋体" w:hAnsi="宋体" w:eastAsia="宋体" w:cs="宋体"/>
          <w:color w:val="auto"/>
          <w:kern w:val="0"/>
          <w:szCs w:val="24"/>
          <w:highlight w:val="none"/>
        </w:rPr>
        <w:t>3.4  代表</w:t>
      </w:r>
      <w:bookmarkEnd w:id="340"/>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发包人应在专用合同条款中明确一名授权代表，与检测人的授权项目负责人建立工作联系。更换该代表或变更其授权时，必须提前7日通知检测人。</w:t>
      </w:r>
    </w:p>
    <w:p>
      <w:pPr>
        <w:pStyle w:val="4"/>
        <w:rPr>
          <w:rFonts w:hint="eastAsia" w:ascii="宋体" w:hAnsi="宋体" w:eastAsia="宋体" w:cs="宋体"/>
          <w:color w:val="auto"/>
          <w:kern w:val="0"/>
          <w:szCs w:val="24"/>
          <w:highlight w:val="none"/>
        </w:rPr>
      </w:pPr>
      <w:bookmarkStart w:id="341" w:name="_Toc26260"/>
      <w:r>
        <w:rPr>
          <w:rFonts w:hint="eastAsia" w:ascii="宋体" w:hAnsi="宋体" w:eastAsia="宋体" w:cs="宋体"/>
          <w:color w:val="auto"/>
          <w:kern w:val="0"/>
          <w:szCs w:val="24"/>
          <w:highlight w:val="none"/>
        </w:rPr>
        <w:t>3.5  授权通知</w:t>
      </w:r>
      <w:bookmarkEnd w:id="341"/>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发包人必须将履行试验检测服务的检测人及发包人授予检测人的职责权力，及时用书面形式通知第三方。</w:t>
      </w:r>
    </w:p>
    <w:p>
      <w:pPr>
        <w:pStyle w:val="4"/>
        <w:rPr>
          <w:rFonts w:hint="eastAsia" w:ascii="宋体" w:hAnsi="宋体" w:eastAsia="宋体" w:cs="宋体"/>
          <w:color w:val="auto"/>
          <w:kern w:val="0"/>
          <w:szCs w:val="24"/>
          <w:highlight w:val="none"/>
        </w:rPr>
      </w:pPr>
      <w:bookmarkStart w:id="342" w:name="_Toc8478"/>
      <w:r>
        <w:rPr>
          <w:rFonts w:hint="eastAsia" w:ascii="宋体" w:hAnsi="宋体" w:eastAsia="宋体" w:cs="宋体"/>
          <w:color w:val="auto"/>
          <w:kern w:val="0"/>
          <w:szCs w:val="24"/>
          <w:highlight w:val="none"/>
        </w:rPr>
        <w:t>3.6  支付费用</w:t>
      </w:r>
      <w:bookmarkEnd w:id="342"/>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发包人须按合同约定向检测人支付试验检测服务费用。</w:t>
      </w:r>
    </w:p>
    <w:p>
      <w:pPr>
        <w:pStyle w:val="3"/>
        <w:rPr>
          <w:rFonts w:hint="eastAsia" w:ascii="宋体" w:hAnsi="宋体" w:eastAsia="宋体" w:cs="宋体"/>
          <w:b w:val="0"/>
          <w:bCs w:val="0"/>
          <w:color w:val="auto"/>
          <w:sz w:val="24"/>
          <w:highlight w:val="none"/>
        </w:rPr>
      </w:pPr>
      <w:bookmarkStart w:id="343" w:name="_Toc1363"/>
      <w:r>
        <w:rPr>
          <w:rFonts w:hint="eastAsia" w:ascii="宋体" w:hAnsi="宋体" w:eastAsia="宋体" w:cs="宋体"/>
          <w:b w:val="0"/>
          <w:bCs w:val="0"/>
          <w:color w:val="auto"/>
          <w:sz w:val="24"/>
          <w:highlight w:val="none"/>
        </w:rPr>
        <w:t>4．</w:t>
      </w:r>
      <w:r>
        <w:rPr>
          <w:rFonts w:hint="eastAsia" w:ascii="宋体" w:hAnsi="宋体" w:eastAsia="宋体" w:cs="宋体"/>
          <w:bCs w:val="0"/>
          <w:color w:val="auto"/>
          <w:sz w:val="24"/>
          <w:highlight w:val="none"/>
        </w:rPr>
        <w:t>责任和保障</w:t>
      </w:r>
      <w:bookmarkEnd w:id="343"/>
    </w:p>
    <w:p>
      <w:pPr>
        <w:pStyle w:val="4"/>
        <w:rPr>
          <w:rFonts w:hint="eastAsia" w:ascii="宋体" w:hAnsi="宋体" w:eastAsia="宋体" w:cs="宋体"/>
          <w:color w:val="auto"/>
          <w:highlight w:val="none"/>
        </w:rPr>
      </w:pPr>
      <w:bookmarkStart w:id="344" w:name="_Toc9898"/>
      <w:r>
        <w:rPr>
          <w:rFonts w:hint="eastAsia" w:ascii="宋体" w:hAnsi="宋体" w:eastAsia="宋体" w:cs="宋体"/>
          <w:color w:val="auto"/>
          <w:kern w:val="0"/>
          <w:highlight w:val="none"/>
        </w:rPr>
        <w:t xml:space="preserve">4.1  </w:t>
      </w:r>
      <w:r>
        <w:rPr>
          <w:rFonts w:hint="eastAsia" w:ascii="宋体" w:hAnsi="宋体" w:eastAsia="宋体" w:cs="宋体"/>
          <w:color w:val="auto"/>
          <w:kern w:val="0"/>
          <w:szCs w:val="24"/>
          <w:highlight w:val="none"/>
        </w:rPr>
        <w:t>检测人的违约及赔偿责任</w:t>
      </w:r>
      <w:bookmarkEnd w:id="344"/>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  检测人的违约</w:t>
      </w:r>
    </w:p>
    <w:p>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4.1.1.1  检测人违反</w:t>
      </w:r>
      <w:r>
        <w:rPr>
          <w:rFonts w:hint="eastAsia" w:ascii="宋体" w:hAnsi="宋体" w:eastAsia="宋体" w:cs="宋体"/>
          <w:color w:val="auto"/>
          <w:sz w:val="24"/>
          <w:szCs w:val="21"/>
          <w:highlight w:val="none"/>
        </w:rPr>
        <w:t>试验</w:t>
      </w:r>
      <w:r>
        <w:rPr>
          <w:rFonts w:hint="eastAsia" w:ascii="宋体" w:hAnsi="宋体" w:eastAsia="宋体" w:cs="宋体"/>
          <w:bCs/>
          <w:color w:val="auto"/>
          <w:sz w:val="24"/>
          <w:highlight w:val="none"/>
        </w:rPr>
        <w:t>检测合同的约定，将</w:t>
      </w:r>
      <w:r>
        <w:rPr>
          <w:rFonts w:hint="eastAsia" w:ascii="宋体" w:hAnsi="宋体" w:eastAsia="宋体" w:cs="宋体"/>
          <w:color w:val="auto"/>
          <w:sz w:val="24"/>
          <w:szCs w:val="21"/>
          <w:highlight w:val="none"/>
        </w:rPr>
        <w:t>试验</w:t>
      </w:r>
      <w:r>
        <w:rPr>
          <w:rFonts w:hint="eastAsia" w:ascii="宋体" w:hAnsi="宋体" w:eastAsia="宋体" w:cs="宋体"/>
          <w:bCs/>
          <w:color w:val="auto"/>
          <w:sz w:val="24"/>
          <w:highlight w:val="none"/>
        </w:rPr>
        <w:t>检测服务的任何部分转让或分包。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4.1.1.2  检测人未能按照</w:t>
      </w:r>
      <w:r>
        <w:rPr>
          <w:rFonts w:hint="eastAsia" w:ascii="宋体" w:hAnsi="宋体" w:eastAsia="宋体" w:cs="宋体"/>
          <w:color w:val="auto"/>
          <w:sz w:val="24"/>
          <w:highlight w:val="none"/>
          <w:lang w:eastAsia="zh-CN"/>
        </w:rPr>
        <w:t>交易响应文件</w:t>
      </w:r>
      <w:r>
        <w:rPr>
          <w:rFonts w:hint="eastAsia" w:ascii="宋体" w:hAnsi="宋体" w:eastAsia="宋体" w:cs="宋体"/>
          <w:color w:val="auto"/>
          <w:sz w:val="24"/>
          <w:highlight w:val="none"/>
        </w:rPr>
        <w:t>的承诺配备满足</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检测服务需求的人员或设施、设备。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4.1.1.3  检测人不履行</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检测职责，造成工程质量、安全事故或向承包人索贿、谋取私利，或与承包人串通损害发包人利益，给发包人造成损失。</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4.1.1.4  检测人未按试验检测操作规程进行</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检测或</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检测数据不准确造成工程质量隐患。</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4.1.1.5  出具虚假试验检测报告。</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4.1.1.6  违反专用合同条款约定的其他情形。</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发包人应视其违约情节分别采取以下处理方法：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测人违反上述约定应承担违约责任，发包人有权向检测人发出书面通知要求其限期改正。当发包人在向检测人发出书面通知的14日内未见纠正后，可以向检测人课以专用合同条款中约定的违约金，并可在21日内发出第二次通知终止合同。在4.1.1.1目或4.1.1.3目情形时，发包人可直接发出书面通知立即终止合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  检测人的违约赔偿责任</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检测人违反试验检测合同的约定并造成发包人的经济损失，应向发包人赔偿，除非专用合同条款另有约定，赔偿金应按下式计算：</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赔偿金 = 发包人直接经济损失所对应的检测费×检测人应承担责任的比例</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检测人对由于第三方责任造成的任何经济损失，不承担责任。如果检测人与发包人或第三方对有关经济损失共负责任时，应按责任比例计算赔偿。</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检测人的上述责任赔偿，均应按照本合同条款第4.4款的约定办理。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4.1.3  检测人对发包人未授权的试验检测服务范围不承担试验检测责任。</w:t>
      </w:r>
    </w:p>
    <w:p>
      <w:pPr>
        <w:pStyle w:val="4"/>
        <w:rPr>
          <w:rFonts w:hint="eastAsia" w:ascii="宋体" w:hAnsi="宋体" w:eastAsia="宋体" w:cs="宋体"/>
          <w:color w:val="auto"/>
          <w:kern w:val="0"/>
          <w:szCs w:val="24"/>
          <w:highlight w:val="none"/>
        </w:rPr>
      </w:pPr>
      <w:bookmarkStart w:id="345" w:name="_Toc31861"/>
      <w:r>
        <w:rPr>
          <w:rFonts w:hint="eastAsia" w:ascii="宋体" w:hAnsi="宋体" w:eastAsia="宋体" w:cs="宋体"/>
          <w:color w:val="auto"/>
          <w:kern w:val="0"/>
          <w:szCs w:val="24"/>
          <w:highlight w:val="none"/>
        </w:rPr>
        <w:t>4.2  发包人的违约和赔偿责任</w:t>
      </w:r>
      <w:bookmarkEnd w:id="345"/>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  发包人的违约</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4.2.1.1  发包人在合同约定的期限内，未向检测人支付到期应付的款项。</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4.2.1.2  发包人未按合同约定履行其他应尽义务。</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发包人违反上述约定应承担违约责任，并按相关合同条款约定承担相应的费用。</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4.2.2  发包人的赔偿责任</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发包人违反试验检测合同的约定并造成检测人的经济损失，应向检测人赔偿，除非专用合同条款另有约定，发包人应据实赔偿检测人的直接经济损失。</w:t>
      </w:r>
    </w:p>
    <w:p>
      <w:pPr>
        <w:pStyle w:val="4"/>
        <w:rPr>
          <w:rFonts w:hint="eastAsia" w:ascii="宋体" w:hAnsi="宋体" w:eastAsia="宋体" w:cs="宋体"/>
          <w:color w:val="auto"/>
          <w:kern w:val="0"/>
          <w:szCs w:val="24"/>
          <w:highlight w:val="none"/>
        </w:rPr>
      </w:pPr>
      <w:bookmarkStart w:id="346" w:name="_Toc8848"/>
      <w:r>
        <w:rPr>
          <w:rFonts w:hint="eastAsia" w:ascii="宋体" w:hAnsi="宋体" w:eastAsia="宋体" w:cs="宋体"/>
          <w:color w:val="auto"/>
          <w:kern w:val="0"/>
          <w:szCs w:val="24"/>
          <w:highlight w:val="none"/>
        </w:rPr>
        <w:t>4.3  赔偿责任的期限</w:t>
      </w:r>
      <w:bookmarkEnd w:id="346"/>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或检测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检测人，逾期未提出书面索赔意向书，则失去索赔权利。</w:t>
      </w:r>
    </w:p>
    <w:p>
      <w:pPr>
        <w:pStyle w:val="4"/>
        <w:rPr>
          <w:rFonts w:hint="eastAsia" w:ascii="宋体" w:hAnsi="宋体" w:eastAsia="宋体" w:cs="宋体"/>
          <w:color w:val="auto"/>
          <w:kern w:val="0"/>
          <w:szCs w:val="24"/>
          <w:highlight w:val="none"/>
        </w:rPr>
      </w:pPr>
      <w:bookmarkStart w:id="347" w:name="_Toc31476"/>
      <w:r>
        <w:rPr>
          <w:rFonts w:hint="eastAsia" w:ascii="宋体" w:hAnsi="宋体" w:eastAsia="宋体" w:cs="宋体"/>
          <w:color w:val="auto"/>
          <w:kern w:val="0"/>
          <w:szCs w:val="24"/>
          <w:highlight w:val="none"/>
        </w:rPr>
        <w:t>4.4  赔偿的限额</w:t>
      </w:r>
      <w:bookmarkEnd w:id="347"/>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鉴于双方在本条款中，约定了任何一方向另一方依据本合同条款第4.1款和第4.2款支付赔偿的最高限额，除非专用合同条款另行约定，双方在此一致同意放弃超过该限额的剩余赔偿要求。但本合同条款其他条款约定的补偿和由于任何一方故意违约而引起的索赔，不受该限额的限制。</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检测人的累计赔偿限额为试验检测服务费总额的30%，当达到此限额时，发包人在按规定报备后有权单方面终止试验检测合同，没收检测人的履约担保。</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发包人赔偿检测人的直接经济损失的累计限额为试验检测服务费总额。</w:t>
      </w:r>
    </w:p>
    <w:p>
      <w:pPr>
        <w:pStyle w:val="4"/>
        <w:rPr>
          <w:rFonts w:hint="eastAsia" w:ascii="宋体" w:hAnsi="宋体" w:eastAsia="宋体" w:cs="宋体"/>
          <w:color w:val="auto"/>
          <w:kern w:val="0"/>
          <w:szCs w:val="24"/>
          <w:highlight w:val="none"/>
        </w:rPr>
      </w:pPr>
      <w:bookmarkStart w:id="348" w:name="_Toc3613"/>
      <w:r>
        <w:rPr>
          <w:rFonts w:hint="eastAsia" w:ascii="宋体" w:hAnsi="宋体" w:eastAsia="宋体" w:cs="宋体"/>
          <w:color w:val="auto"/>
          <w:kern w:val="0"/>
          <w:szCs w:val="24"/>
          <w:highlight w:val="none"/>
        </w:rPr>
        <w:t>4.5  保障</w:t>
      </w:r>
      <w:bookmarkEnd w:id="348"/>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4.5.1  在检测人不违反有关法律、法规和合同约定的前提下，发包人应保障检测人免受因履行本试验检测合同而引起的外界索赔或干扰。</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4.5.2  检测人在签订试验检测合同协议书时，应按照发包人认可的形式向发包人递交履约保函或履约保证金。如果检测人无正当理由全部或部分不履行本试验检测合同时，发包人有权根据具体情况没收全部或部分履约担保。发包人应当同时向检测人提供试验检测服务费支付担保。</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4.5.3  检测人完成了所有检测任务，提交试验检测报告并通过了发包人验收后的14日内，发包人向检测人返还履约担保。</w:t>
      </w:r>
    </w:p>
    <w:p>
      <w:pPr>
        <w:pStyle w:val="4"/>
        <w:rPr>
          <w:rFonts w:hint="eastAsia" w:ascii="宋体" w:hAnsi="宋体" w:eastAsia="宋体" w:cs="宋体"/>
          <w:color w:val="auto"/>
          <w:kern w:val="0"/>
          <w:szCs w:val="24"/>
          <w:highlight w:val="none"/>
        </w:rPr>
      </w:pPr>
      <w:bookmarkStart w:id="349" w:name="_Toc19033"/>
      <w:r>
        <w:rPr>
          <w:rFonts w:hint="eastAsia" w:ascii="宋体" w:hAnsi="宋体" w:eastAsia="宋体" w:cs="宋体"/>
          <w:color w:val="auto"/>
          <w:kern w:val="0"/>
          <w:szCs w:val="24"/>
          <w:highlight w:val="none"/>
        </w:rPr>
        <w:t>4.6  保险</w:t>
      </w:r>
      <w:bookmarkEnd w:id="349"/>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检测人应在</w:t>
      </w:r>
      <w:r>
        <w:rPr>
          <w:rFonts w:hint="eastAsia" w:ascii="宋体" w:hAnsi="宋体" w:eastAsia="宋体" w:cs="宋体"/>
          <w:color w:val="auto"/>
          <w:sz w:val="24"/>
          <w:szCs w:val="21"/>
          <w:highlight w:val="none"/>
          <w:lang w:eastAsia="zh-CN"/>
        </w:rPr>
        <w:t>前期路况检测服务期</w:t>
      </w:r>
      <w:r>
        <w:rPr>
          <w:rFonts w:hint="eastAsia" w:ascii="宋体" w:hAnsi="宋体" w:eastAsia="宋体" w:cs="宋体"/>
          <w:color w:val="auto"/>
          <w:sz w:val="24"/>
          <w:szCs w:val="21"/>
          <w:highlight w:val="none"/>
        </w:rPr>
        <w:t>内，自费办理本项目试验检测人员的人身和自备财产的有关保险，保险时间应随服务时间的延长而顺延，并在出险后自行办理索赔。如果检测人不办理上述保险，则应对有关风险及后果自负其责。</w:t>
      </w:r>
    </w:p>
    <w:p>
      <w:pPr>
        <w:pStyle w:val="3"/>
        <w:rPr>
          <w:rFonts w:hint="eastAsia" w:ascii="宋体" w:hAnsi="宋体" w:eastAsia="宋体" w:cs="宋体"/>
          <w:b w:val="0"/>
          <w:bCs w:val="0"/>
          <w:color w:val="auto"/>
          <w:sz w:val="24"/>
          <w:highlight w:val="none"/>
        </w:rPr>
      </w:pPr>
      <w:bookmarkStart w:id="350" w:name="_Toc5232"/>
      <w:r>
        <w:rPr>
          <w:rFonts w:hint="eastAsia" w:ascii="宋体" w:hAnsi="宋体" w:eastAsia="宋体" w:cs="宋体"/>
          <w:b w:val="0"/>
          <w:bCs w:val="0"/>
          <w:color w:val="auto"/>
          <w:sz w:val="24"/>
          <w:highlight w:val="none"/>
        </w:rPr>
        <w:t>5．</w:t>
      </w:r>
      <w:r>
        <w:rPr>
          <w:rFonts w:hint="eastAsia" w:ascii="宋体" w:hAnsi="宋体" w:eastAsia="宋体" w:cs="宋体"/>
          <w:bCs w:val="0"/>
          <w:color w:val="auto"/>
          <w:sz w:val="24"/>
          <w:highlight w:val="none"/>
        </w:rPr>
        <w:t>试验检测合同的生效、终止、变更、暂停与解除</w:t>
      </w:r>
      <w:bookmarkEnd w:id="350"/>
    </w:p>
    <w:p>
      <w:pPr>
        <w:pStyle w:val="4"/>
        <w:rPr>
          <w:rFonts w:hint="eastAsia" w:ascii="宋体" w:hAnsi="宋体" w:eastAsia="宋体" w:cs="宋体"/>
          <w:color w:val="auto"/>
          <w:kern w:val="0"/>
          <w:szCs w:val="24"/>
          <w:highlight w:val="none"/>
        </w:rPr>
      </w:pPr>
      <w:bookmarkStart w:id="351" w:name="_Toc23035"/>
      <w:r>
        <w:rPr>
          <w:rFonts w:hint="eastAsia" w:ascii="宋体" w:hAnsi="宋体" w:eastAsia="宋体" w:cs="宋体"/>
          <w:color w:val="auto"/>
          <w:kern w:val="0"/>
          <w:szCs w:val="24"/>
          <w:highlight w:val="none"/>
        </w:rPr>
        <w:t>5.1  试验检测合同协议书的生效</w:t>
      </w:r>
      <w:bookmarkEnd w:id="351"/>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试验检测合同协议书生效的时间，以双方签署的协议书上约定的时间为准。</w:t>
      </w:r>
    </w:p>
    <w:p>
      <w:pPr>
        <w:pStyle w:val="4"/>
        <w:rPr>
          <w:rFonts w:hint="eastAsia" w:ascii="宋体" w:hAnsi="宋体" w:eastAsia="宋体" w:cs="宋体"/>
          <w:color w:val="auto"/>
          <w:kern w:val="0"/>
          <w:szCs w:val="24"/>
          <w:highlight w:val="none"/>
        </w:rPr>
      </w:pPr>
      <w:bookmarkStart w:id="352" w:name="_Toc32085"/>
      <w:r>
        <w:rPr>
          <w:rFonts w:hint="eastAsia" w:ascii="宋体" w:hAnsi="宋体" w:eastAsia="宋体" w:cs="宋体"/>
          <w:color w:val="auto"/>
          <w:kern w:val="0"/>
          <w:szCs w:val="24"/>
          <w:highlight w:val="none"/>
        </w:rPr>
        <w:t>5.2  试验检测服务的时间和期限</w:t>
      </w:r>
      <w:bookmarkEnd w:id="352"/>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检测人必须按照试验检测合同约定的时间和有关期限履行和完成试验检测服务。如果非检测人的原因，致使试验检测服务时间需要延长，可由双方通过协商，另行签订补充协议。</w:t>
      </w:r>
    </w:p>
    <w:p>
      <w:pPr>
        <w:pStyle w:val="4"/>
        <w:rPr>
          <w:rFonts w:hint="eastAsia" w:ascii="宋体" w:hAnsi="宋体" w:eastAsia="宋体" w:cs="宋体"/>
          <w:color w:val="auto"/>
          <w:kern w:val="0"/>
          <w:szCs w:val="24"/>
          <w:highlight w:val="none"/>
        </w:rPr>
      </w:pPr>
      <w:bookmarkStart w:id="353" w:name="_Toc22786"/>
      <w:r>
        <w:rPr>
          <w:rFonts w:hint="eastAsia" w:ascii="宋体" w:hAnsi="宋体" w:eastAsia="宋体" w:cs="宋体"/>
          <w:color w:val="auto"/>
          <w:kern w:val="0"/>
          <w:szCs w:val="24"/>
          <w:highlight w:val="none"/>
        </w:rPr>
        <w:t>5.3  试验检测合同的终止</w:t>
      </w:r>
      <w:bookmarkEnd w:id="353"/>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试验检测合同终止和失效的时间，按双方签署的协议书上注明的方式确定。合同协议的终止并不影响双方应有的权利和应承担的责任。</w:t>
      </w:r>
    </w:p>
    <w:p>
      <w:pPr>
        <w:pStyle w:val="4"/>
        <w:rPr>
          <w:rFonts w:hint="eastAsia" w:ascii="宋体" w:hAnsi="宋体" w:eastAsia="宋体" w:cs="宋体"/>
          <w:color w:val="auto"/>
          <w:kern w:val="0"/>
          <w:szCs w:val="24"/>
          <w:highlight w:val="none"/>
        </w:rPr>
      </w:pPr>
      <w:bookmarkStart w:id="354" w:name="_Toc20414"/>
      <w:r>
        <w:rPr>
          <w:rFonts w:hint="eastAsia" w:ascii="宋体" w:hAnsi="宋体" w:eastAsia="宋体" w:cs="宋体"/>
          <w:color w:val="auto"/>
          <w:kern w:val="0"/>
          <w:szCs w:val="24"/>
          <w:highlight w:val="none"/>
        </w:rPr>
        <w:t>5.4  试验检测合同的变更</w:t>
      </w:r>
      <w:bookmarkEnd w:id="354"/>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5.4.1  任何一方提出申请并经双方书面同意后，可对本试验检测合同进行变更。</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5.4.2  发包人可书面要求改变本合同条款第2.1款和试验检测合同约定的试验检测服务的形式、范围与内容，但必须在双方协商一致的基础上，按照本试验检测合同的约定进行变更。上述变更导致增加或减少的试验检测服务工作量，其有关的试验检测费用和服务时间亦应做相应的调整。</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5.4.3  因发包人或第三方的责任，阻碍或延误了检测人履行试验检测服务，检测人应及时将该情况与其可能产生的影响书面通知发包人，如有必要，在双方协商一致的基础上对试验检测合同进行相应的变更。上述情况导致增加的试验检测服务工作量或工作时间，其费用按专用合同条款约定进行调整，检测人完成相应服务的时间亦应予以延长。</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5.4.4  在签订本试验检测合同后，因物价变动等因素而引起试验检测服务费用的变化，发包人应按专用合同条款的约定进行调整。</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5.4.5  在签订本试验检测合同后，因国家或地方政府的法律、法规变动而引起试验检测服务费用的增加或服务时间的延长，发包人应按专用合同条款约定进行调整。</w:t>
      </w:r>
    </w:p>
    <w:p>
      <w:pPr>
        <w:pStyle w:val="4"/>
        <w:rPr>
          <w:rFonts w:hint="eastAsia" w:ascii="宋体" w:hAnsi="宋体" w:eastAsia="宋体" w:cs="宋体"/>
          <w:color w:val="auto"/>
          <w:kern w:val="0"/>
          <w:szCs w:val="24"/>
          <w:highlight w:val="none"/>
        </w:rPr>
      </w:pPr>
      <w:bookmarkStart w:id="355" w:name="_Toc32115"/>
      <w:r>
        <w:rPr>
          <w:rFonts w:hint="eastAsia" w:ascii="宋体" w:hAnsi="宋体" w:eastAsia="宋体" w:cs="宋体"/>
          <w:color w:val="auto"/>
          <w:kern w:val="0"/>
          <w:szCs w:val="24"/>
          <w:highlight w:val="none"/>
        </w:rPr>
        <w:t>5.5  试验检测合同的暂停与解除</w:t>
      </w:r>
      <w:bookmarkEnd w:id="355"/>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5.5.1  出现根据本试验检测合同的约定不应由检测人负责的情况，且该情况已使检测人不能继续履行全部或部分试验检测服务时，检测人应立即书面通知发包人。并且：</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5.5.1.1  不得不暂停或减缓某些试验检测服务时，则上述服务的完成期限应予以延长，因此而增加的试验检测服务工作量或延长的服务时间，发包人应按专用合同条款约定进行调整。</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5.5.1.2  全部试验检测服务已无法继续履行时，检测人在书面通知发包人28日之后，有权单方面解除本试验检测合同，因此增加的试验检测服务工作量所涉及费用，发包人应按合同条款约定进行调整，同时应及时向检测人返还全部或剩余部分的履约担保。</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5.5.1.3  因不可抗力致使本试验检测合同不能履行或只能部分履行时，一方应立即书面通知另一方，暂停或解除试验检测合同。双方应对由此而产生的任何损失、损害或延误各负其责。不可抗力是指检测人和发包人在订立合同时不可预见，在工程实施过程中不可避免发生并不能克服的自然灾害和社会性突发事件，如地震、海啸、瘟疫、水灾、暴动、战争和专用合同条款约定的其他情形。</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5.5.2  发包人要求检测人全部或部分暂停试验检测服务或解除本试验检测合同时，必须在56日之前发出书面通知。检测人在接到通知后，应立即安排停止全部或该部分试验检测服务并将相关费用开支减至最小。因此增加的试验检测服务工作量所涉及的费用，发包人应按合同条款约定进行调整，同时及时向检测人返还全部或剩余部分的履约担保。</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5.5.3  检测人无正当的理由，未根据试验检测合同的约定履行全部或部分试验检测服务，发包人可书面要求检测人予以解释。若检测人在28日内未能根据本试验检测合同给予合理的答复，发包人可在进一步发出书面通知14日后，并按规定报备后可单方面解除本试验检测合同，并视情况没收检测人的全部或部分履约担保。</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5.5.4  发包人拖延支付试验检测服务费用，并已超过合同条款约定支付期限后28日，或根据本合同条款第5.5.1.1目或第5.5.2项的约定，暂停试验检测服务已超过6个月，检测人可书面要求发包人予以解释。若发包人在28日内未能根据本试验检测合同给予合理的答复，检测人可在进一步发出书面通知14日后，单方面解除本试验检测合同或自行暂停全部或部分试验检测服务。因此增加的试验检测服务工作量所涉及的费用，发包人应按合同条款约定进行调整，同时应及时向检测人返还全部或剩余部分的履约担保。</w:t>
      </w:r>
    </w:p>
    <w:p>
      <w:pPr>
        <w:spacing w:line="43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5.5.5  试验检测合同的解除，不得损害或影响双方根据本试验检测合同应有的义务、责任、权力和利益。</w:t>
      </w:r>
    </w:p>
    <w:p>
      <w:pPr>
        <w:pStyle w:val="4"/>
        <w:rPr>
          <w:rFonts w:hint="eastAsia" w:ascii="宋体" w:hAnsi="宋体" w:eastAsia="宋体" w:cs="宋体"/>
          <w:color w:val="auto"/>
          <w:kern w:val="0"/>
          <w:szCs w:val="24"/>
          <w:highlight w:val="none"/>
        </w:rPr>
      </w:pPr>
      <w:bookmarkStart w:id="356" w:name="_Toc28935"/>
      <w:r>
        <w:rPr>
          <w:rFonts w:hint="eastAsia" w:ascii="宋体" w:hAnsi="宋体" w:eastAsia="宋体" w:cs="宋体"/>
          <w:color w:val="auto"/>
          <w:kern w:val="0"/>
          <w:szCs w:val="24"/>
          <w:highlight w:val="none"/>
        </w:rPr>
        <w:t>5.6  转让和分包</w:t>
      </w:r>
      <w:bookmarkEnd w:id="356"/>
    </w:p>
    <w:p>
      <w:pPr>
        <w:autoSpaceDE w:val="0"/>
        <w:autoSpaceDN w:val="0"/>
        <w:adjustRightInd w:val="0"/>
        <w:spacing w:line="440" w:lineRule="exact"/>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5.6.1 检测人不得将本合同规定的试验检测任务转包。</w:t>
      </w:r>
    </w:p>
    <w:p>
      <w:pPr>
        <w:autoSpaceDE w:val="0"/>
        <w:autoSpaceDN w:val="0"/>
        <w:adjustRightInd w:val="0"/>
        <w:spacing w:line="440" w:lineRule="exact"/>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5.6.2 现场专项检测不允许分包；竣（交）工检测，经发包人同意和批准，检测人可将试验检测工作进行分包；除跨专业或者有特殊要求的试验检测工作外，常规试验检测工作只允许有一家分包人且该分包人本身或内设机构应具备交通运输部门颁发的试验检测等级证书，分包工作量不超过试验检测工作总量的30%。</w:t>
      </w:r>
    </w:p>
    <w:p>
      <w:pPr>
        <w:autoSpaceDE w:val="0"/>
        <w:autoSpaceDN w:val="0"/>
        <w:adjustRightInd w:val="0"/>
        <w:spacing w:line="440" w:lineRule="exact"/>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5.6.3 分包人的试验检测参数应与其承担的试验检测规模和标准相适应，分包人不得将该分包项目再次分包或转包。</w:t>
      </w:r>
    </w:p>
    <w:p>
      <w:pPr>
        <w:autoSpaceDE w:val="0"/>
        <w:autoSpaceDN w:val="0"/>
        <w:adjustRightInd w:val="0"/>
        <w:spacing w:line="440" w:lineRule="exact"/>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5.6.4 即使发包人同意分包，也不应解除检测人根据合同规定应承担的全部责任和义务，检测人和分包人应就分包人的工作对发包人负连带责任。</w:t>
      </w:r>
    </w:p>
    <w:p>
      <w:pPr>
        <w:autoSpaceDE w:val="0"/>
        <w:autoSpaceDN w:val="0"/>
        <w:adjustRightInd w:val="0"/>
        <w:spacing w:line="440" w:lineRule="exact"/>
        <w:ind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5.6.5 任何分包合同须在签订之日7天内报发包人备案。</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5.6.6 发包人对检测人与各分包人之间的法律和经济纠纷不承担任何责任和义务。</w:t>
      </w:r>
    </w:p>
    <w:p>
      <w:pPr>
        <w:pStyle w:val="3"/>
        <w:rPr>
          <w:rFonts w:hint="eastAsia" w:ascii="宋体" w:hAnsi="宋体" w:eastAsia="宋体" w:cs="宋体"/>
          <w:b w:val="0"/>
          <w:bCs w:val="0"/>
          <w:color w:val="auto"/>
          <w:sz w:val="24"/>
          <w:highlight w:val="none"/>
        </w:rPr>
      </w:pPr>
      <w:bookmarkStart w:id="357" w:name="_Toc18660"/>
      <w:r>
        <w:rPr>
          <w:rFonts w:hint="eastAsia" w:ascii="宋体" w:hAnsi="宋体" w:eastAsia="宋体" w:cs="宋体"/>
          <w:b w:val="0"/>
          <w:bCs w:val="0"/>
          <w:color w:val="auto"/>
          <w:sz w:val="24"/>
          <w:highlight w:val="none"/>
        </w:rPr>
        <w:t>6．</w:t>
      </w:r>
      <w:r>
        <w:rPr>
          <w:rFonts w:hint="eastAsia" w:ascii="宋体" w:hAnsi="宋体" w:eastAsia="宋体" w:cs="宋体"/>
          <w:bCs w:val="0"/>
          <w:color w:val="auto"/>
          <w:sz w:val="24"/>
          <w:highlight w:val="none"/>
        </w:rPr>
        <w:t>试验检测服务的费用与支付</w:t>
      </w:r>
      <w:bookmarkEnd w:id="357"/>
    </w:p>
    <w:p>
      <w:pPr>
        <w:pStyle w:val="4"/>
        <w:rPr>
          <w:rFonts w:hint="eastAsia" w:ascii="宋体" w:hAnsi="宋体" w:eastAsia="宋体" w:cs="宋体"/>
          <w:color w:val="auto"/>
          <w:kern w:val="0"/>
          <w:szCs w:val="24"/>
          <w:highlight w:val="none"/>
        </w:rPr>
      </w:pPr>
      <w:bookmarkStart w:id="358" w:name="_Toc28531"/>
      <w:r>
        <w:rPr>
          <w:rFonts w:hint="eastAsia" w:ascii="宋体" w:hAnsi="宋体" w:eastAsia="宋体" w:cs="宋体"/>
          <w:color w:val="auto"/>
          <w:kern w:val="0"/>
          <w:szCs w:val="24"/>
          <w:highlight w:val="none"/>
        </w:rPr>
        <w:t>6.1  试验检测服务费用内容</w:t>
      </w:r>
      <w:bookmarkEnd w:id="358"/>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试验检测服务费用指为完成合同所列试验检测工作所需一切费用。</w:t>
      </w:r>
    </w:p>
    <w:p>
      <w:pPr>
        <w:pStyle w:val="4"/>
        <w:rPr>
          <w:rFonts w:hint="eastAsia" w:ascii="宋体" w:hAnsi="宋体" w:eastAsia="宋体" w:cs="宋体"/>
          <w:color w:val="auto"/>
          <w:highlight w:val="none"/>
        </w:rPr>
      </w:pPr>
      <w:bookmarkStart w:id="359" w:name="_Toc24452"/>
      <w:r>
        <w:rPr>
          <w:rFonts w:hint="eastAsia" w:ascii="宋体" w:hAnsi="宋体" w:eastAsia="宋体" w:cs="宋体"/>
          <w:color w:val="auto"/>
          <w:kern w:val="0"/>
          <w:szCs w:val="24"/>
          <w:highlight w:val="none"/>
        </w:rPr>
        <w:t>6.2试验检测服务费计费方法</w:t>
      </w:r>
      <w:bookmarkEnd w:id="359"/>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试验检测服务费用由正常试验检测服务和附加试验检测服务两个方面的试验检测费用组成。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6.2.1  正常</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检测服务的费用</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正常试验检测服务费用指为完成正常试验检测服务所需费用。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6.2.2  附加</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检测服务的费用</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附加试验检测服务费用应按照专用合同条款约定计算。</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 xml:space="preserve">6.2.3  </w:t>
      </w:r>
      <w:r>
        <w:rPr>
          <w:rFonts w:hint="eastAsia" w:ascii="宋体" w:hAnsi="宋体" w:eastAsia="宋体" w:cs="宋体"/>
          <w:color w:val="auto"/>
          <w:sz w:val="24"/>
          <w:szCs w:val="21"/>
          <w:highlight w:val="none"/>
        </w:rPr>
        <w:t>试验检测服务费的调整</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1"/>
          <w:highlight w:val="none"/>
        </w:rPr>
        <w:t>试验检测服务费用的调整应按照专用合同条款约定进行。</w:t>
      </w:r>
    </w:p>
    <w:p>
      <w:pPr>
        <w:pStyle w:val="4"/>
        <w:rPr>
          <w:rFonts w:hint="eastAsia" w:ascii="宋体" w:hAnsi="宋体" w:eastAsia="宋体" w:cs="宋体"/>
          <w:color w:val="auto"/>
          <w:kern w:val="0"/>
          <w:szCs w:val="24"/>
          <w:highlight w:val="none"/>
        </w:rPr>
      </w:pPr>
      <w:bookmarkStart w:id="360" w:name="_Toc22918"/>
      <w:r>
        <w:rPr>
          <w:rFonts w:hint="eastAsia" w:ascii="宋体" w:hAnsi="宋体" w:eastAsia="宋体" w:cs="宋体"/>
          <w:color w:val="auto"/>
          <w:kern w:val="0"/>
          <w:szCs w:val="24"/>
          <w:highlight w:val="none"/>
        </w:rPr>
        <w:t>6.3支付</w:t>
      </w:r>
      <w:bookmarkEnd w:id="360"/>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6.3.1  预付款</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为使试验检测服务能够及时开展，发包人应在试验检测合同签订后7日内按“签约合同价”的10﹪向检测人支付预付款，但专用合同条款另有约定的除外。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  履约担保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6.3.2.1  履约担保的提交和返还按照</w:t>
      </w:r>
      <w:r>
        <w:rPr>
          <w:rFonts w:hint="eastAsia" w:ascii="宋体" w:hAnsi="宋体" w:eastAsia="宋体" w:cs="宋体"/>
          <w:color w:val="auto"/>
          <w:sz w:val="24"/>
          <w:highlight w:val="none"/>
          <w:lang w:eastAsia="zh-CN"/>
        </w:rPr>
        <w:t>交易响应人</w:t>
      </w:r>
      <w:r>
        <w:rPr>
          <w:rFonts w:hint="eastAsia" w:ascii="宋体" w:hAnsi="宋体" w:eastAsia="宋体" w:cs="宋体"/>
          <w:color w:val="auto"/>
          <w:sz w:val="24"/>
          <w:highlight w:val="none"/>
        </w:rPr>
        <w:t>须知第7.4款和</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检测通用合同条款第4.5.2项、第4.5.3项执行。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6.3.3.2  发包人没收检测人的全部或部分履约担保时，不影响检测人根据</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检测合同应当得到的其他款项的支付。</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  违约金和赔偿金</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6.3.3.1  根据试验检测通用合同条款第4.1款确定的检测人对发包人的赔偿金额，经双方确认后由发包人从对检测人的当期日常支付中扣回，如双方有争议的，根据通用合同条款第8条处理。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6.3.3.2  根据试验检测通用合同条款第4.2款确定的发包人对检测人的赔偿金额，经双方确认后应由发包人在当期日常支付中向检测人支付，如双方有争议的，根据通用合同条款第8条处理。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6.3.4  支付担保</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6.3.4.1  发包人为履行合同约定的支付义务，在签订合同时，按专用合同条款约定的金额办理支付担保，并将此担保交给检测人。</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6.3.4.2  支付担保的开具机构应与履约担保开具机构相同级别。除非在专用合同条款另有约定，执行本条款所发生的费用应由发包人承担。</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6.3.4.3  支付担保的有效期应至发包人按照通用合同条款第6.3.7项约定完全履行其支付义务之日止。</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6.3.5  支付方式</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按月向检测人支付试验检测服务费。检测人于每月7日前将上月试验检测服务费支付申请报发包人，发包人应在收到试验检测支付申请后7日内予以审批，在批复后14日内向检测人支付试验检测服务费。本条款在专用合同条款另有约定的除外。</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（1）正常试验检测服务费用按月支付，检测数量以实际完成并经发包人确认的数量为准；</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（2）附加试验检测服务费用经双方协商确认后，按双方所签订补充协议约定的支付方式进行支付；</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（3）依据通用合同条款第7.3款约定对检测人的奖励，发包人应于对检测人的当期支付费用中一次性支付。</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（4）报价清单100章费用的支付按专用合同条款约定执行。</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6.3.6  预付款的扣回</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预付款在试验检测服务费支付的累计金额达到“签约合同价”的30﹪时开始抵扣，全部预付款应在试验检测服务费累计支付到“签约合同价”的80﹪时扣完。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6.3.7  结算</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检测阶段试验检测服务工作结束后7日内，检测人应将实际发生的试验检测服务费用，扣减预付款和检测人赔偿金后余额的支付申请报至发包人，发包人应在收到该支付申请后7日内予以审批，在批复后14日内向检测人支付费用，同时退还履约担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6.3.8  </w:t>
      </w:r>
      <w:r>
        <w:rPr>
          <w:rFonts w:hint="eastAsia" w:ascii="宋体" w:hAnsi="宋体" w:eastAsia="宋体" w:cs="宋体"/>
          <w:color w:val="auto"/>
          <w:sz w:val="24"/>
          <w:szCs w:val="21"/>
          <w:highlight w:val="none"/>
        </w:rPr>
        <w:t>试验</w:t>
      </w:r>
      <w:r>
        <w:rPr>
          <w:rFonts w:hint="eastAsia" w:ascii="宋体" w:hAnsi="宋体" w:eastAsia="宋体" w:cs="宋体"/>
          <w:color w:val="auto"/>
          <w:sz w:val="24"/>
          <w:highlight w:val="none"/>
        </w:rPr>
        <w:t>检测服务费用的支付期限</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发包人在收到检测人提交的书面支付申请后，应按上述条款约定的支付期限内支付</w:t>
      </w:r>
      <w:r>
        <w:rPr>
          <w:rFonts w:hint="eastAsia" w:ascii="宋体" w:hAnsi="宋体" w:eastAsia="宋体" w:cs="宋体"/>
          <w:color w:val="auto"/>
          <w:sz w:val="24"/>
          <w:szCs w:val="21"/>
          <w:highlight w:val="none"/>
        </w:rPr>
        <w:t>试验检测服务费用。发包人在约定的期限内，未向检测人支付到期应付的款项，应承担违约责任，并支付逾期付款违约金。除非专用合同条款另有约定，逾期付款的违约金以到期应付而未付的款项，按照银行同期贷款利率计算相应的利息作为违约金，时间自未付款项的应付之日起算。该逾期付款违约金的支付不影响本合同条款第5.5.4项约定的检测人的权力。</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6.3.9  支付争议</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发包人对检测人要求支付的款项中的任何部分有异议，应在收到检测人提交的书面支付申请7日内发出书面通知说明理由，但不得借此延误对检测人其他应得款项的支付。</w:t>
      </w:r>
    </w:p>
    <w:p>
      <w:pPr>
        <w:pStyle w:val="4"/>
        <w:rPr>
          <w:rFonts w:hint="eastAsia" w:ascii="宋体" w:hAnsi="宋体" w:eastAsia="宋体" w:cs="宋体"/>
          <w:color w:val="auto"/>
          <w:kern w:val="0"/>
          <w:szCs w:val="24"/>
          <w:highlight w:val="none"/>
        </w:rPr>
      </w:pPr>
      <w:bookmarkStart w:id="361" w:name="_Toc27796"/>
      <w:r>
        <w:rPr>
          <w:rFonts w:hint="eastAsia" w:ascii="宋体" w:hAnsi="宋体" w:eastAsia="宋体" w:cs="宋体"/>
          <w:color w:val="auto"/>
          <w:kern w:val="0"/>
          <w:szCs w:val="24"/>
          <w:highlight w:val="none"/>
        </w:rPr>
        <w:t>6.4  货币</w:t>
      </w:r>
      <w:bookmarkEnd w:id="361"/>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除专用合同条款另有约定外，发包人支付检测人履行试验检测服务的费用一律采用人民币支付。涉及外币支付的，其货币种类、比例和汇率等事宜，在专用合同条款中约定。</w:t>
      </w:r>
    </w:p>
    <w:p>
      <w:pPr>
        <w:pStyle w:val="3"/>
        <w:rPr>
          <w:rFonts w:hint="eastAsia" w:ascii="宋体" w:hAnsi="宋体" w:eastAsia="宋体" w:cs="宋体"/>
          <w:b w:val="0"/>
          <w:bCs w:val="0"/>
          <w:color w:val="auto"/>
          <w:sz w:val="24"/>
          <w:highlight w:val="none"/>
        </w:rPr>
      </w:pPr>
      <w:bookmarkStart w:id="362" w:name="_Toc20767"/>
      <w:r>
        <w:rPr>
          <w:rFonts w:hint="eastAsia" w:ascii="宋体" w:hAnsi="宋体" w:eastAsia="宋体" w:cs="宋体"/>
          <w:b w:val="0"/>
          <w:bCs w:val="0"/>
          <w:color w:val="auto"/>
          <w:sz w:val="24"/>
          <w:highlight w:val="none"/>
        </w:rPr>
        <w:t>7．</w:t>
      </w:r>
      <w:r>
        <w:rPr>
          <w:rFonts w:hint="eastAsia" w:ascii="宋体" w:hAnsi="宋体" w:eastAsia="宋体" w:cs="宋体"/>
          <w:bCs w:val="0"/>
          <w:color w:val="auto"/>
          <w:sz w:val="24"/>
          <w:highlight w:val="none"/>
        </w:rPr>
        <w:t>其他</w:t>
      </w:r>
      <w:bookmarkEnd w:id="362"/>
    </w:p>
    <w:p>
      <w:pPr>
        <w:pStyle w:val="4"/>
        <w:rPr>
          <w:rFonts w:hint="eastAsia" w:ascii="宋体" w:hAnsi="宋体" w:eastAsia="宋体" w:cs="宋体"/>
          <w:color w:val="auto"/>
          <w:kern w:val="0"/>
          <w:szCs w:val="24"/>
          <w:highlight w:val="none"/>
        </w:rPr>
      </w:pPr>
      <w:bookmarkStart w:id="363" w:name="_Toc10124"/>
      <w:r>
        <w:rPr>
          <w:rFonts w:hint="eastAsia" w:ascii="宋体" w:hAnsi="宋体" w:eastAsia="宋体" w:cs="宋体"/>
          <w:color w:val="auto"/>
          <w:kern w:val="0"/>
          <w:szCs w:val="24"/>
          <w:highlight w:val="none"/>
        </w:rPr>
        <w:t>7.1  合同双方的关系</w:t>
      </w:r>
      <w:bookmarkEnd w:id="363"/>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合同双方互为权利和义务主体，双方应遵循平等互利、协商一致的原则履行本试验检测合同。发包人和检测人均应按照试验检测合同公正地行使权力和全面履行自己的职责。</w:t>
      </w:r>
    </w:p>
    <w:p>
      <w:pPr>
        <w:pStyle w:val="4"/>
        <w:rPr>
          <w:rFonts w:hint="eastAsia" w:ascii="宋体" w:hAnsi="宋体" w:eastAsia="宋体" w:cs="宋体"/>
          <w:color w:val="auto"/>
          <w:kern w:val="0"/>
          <w:szCs w:val="24"/>
          <w:highlight w:val="none"/>
        </w:rPr>
      </w:pPr>
      <w:bookmarkStart w:id="364" w:name="_Toc16520"/>
      <w:r>
        <w:rPr>
          <w:rFonts w:hint="eastAsia" w:ascii="宋体" w:hAnsi="宋体" w:eastAsia="宋体" w:cs="宋体"/>
          <w:color w:val="auto"/>
          <w:kern w:val="0"/>
          <w:szCs w:val="24"/>
          <w:highlight w:val="none"/>
        </w:rPr>
        <w:t>7.2  语言和法律</w:t>
      </w:r>
      <w:bookmarkEnd w:id="364"/>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7.2.1  除专用术语外，本试验检测合同使用的语言文字为中文。必要时专用术语应附有中文注释。</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7.2.2  适用于本试验检测合同的法律包括中华人民共和国法律、行政法规、部门规章以及工程所在地的地方法规、单行条例和地方政府规章。</w:t>
      </w:r>
    </w:p>
    <w:p>
      <w:pPr>
        <w:pStyle w:val="4"/>
        <w:rPr>
          <w:rFonts w:hint="eastAsia" w:ascii="宋体" w:hAnsi="宋体" w:eastAsia="宋体" w:cs="宋体"/>
          <w:color w:val="auto"/>
          <w:kern w:val="0"/>
          <w:szCs w:val="24"/>
          <w:highlight w:val="none"/>
        </w:rPr>
      </w:pPr>
      <w:bookmarkStart w:id="365" w:name="_Toc26493"/>
      <w:r>
        <w:rPr>
          <w:rFonts w:hint="eastAsia" w:ascii="宋体" w:hAnsi="宋体" w:eastAsia="宋体" w:cs="宋体"/>
          <w:color w:val="auto"/>
          <w:kern w:val="0"/>
          <w:szCs w:val="24"/>
          <w:highlight w:val="none"/>
        </w:rPr>
        <w:t>7.3  奖励</w:t>
      </w:r>
      <w:bookmarkEnd w:id="365"/>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由于检测人提出的合理化建议降低了工程造价、消除了安全隐患或产生了经济效益，发包人可按国家有关规定在专用合同条款中约定给予奖励。</w:t>
      </w:r>
    </w:p>
    <w:p>
      <w:pPr>
        <w:pStyle w:val="4"/>
        <w:rPr>
          <w:rFonts w:hint="eastAsia" w:ascii="宋体" w:hAnsi="宋体" w:eastAsia="宋体" w:cs="宋体"/>
          <w:color w:val="auto"/>
          <w:kern w:val="0"/>
          <w:szCs w:val="24"/>
          <w:highlight w:val="none"/>
        </w:rPr>
      </w:pPr>
      <w:bookmarkStart w:id="366" w:name="_Toc2257"/>
      <w:r>
        <w:rPr>
          <w:rFonts w:hint="eastAsia" w:ascii="宋体" w:hAnsi="宋体" w:eastAsia="宋体" w:cs="宋体"/>
          <w:color w:val="auto"/>
          <w:kern w:val="0"/>
          <w:szCs w:val="24"/>
          <w:highlight w:val="none"/>
        </w:rPr>
        <w:t>7.4  利益矛盾</w:t>
      </w:r>
      <w:bookmarkEnd w:id="366"/>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未经发包人书面同意，检测人不得获取本试验检测合同约定以外的与本工程有关的任何利益，不得参与与本试验检测合同约定的发包人利益相冲突的任何活动。</w:t>
      </w:r>
    </w:p>
    <w:p>
      <w:pPr>
        <w:pStyle w:val="4"/>
        <w:rPr>
          <w:rFonts w:hint="eastAsia" w:ascii="宋体" w:hAnsi="宋体" w:eastAsia="宋体" w:cs="宋体"/>
          <w:color w:val="auto"/>
          <w:kern w:val="0"/>
          <w:szCs w:val="24"/>
          <w:highlight w:val="none"/>
        </w:rPr>
      </w:pPr>
      <w:bookmarkStart w:id="367" w:name="_Toc24177"/>
      <w:r>
        <w:rPr>
          <w:rFonts w:hint="eastAsia" w:ascii="宋体" w:hAnsi="宋体" w:eastAsia="宋体" w:cs="宋体"/>
          <w:color w:val="auto"/>
          <w:kern w:val="0"/>
          <w:szCs w:val="24"/>
          <w:highlight w:val="none"/>
        </w:rPr>
        <w:t>7.5  版权</w:t>
      </w:r>
      <w:bookmarkEnd w:id="367"/>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7.5.1  对检测人拥有版权并已用于本试验检测服务中的所有文件，发包人有权在本合同工程中使用或复制。但未经检测人的同意，发包人不得将上述文件直接或间接用于其他项目、工程或服务之中。</w:t>
      </w:r>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7.5.2  如果在专用合同条款中没有另外约定，则检测人有权出版与本项目或本工程试验检测服务有关的资料。但未经发包人同意，上述出版物中不得涉及发包人的专利、专有技术以及经济情报。</w:t>
      </w:r>
    </w:p>
    <w:p>
      <w:pPr>
        <w:pStyle w:val="4"/>
        <w:rPr>
          <w:rFonts w:hint="eastAsia" w:ascii="宋体" w:hAnsi="宋体" w:eastAsia="宋体" w:cs="宋体"/>
          <w:color w:val="auto"/>
          <w:kern w:val="0"/>
          <w:szCs w:val="24"/>
          <w:highlight w:val="none"/>
        </w:rPr>
      </w:pPr>
      <w:bookmarkStart w:id="368" w:name="_Toc31789"/>
      <w:r>
        <w:rPr>
          <w:rFonts w:hint="eastAsia" w:ascii="宋体" w:hAnsi="宋体" w:eastAsia="宋体" w:cs="宋体"/>
          <w:color w:val="auto"/>
          <w:kern w:val="0"/>
          <w:szCs w:val="24"/>
          <w:highlight w:val="none"/>
        </w:rPr>
        <w:t>7.6  通知</w:t>
      </w:r>
      <w:bookmarkEnd w:id="368"/>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本试验检测合同涉及的通知均为书面形式，在送达协议书中注明的地址并由收受方签收后生效。无论发送方采用何种方式递送通知，收受方都应用书面回执确认。</w:t>
      </w:r>
    </w:p>
    <w:p>
      <w:pPr>
        <w:pStyle w:val="3"/>
        <w:keepNext/>
        <w:keepLines/>
        <w:pageBreakBefore w:val="0"/>
        <w:widowControl w:val="0"/>
        <w:kinsoku/>
        <w:wordWrap/>
        <w:overflowPunct/>
        <w:topLinePunct w:val="0"/>
        <w:autoSpaceDE/>
        <w:autoSpaceDN/>
        <w:bidi w:val="0"/>
        <w:adjustRightInd/>
        <w:snapToGrid/>
        <w:spacing w:after="0" w:line="416" w:lineRule="auto"/>
        <w:textAlignment w:val="auto"/>
        <w:rPr>
          <w:rFonts w:hint="eastAsia" w:ascii="宋体" w:hAnsi="宋体" w:eastAsia="宋体" w:cs="宋体"/>
          <w:b w:val="0"/>
          <w:bCs w:val="0"/>
          <w:color w:val="auto"/>
          <w:sz w:val="24"/>
          <w:highlight w:val="none"/>
        </w:rPr>
      </w:pPr>
      <w:bookmarkStart w:id="369" w:name="_Toc9429"/>
      <w:r>
        <w:rPr>
          <w:rFonts w:hint="eastAsia" w:ascii="宋体" w:hAnsi="宋体" w:eastAsia="宋体" w:cs="宋体"/>
          <w:b w:val="0"/>
          <w:bCs w:val="0"/>
          <w:color w:val="auto"/>
          <w:sz w:val="24"/>
          <w:highlight w:val="none"/>
        </w:rPr>
        <w:t>8．</w:t>
      </w:r>
      <w:r>
        <w:rPr>
          <w:rFonts w:hint="eastAsia" w:ascii="宋体" w:hAnsi="宋体" w:eastAsia="宋体" w:cs="宋体"/>
          <w:bCs w:val="0"/>
          <w:color w:val="auto"/>
          <w:sz w:val="24"/>
          <w:highlight w:val="none"/>
        </w:rPr>
        <w:t>争端的解决</w:t>
      </w:r>
      <w:bookmarkEnd w:id="369"/>
    </w:p>
    <w:p>
      <w:pPr>
        <w:spacing w:line="44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双方在履行本试验检测合同过程中发生争端时，应本着友好协商的原则解决问题，或通过上级主管部门进行调解。若经过协商或调解仍不能达成一致时，任何一方均可根据专用合同条款的约定，申请仲裁或向项目所在地有管辖权的人民法院提起诉讼。</w:t>
      </w:r>
    </w:p>
    <w:p>
      <w:pPr>
        <w:widowControl/>
        <w:jc w:val="left"/>
        <w:rPr>
          <w:rFonts w:hint="eastAsia" w:ascii="宋体" w:hAnsi="宋体" w:eastAsia="宋体" w:cs="宋体"/>
          <w:color w:val="auto"/>
          <w:sz w:val="24"/>
          <w:szCs w:val="21"/>
          <w:highlight w:val="none"/>
        </w:rPr>
        <w:sectPr>
          <w:headerReference r:id="rId11" w:type="default"/>
          <w:headerReference r:id="rId12" w:type="even"/>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cols w:space="720" w:num="1"/>
          <w:docGrid w:linePitch="312" w:charSpace="0"/>
        </w:sectPr>
      </w:pPr>
    </w:p>
    <w:p>
      <w:pPr>
        <w:pStyle w:val="3"/>
        <w:spacing w:before="600" w:after="600" w:line="240" w:lineRule="auto"/>
        <w:jc w:val="center"/>
        <w:rPr>
          <w:rFonts w:hint="eastAsia" w:ascii="宋体" w:hAnsi="宋体" w:eastAsia="宋体" w:cs="宋体"/>
          <w:color w:val="auto"/>
          <w:sz w:val="36"/>
          <w:szCs w:val="36"/>
          <w:highlight w:val="none"/>
        </w:rPr>
      </w:pPr>
      <w:bookmarkStart w:id="370" w:name="_Toc19511"/>
      <w:r>
        <w:rPr>
          <w:rFonts w:hint="eastAsia" w:ascii="宋体" w:hAnsi="宋体" w:eastAsia="宋体" w:cs="宋体"/>
          <w:color w:val="auto"/>
          <w:sz w:val="36"/>
          <w:szCs w:val="36"/>
          <w:highlight w:val="none"/>
        </w:rPr>
        <w:t>第二节专用合同条款</w:t>
      </w:r>
      <w:bookmarkEnd w:id="370"/>
    </w:p>
    <w:p>
      <w:pPr>
        <w:spacing w:line="420" w:lineRule="exact"/>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本专用合同条款是依据通用合同条款进行编制，发包人可根据工程的特点、环境及其他要求，在此进行补充、细化或约定，在执行过程中以此为准。</w:t>
      </w:r>
    </w:p>
    <w:p>
      <w:pPr>
        <w:spacing w:line="420" w:lineRule="exact"/>
        <w:ind w:firstLine="480" w:firstLineChars="200"/>
        <w:rPr>
          <w:rFonts w:hint="eastAsia" w:ascii="宋体" w:hAnsi="宋体" w:eastAsia="宋体" w:cs="宋体"/>
          <w:color w:val="auto"/>
          <w:sz w:val="24"/>
          <w:szCs w:val="21"/>
          <w:highlight w:val="none"/>
        </w:rPr>
      </w:pPr>
    </w:p>
    <w:p>
      <w:pPr>
        <w:pStyle w:val="3"/>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371" w:name="_Toc15669"/>
      <w:r>
        <w:rPr>
          <w:rFonts w:hint="eastAsia" w:ascii="宋体" w:hAnsi="宋体" w:eastAsia="宋体" w:cs="宋体"/>
          <w:b w:val="0"/>
          <w:bCs w:val="0"/>
          <w:color w:val="auto"/>
          <w:sz w:val="24"/>
          <w:highlight w:val="none"/>
        </w:rPr>
        <w:t>1．</w:t>
      </w:r>
      <w:r>
        <w:rPr>
          <w:rFonts w:hint="eastAsia" w:ascii="宋体" w:hAnsi="宋体" w:eastAsia="宋体" w:cs="宋体"/>
          <w:bCs w:val="0"/>
          <w:color w:val="auto"/>
          <w:sz w:val="24"/>
          <w:highlight w:val="none"/>
        </w:rPr>
        <w:t>定义与解释</w:t>
      </w:r>
      <w:bookmarkEnd w:id="371"/>
    </w:p>
    <w:p>
      <w:pPr>
        <w:spacing w:line="440" w:lineRule="exact"/>
        <w:ind w:firstLine="480" w:firstLineChars="200"/>
        <w:outlineLvl w:val="0"/>
        <w:rPr>
          <w:rFonts w:hint="eastAsia" w:ascii="宋体" w:hAnsi="宋体" w:eastAsia="宋体" w:cs="宋体"/>
          <w:color w:val="auto"/>
          <w:sz w:val="24"/>
          <w:highlight w:val="none"/>
        </w:rPr>
      </w:pPr>
      <w:bookmarkStart w:id="372" w:name="_Toc4925"/>
      <w:r>
        <w:rPr>
          <w:rFonts w:hint="eastAsia" w:ascii="宋体" w:hAnsi="宋体" w:eastAsia="宋体" w:cs="宋体"/>
          <w:color w:val="auto"/>
          <w:sz w:val="24"/>
          <w:highlight w:val="none"/>
        </w:rPr>
        <w:t>1.1.1  项目</w:t>
      </w:r>
      <w:bookmarkEnd w:id="372"/>
    </w:p>
    <w:p>
      <w:pPr>
        <w:spacing w:line="42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淳安县郑鸠线云岭隧道提升工程隧道施工监控量测</w:t>
      </w:r>
      <w:r>
        <w:rPr>
          <w:rFonts w:hint="eastAsia" w:ascii="宋体" w:hAnsi="宋体" w:eastAsia="宋体" w:cs="宋体"/>
          <w:color w:val="auto"/>
          <w:sz w:val="21"/>
          <w:szCs w:val="21"/>
          <w:highlight w:val="none"/>
        </w:rPr>
        <w:t>；</w:t>
      </w:r>
    </w:p>
    <w:p>
      <w:pPr>
        <w:spacing w:line="440" w:lineRule="exact"/>
        <w:ind w:firstLine="480" w:firstLineChars="200"/>
        <w:outlineLvl w:val="0"/>
        <w:rPr>
          <w:rFonts w:hint="eastAsia" w:ascii="宋体" w:hAnsi="宋体" w:eastAsia="宋体" w:cs="宋体"/>
          <w:color w:val="auto"/>
          <w:sz w:val="24"/>
          <w:highlight w:val="none"/>
        </w:rPr>
      </w:pPr>
      <w:bookmarkStart w:id="373" w:name="_Toc15055"/>
      <w:r>
        <w:rPr>
          <w:rFonts w:hint="eastAsia" w:ascii="宋体" w:hAnsi="宋体" w:eastAsia="宋体" w:cs="宋体"/>
          <w:color w:val="auto"/>
          <w:sz w:val="24"/>
          <w:highlight w:val="none"/>
        </w:rPr>
        <w:t>1.1.2  工程</w:t>
      </w:r>
      <w:bookmarkEnd w:id="373"/>
    </w:p>
    <w:p>
      <w:pPr>
        <w:spacing w:line="4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工程地点：淳安县郑鸠线；</w:t>
      </w:r>
    </w:p>
    <w:p>
      <w:pPr>
        <w:spacing w:line="420" w:lineRule="exact"/>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起讫</w:t>
      </w:r>
      <w:r>
        <w:rPr>
          <w:rFonts w:hint="eastAsia" w:ascii="宋体" w:hAnsi="宋体" w:eastAsia="宋体" w:cs="宋体"/>
          <w:color w:val="auto"/>
          <w:sz w:val="21"/>
          <w:szCs w:val="21"/>
          <w:highlight w:val="none"/>
        </w:rPr>
        <w:t>桩号：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rPr>
        <w:t>K55+470～K56+054</w:t>
      </w:r>
      <w:r>
        <w:rPr>
          <w:rFonts w:hint="eastAsia" w:ascii="宋体" w:hAnsi="宋体" w:eastAsia="宋体" w:cs="宋体"/>
          <w:color w:val="auto"/>
          <w:sz w:val="21"/>
          <w:szCs w:val="21"/>
          <w:highlight w:val="none"/>
        </w:rPr>
        <w:t>。</w:t>
      </w:r>
    </w:p>
    <w:p>
      <w:pPr>
        <w:pStyle w:val="114"/>
        <w:spacing w:line="44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工程概况：</w:t>
      </w:r>
      <w:r>
        <w:rPr>
          <w:rFonts w:hint="eastAsia" w:ascii="宋体" w:hAnsi="宋体" w:cs="宋体"/>
          <w:color w:val="auto"/>
          <w:sz w:val="21"/>
          <w:szCs w:val="21"/>
          <w:highlight w:val="none"/>
          <w:lang w:eastAsia="zh-CN"/>
        </w:rPr>
        <w:t>云岭隧道位于淳安线郑鸠线。云岭隧道桩号范围K55+470～K56+054，原隧道长584m，隧道净宽8.5m，净高4.5m。隧道于1999年11月建成，断面轮廓采用直墙式，衬砌结构为单层衬砌：洞口20m范围内为现浇混凝土衬砌；洞身直墙采用水泥砂浆砌粗料石衬砌，洞身拱部采用混凝土衬砌，洞门为端墙式暗洞门。</w:t>
      </w:r>
    </w:p>
    <w:p>
      <w:pPr>
        <w:pStyle w:val="114"/>
        <w:spacing w:line="440" w:lineRule="exact"/>
        <w:ind w:firstLine="420" w:firstLineChars="20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原隧道明细表</w:t>
      </w:r>
    </w:p>
    <w:tbl>
      <w:tblPr>
        <w:tblStyle w:val="44"/>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315"/>
        <w:gridCol w:w="1059"/>
        <w:gridCol w:w="952"/>
        <w:gridCol w:w="1407"/>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隧道编号</w:t>
            </w:r>
          </w:p>
        </w:tc>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路线</w:t>
            </w:r>
          </w:p>
        </w:tc>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隧道名称</w:t>
            </w:r>
          </w:p>
        </w:tc>
        <w:tc>
          <w:tcPr>
            <w:tcW w:w="1315"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隧道中心桩号</w:t>
            </w:r>
          </w:p>
        </w:tc>
        <w:tc>
          <w:tcPr>
            <w:tcW w:w="1059"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隧道全长</w:t>
            </w:r>
          </w:p>
        </w:tc>
        <w:tc>
          <w:tcPr>
            <w:tcW w:w="952"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隧道宽</w:t>
            </w:r>
          </w:p>
        </w:tc>
        <w:tc>
          <w:tcPr>
            <w:tcW w:w="140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车道数</w:t>
            </w:r>
          </w:p>
        </w:tc>
        <w:tc>
          <w:tcPr>
            <w:tcW w:w="1202"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路面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郑鸠线</w:t>
            </w:r>
          </w:p>
        </w:tc>
        <w:tc>
          <w:tcPr>
            <w:tcW w:w="118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云岭隧道</w:t>
            </w:r>
          </w:p>
        </w:tc>
        <w:tc>
          <w:tcPr>
            <w:tcW w:w="1315"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K55+762</w:t>
            </w:r>
          </w:p>
        </w:tc>
        <w:tc>
          <w:tcPr>
            <w:tcW w:w="1059"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584</w:t>
            </w:r>
          </w:p>
        </w:tc>
        <w:tc>
          <w:tcPr>
            <w:tcW w:w="952"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8.5</w:t>
            </w:r>
          </w:p>
        </w:tc>
        <w:tc>
          <w:tcPr>
            <w:tcW w:w="1407"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双向两车道</w:t>
            </w:r>
          </w:p>
        </w:tc>
        <w:tc>
          <w:tcPr>
            <w:tcW w:w="1202" w:type="dxa"/>
            <w:noWrap w:val="0"/>
            <w:vAlign w:val="center"/>
          </w:tcPr>
          <w:p>
            <w:pPr>
              <w:pStyle w:val="114"/>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沥青砼路面</w:t>
            </w:r>
          </w:p>
        </w:tc>
      </w:tr>
    </w:tbl>
    <w:p>
      <w:pPr>
        <w:pStyle w:val="114"/>
        <w:spacing w:line="44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本项目按三级公路 40km/h 提升改造原隧道，隧道提升改造后长 600m，隧道范围为 K55+462～K56+062，隧洞净空 9.0m×4.5m，隧道两端外各设50m过渡段顺接老路。</w:t>
      </w:r>
    </w:p>
    <w:p>
      <w:pPr>
        <w:pStyle w:val="114"/>
        <w:spacing w:line="440" w:lineRule="exact"/>
        <w:ind w:firstLine="420" w:firstLineChars="200"/>
        <w:rPr>
          <w:rFonts w:hint="eastAsia" w:ascii="宋体" w:hAnsi="宋体" w:eastAsia="宋体" w:cs="宋体"/>
          <w:color w:val="auto"/>
          <w:kern w:val="1"/>
          <w:sz w:val="21"/>
          <w:szCs w:val="21"/>
          <w:highlight w:val="none"/>
        </w:rPr>
      </w:pPr>
      <w:r>
        <w:rPr>
          <w:rFonts w:hint="eastAsia" w:ascii="宋体" w:hAnsi="宋体" w:cs="宋体"/>
          <w:color w:val="auto"/>
          <w:sz w:val="21"/>
          <w:szCs w:val="21"/>
          <w:highlight w:val="none"/>
          <w:lang w:eastAsia="zh-CN"/>
        </w:rPr>
        <w:t>本项目工程概算总投资2795.32万元，概算建安费2555.49万元。</w:t>
      </w:r>
    </w:p>
    <w:p>
      <w:pPr>
        <w:spacing w:line="420" w:lineRule="exact"/>
        <w:ind w:firstLine="367" w:firstLineChars="175"/>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试验检测标段划分情况：设1个标段为</w:t>
      </w:r>
      <w:r>
        <w:rPr>
          <w:rFonts w:hint="eastAsia" w:ascii="宋体" w:hAnsi="宋体" w:cs="宋体"/>
          <w:color w:val="auto"/>
          <w:sz w:val="21"/>
          <w:szCs w:val="21"/>
          <w:highlight w:val="none"/>
          <w:lang w:eastAsia="zh-CN"/>
        </w:rPr>
        <w:t>第JKLC01标段</w:t>
      </w:r>
      <w:r>
        <w:rPr>
          <w:rFonts w:hint="eastAsia" w:ascii="宋体" w:hAnsi="宋体" w:eastAsia="宋体" w:cs="宋体"/>
          <w:color w:val="auto"/>
          <w:sz w:val="21"/>
          <w:szCs w:val="21"/>
          <w:highlight w:val="none"/>
        </w:rPr>
        <w:t>。</w:t>
      </w:r>
    </w:p>
    <w:p>
      <w:pPr>
        <w:spacing w:line="440" w:lineRule="exact"/>
        <w:ind w:firstLine="480" w:firstLineChars="200"/>
        <w:outlineLvl w:val="0"/>
        <w:rPr>
          <w:rFonts w:hint="eastAsia" w:ascii="宋体" w:hAnsi="宋体" w:eastAsia="宋体" w:cs="宋体"/>
          <w:color w:val="auto"/>
          <w:sz w:val="24"/>
          <w:highlight w:val="none"/>
        </w:rPr>
      </w:pPr>
      <w:bookmarkStart w:id="374" w:name="_Toc6406"/>
      <w:r>
        <w:rPr>
          <w:rFonts w:hint="eastAsia" w:ascii="宋体" w:hAnsi="宋体" w:eastAsia="宋体" w:cs="宋体"/>
          <w:color w:val="auto"/>
          <w:sz w:val="24"/>
          <w:highlight w:val="none"/>
        </w:rPr>
        <w:t>1.1.4  发包人</w:t>
      </w:r>
      <w:bookmarkEnd w:id="374"/>
    </w:p>
    <w:p>
      <w:pPr>
        <w:spacing w:line="42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发包人名称：</w:t>
      </w:r>
      <w:r>
        <w:rPr>
          <w:rFonts w:hint="eastAsia" w:ascii="宋体" w:hAnsi="宋体" w:eastAsia="宋体" w:cs="宋体"/>
          <w:color w:val="auto"/>
          <w:sz w:val="21"/>
          <w:szCs w:val="21"/>
          <w:highlight w:val="none"/>
          <w:lang w:eastAsia="zh-CN"/>
        </w:rPr>
        <w:t>淳安县公路服务中心</w:t>
      </w:r>
      <w:r>
        <w:rPr>
          <w:rFonts w:hint="eastAsia" w:ascii="宋体" w:hAnsi="宋体" w:eastAsia="宋体" w:cs="宋体"/>
          <w:color w:val="auto"/>
          <w:sz w:val="21"/>
          <w:szCs w:val="21"/>
          <w:highlight w:val="none"/>
        </w:rPr>
        <w:t>。</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1.2.3.7 </w:t>
      </w:r>
      <w:r>
        <w:rPr>
          <w:rFonts w:hint="eastAsia" w:ascii="宋体" w:hAnsi="宋体" w:eastAsia="宋体" w:cs="宋体"/>
          <w:color w:val="auto"/>
          <w:sz w:val="24"/>
          <w:szCs w:val="21"/>
          <w:highlight w:val="none"/>
        </w:rPr>
        <w:t>构成本合同组成部分的其他文件</w:t>
      </w:r>
      <w:r>
        <w:rPr>
          <w:rFonts w:hint="eastAsia" w:ascii="宋体" w:hAnsi="宋体" w:eastAsia="宋体" w:cs="宋体"/>
          <w:color w:val="auto"/>
          <w:sz w:val="24"/>
          <w:highlight w:val="none"/>
        </w:rPr>
        <w:t>。</w:t>
      </w:r>
    </w:p>
    <w:p>
      <w:pPr>
        <w:pStyle w:val="3"/>
        <w:rPr>
          <w:rFonts w:hint="eastAsia" w:ascii="宋体" w:hAnsi="宋体" w:eastAsia="宋体" w:cs="宋体"/>
          <w:b w:val="0"/>
          <w:bCs w:val="0"/>
          <w:color w:val="auto"/>
          <w:sz w:val="24"/>
          <w:highlight w:val="none"/>
        </w:rPr>
      </w:pPr>
      <w:bookmarkStart w:id="375" w:name="_Toc18890"/>
      <w:r>
        <w:rPr>
          <w:rFonts w:hint="eastAsia" w:ascii="宋体" w:hAnsi="宋体" w:eastAsia="宋体" w:cs="宋体"/>
          <w:b w:val="0"/>
          <w:bCs w:val="0"/>
          <w:color w:val="auto"/>
          <w:sz w:val="24"/>
          <w:highlight w:val="none"/>
        </w:rPr>
        <w:t>2．</w:t>
      </w:r>
      <w:r>
        <w:rPr>
          <w:rFonts w:hint="eastAsia" w:ascii="宋体" w:hAnsi="宋体" w:eastAsia="宋体" w:cs="宋体"/>
          <w:bCs w:val="0"/>
          <w:color w:val="auto"/>
          <w:sz w:val="24"/>
          <w:highlight w:val="none"/>
        </w:rPr>
        <w:t>检测人的义务</w:t>
      </w:r>
      <w:bookmarkEnd w:id="375"/>
    </w:p>
    <w:p>
      <w:pPr>
        <w:pStyle w:val="4"/>
        <w:rPr>
          <w:rFonts w:hint="eastAsia" w:ascii="宋体" w:hAnsi="宋体" w:eastAsia="宋体" w:cs="宋体"/>
          <w:color w:val="auto"/>
          <w:highlight w:val="none"/>
        </w:rPr>
      </w:pPr>
      <w:bookmarkStart w:id="376" w:name="_Toc14001"/>
      <w:r>
        <w:rPr>
          <w:rFonts w:hint="eastAsia" w:ascii="宋体" w:hAnsi="宋体" w:eastAsia="宋体" w:cs="宋体"/>
          <w:color w:val="auto"/>
          <w:highlight w:val="none"/>
        </w:rPr>
        <w:t>2.1试验检测服务的形式、范围与内容</w:t>
      </w:r>
      <w:bookmarkEnd w:id="376"/>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是否设立现场检测项目部：</w:t>
      </w:r>
      <w:r>
        <w:rPr>
          <w:rFonts w:hint="eastAsia" w:ascii="宋体" w:hAnsi="宋体" w:eastAsia="宋体" w:cs="宋体"/>
          <w:color w:val="auto"/>
          <w:sz w:val="24"/>
          <w:highlight w:val="none"/>
          <w:u w:val="single"/>
        </w:rPr>
        <w:t>不设现场检测项目部</w:t>
      </w:r>
      <w:r>
        <w:rPr>
          <w:rFonts w:hint="eastAsia" w:ascii="宋体" w:hAnsi="宋体" w:eastAsia="宋体" w:cs="宋体"/>
          <w:color w:val="auto"/>
          <w:sz w:val="24"/>
          <w:highlight w:val="none"/>
        </w:rPr>
        <w:t>。</w:t>
      </w:r>
    </w:p>
    <w:p>
      <w:pPr>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检测项目部建筑面积：</w:t>
      </w:r>
      <w:r>
        <w:rPr>
          <w:rFonts w:hint="eastAsia" w:ascii="宋体" w:hAnsi="宋体" w:eastAsia="宋体" w:cs="宋体"/>
          <w:color w:val="auto"/>
          <w:sz w:val="24"/>
          <w:highlight w:val="none"/>
          <w:lang w:val="en-US" w:eastAsia="zh-CN"/>
        </w:rPr>
        <w:t>/。</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检测项目部设施配备：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本项目检测人员要求表</w:t>
      </w:r>
      <w:r>
        <w:rPr>
          <w:rFonts w:hint="eastAsia" w:ascii="宋体" w:hAnsi="宋体" w:cs="宋体"/>
          <w:color w:val="auto"/>
          <w:kern w:val="2"/>
          <w:sz w:val="24"/>
          <w:szCs w:val="24"/>
          <w:highlight w:val="none"/>
          <w:lang w:val="en-US" w:eastAsia="zh-CN" w:bidi="ar-SA"/>
        </w:rPr>
        <w:t>：</w:t>
      </w:r>
    </w:p>
    <w:tbl>
      <w:tblPr>
        <w:tblStyle w:val="43"/>
        <w:tblW w:w="8978"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851"/>
        <w:gridCol w:w="5298"/>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97"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w:t>
            </w:r>
          </w:p>
        </w:tc>
        <w:tc>
          <w:tcPr>
            <w:tcW w:w="851"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5298"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资格要求</w:t>
            </w:r>
          </w:p>
        </w:tc>
        <w:tc>
          <w:tcPr>
            <w:tcW w:w="1332"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97"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项目负责人</w:t>
            </w:r>
          </w:p>
        </w:tc>
        <w:tc>
          <w:tcPr>
            <w:tcW w:w="7481" w:type="dxa"/>
            <w:gridSpan w:val="3"/>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见资格审查最低要求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7"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技术负责人</w:t>
            </w:r>
          </w:p>
        </w:tc>
        <w:tc>
          <w:tcPr>
            <w:tcW w:w="7481" w:type="dxa"/>
            <w:gridSpan w:val="3"/>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见资格审查最低要求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97"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试验检测工程师</w:t>
            </w:r>
          </w:p>
        </w:tc>
        <w:tc>
          <w:tcPr>
            <w:tcW w:w="851"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298" w:type="dxa"/>
            <w:noWrap w:val="0"/>
            <w:vAlign w:val="center"/>
          </w:tcPr>
          <w:p>
            <w:pPr>
              <w:pageBreakBefore w:val="0"/>
              <w:kinsoku/>
              <w:wordWrap/>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具有工程师及以上职称，且有交通运输部颁发的试验检测工程师证书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隧道</w:t>
            </w:r>
            <w:r>
              <w:rPr>
                <w:rFonts w:hint="eastAsia" w:ascii="宋体" w:hAnsi="宋体" w:eastAsia="宋体" w:cs="宋体"/>
                <w:bCs/>
                <w:color w:val="auto"/>
                <w:sz w:val="21"/>
                <w:szCs w:val="21"/>
                <w:highlight w:val="none"/>
                <w:lang w:eastAsia="zh-CN"/>
              </w:rPr>
              <w:t>专业</w:t>
            </w:r>
            <w:r>
              <w:rPr>
                <w:rFonts w:hint="eastAsia" w:ascii="宋体" w:hAnsi="宋体" w:eastAsia="宋体" w:cs="宋体"/>
                <w:bCs/>
                <w:color w:val="auto"/>
                <w:sz w:val="21"/>
                <w:szCs w:val="21"/>
                <w:highlight w:val="none"/>
              </w:rPr>
              <w:t>）或交通运输部职业资格中心颁发的公路水运工程试验检测师证书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桥梁隧道工程专业</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资格，年龄60周岁及以下，根据交通运输部最新公布的试验检测人员信用评价结果，检测工程师个人扣分在 40 分以下。</w:t>
            </w:r>
          </w:p>
        </w:tc>
        <w:tc>
          <w:tcPr>
            <w:tcW w:w="1332"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97"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试验检测员</w:t>
            </w:r>
          </w:p>
        </w:tc>
        <w:tc>
          <w:tcPr>
            <w:tcW w:w="851"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298" w:type="dxa"/>
            <w:noWrap w:val="0"/>
            <w:vAlign w:val="center"/>
          </w:tcPr>
          <w:p>
            <w:pPr>
              <w:pageBreakBefore w:val="0"/>
              <w:kinsoku/>
              <w:wordWrap/>
              <w:bidi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具有初级及以上技术职称，持有公路工程试验检测员证书</w:t>
            </w:r>
            <w:r>
              <w:rPr>
                <w:rFonts w:hint="eastAsia" w:ascii="宋体" w:hAnsi="宋体" w:cs="宋体"/>
                <w:bCs/>
                <w:color w:val="auto"/>
                <w:sz w:val="21"/>
                <w:szCs w:val="21"/>
                <w:highlight w:val="none"/>
                <w:lang w:eastAsia="zh-CN"/>
              </w:rPr>
              <w:t>（隧道专业）</w:t>
            </w:r>
            <w:r>
              <w:rPr>
                <w:rFonts w:hint="eastAsia" w:ascii="宋体" w:hAnsi="宋体" w:eastAsia="宋体" w:cs="宋体"/>
                <w:bCs/>
                <w:color w:val="auto"/>
                <w:sz w:val="21"/>
                <w:szCs w:val="21"/>
                <w:highlight w:val="none"/>
              </w:rPr>
              <w:t>或公路水运工程试验助理检测工程师证书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桥梁隧道工程专业</w:t>
            </w:r>
            <w:r>
              <w:rPr>
                <w:rFonts w:hint="eastAsia" w:ascii="宋体" w:hAnsi="宋体" w:cs="宋体"/>
                <w:bCs/>
                <w:color w:val="auto"/>
                <w:sz w:val="21"/>
                <w:szCs w:val="21"/>
                <w:highlight w:val="none"/>
                <w:lang w:eastAsia="zh-CN"/>
              </w:rPr>
              <w:t>）</w:t>
            </w:r>
          </w:p>
        </w:tc>
        <w:tc>
          <w:tcPr>
            <w:tcW w:w="1332" w:type="dxa"/>
            <w:noWrap w:val="0"/>
            <w:vAlign w:val="center"/>
          </w:tcPr>
          <w:p>
            <w:pPr>
              <w:widowControl w:val="0"/>
              <w:spacing w:line="420" w:lineRule="exact"/>
              <w:jc w:val="center"/>
              <w:rPr>
                <w:rFonts w:hint="eastAsia" w:ascii="宋体" w:hAnsi="宋体" w:eastAsia="宋体" w:cs="宋体"/>
                <w:color w:val="auto"/>
                <w:kern w:val="2"/>
                <w:sz w:val="21"/>
                <w:szCs w:val="21"/>
                <w:highlight w:val="none"/>
                <w:lang w:val="en-US" w:eastAsia="zh-CN" w:bidi="ar-SA"/>
              </w:rPr>
            </w:pPr>
          </w:p>
        </w:tc>
      </w:tr>
    </w:tbl>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2.1.2  服务范围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2.1.2.1  试验检测服务的工程范围：本次</w:t>
      </w:r>
      <w:r>
        <w:rPr>
          <w:rFonts w:hint="eastAsia" w:ascii="宋体" w:hAnsi="宋体" w:cs="宋体"/>
          <w:color w:val="auto"/>
          <w:kern w:val="0"/>
          <w:highlight w:val="none"/>
          <w:lang w:eastAsia="zh-CN"/>
        </w:rPr>
        <w:t>隧道施工监控量测</w:t>
      </w:r>
      <w:r>
        <w:rPr>
          <w:rFonts w:hint="eastAsia" w:ascii="宋体" w:hAnsi="宋体" w:eastAsia="宋体" w:cs="宋体"/>
          <w:color w:val="auto"/>
          <w:kern w:val="0"/>
          <w:highlight w:val="none"/>
        </w:rPr>
        <w:t>设1个标段为</w:t>
      </w:r>
      <w:r>
        <w:rPr>
          <w:rFonts w:hint="eastAsia" w:ascii="宋体" w:hAnsi="宋体" w:cs="宋体"/>
          <w:color w:val="auto"/>
          <w:kern w:val="0"/>
          <w:highlight w:val="none"/>
          <w:lang w:eastAsia="zh-CN"/>
        </w:rPr>
        <w:t>第JKLC01标段</w:t>
      </w:r>
      <w:r>
        <w:rPr>
          <w:rFonts w:hint="eastAsia" w:ascii="宋体" w:hAnsi="宋体" w:eastAsia="宋体" w:cs="宋体"/>
          <w:color w:val="auto"/>
          <w:kern w:val="0"/>
          <w:highlight w:val="none"/>
        </w:rPr>
        <w:t>，主要服务内容：淳安县郑鸠线云岭隧道提升工程</w:t>
      </w:r>
      <w:r>
        <w:rPr>
          <w:rFonts w:hint="eastAsia" w:ascii="宋体" w:hAnsi="宋体" w:cs="宋体"/>
          <w:color w:val="auto"/>
          <w:kern w:val="0"/>
          <w:highlight w:val="none"/>
          <w:lang w:eastAsia="zh-CN"/>
        </w:rPr>
        <w:t>隧道施工监控量测</w:t>
      </w:r>
      <w:r>
        <w:rPr>
          <w:rFonts w:hint="eastAsia" w:ascii="宋体" w:hAnsi="宋体" w:eastAsia="宋体" w:cs="宋体"/>
          <w:color w:val="auto"/>
          <w:kern w:val="0"/>
          <w:highlight w:val="none"/>
        </w:rPr>
        <w:t>等工作，出具调查及检测报告。具体检测内容详见报价清单表。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2.1.4  服务要求</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 检测人应本着严格试验检测、一丝不苟的原则，以</w:t>
      </w:r>
      <w:r>
        <w:rPr>
          <w:rFonts w:hint="eastAsia" w:ascii="宋体" w:hAnsi="宋体" w:cs="宋体"/>
          <w:color w:val="auto"/>
          <w:kern w:val="0"/>
          <w:highlight w:val="none"/>
          <w:lang w:eastAsia="zh-CN"/>
        </w:rPr>
        <w:t>隧道施工监控量测</w:t>
      </w:r>
      <w:r>
        <w:rPr>
          <w:rFonts w:hint="eastAsia" w:ascii="宋体" w:hAnsi="宋体" w:eastAsia="宋体" w:cs="宋体"/>
          <w:color w:val="auto"/>
          <w:kern w:val="0"/>
          <w:highlight w:val="none"/>
        </w:rPr>
        <w:t>合同文件及相关资料为依据，独立、公正地开展</w:t>
      </w:r>
      <w:r>
        <w:rPr>
          <w:rFonts w:hint="eastAsia" w:ascii="宋体" w:hAnsi="宋体" w:cs="宋体"/>
          <w:color w:val="auto"/>
          <w:kern w:val="0"/>
          <w:highlight w:val="none"/>
          <w:lang w:eastAsia="zh-CN"/>
        </w:rPr>
        <w:t>隧道施工监控量测</w:t>
      </w:r>
      <w:r>
        <w:rPr>
          <w:rFonts w:hint="eastAsia" w:ascii="宋体" w:hAnsi="宋体" w:eastAsia="宋体" w:cs="宋体"/>
          <w:color w:val="auto"/>
          <w:kern w:val="0"/>
          <w:highlight w:val="none"/>
        </w:rPr>
        <w:t>工作，保证试验检测数据客观、公正、准确。</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 建立完善、有效的质量保证体系，并按照有关规定对仪器设备进行正常维护，定期检定或校准。</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 建立健全档案管理制度，</w:t>
      </w:r>
      <w:r>
        <w:rPr>
          <w:rFonts w:hint="eastAsia" w:ascii="宋体" w:hAnsi="宋体" w:eastAsia="宋体" w:cs="宋体"/>
          <w:color w:val="auto"/>
          <w:kern w:val="0"/>
          <w:highlight w:val="none"/>
          <w:lang w:eastAsia="zh-CN"/>
        </w:rPr>
        <w:t>试验</w:t>
      </w:r>
      <w:r>
        <w:rPr>
          <w:rFonts w:hint="eastAsia" w:ascii="宋体" w:hAnsi="宋体" w:eastAsia="宋体" w:cs="宋体"/>
          <w:color w:val="auto"/>
          <w:kern w:val="0"/>
          <w:highlight w:val="none"/>
        </w:rPr>
        <w:t>检测资料及时整理和归档，保证档案齐备，原始记录和试验检测报告内容真实、完整、规范。</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 检测人应对试验</w:t>
      </w:r>
      <w:r>
        <w:rPr>
          <w:rFonts w:hint="eastAsia" w:ascii="宋体" w:hAnsi="宋体" w:eastAsia="宋体" w:cs="宋体"/>
          <w:color w:val="auto"/>
          <w:kern w:val="0"/>
          <w:highlight w:val="none"/>
          <w:lang w:eastAsia="zh-CN"/>
        </w:rPr>
        <w:t>检测</w:t>
      </w:r>
      <w:r>
        <w:rPr>
          <w:rFonts w:hint="eastAsia" w:ascii="宋体" w:hAnsi="宋体" w:eastAsia="宋体" w:cs="宋体"/>
          <w:color w:val="auto"/>
          <w:kern w:val="0"/>
          <w:highlight w:val="none"/>
        </w:rPr>
        <w:t>数据的真实性负责。</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 建立报告不合格</w:t>
      </w:r>
      <w:r>
        <w:rPr>
          <w:rFonts w:hint="eastAsia" w:ascii="宋体" w:hAnsi="宋体" w:cs="宋体"/>
          <w:color w:val="auto"/>
          <w:kern w:val="0"/>
          <w:highlight w:val="none"/>
          <w:lang w:val="en-US" w:eastAsia="zh-CN"/>
        </w:rPr>
        <w:t>台账</w:t>
      </w:r>
      <w:r>
        <w:rPr>
          <w:rFonts w:hint="eastAsia" w:ascii="宋体" w:hAnsi="宋体" w:eastAsia="宋体" w:cs="宋体"/>
          <w:color w:val="auto"/>
          <w:kern w:val="0"/>
          <w:highlight w:val="none"/>
          <w:lang w:val="en-US" w:eastAsia="zh-CN"/>
        </w:rPr>
        <w:t>，并及时向发包人和项目主管工程管理机构报告。</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rPr>
        <w:t>) 检测人应在签订合同后</w:t>
      </w:r>
      <w:r>
        <w:rPr>
          <w:rFonts w:hint="eastAsia" w:ascii="宋体" w:hAnsi="宋体" w:cs="宋体"/>
          <w:color w:val="auto"/>
          <w:kern w:val="0"/>
          <w:highlight w:val="none"/>
          <w:lang w:val="en-US" w:eastAsia="zh-CN"/>
        </w:rPr>
        <w:t>15</w:t>
      </w:r>
      <w:r>
        <w:rPr>
          <w:rFonts w:hint="eastAsia" w:ascii="宋体" w:hAnsi="宋体" w:eastAsia="宋体" w:cs="宋体"/>
          <w:color w:val="auto"/>
          <w:kern w:val="0"/>
          <w:highlight w:val="none"/>
        </w:rPr>
        <w:t>天内向发包人提交实施性试验检测方案计划，发包人接到方案后</w:t>
      </w:r>
      <w:r>
        <w:rPr>
          <w:rFonts w:hint="eastAsia" w:ascii="宋体" w:hAnsi="宋体" w:cs="宋体"/>
          <w:color w:val="auto"/>
          <w:kern w:val="0"/>
          <w:highlight w:val="none"/>
          <w:lang w:val="en-US" w:eastAsia="zh-CN"/>
        </w:rPr>
        <w:t>5</w:t>
      </w:r>
      <w:r>
        <w:rPr>
          <w:rFonts w:hint="eastAsia" w:ascii="宋体" w:hAnsi="宋体" w:eastAsia="宋体" w:cs="宋体"/>
          <w:color w:val="auto"/>
          <w:kern w:val="0"/>
          <w:highlight w:val="none"/>
        </w:rPr>
        <w:t>天内提出审查意见，检测人按照发包人意见修改，经行业主管部门审核备案批准的方案实施。</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eastAsia="宋体" w:cs="宋体"/>
          <w:color w:val="auto"/>
          <w:kern w:val="0"/>
          <w:highlight w:val="none"/>
        </w:rPr>
        <w:t>) 检测人应于试验检测实施后3天内提交</w:t>
      </w:r>
      <w:r>
        <w:rPr>
          <w:rFonts w:hint="eastAsia" w:ascii="宋体" w:hAnsi="宋体" w:eastAsia="宋体" w:cs="宋体"/>
          <w:color w:val="auto"/>
          <w:kern w:val="0"/>
          <w:highlight w:val="none"/>
          <w:lang w:eastAsia="zh-CN"/>
        </w:rPr>
        <w:t>检测路段的</w:t>
      </w:r>
      <w:r>
        <w:rPr>
          <w:rFonts w:hint="eastAsia" w:ascii="宋体" w:hAnsi="宋体" w:eastAsia="宋体" w:cs="宋体"/>
          <w:color w:val="auto"/>
          <w:kern w:val="0"/>
          <w:highlight w:val="none"/>
        </w:rPr>
        <w:t>试验检测结果，并于7天内提供完整的试验检测报告，所有试验检测报告应提供一式4份。同时保留各类数据、报告电子文件并按发包人要求提交。</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项目负责人在项目连续检测过程中每周至少到场1次</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技术负责人每个月驻工地时间应以满足工程检测进展和检测工作需要为前提，并负责检测项目技术指导工作。试验检测工程师、试验检测员在</w:t>
      </w:r>
      <w:r>
        <w:rPr>
          <w:rFonts w:hint="eastAsia" w:ascii="宋体" w:hAnsi="宋体" w:cs="宋体"/>
          <w:color w:val="auto"/>
          <w:kern w:val="0"/>
          <w:highlight w:val="none"/>
          <w:lang w:eastAsia="zh-CN"/>
        </w:rPr>
        <w:t>竣（</w:t>
      </w:r>
      <w:r>
        <w:rPr>
          <w:rFonts w:hint="eastAsia" w:ascii="宋体" w:hAnsi="宋体" w:eastAsia="宋体" w:cs="宋体"/>
          <w:color w:val="auto"/>
          <w:kern w:val="0"/>
          <w:highlight w:val="none"/>
        </w:rPr>
        <w:t>交</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工验收质量评定前，每个月驻工地时间应不少于法定工作日数</w:t>
      </w:r>
      <w:r>
        <w:rPr>
          <w:rFonts w:hint="eastAsia" w:ascii="宋体" w:hAnsi="宋体" w:cs="宋体"/>
          <w:color w:val="auto"/>
          <w:kern w:val="0"/>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9）</w:t>
      </w:r>
      <w:r>
        <w:rPr>
          <w:rFonts w:hint="eastAsia" w:ascii="宋体" w:hAnsi="宋体" w:eastAsia="宋体" w:cs="宋体"/>
          <w:color w:val="auto"/>
          <w:kern w:val="0"/>
          <w:highlight w:val="none"/>
        </w:rPr>
        <w:t>检测人应做好检测过程中的安全措施，并为检测人员办理必要的保险。</w:t>
      </w:r>
    </w:p>
    <w:p>
      <w:pPr>
        <w:autoSpaceDE w:val="0"/>
        <w:autoSpaceDN w:val="0"/>
        <w:adjustRightInd w:val="0"/>
        <w:spacing w:line="360" w:lineRule="auto"/>
        <w:ind w:firstLine="420" w:firstLineChars="200"/>
        <w:jc w:val="left"/>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（10）检测过程中发生异常情况、关键部位检测结果有异常或不合格，判定影响结构安全的，检测人应在1小时内及时告知发包人（及建设单位），并在72小时内提交书面正式报告；</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11）</w:t>
      </w:r>
      <w:r>
        <w:rPr>
          <w:rFonts w:hint="eastAsia" w:ascii="宋体" w:hAnsi="宋体" w:eastAsia="宋体" w:cs="宋体"/>
          <w:color w:val="auto"/>
          <w:kern w:val="0"/>
          <w:highlight w:val="none"/>
        </w:rPr>
        <w:t>应发包人</w:t>
      </w:r>
      <w:r>
        <w:rPr>
          <w:rFonts w:hint="eastAsia" w:ascii="宋体" w:hAnsi="宋体" w:cs="宋体"/>
          <w:color w:val="auto"/>
          <w:kern w:val="0"/>
          <w:highlight w:val="none"/>
          <w:lang w:eastAsia="zh-CN"/>
        </w:rPr>
        <w:t>或监理人</w:t>
      </w:r>
      <w:r>
        <w:rPr>
          <w:rFonts w:hint="eastAsia" w:ascii="宋体" w:hAnsi="宋体" w:eastAsia="宋体" w:cs="宋体"/>
          <w:color w:val="auto"/>
          <w:kern w:val="0"/>
          <w:highlight w:val="none"/>
        </w:rPr>
        <w:t>的要求实施检测的项目，应在接到发包人</w:t>
      </w:r>
      <w:r>
        <w:rPr>
          <w:rFonts w:hint="eastAsia" w:ascii="宋体" w:hAnsi="宋体" w:cs="宋体"/>
          <w:color w:val="auto"/>
          <w:kern w:val="0"/>
          <w:highlight w:val="none"/>
          <w:lang w:eastAsia="zh-CN"/>
        </w:rPr>
        <w:t>或监理人</w:t>
      </w:r>
      <w:r>
        <w:rPr>
          <w:rFonts w:hint="eastAsia" w:ascii="宋体" w:hAnsi="宋体" w:eastAsia="宋体" w:cs="宋体"/>
          <w:color w:val="auto"/>
          <w:kern w:val="0"/>
          <w:highlight w:val="none"/>
        </w:rPr>
        <w:t>的通知后2日内或根据发包人</w:t>
      </w:r>
      <w:r>
        <w:rPr>
          <w:rFonts w:hint="eastAsia" w:ascii="宋体" w:hAnsi="宋体" w:cs="宋体"/>
          <w:color w:val="auto"/>
          <w:kern w:val="0"/>
          <w:highlight w:val="none"/>
          <w:lang w:eastAsia="zh-CN"/>
        </w:rPr>
        <w:t>或监理人</w:t>
      </w:r>
      <w:r>
        <w:rPr>
          <w:rFonts w:hint="eastAsia" w:ascii="宋体" w:hAnsi="宋体" w:eastAsia="宋体" w:cs="宋体"/>
          <w:color w:val="auto"/>
          <w:kern w:val="0"/>
          <w:highlight w:val="none"/>
        </w:rPr>
        <w:t>通知的时间内</w:t>
      </w:r>
      <w:r>
        <w:rPr>
          <w:rFonts w:hint="eastAsia" w:ascii="宋体" w:hAnsi="宋体" w:cs="宋体"/>
          <w:color w:val="auto"/>
          <w:kern w:val="0"/>
          <w:highlight w:val="none"/>
          <w:lang w:eastAsia="zh-CN"/>
        </w:rPr>
        <w:t>实施</w:t>
      </w:r>
      <w:r>
        <w:rPr>
          <w:rFonts w:hint="eastAsia" w:ascii="宋体" w:hAnsi="宋体" w:eastAsia="宋体" w:cs="宋体"/>
          <w:color w:val="auto"/>
          <w:kern w:val="0"/>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2）</w:t>
      </w:r>
      <w:r>
        <w:rPr>
          <w:rFonts w:hint="eastAsia" w:ascii="宋体" w:hAnsi="宋体" w:eastAsia="宋体" w:cs="宋体"/>
          <w:color w:val="auto"/>
          <w:kern w:val="0"/>
          <w:highlight w:val="none"/>
        </w:rPr>
        <w:t>对属于检测人工程范围内发生的质量缺陷、隐患和事故应按发包人要求进行调查分析，提交分析报告及处置意见。</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检测人应按照批准的实施方案计划并结合工程实际情况及时提交试验检测指令单。</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4）</w:t>
      </w:r>
      <w:r>
        <w:rPr>
          <w:rFonts w:hint="eastAsia" w:ascii="宋体" w:hAnsi="宋体" w:eastAsia="宋体" w:cs="宋体"/>
          <w:color w:val="auto"/>
          <w:kern w:val="0"/>
          <w:highlight w:val="none"/>
        </w:rPr>
        <w:t>试验检测报告（关键工序总结）应按照试验检测结果客观、公正</w:t>
      </w:r>
      <w:r>
        <w:rPr>
          <w:rFonts w:hint="eastAsia" w:ascii="宋体" w:hAnsi="宋体" w:cs="宋体"/>
          <w:color w:val="auto"/>
          <w:kern w:val="0"/>
          <w:highlight w:val="none"/>
          <w:lang w:eastAsia="zh-CN"/>
        </w:rPr>
        <w:t>地</w:t>
      </w:r>
      <w:r>
        <w:rPr>
          <w:rFonts w:hint="eastAsia" w:ascii="宋体" w:hAnsi="宋体" w:eastAsia="宋体" w:cs="宋体"/>
          <w:color w:val="auto"/>
          <w:kern w:val="0"/>
          <w:highlight w:val="none"/>
        </w:rPr>
        <w:t>编写，并按要求提交。</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5）</w:t>
      </w:r>
      <w:r>
        <w:rPr>
          <w:rFonts w:hint="eastAsia" w:ascii="宋体" w:hAnsi="宋体" w:eastAsia="宋体" w:cs="宋体"/>
          <w:color w:val="auto"/>
          <w:kern w:val="0"/>
          <w:highlight w:val="none"/>
        </w:rPr>
        <w:t>根据经发包人批准的实施性试验检测方案配备专业检测设备，保证保量完成检测工作。</w:t>
      </w:r>
    </w:p>
    <w:p>
      <w:pPr>
        <w:autoSpaceDE w:val="0"/>
        <w:autoSpaceDN w:val="0"/>
        <w:adjustRightInd w:val="0"/>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16</w:t>
      </w:r>
      <w:r>
        <w:rPr>
          <w:rFonts w:hint="eastAsia" w:ascii="宋体" w:hAnsi="宋体" w:cs="宋体"/>
          <w:color w:val="auto"/>
          <w:kern w:val="0"/>
          <w:highlight w:val="none"/>
          <w:lang w:eastAsia="zh-CN"/>
        </w:rPr>
        <w:t>）检测人提供的测试元件应具备良好的防震、防冲击波的能力，测试数据应准确可靠，测试元件以及采集、传输、控制的硬件设备应具有足够的安全度、耐久性和实用性。</w:t>
      </w:r>
    </w:p>
    <w:p>
      <w:pPr>
        <w:autoSpaceDE w:val="0"/>
        <w:autoSpaceDN w:val="0"/>
        <w:adjustRightInd w:val="0"/>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17</w:t>
      </w:r>
      <w:r>
        <w:rPr>
          <w:rFonts w:hint="eastAsia" w:ascii="宋体" w:hAnsi="宋体" w:eastAsia="宋体" w:cs="宋体"/>
          <w:color w:val="auto"/>
          <w:kern w:val="0"/>
          <w:highlight w:val="none"/>
          <w:lang w:eastAsia="zh-CN"/>
        </w:rPr>
        <w:t>）</w:t>
      </w:r>
      <w:r>
        <w:rPr>
          <w:rFonts w:hint="eastAsia" w:ascii="宋体" w:hAnsi="宋体" w:cs="宋体"/>
          <w:color w:val="auto"/>
          <w:kern w:val="0"/>
          <w:highlight w:val="none"/>
          <w:lang w:eastAsia="zh-CN"/>
        </w:rPr>
        <w:t>检测人应动态掌握本工程在实施过程中的情况，在监控过程中根据设计和规范制定误差控制限值，发现结果有重大异常或经监控结果分析工程可能存在重大质量缺陷或质量问题时，应当及时报告项目业主、监理人、发包人和主管质监机构，由施工单位组织专题研究处理方案并提出整改意见，经项目业主同意后，监理人监督整改，最后由施工单位实施整改后重新检测。</w:t>
      </w:r>
    </w:p>
    <w:p>
      <w:pPr>
        <w:autoSpaceDE w:val="0"/>
        <w:autoSpaceDN w:val="0"/>
        <w:adjustRightInd w:val="0"/>
        <w:spacing w:line="360" w:lineRule="auto"/>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18</w:t>
      </w:r>
      <w:r>
        <w:rPr>
          <w:rFonts w:hint="eastAsia" w:ascii="宋体" w:hAnsi="宋体" w:cs="宋体"/>
          <w:color w:val="auto"/>
          <w:kern w:val="0"/>
          <w:highlight w:val="none"/>
          <w:lang w:eastAsia="zh-CN"/>
        </w:rPr>
        <w:t>）检测人应当根据实际施工进度和监理人的要求将每日、每周、每月监控工作的进展、监控成果等汇总、分析，按时向项目业主、监理人、发包人提交监控工作报告（周、月报）；及时将监测结果和报告（试验检测周报、月报），建立试验检测专项档案，由专人负责管理，便于查找和使用。</w:t>
      </w:r>
    </w:p>
    <w:p>
      <w:pPr>
        <w:autoSpaceDE w:val="0"/>
        <w:autoSpaceDN w:val="0"/>
        <w:adjustRightInd w:val="0"/>
        <w:spacing w:line="360" w:lineRule="auto"/>
        <w:ind w:firstLine="420" w:firstLineChars="20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（19）根据相关技术规范、招标文件的要求开展日常施工监控工作，各监测项目必须严格按规范要求进行，确保量测数据真实可靠，并对数据及时进行处理及上传。</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20</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检测人在监控过程中应当结合施工的实际进度、周期、关键工序和难</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重点</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提出动态的监控实施方案，配合、指导承包人抓好</w:t>
      </w:r>
      <w:r>
        <w:rPr>
          <w:rFonts w:hint="eastAsia" w:ascii="宋体" w:hAnsi="宋体" w:cs="宋体"/>
          <w:color w:val="auto"/>
          <w:kern w:val="0"/>
          <w:highlight w:val="none"/>
          <w:lang w:val="en-US" w:eastAsia="zh-CN"/>
        </w:rPr>
        <w:t>关键工序</w:t>
      </w:r>
      <w:r>
        <w:rPr>
          <w:rFonts w:hint="eastAsia" w:ascii="宋体" w:hAnsi="宋体" w:eastAsia="宋体" w:cs="宋体"/>
          <w:color w:val="auto"/>
          <w:kern w:val="0"/>
          <w:highlight w:val="none"/>
          <w:lang w:val="en-US" w:eastAsia="zh-CN"/>
        </w:rPr>
        <w:t>的施工，以确保施工质量。</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21</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检测人应根据发包人的要求参加工程例会，并对试验检测情况以及相关数据进行分析汇报。</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22</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若发包方有必要进行相关的课题研究，检测机构需进行配合提供相关的资料。</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23</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检测人应根据发包人要求做好信息化建设工作。</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24</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由于部分数据要引用至交竣工质量评定，检测人应邀请竣（交）工检测单位参与检测方案的论证，并按要求做好专项检测资料的收集、整理工作，及时、定期上报发包人。涉及竣（交）工检测的相关内容，检测人应按照竣（交）工检测单位的要求，提供符合规定的竣（交）工验收资料，并统一移交竣（交）工检测单位。</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25</w:t>
      </w:r>
      <w:r>
        <w:rPr>
          <w:rFonts w:hint="eastAsia" w:ascii="宋体" w:hAnsi="宋体" w:cs="宋体"/>
          <w:color w:val="auto"/>
          <w:kern w:val="0"/>
          <w:highlight w:val="none"/>
          <w:lang w:val="en-US" w:eastAsia="zh-CN"/>
        </w:rPr>
        <w:t>）</w:t>
      </w:r>
      <w:r>
        <w:rPr>
          <w:rFonts w:hint="eastAsia" w:ascii="宋体" w:hAnsi="宋体" w:eastAsia="宋体" w:cs="宋体"/>
          <w:color w:val="auto"/>
          <w:kern w:val="0"/>
          <w:highlight w:val="none"/>
          <w:lang w:val="en-US" w:eastAsia="zh-CN"/>
        </w:rPr>
        <w:t>检测人必须遵守有关法律、法规、规章和办法，严格执行公路工程、公路工程强制性技术标准、各类技术规范及《浙江省交通建设工程质量和安全生产管理条例》的相关规定和要求及建设管理单位、发包人根据本项目建设管理需要制定的工程质量管理办法和相关细则。</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2.1.5  发包人对检测人的授权</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发包人对检测人的授权：检测人根据试验检测合同，有权独立履行检测服务内容的职责和权限，以及根据本工程的特点授予检测人的下列权利：</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（1）对施工承包人不配合试验检测工作和拒不执行检测指令的，有权要求监理人责令施工承包人限期改正；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（2）检测人有参加施工承包人或监理人为实施合同工程而组织的有关会议的权力；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（3）发包人认为必要的其他权限。</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2.4试验检测人员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2.4.1  发包人对检测人为本项目配备的检测人员的其他要求： 检测人应根据工程进展情况，按照发包人的要求增加人员投入，满足工程高峰期试验检测工作开展，且所投入人员应具备相应的资格和能力。</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2.4.2  通用条款后补充：</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负责人、技术负责人调换条件以及要求：除因管理原因发生重大质量安全事故不适合再任，因生病住院、终止劳动合同关系（需提供相关部门或单位的证明材料）等无法继续履行合同责任和义务，被责令停止执业、羁押或判刑外，检测人不得提出更换项目负责人、技术负责人。符合上述规定确需更换的，应经发包人同意，且更换后的人员不得低于原交易响应承诺人员所具有的资格和业绩条件。</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2.5  试验检测设备</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应投入交易响应文件中所列的试验检测仪器、设备及设施。尽管检测人已按照交易响应文件所列的试验检测仪器设备投入本项目，若发包人认为投入的仪器设备仍不足以满足试验检测服务的需要而影响了对工程质量及进度的控制时，发包人有权要求检测人增加仪器设备的投入，因此而增加的费用视为已包含在其交易响应报价中，发包人将不另行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2.7保密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本项目、本工程、本试验检测合同有关的资料保密时间为：按国家相关规定。</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3．发包人的义务</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3.1  试验检测工作条件</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发包人应按照试验检测合同约定向检测人提供履行试验检测服务所必需的工作条件。</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3.2  文件和资料</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发包人在试验检测合同生效之日起，且在取得相关文件、资料7日内，向检测人免费提供与本试验检测项目相关资料（复印件）各1套。</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3.3  协助</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无</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3.4  代表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合同签订时由发包人明确。</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3.5  授权通知</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发包人必须将履行试验检测服务的检测人及发包人授予检测人的职责权力，及时用书面形式通知第三方。</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3.6  支付费用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发包人须按合同约定向检测人支付试验检测服务费用。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4．责任和保障</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4.1  试验检测人的违约及赔偿责任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4.1.1.2 检测人配备驻现场办公检测人员或设备的违约情况</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（1）未能按照交易响应文件的承诺配备满足交易文件要求的检测人员或设备；</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（2）虽按照交易响应文件的承诺配备了满足交易文件要求的检测人员，但经发包人确认，配备的检测人员不满足工作需要更换2次以上（不含2次）的；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（3）在发包人规定的时间内未能更换满足发包人要求的检测人员的（发包人根据工程需要要求检测人更换相关人员，且在发包人规定的时间内更换了满足发包人要求的检测人员的情况除外）；</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（4）未经发包人同意擅自更换检测人员或设备。</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（5）检测人主动提出检测人员变更的，经发包人同意变更。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4.1.1.6 检测人的其他违约责任：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（1）自成交开始至检测结束，检测人违约调换项目负责人、技术负责人、检测工程师、其他检测人员的；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（2）试验检测人员不能胜任本职工作或不能按交易文件要求到位的，而检测人又不能按发包人要求及时更换或纠正的；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（3）接到发包人书面检测指令，未按检测方案规定时间到现场检测的</w:t>
      </w:r>
      <w:r>
        <w:rPr>
          <w:rFonts w:hint="eastAsia" w:ascii="宋体" w:hAnsi="宋体" w:cs="宋体"/>
          <w:color w:val="auto"/>
          <w:kern w:val="0"/>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（4）试验检测人员有吃拿卡要</w:t>
      </w:r>
      <w:r>
        <w:rPr>
          <w:rFonts w:hint="eastAsia" w:ascii="宋体" w:hAnsi="宋体" w:cs="宋体"/>
          <w:color w:val="auto"/>
          <w:kern w:val="0"/>
          <w:highlight w:val="none"/>
          <w:lang w:eastAsia="zh-CN"/>
        </w:rPr>
        <w:t>或其他</w:t>
      </w:r>
      <w:r>
        <w:rPr>
          <w:rFonts w:hint="eastAsia" w:ascii="宋体" w:hAnsi="宋体" w:eastAsia="宋体" w:cs="宋体"/>
          <w:color w:val="auto"/>
          <w:kern w:val="0"/>
          <w:highlight w:val="none"/>
        </w:rPr>
        <w:t>不良行为的；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）未按照发包人要求实施检测服务任务或未按合同规定进行检测的，接到发包人或监理人的通知后未能在2日内</w:t>
      </w:r>
      <w:r>
        <w:rPr>
          <w:rFonts w:hint="eastAsia" w:ascii="宋体" w:hAnsi="宋体" w:cs="宋体"/>
          <w:color w:val="auto"/>
          <w:kern w:val="0"/>
          <w:highlight w:val="none"/>
          <w:lang w:eastAsia="zh-CN"/>
        </w:rPr>
        <w:t>实施</w:t>
      </w:r>
      <w:r>
        <w:rPr>
          <w:rFonts w:hint="eastAsia" w:ascii="宋体" w:hAnsi="宋体" w:eastAsia="宋体" w:cs="宋体"/>
          <w:color w:val="auto"/>
          <w:kern w:val="0"/>
          <w:highlight w:val="none"/>
        </w:rPr>
        <w:t>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）检测人违反第5.6.2项的约定，私自将合同的全部或部分权利转让给其他人，或私自将合同的全部或部分义务转移给其他人。</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）检测人未做好检测过程中的安全措施，未按要求为检测人员办理必要的保险的；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）检测人出具检测报告不满足专用合同条款2.1.4（7）规定的；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rPr>
        <w:t>）因检测人原因出具试验检测报告结果滞后而影响</w:t>
      </w:r>
      <w:r>
        <w:rPr>
          <w:rFonts w:hint="eastAsia" w:ascii="宋体" w:hAnsi="宋体" w:eastAsia="宋体" w:cs="宋体"/>
          <w:color w:val="auto"/>
          <w:kern w:val="0"/>
          <w:highlight w:val="none"/>
          <w:lang w:eastAsia="zh-CN"/>
        </w:rPr>
        <w:t>设计</w:t>
      </w:r>
      <w:r>
        <w:rPr>
          <w:rFonts w:hint="eastAsia" w:ascii="宋体" w:hAnsi="宋体" w:eastAsia="宋体" w:cs="宋体"/>
          <w:color w:val="auto"/>
          <w:kern w:val="0"/>
          <w:highlight w:val="none"/>
        </w:rPr>
        <w:t>进度的。</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因检测人违约，发包人对检测人课以违约金的计算方法：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a.有4.1.1.2（1）、（4）任一情形，发包人有权对项目负责人、技术负责人课以每次</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000元的违约金，其他人员每人次课以</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000元的违约金，检测设备每项次课以</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b.有4.1.1.2（2）、（3）任一情形，发包人有权对项目负责人、技术负责人课以每次</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000元的违约金，其他人员每人次课以</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c.有4.1.1.2（5）情形，发包人有权对项目负责人课以每次</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000元的违约金，其他人员每人次课以</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d. 有4.1.1.3情形（造成工程质量、安全事故）的每次课</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0000元的违约金；有4.1.1.3情形（向承包人索贿、谋取私利，或与承包人串通损害发包人利益，给发包人造成损失）每人次课以</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e. 有4.1.1.4情形，每人次课以</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f. 有4.1.1.5情形，每次课以合同价5%的违约金，发生2次及以上的，发包人有权终止合同；</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g. 有4.1.1.6（1）情形，项目负责人、技术负责人每人次课以</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000元的违约金，试验检测工程师每人次课以</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000元的违约金，其他检测人员每人次课以</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h. 有4.1.1.6（2）情形，每人次课以</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i. 有4.1.1.6（3）情形，每次课以</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000元的违约金，且不免除检测人的经济赔偿责任；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j. 有4.1.1.6（4）情形，项目负责人、技术负责人每天课以</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000元违约金，其他人员每人每天课以2000元的违约金；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k. 有4.1.1.6（5）情形，每次课以</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000元的违约金，造成损失的课以不超过签约合同价的2%；</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l. 4.1.1.6（6）情形，每次课以</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m. 有4.1.1.6（7）情形，每次课以</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n. 有4.1.1.6（8）情形，每次课以</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o. 有4.1.1.6（9）情形，每次课以</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0000元的违约金；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违约金在履约担保或支付的检测服务费中扣除（给发包人造成经济损失的，按通用合同条款4.1.2项规定另行承担赔偿责任）。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违反上述约定应承担违约责任，发包人有权向检测人发出书面通知要求其限期改正。当发包人在向检测人发出书面通知的14日内未见纠正后，可以向检测人课以上述条款中约定的违约金，并可在21日内发出第二次通知终止合同。在4.1.1.1目或4.1.1.3目情形时，发包人可直接发出书面通知立即终止合同。</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4.1.2  检测人的违约赔偿责任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检测人违反检测合同的约定并造成发包人的经济损失，应向发包人赔偿，赔偿金应按下式计算：</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赔偿金 = 发包人直接经济损失×检测人应承担责任的比例</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检测人对由于第三方责任造成的任何经济损失，不承担责任。如果检测人与发包人或第三方对有关经济损失共负责任时，应按责任比例计算赔偿。</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检测人的上述责任赔偿经双方确认后在当期计量支付款中予以扣减。</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发包人授权代表：在合同协议书签订时予以明确。</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5．试验检测合同的生效、终止、变更、暂停与解除</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5.4  试验检测合同的变更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5.4.3  因发包人或第三方的责任，阻碍或延误了检测人履行试验检测服务，检测人应及时将该情况与其可能产生的影响书面通知发包人，如有必要，在双方协商一致的基础上对试验检测合同进行相应的变更。上述情况导致增加的试验检测服务工作量或工作时间，其费用按6.2款约定进行调整，检测人完成相应服务的时间亦应予以延长。</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5.4.4发包人对在试验检测合同有效期内因物价变动而导致试验检测服务费增减的补偿不予考虑。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5.4.5在签订本试验检测合同后，因国家或地方法律、法规变动而引起试验检测服务费用的增减不予考虑。</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5.5  试验检测合同的暂停与解除</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5.5.1.1  按6.2款进行调整。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5.5.1.2  按6.2款进行调整。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5.5.1.3  不可抗力的其他情形  无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5.6  转让和分包</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 xml:space="preserve">5.6.2  </w:t>
      </w:r>
      <w:r>
        <w:rPr>
          <w:rFonts w:hint="eastAsia" w:ascii="宋体" w:hAnsi="宋体" w:cs="宋体"/>
          <w:color w:val="auto"/>
          <w:kern w:val="0"/>
          <w:highlight w:val="none"/>
          <w:lang w:eastAsia="zh-CN"/>
        </w:rPr>
        <w:t>不允许分包</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补充第、5.6.9款：</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5.6.9  检测方案须经发包人批准同意后组织实施。</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 试验检测服务的费用与支付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6.1 试验检测服务费用内容</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本条款后补充以下内容：</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检测人因完成本项目检测服务需缴纳的一切税费、管理费、人员设备保险费、安全生产费、检测人驻地建设、交通管制费、检测方案咨询审查费、会务费、现场费用、所有检测设备、交通封道台班费等均由检测人自行承担，并应包含在交易响应报价之中，发包人不单独计量与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6.2  试验检测服务费计费方法</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6.2.2  附加试验检测服务的费用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附加试验检测服务的费用计算方法：</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涉及试验检测内容或项目增减的，已标价的报价清单中有适用于该检测内容或项目单价的，采用该内容或项目单价；已标价的报价清单中无适用于该检测内容或项目单价的，则按照《关于调整交通建设工程质量检测和工程材料试验收费标准的复函》（浙价服[2013]264号）所列收费标准乘以成交价与控制的比值执行；若浙价服[2013]264号文中仍无相关内容可参照的，则双方协商解决。</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（2）涉及检测服务时间增加或减少的，双方协商解决。</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6.2.3 试验检测服务费的调整：按正常试验检测服务费用和附加试验检测服务费用调整。</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  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6.3.1  动员预付款</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本项目不适用。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6.3.2  履约担保</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履约担保金额：2%签约合同价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根据浙江省交通运输厅最近一个周期信用评价结果，信用评价结果为AA等级信用企业为签约合同价的1％，信用评价结果为A等级信用企业为签约合同价的1.5%，未参加信用评价或其他信用等级的企业为签约合同价的2％。 </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以最近一个周期浙江省公路水运试验检测企业信用评价结果为准</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履约担保形式：现金（电汇或银行汇票形式）或银行保函或保险机构保证保险保单或融资担保公司保函。</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若选择银行保函则出具履约担保的银行级别：国有或股份制商业银行县（区、市）级及以上银行。</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若采用保险机构保证保险保单，应具有相应的偿付能力，并经发包人同意。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6.3.4  支付担保</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本项目不适用。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6.3.5  支付方式</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试验检测人于每个月将试验检测服务费支付申请上报发包人，经发包人确认完成后，14日内向检测人予以支付试验检测服务费。</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1</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正常试验检测服务费用按每个月支付一次，检测数量以实际完成并经发包人确认的数量为准；</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2</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附加试验检测服务费用经发包人确认后，按双方约定的支付方式进行支付。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3</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报价清单100章费用，其中安全生产费在总额内按实发生按实支付，其余费用分两次支付。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6.3.6  动员预付款的扣回</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本项目不适用。</w:t>
      </w:r>
    </w:p>
    <w:p>
      <w:pPr>
        <w:autoSpaceDE w:val="0"/>
        <w:autoSpaceDN w:val="0"/>
        <w:adjustRightInd w:val="0"/>
        <w:spacing w:line="360" w:lineRule="auto"/>
        <w:ind w:firstLine="420" w:firstLineChars="20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6.3.7 结算</w:t>
      </w:r>
    </w:p>
    <w:p>
      <w:pPr>
        <w:autoSpaceDE w:val="0"/>
        <w:autoSpaceDN w:val="0"/>
        <w:adjustRightInd w:val="0"/>
        <w:spacing w:line="360" w:lineRule="auto"/>
        <w:ind w:firstLine="420" w:firstLineChars="200"/>
        <w:jc w:val="left"/>
        <w:rPr>
          <w:rFonts w:hint="default" w:ascii="宋体" w:hAnsi="宋体" w:cs="宋体"/>
          <w:color w:val="auto"/>
          <w:kern w:val="0"/>
          <w:highlight w:val="none"/>
          <w:lang w:val="en-US" w:eastAsia="zh-CN"/>
        </w:rPr>
      </w:pPr>
      <w:r>
        <w:rPr>
          <w:rFonts w:hint="default" w:ascii="宋体" w:hAnsi="宋体" w:cs="宋体"/>
          <w:color w:val="auto"/>
          <w:kern w:val="0"/>
          <w:highlight w:val="none"/>
          <w:lang w:val="en-US" w:eastAsia="zh-CN"/>
        </w:rPr>
        <w:t>发包人在检测工作全部完成后，发包人应在收到增值税发票及相关材料</w:t>
      </w:r>
      <w:r>
        <w:rPr>
          <w:rFonts w:hint="eastAsia" w:ascii="宋体" w:hAnsi="宋体" w:cs="宋体"/>
          <w:color w:val="auto"/>
          <w:kern w:val="0"/>
          <w:highlight w:val="none"/>
          <w:lang w:val="en-US" w:eastAsia="zh-CN"/>
        </w:rPr>
        <w:t>确认完成</w:t>
      </w:r>
      <w:r>
        <w:rPr>
          <w:rFonts w:hint="default" w:ascii="宋体" w:hAnsi="宋体" w:cs="宋体"/>
          <w:color w:val="auto"/>
          <w:kern w:val="0"/>
          <w:highlight w:val="none"/>
          <w:lang w:val="en-US" w:eastAsia="zh-CN"/>
        </w:rPr>
        <w:t>后</w:t>
      </w:r>
      <w:r>
        <w:rPr>
          <w:rFonts w:hint="eastAsia" w:ascii="宋体" w:hAnsi="宋体" w:cs="宋体"/>
          <w:color w:val="auto"/>
          <w:kern w:val="0"/>
          <w:highlight w:val="none"/>
          <w:lang w:val="en-US" w:eastAsia="zh-CN"/>
        </w:rPr>
        <w:t>，由施工承包人</w:t>
      </w:r>
      <w:r>
        <w:rPr>
          <w:rFonts w:hint="default" w:ascii="宋体" w:hAnsi="宋体" w:cs="宋体"/>
          <w:color w:val="auto"/>
          <w:kern w:val="0"/>
          <w:highlight w:val="none"/>
          <w:lang w:val="en-US" w:eastAsia="zh-CN"/>
        </w:rPr>
        <w:t>30日内向检测人支付剩余尾款。</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7．其他</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7.3  奖励</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发包人对检测人的额外奖励办法：  无  。</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8．争端的解决</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双方在此约定：对合同执行过程中的争端通过直接协商和谈判未能解决的，当事人任何一方可向杭州仲裁委员会解决。</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9．补充条款</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sectPr>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0"/>
          <w:highlight w:val="none"/>
        </w:rPr>
        <w:t>需补充的其他条款：无</w:t>
      </w:r>
    </w:p>
    <w:p>
      <w:pPr>
        <w:pStyle w:val="3"/>
        <w:spacing w:before="600" w:after="600" w:line="240" w:lineRule="auto"/>
        <w:jc w:val="center"/>
        <w:rPr>
          <w:rFonts w:hint="eastAsia" w:ascii="宋体" w:hAnsi="宋体" w:eastAsia="宋体" w:cs="宋体"/>
          <w:color w:val="auto"/>
          <w:highlight w:val="none"/>
        </w:rPr>
      </w:pPr>
      <w:bookmarkStart w:id="377" w:name="_Toc286830213"/>
      <w:bookmarkStart w:id="378" w:name="_Toc286827104"/>
      <w:bookmarkStart w:id="379" w:name="_Toc3602"/>
      <w:bookmarkStart w:id="380" w:name="_Toc286826657"/>
      <w:r>
        <w:rPr>
          <w:rFonts w:hint="eastAsia" w:ascii="宋体" w:hAnsi="宋体" w:eastAsia="宋体" w:cs="宋体"/>
          <w:color w:val="auto"/>
          <w:sz w:val="36"/>
          <w:szCs w:val="36"/>
          <w:highlight w:val="none"/>
        </w:rPr>
        <w:t>第三节合同附件格式</w:t>
      </w:r>
      <w:bookmarkEnd w:id="377"/>
      <w:bookmarkEnd w:id="378"/>
      <w:bookmarkEnd w:id="379"/>
      <w:bookmarkEnd w:id="380"/>
    </w:p>
    <w:p>
      <w:pPr>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（本格式编排在</w:t>
      </w:r>
      <w:r>
        <w:rPr>
          <w:rFonts w:hint="eastAsia" w:ascii="宋体" w:hAnsi="宋体" w:eastAsia="宋体" w:cs="宋体"/>
          <w:b/>
          <w:color w:val="auto"/>
          <w:sz w:val="24"/>
          <w:highlight w:val="none"/>
          <w:lang w:eastAsia="zh-CN"/>
        </w:rPr>
        <w:t>交易文件</w:t>
      </w:r>
      <w:r>
        <w:rPr>
          <w:rFonts w:hint="eastAsia" w:ascii="宋体" w:hAnsi="宋体" w:eastAsia="宋体" w:cs="宋体"/>
          <w:b/>
          <w:color w:val="auto"/>
          <w:sz w:val="24"/>
          <w:highlight w:val="none"/>
        </w:rPr>
        <w:t>中，供</w:t>
      </w:r>
      <w:r>
        <w:rPr>
          <w:rFonts w:hint="eastAsia" w:ascii="宋体" w:hAnsi="宋体" w:eastAsia="宋体" w:cs="宋体"/>
          <w:b/>
          <w:color w:val="auto"/>
          <w:sz w:val="24"/>
          <w:highlight w:val="none"/>
          <w:lang w:eastAsia="zh-CN"/>
        </w:rPr>
        <w:t>交易响应人</w:t>
      </w:r>
      <w:r>
        <w:rPr>
          <w:rFonts w:hint="eastAsia" w:ascii="宋体" w:hAnsi="宋体" w:eastAsia="宋体" w:cs="宋体"/>
          <w:b/>
          <w:color w:val="auto"/>
          <w:sz w:val="24"/>
          <w:highlight w:val="none"/>
        </w:rPr>
        <w:t>参考，</w:t>
      </w:r>
      <w:r>
        <w:rPr>
          <w:rFonts w:hint="eastAsia" w:ascii="宋体" w:hAnsi="宋体" w:cs="宋体"/>
          <w:b/>
          <w:color w:val="auto"/>
          <w:sz w:val="24"/>
          <w:highlight w:val="none"/>
          <w:lang w:eastAsia="zh-CN"/>
        </w:rPr>
        <w:t>交易响应</w:t>
      </w:r>
      <w:r>
        <w:rPr>
          <w:rFonts w:hint="eastAsia" w:ascii="宋体" w:hAnsi="宋体" w:eastAsia="宋体" w:cs="宋体"/>
          <w:b/>
          <w:color w:val="auto"/>
          <w:sz w:val="24"/>
          <w:highlight w:val="none"/>
        </w:rPr>
        <w:t>时不需填写）</w:t>
      </w:r>
    </w:p>
    <w:p>
      <w:pPr>
        <w:spacing w:line="400" w:lineRule="exact"/>
        <w:rPr>
          <w:rFonts w:hint="eastAsia" w:ascii="宋体" w:hAnsi="宋体" w:eastAsia="宋体" w:cs="宋体"/>
          <w:color w:val="auto"/>
          <w:highlight w:val="none"/>
        </w:rPr>
      </w:pPr>
    </w:p>
    <w:p>
      <w:pPr>
        <w:autoSpaceDE w:val="0"/>
        <w:autoSpaceDN w:val="0"/>
        <w:adjustRightInd w:val="0"/>
        <w:spacing w:line="360" w:lineRule="auto"/>
        <w:jc w:val="left"/>
        <w:rPr>
          <w:rFonts w:hint="eastAsia" w:ascii="宋体" w:hAnsi="宋体" w:eastAsia="宋体" w:cs="宋体"/>
          <w:color w:val="auto"/>
          <w:kern w:val="0"/>
          <w:highlight w:val="none"/>
        </w:rPr>
      </w:pPr>
    </w:p>
    <w:p>
      <w:pPr>
        <w:autoSpaceDE w:val="0"/>
        <w:autoSpaceDN w:val="0"/>
        <w:adjustRightInd w:val="0"/>
        <w:spacing w:line="360" w:lineRule="auto"/>
        <w:jc w:val="left"/>
        <w:rPr>
          <w:rFonts w:hint="eastAsia" w:ascii="宋体" w:hAnsi="宋体" w:eastAsia="宋体" w:cs="宋体"/>
          <w:color w:val="auto"/>
          <w:kern w:val="0"/>
          <w:highlight w:val="none"/>
        </w:rPr>
      </w:pPr>
    </w:p>
    <w:p>
      <w:pPr>
        <w:pStyle w:val="72"/>
        <w:outlineLvl w:val="1"/>
        <w:rPr>
          <w:rFonts w:hint="eastAsia" w:ascii="宋体" w:hAnsi="宋体" w:eastAsia="宋体" w:cs="宋体"/>
          <w:color w:val="auto"/>
          <w:highlight w:val="none"/>
        </w:rPr>
      </w:pPr>
      <w:r>
        <w:rPr>
          <w:rFonts w:hint="eastAsia" w:ascii="宋体" w:hAnsi="宋体" w:eastAsia="宋体" w:cs="宋体"/>
          <w:color w:val="auto"/>
          <w:kern w:val="0"/>
          <w:highlight w:val="none"/>
        </w:rPr>
        <w:br w:type="page"/>
      </w:r>
      <w:bookmarkStart w:id="381" w:name="_Toc6812"/>
      <w:r>
        <w:rPr>
          <w:rFonts w:hint="eastAsia" w:ascii="宋体" w:hAnsi="宋体" w:eastAsia="宋体" w:cs="宋体"/>
          <w:color w:val="auto"/>
          <w:highlight w:val="none"/>
        </w:rPr>
        <w:t>附件一：合同协议书格式</w:t>
      </w:r>
      <w:bookmarkEnd w:id="381"/>
    </w:p>
    <w:p>
      <w:pPr>
        <w:autoSpaceDE w:val="0"/>
        <w:autoSpaceDN w:val="0"/>
        <w:adjustRightInd w:val="0"/>
        <w:spacing w:line="360" w:lineRule="auto"/>
        <w:jc w:val="left"/>
        <w:rPr>
          <w:rFonts w:hint="eastAsia" w:ascii="宋体" w:hAnsi="宋体" w:eastAsia="宋体" w:cs="宋体"/>
          <w:color w:val="auto"/>
          <w:kern w:val="0"/>
          <w:highlight w:val="none"/>
        </w:rPr>
      </w:pPr>
    </w:p>
    <w:p>
      <w:pPr>
        <w:spacing w:line="360" w:lineRule="auto"/>
        <w:jc w:val="center"/>
        <w:rPr>
          <w:rFonts w:hint="eastAsia" w:ascii="宋体" w:hAnsi="宋体" w:eastAsia="宋体" w:cs="宋体"/>
          <w:color w:val="auto"/>
          <w:kern w:val="0"/>
          <w:highlight w:val="none"/>
          <w:u w:val="single"/>
        </w:rPr>
      </w:pPr>
      <w:r>
        <w:rPr>
          <w:rFonts w:hint="eastAsia" w:ascii="宋体" w:hAnsi="宋体" w:eastAsia="宋体" w:cs="宋体"/>
          <w:color w:val="auto"/>
          <w:sz w:val="36"/>
          <w:szCs w:val="36"/>
          <w:highlight w:val="none"/>
        </w:rPr>
        <w:t>合同协议书</w:t>
      </w:r>
    </w:p>
    <w:p>
      <w:pPr>
        <w:snapToGrid w:val="0"/>
        <w:spacing w:line="400" w:lineRule="atLeast"/>
        <w:ind w:firstLine="420" w:firstLineChars="200"/>
        <w:rPr>
          <w:rFonts w:hint="eastAsia" w:ascii="宋体" w:hAnsi="宋体" w:eastAsia="宋体" w:cs="宋体"/>
          <w:color w:val="auto"/>
          <w:highlight w:val="none"/>
        </w:rPr>
      </w:pP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本协议书由</w:t>
      </w:r>
      <w:r>
        <w:rPr>
          <w:rFonts w:hint="eastAsia" w:ascii="宋体" w:hAnsi="宋体" w:eastAsia="宋体" w:cs="宋体"/>
          <w:color w:val="auto"/>
          <w:highlight w:val="none"/>
          <w:u w:val="single"/>
        </w:rPr>
        <w:t>（发包人全称）</w:t>
      </w:r>
      <w:r>
        <w:rPr>
          <w:rFonts w:hint="eastAsia" w:ascii="宋体" w:hAnsi="宋体" w:eastAsia="宋体" w:cs="宋体"/>
          <w:color w:val="auto"/>
          <w:highlight w:val="none"/>
        </w:rPr>
        <w:t>（下称“发包人”）为一方，与</w:t>
      </w:r>
      <w:r>
        <w:rPr>
          <w:rFonts w:hint="eastAsia" w:ascii="宋体" w:hAnsi="宋体" w:eastAsia="宋体" w:cs="宋体"/>
          <w:color w:val="auto"/>
          <w:highlight w:val="none"/>
          <w:u w:val="single"/>
        </w:rPr>
        <w:t>（检测人全称）</w:t>
      </w:r>
      <w:r>
        <w:rPr>
          <w:rFonts w:hint="eastAsia" w:ascii="宋体" w:hAnsi="宋体" w:eastAsia="宋体" w:cs="宋体"/>
          <w:color w:val="auto"/>
          <w:highlight w:val="none"/>
        </w:rPr>
        <w:t>（下称“检测人”）为另一方于______年____月____日共同订立。</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鉴于发包人已通过</w:t>
      </w:r>
      <w:r>
        <w:rPr>
          <w:rFonts w:hint="eastAsia" w:ascii="宋体" w:hAnsi="宋体" w:cs="宋体"/>
          <w:color w:val="auto"/>
          <w:highlight w:val="none"/>
          <w:lang w:eastAsia="zh-CN"/>
        </w:rPr>
        <w:t>交易</w:t>
      </w:r>
      <w:r>
        <w:rPr>
          <w:rFonts w:hint="eastAsia" w:ascii="宋体" w:hAnsi="宋体" w:eastAsia="宋体" w:cs="宋体"/>
          <w:color w:val="auto"/>
          <w:highlight w:val="none"/>
        </w:rPr>
        <w:t>确定检测人为</w:t>
      </w:r>
      <w:r>
        <w:rPr>
          <w:rFonts w:hint="eastAsia" w:ascii="宋体" w:hAnsi="宋体" w:eastAsia="宋体" w:cs="宋体"/>
          <w:color w:val="auto"/>
          <w:szCs w:val="21"/>
          <w:highlight w:val="none"/>
        </w:rPr>
        <w:t>_______（项目名称）标段</w:t>
      </w:r>
      <w:r>
        <w:rPr>
          <w:rFonts w:hint="eastAsia" w:ascii="宋体" w:hAnsi="宋体" w:eastAsia="宋体" w:cs="宋体"/>
          <w:color w:val="auto"/>
          <w:highlight w:val="none"/>
        </w:rPr>
        <w:t>试验检测标段提供试验检测服务，主要试验检测服务内容：</w:t>
      </w:r>
      <w:r>
        <w:rPr>
          <w:rFonts w:hint="eastAsia" w:ascii="宋体" w:hAnsi="宋体" w:eastAsia="宋体" w:cs="宋体"/>
          <w:color w:val="auto"/>
          <w:szCs w:val="21"/>
          <w:highlight w:val="none"/>
        </w:rPr>
        <w:t>_______</w:t>
      </w:r>
      <w:r>
        <w:rPr>
          <w:rFonts w:hint="eastAsia" w:ascii="宋体" w:hAnsi="宋体" w:eastAsia="宋体" w:cs="宋体"/>
          <w:color w:val="auto"/>
          <w:highlight w:val="none"/>
        </w:rPr>
        <w:t>。并已接受了检测人就此提交的</w:t>
      </w:r>
      <w:r>
        <w:rPr>
          <w:rFonts w:hint="eastAsia" w:ascii="宋体" w:hAnsi="宋体" w:eastAsia="宋体" w:cs="宋体"/>
          <w:color w:val="auto"/>
          <w:highlight w:val="none"/>
          <w:lang w:eastAsia="zh-CN"/>
        </w:rPr>
        <w:t>交易响应文件</w:t>
      </w:r>
      <w:r>
        <w:rPr>
          <w:rFonts w:hint="eastAsia" w:ascii="宋体" w:hAnsi="宋体" w:eastAsia="宋体" w:cs="宋体"/>
          <w:color w:val="auto"/>
          <w:highlight w:val="none"/>
        </w:rPr>
        <w:t>，为明确双方在合同期间的义务、责任、</w:t>
      </w:r>
      <w:r>
        <w:rPr>
          <w:rFonts w:hint="eastAsia" w:ascii="宋体" w:hAnsi="宋体" w:cs="宋体"/>
          <w:color w:val="auto"/>
          <w:highlight w:val="none"/>
          <w:lang w:eastAsia="zh-CN"/>
        </w:rPr>
        <w:t>权力和利益</w:t>
      </w:r>
      <w:r>
        <w:rPr>
          <w:rFonts w:hint="eastAsia" w:ascii="宋体" w:hAnsi="宋体" w:eastAsia="宋体" w:cs="宋体"/>
          <w:color w:val="auto"/>
          <w:highlight w:val="none"/>
        </w:rPr>
        <w:t>，兹就以下事项达成协议：</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1.本协议书中的词句和用语与合同条款所规定的定义相同。</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2.下列文件是本协议书的组成部分，应作为协议书的有效内容予以遵守和执行。组成合同的各个文件按以下次序，以在先者为准。</w:t>
      </w:r>
    </w:p>
    <w:p>
      <w:pPr>
        <w:snapToGrid w:val="0"/>
        <w:spacing w:line="400" w:lineRule="atLeast"/>
        <w:ind w:left="1260" w:hanging="420"/>
        <w:rPr>
          <w:rFonts w:hint="eastAsia" w:ascii="宋体" w:hAnsi="宋体" w:eastAsia="宋体" w:cs="宋体"/>
          <w:color w:val="auto"/>
          <w:highlight w:val="none"/>
        </w:rPr>
      </w:pPr>
      <w:r>
        <w:rPr>
          <w:rFonts w:hint="eastAsia" w:ascii="宋体" w:hAnsi="宋体" w:eastAsia="宋体" w:cs="宋体"/>
          <w:color w:val="auto"/>
          <w:highlight w:val="none"/>
        </w:rPr>
        <w:t>(1) 本合同协议书及附件（含廉政合同、安全生产合同及合同谈判中澄清文件和补充资料）；</w:t>
      </w:r>
    </w:p>
    <w:p>
      <w:pPr>
        <w:snapToGrid w:val="0"/>
        <w:spacing w:line="400" w:lineRule="atLeast"/>
        <w:ind w:left="1260" w:hanging="420"/>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成交通知书</w:t>
      </w:r>
      <w:r>
        <w:rPr>
          <w:rFonts w:hint="eastAsia" w:ascii="宋体" w:hAnsi="宋体" w:eastAsia="宋体" w:cs="宋体"/>
          <w:color w:val="auto"/>
          <w:highlight w:val="none"/>
        </w:rPr>
        <w:t>；</w:t>
      </w:r>
    </w:p>
    <w:p>
      <w:pPr>
        <w:snapToGrid w:val="0"/>
        <w:spacing w:line="400" w:lineRule="atLeast"/>
        <w:ind w:left="1260" w:hanging="420"/>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highlight w:val="none"/>
          <w:lang w:eastAsia="zh-CN"/>
        </w:rPr>
        <w:t>交易响应函</w:t>
      </w:r>
      <w:r>
        <w:rPr>
          <w:rFonts w:hint="eastAsia" w:ascii="宋体" w:hAnsi="宋体" w:eastAsia="宋体" w:cs="宋体"/>
          <w:color w:val="auto"/>
          <w:highlight w:val="none"/>
        </w:rPr>
        <w:t>；</w:t>
      </w:r>
    </w:p>
    <w:p>
      <w:pPr>
        <w:snapToGrid w:val="0"/>
        <w:spacing w:line="400" w:lineRule="atLeast"/>
        <w:ind w:left="1260" w:hanging="420"/>
        <w:rPr>
          <w:rFonts w:hint="eastAsia" w:ascii="宋体" w:hAnsi="宋体" w:eastAsia="宋体" w:cs="宋体"/>
          <w:color w:val="auto"/>
          <w:highlight w:val="none"/>
        </w:rPr>
      </w:pPr>
      <w:r>
        <w:rPr>
          <w:rFonts w:hint="eastAsia" w:ascii="宋体" w:hAnsi="宋体" w:eastAsia="宋体" w:cs="宋体"/>
          <w:color w:val="auto"/>
          <w:highlight w:val="none"/>
        </w:rPr>
        <w:t>(4) 专用合同条款（含</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补遗书中与此有关的部分）；</w:t>
      </w:r>
    </w:p>
    <w:p>
      <w:pPr>
        <w:snapToGrid w:val="0"/>
        <w:spacing w:line="400" w:lineRule="atLeast"/>
        <w:ind w:left="1260" w:hanging="420"/>
        <w:rPr>
          <w:rFonts w:hint="eastAsia" w:ascii="宋体" w:hAnsi="宋体" w:eastAsia="宋体" w:cs="宋体"/>
          <w:color w:val="auto"/>
          <w:highlight w:val="none"/>
        </w:rPr>
      </w:pPr>
      <w:r>
        <w:rPr>
          <w:rFonts w:hint="eastAsia" w:ascii="宋体" w:hAnsi="宋体" w:eastAsia="宋体" w:cs="宋体"/>
          <w:color w:val="auto"/>
          <w:highlight w:val="none"/>
        </w:rPr>
        <w:t>(5) 通用合同条款；</w:t>
      </w:r>
    </w:p>
    <w:p>
      <w:pPr>
        <w:snapToGrid w:val="0"/>
        <w:spacing w:line="400" w:lineRule="atLeast"/>
        <w:ind w:left="1260" w:hanging="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6</w:t>
      </w:r>
      <w:r>
        <w:rPr>
          <w:rFonts w:hint="eastAsia" w:ascii="宋体" w:hAnsi="宋体" w:cs="宋体"/>
          <w:color w:val="auto"/>
          <w:highlight w:val="none"/>
          <w:lang w:eastAsia="zh-CN"/>
        </w:rPr>
        <w:t>）</w:t>
      </w:r>
      <w:r>
        <w:rPr>
          <w:rFonts w:hint="eastAsia" w:ascii="宋体" w:hAnsi="宋体" w:eastAsia="宋体" w:cs="宋体"/>
          <w:color w:val="auto"/>
          <w:highlight w:val="none"/>
        </w:rPr>
        <w:t>试验检测技术规范和要求（含</w:t>
      </w:r>
      <w:r>
        <w:rPr>
          <w:rFonts w:hint="eastAsia" w:ascii="宋体" w:hAnsi="宋体" w:eastAsia="宋体" w:cs="宋体"/>
          <w:color w:val="auto"/>
          <w:highlight w:val="none"/>
          <w:lang w:eastAsia="zh-CN"/>
        </w:rPr>
        <w:t>交易文件</w:t>
      </w:r>
      <w:r>
        <w:rPr>
          <w:rFonts w:hint="eastAsia" w:ascii="宋体" w:hAnsi="宋体" w:eastAsia="宋体" w:cs="宋体"/>
          <w:color w:val="auto"/>
          <w:highlight w:val="none"/>
        </w:rPr>
        <w:t>补遗书中与此有关的部分）；</w:t>
      </w:r>
    </w:p>
    <w:p>
      <w:pPr>
        <w:snapToGrid w:val="0"/>
        <w:spacing w:line="400" w:lineRule="atLeast"/>
        <w:ind w:left="1260" w:hanging="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7</w:t>
      </w:r>
      <w:r>
        <w:rPr>
          <w:rFonts w:hint="eastAsia" w:ascii="宋体" w:hAnsi="宋体" w:cs="宋体"/>
          <w:color w:val="auto"/>
          <w:highlight w:val="none"/>
          <w:lang w:eastAsia="zh-CN"/>
        </w:rPr>
        <w:t>）</w:t>
      </w:r>
      <w:r>
        <w:rPr>
          <w:rFonts w:hint="eastAsia" w:ascii="宋体" w:hAnsi="宋体" w:eastAsia="宋体" w:cs="宋体"/>
          <w:color w:val="auto"/>
          <w:highlight w:val="none"/>
        </w:rPr>
        <w:t>试验检测实施方案；</w:t>
      </w:r>
    </w:p>
    <w:p>
      <w:pPr>
        <w:snapToGrid w:val="0"/>
        <w:spacing w:line="400" w:lineRule="atLeast"/>
        <w:ind w:left="1260" w:hanging="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8</w:t>
      </w:r>
      <w:r>
        <w:rPr>
          <w:rFonts w:hint="eastAsia" w:ascii="宋体" w:hAnsi="宋体" w:cs="宋体"/>
          <w:color w:val="auto"/>
          <w:highlight w:val="none"/>
          <w:lang w:eastAsia="zh-CN"/>
        </w:rPr>
        <w:t>）</w:t>
      </w:r>
      <w:r>
        <w:rPr>
          <w:rFonts w:hint="eastAsia" w:ascii="宋体" w:hAnsi="宋体" w:eastAsia="宋体" w:cs="宋体"/>
          <w:color w:val="auto"/>
          <w:highlight w:val="none"/>
        </w:rPr>
        <w:t>已标价的报价清单；</w:t>
      </w:r>
    </w:p>
    <w:p>
      <w:pPr>
        <w:snapToGrid w:val="0"/>
        <w:spacing w:line="400" w:lineRule="atLeast"/>
        <w:ind w:left="1260" w:hanging="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9</w:t>
      </w:r>
      <w:r>
        <w:rPr>
          <w:rFonts w:hint="eastAsia" w:ascii="宋体" w:hAnsi="宋体" w:cs="宋体"/>
          <w:color w:val="auto"/>
          <w:highlight w:val="none"/>
          <w:lang w:eastAsia="zh-CN"/>
        </w:rPr>
        <w:t>）</w:t>
      </w:r>
      <w:r>
        <w:rPr>
          <w:rFonts w:hint="eastAsia" w:ascii="宋体" w:hAnsi="宋体" w:eastAsia="宋体" w:cs="宋体"/>
          <w:color w:val="auto"/>
          <w:highlight w:val="none"/>
        </w:rPr>
        <w:t>资格审查资料；</w:t>
      </w:r>
    </w:p>
    <w:p>
      <w:pPr>
        <w:snapToGrid w:val="0"/>
        <w:spacing w:line="400" w:lineRule="atLeast"/>
        <w:ind w:left="1260" w:hanging="420"/>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10</w:t>
      </w:r>
      <w:r>
        <w:rPr>
          <w:rFonts w:hint="eastAsia" w:ascii="宋体" w:hAnsi="宋体" w:cs="宋体"/>
          <w:color w:val="auto"/>
          <w:highlight w:val="none"/>
          <w:lang w:eastAsia="zh-CN"/>
        </w:rPr>
        <w:t>）</w:t>
      </w:r>
      <w:r>
        <w:rPr>
          <w:rFonts w:hint="eastAsia" w:ascii="宋体" w:hAnsi="宋体" w:eastAsia="宋体" w:cs="宋体"/>
          <w:color w:val="auto"/>
          <w:highlight w:val="none"/>
        </w:rPr>
        <w:t>构成本合同组成部分的其他文件。</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3.本合同的试验检测服务费用总额为人民币</w:t>
      </w:r>
      <w:r>
        <w:rPr>
          <w:rFonts w:hint="eastAsia" w:ascii="宋体" w:hAnsi="宋体" w:eastAsia="宋体" w:cs="宋体"/>
          <w:color w:val="auto"/>
          <w:szCs w:val="21"/>
          <w:highlight w:val="none"/>
        </w:rPr>
        <w:t>_______</w:t>
      </w:r>
      <w:r>
        <w:rPr>
          <w:rFonts w:hint="eastAsia" w:ascii="宋体" w:hAnsi="宋体" w:eastAsia="宋体" w:cs="宋体"/>
          <w:color w:val="auto"/>
          <w:highlight w:val="none"/>
        </w:rPr>
        <w:t>（大写）元（￥</w:t>
      </w:r>
      <w:r>
        <w:rPr>
          <w:rFonts w:hint="eastAsia" w:ascii="宋体" w:hAnsi="宋体" w:eastAsia="宋体" w:cs="宋体"/>
          <w:color w:val="auto"/>
          <w:szCs w:val="21"/>
          <w:highlight w:val="none"/>
        </w:rPr>
        <w:t>_______</w:t>
      </w:r>
      <w:r>
        <w:rPr>
          <w:rFonts w:hint="eastAsia" w:ascii="宋体" w:hAnsi="宋体" w:eastAsia="宋体" w:cs="宋体"/>
          <w:color w:val="auto"/>
          <w:highlight w:val="none"/>
        </w:rPr>
        <w:t xml:space="preserve">元）。 </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试验</w:t>
      </w:r>
      <w:r>
        <w:rPr>
          <w:rFonts w:hint="eastAsia" w:ascii="宋体" w:hAnsi="宋体" w:eastAsia="宋体" w:cs="宋体"/>
          <w:color w:val="auto"/>
          <w:highlight w:val="none"/>
          <w:lang w:eastAsia="zh-CN"/>
        </w:rPr>
        <w:t>检测服务期</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5.发包人在此同意按照本合同规定的期限和方式，向检测人支付根据检测合同规定应支付的费用和提供工作条件。</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6.检测人基于发包人的上述保证，在此向发包人承诺按照本合同的规定履行检测服务。</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本协议书由双方法定代表人或其授权的代理人签署并加盖单位章后生效。试验检测服务工作全部完成并通过发包人对试验检测报告的认可，同时试验检测服务费用按照合同的规定全部结清后，本协议书自动失效。</w:t>
      </w:r>
    </w:p>
    <w:p>
      <w:pPr>
        <w:snapToGrid w:val="0"/>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 本协议书正本一式两份，合同双方各执一份，具有同等法律效力。协议书副本八份，双方各执四份。当正本与副本的内容不一致时，以正本为准。</w:t>
      </w:r>
    </w:p>
    <w:p>
      <w:pPr>
        <w:snapToGrid w:val="0"/>
        <w:spacing w:line="400" w:lineRule="atLeast"/>
        <w:rPr>
          <w:rFonts w:hint="eastAsia" w:ascii="宋体" w:hAnsi="宋体" w:eastAsia="宋体" w:cs="宋体"/>
          <w:color w:val="auto"/>
          <w:highlight w:val="none"/>
        </w:rPr>
      </w:pP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（单位全称）     （盖章）</w:t>
      </w:r>
      <w:r>
        <w:rPr>
          <w:rFonts w:hint="eastAsia" w:ascii="宋体" w:hAnsi="宋体" w:eastAsia="宋体" w:cs="宋体"/>
          <w:color w:val="auto"/>
          <w:szCs w:val="21"/>
          <w:highlight w:val="none"/>
        </w:rPr>
        <w:t xml:space="preserve">       检测人：</w:t>
      </w:r>
      <w:r>
        <w:rPr>
          <w:rFonts w:hint="eastAsia" w:ascii="宋体" w:hAnsi="宋体" w:eastAsia="宋体" w:cs="宋体"/>
          <w:color w:val="auto"/>
          <w:szCs w:val="21"/>
          <w:highlight w:val="none"/>
          <w:u w:val="single"/>
        </w:rPr>
        <w:t xml:space="preserve">（单位全称）（盖章）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或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或</w:t>
      </w:r>
    </w:p>
    <w:p>
      <w:pPr>
        <w:pStyle w:val="115"/>
        <w:snapToGrid w:val="0"/>
        <w:spacing w:line="400" w:lineRule="atLeas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其授权的代理人 </w:t>
      </w:r>
      <w:r>
        <w:rPr>
          <w:rFonts w:hint="eastAsia" w:ascii="宋体" w:hAnsi="宋体" w:eastAsia="宋体" w:cs="宋体"/>
          <w:color w:val="auto"/>
          <w:szCs w:val="21"/>
          <w:highlight w:val="none"/>
          <w:u w:val="single"/>
        </w:rPr>
        <w:t xml:space="preserve">  （签名）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 xml:space="preserve">其授权的代理人 </w:t>
      </w:r>
      <w:r>
        <w:rPr>
          <w:rFonts w:hint="eastAsia" w:ascii="宋体" w:hAnsi="宋体" w:eastAsia="宋体" w:cs="宋体"/>
          <w:color w:val="auto"/>
          <w:szCs w:val="21"/>
          <w:highlight w:val="none"/>
          <w:u w:val="single"/>
        </w:rPr>
        <w:t xml:space="preserve">  （签名）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单位地址：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    编：                               邮    编：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联系电话：                               联系电话：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pPr>
        <w:pStyle w:val="115"/>
        <w:snapToGrid w:val="0"/>
        <w:spacing w:line="40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帐    号：                               帐    号：                      </w:t>
      </w:r>
    </w:p>
    <w:p>
      <w:pPr>
        <w:pStyle w:val="115"/>
        <w:snapToGrid w:val="0"/>
        <w:spacing w:line="400" w:lineRule="atLeast"/>
        <w:rPr>
          <w:rFonts w:hint="eastAsia" w:ascii="宋体" w:hAnsi="宋体" w:eastAsia="宋体" w:cs="宋体"/>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szCs w:val="21"/>
          <w:highlight w:val="none"/>
        </w:rPr>
        <w:t>签订日期：     年   月   日</w:t>
      </w:r>
    </w:p>
    <w:p>
      <w:pPr>
        <w:pStyle w:val="72"/>
        <w:outlineLvl w:val="1"/>
        <w:rPr>
          <w:rFonts w:hint="eastAsia" w:ascii="宋体" w:hAnsi="宋体" w:eastAsia="宋体" w:cs="宋体"/>
          <w:color w:val="auto"/>
          <w:highlight w:val="none"/>
        </w:rPr>
      </w:pPr>
      <w:r>
        <w:rPr>
          <w:rFonts w:hint="eastAsia" w:ascii="宋体" w:hAnsi="宋体" w:eastAsia="宋体" w:cs="宋体"/>
          <w:color w:val="auto"/>
          <w:kern w:val="0"/>
          <w:highlight w:val="none"/>
        </w:rPr>
        <w:br w:type="page"/>
      </w:r>
      <w:bookmarkStart w:id="382" w:name="_Toc13864"/>
      <w:r>
        <w:rPr>
          <w:rFonts w:hint="eastAsia" w:ascii="宋体" w:hAnsi="宋体" w:eastAsia="宋体" w:cs="宋体"/>
          <w:color w:val="auto"/>
          <w:highlight w:val="none"/>
        </w:rPr>
        <w:t>附件二：廉政合同格式</w:t>
      </w:r>
      <w:bookmarkEnd w:id="382"/>
    </w:p>
    <w:p>
      <w:pPr>
        <w:autoSpaceDE w:val="0"/>
        <w:autoSpaceDN w:val="0"/>
        <w:adjustRightInd w:val="0"/>
        <w:spacing w:line="360" w:lineRule="auto"/>
        <w:jc w:val="left"/>
        <w:rPr>
          <w:rFonts w:hint="eastAsia" w:ascii="宋体" w:hAnsi="宋体" w:eastAsia="宋体" w:cs="宋体"/>
          <w:color w:val="auto"/>
          <w:kern w:val="0"/>
          <w:highlight w:val="none"/>
        </w:rPr>
      </w:pPr>
    </w:p>
    <w:p>
      <w:pPr>
        <w:autoSpaceDE w:val="0"/>
        <w:autoSpaceDN w:val="0"/>
        <w:adjustRightIn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廉政合同</w:t>
      </w:r>
    </w:p>
    <w:p>
      <w:pPr>
        <w:autoSpaceDE w:val="0"/>
        <w:autoSpaceDN w:val="0"/>
        <w:adjustRightInd w:val="0"/>
        <w:spacing w:line="360" w:lineRule="auto"/>
        <w:jc w:val="left"/>
        <w:rPr>
          <w:rFonts w:hint="eastAsia" w:ascii="宋体" w:hAnsi="宋体" w:eastAsia="宋体" w:cs="宋体"/>
          <w:color w:val="auto"/>
          <w:kern w:val="0"/>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根据《在交通基础设施建设中加强廉政建设的若干意见》以及有关工程建设、廉政建设的规定，为做好工程建设中的党风廉政建设，保证工程建设高效优质，保证建设资金的安全和有效使用以及投资效益，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rPr>
        <w:t>_______</w:t>
      </w:r>
      <w:r>
        <w:rPr>
          <w:rFonts w:hint="eastAsia" w:ascii="宋体" w:hAnsi="宋体" w:eastAsia="宋体" w:cs="宋体"/>
          <w:color w:val="auto"/>
          <w:kern w:val="0"/>
          <w:highlight w:val="none"/>
        </w:rPr>
        <w:t>（项目名称）的发包人</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发包人全称，以下简称“甲方”</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与该工程检测人</w:t>
      </w:r>
      <w:r>
        <w:rPr>
          <w:rFonts w:hint="eastAsia" w:ascii="宋体" w:hAnsi="宋体" w:eastAsia="宋体" w:cs="宋体"/>
          <w:color w:val="auto"/>
          <w:szCs w:val="21"/>
          <w:highlight w:val="none"/>
        </w:rPr>
        <w:t>_______</w:t>
      </w:r>
      <w:r>
        <w:rPr>
          <w:rFonts w:hint="eastAsia" w:ascii="宋体" w:hAnsi="宋体" w:eastAsia="宋体" w:cs="宋体"/>
          <w:color w:val="auto"/>
          <w:kern w:val="0"/>
          <w:highlight w:val="none"/>
        </w:rPr>
        <w:t xml:space="preserve"> </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检测人全称，以下简称“乙方”</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，特订立如下合同。</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第一条甲乙双方的权利和义务</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一</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严格遵守党的政策规定和国家有关法律法规及交通运输部和浙江省交通运输厅的有关规定。</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二</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严格执行</w:t>
      </w:r>
      <w:r>
        <w:rPr>
          <w:rFonts w:hint="eastAsia" w:ascii="宋体" w:hAnsi="宋体" w:eastAsia="宋体" w:cs="宋体"/>
          <w:color w:val="auto"/>
          <w:szCs w:val="21"/>
          <w:highlight w:val="none"/>
        </w:rPr>
        <w:t>_______（项目名称）标段</w:t>
      </w:r>
      <w:r>
        <w:rPr>
          <w:rFonts w:hint="eastAsia" w:ascii="宋体" w:hAnsi="宋体" w:eastAsia="宋体" w:cs="宋体"/>
          <w:color w:val="auto"/>
          <w:kern w:val="0"/>
          <w:highlight w:val="none"/>
        </w:rPr>
        <w:t>试验检测合同文件，自觉按合同办事。</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三</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双方的业务活动坚持公开、公正、诚信、透明的原则</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法律认定的商业秘密和合同文件另有规定除外</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，不得损害国家和集体利益，不得违反工程建设管理规章制度。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四</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建立健全廉政制度，开展廉政教育，设立廉政告示牌，公布举报电话，监督并认真查处违法违纪行为。</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五</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发现对方在业务活动中有违反廉政规定的行为，有及时提醒对方纠正的权利和义务。</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六</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发现对方严重违反本合同义务条款的行为，有向其上级有关部门举报、建议给予处理并要求告知处理结果的权利。</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第二条甲方的义务</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一</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甲方及其工作人员不得索要或接受乙方的礼金、有价证券和物品，不得在乙方报销任何应由甲方或甲方工作人员个人支付的费用等。</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二</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甲方工作人员不得参加乙方安排的宴请和娱乐活动；不得接受乙方</w:t>
      </w:r>
      <w:r>
        <w:rPr>
          <w:rFonts w:hint="eastAsia" w:ascii="宋体" w:hAnsi="宋体" w:cs="宋体"/>
          <w:color w:val="auto"/>
          <w:kern w:val="0"/>
          <w:highlight w:val="none"/>
          <w:lang w:eastAsia="zh-CN"/>
        </w:rPr>
        <w:t>提供的通信</w:t>
      </w:r>
      <w:r>
        <w:rPr>
          <w:rFonts w:hint="eastAsia" w:ascii="宋体" w:hAnsi="宋体" w:eastAsia="宋体" w:cs="宋体"/>
          <w:color w:val="auto"/>
          <w:kern w:val="0"/>
          <w:highlight w:val="none"/>
        </w:rPr>
        <w:t>工具、交通工具和高档办公用品等。</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三</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甲方及其工作人员不得要求或者接受乙方为其住房装修、婚丧嫁娶活动、配偶子女及其亲属的工作安排以及出国出境、旅游等提供方便等。</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四</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不准向乙方和相关单位介绍或为配偶、子女、亲属参与同本试验检测合同有关的试验检测业务等活动。不得以任何理由要求乙方和相关单位在试验检测中使用某种产品、材料和设备。</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第三条乙方的义务</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一</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乙方不得以任何理由向甲方及其工作人员行贿或馈赠礼金、有价证券、礼品。</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二</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乙方不得以任何名义为甲方及其工作人员报销应由甲方单位或个人支付的任何费用。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三</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乙方不得以任何理由安排甲方工作人员参加宴请及娱乐活动。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四</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乙方不得为甲方单位和个人购置或</w:t>
      </w:r>
      <w:r>
        <w:rPr>
          <w:rFonts w:hint="eastAsia" w:ascii="宋体" w:hAnsi="宋体" w:cs="宋体"/>
          <w:color w:val="auto"/>
          <w:kern w:val="0"/>
          <w:highlight w:val="none"/>
          <w:lang w:eastAsia="zh-CN"/>
        </w:rPr>
        <w:t>提供通信</w:t>
      </w:r>
      <w:r>
        <w:rPr>
          <w:rFonts w:hint="eastAsia" w:ascii="宋体" w:hAnsi="宋体" w:eastAsia="宋体" w:cs="宋体"/>
          <w:color w:val="auto"/>
          <w:kern w:val="0"/>
          <w:highlight w:val="none"/>
        </w:rPr>
        <w:t>工具、交通工具和办公用品等。</w:t>
      </w:r>
    </w:p>
    <w:p>
      <w:pPr>
        <w:autoSpaceDE w:val="0"/>
        <w:autoSpaceDN w:val="0"/>
        <w:adjustRightInd w:val="0"/>
        <w:spacing w:line="360" w:lineRule="auto"/>
        <w:ind w:firstLine="315" w:firstLineChars="1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（五）乙方及其工作人员不得索要或接受承包人的礼金、有价证券和物品，不得向承包人报销任何应由乙方或乙方工作人员个人支付的费用等。</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六</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乙方工作人员不得参加承包人安排的宴请和娱乐活动。</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第四条违约责任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一</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甲方及其工作人员违反本合同第一、二条，按管理权限，依据有关规定给予党纪、政纪或组织处理；涉嫌犯罪的，移交司法机关追究刑事责任；给乙方单位造成经济损失的，应予以赔偿。</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二</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 xml:space="preserve"> 乙方及其工作人员违反本合同第一、三条，按管理权限，依据有关规定给予党纪、政纪或组织处理；给甲方单位造成经济损失的，应予以赔偿；情节严重的，甲方建议交通运输主管部门给予乙方一至三年内不得进入其主管的公路水运试验检测市场的处罚。</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条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numPr>
          <w:ilvl w:val="0"/>
          <w:numId w:val="4"/>
        </w:numPr>
        <w:autoSpaceDE w:val="0"/>
        <w:autoSpaceDN w:val="0"/>
        <w:adjustRightInd w:val="0"/>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本合同有效期为甲乙双方签署之日起至合同失效日止。</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第七条本合同作为</w:t>
      </w:r>
      <w:r>
        <w:rPr>
          <w:rFonts w:hint="eastAsia" w:ascii="宋体" w:hAnsi="宋体" w:eastAsia="宋体" w:cs="宋体"/>
          <w:color w:val="auto"/>
          <w:szCs w:val="21"/>
          <w:highlight w:val="none"/>
        </w:rPr>
        <w:t>_______（项目名称）_______标段</w:t>
      </w:r>
      <w:r>
        <w:rPr>
          <w:rFonts w:hint="eastAsia" w:ascii="宋体" w:hAnsi="宋体" w:eastAsia="宋体" w:cs="宋体"/>
          <w:color w:val="auto"/>
          <w:kern w:val="0"/>
          <w:highlight w:val="none"/>
        </w:rPr>
        <w:t>试验检测合同的附件，与试验检测合同具有同等的法律效力，经合同双方签署后立即生效。</w:t>
      </w:r>
    </w:p>
    <w:p>
      <w:pPr>
        <w:autoSpaceDE w:val="0"/>
        <w:autoSpaceDN w:val="0"/>
        <w:adjustRightInd w:val="0"/>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第八条  本合同一式四份，由甲乙双方各执一份，送交甲乙双方的监督单位各一份。</w:t>
      </w:r>
    </w:p>
    <w:p>
      <w:pPr>
        <w:autoSpaceDE w:val="0"/>
        <w:autoSpaceDN w:val="0"/>
        <w:adjustRightInd w:val="0"/>
        <w:spacing w:line="360" w:lineRule="auto"/>
        <w:jc w:val="left"/>
        <w:rPr>
          <w:rFonts w:hint="eastAsia" w:ascii="宋体" w:hAnsi="宋体" w:eastAsia="宋体" w:cs="宋体"/>
          <w:color w:val="auto"/>
          <w:kern w:val="0"/>
          <w:highlight w:val="none"/>
        </w:rPr>
      </w:pPr>
    </w:p>
    <w:p>
      <w:pPr>
        <w:autoSpaceDE w:val="0"/>
        <w:autoSpaceDN w:val="0"/>
        <w:adjustRightInd w:val="0"/>
        <w:spacing w:line="360" w:lineRule="auto"/>
        <w:jc w:val="left"/>
        <w:rPr>
          <w:rFonts w:hint="eastAsia" w:ascii="宋体" w:hAnsi="宋体" w:eastAsia="宋体" w:cs="宋体"/>
          <w:color w:val="auto"/>
          <w:kern w:val="0"/>
          <w:highlight w:val="none"/>
        </w:rPr>
      </w:pP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     方：</w:t>
      </w:r>
      <w:r>
        <w:rPr>
          <w:rFonts w:hint="eastAsia" w:ascii="宋体" w:hAnsi="宋体" w:eastAsia="宋体" w:cs="宋体"/>
          <w:color w:val="auto"/>
          <w:kern w:val="0"/>
          <w:szCs w:val="21"/>
          <w:highlight w:val="none"/>
          <w:u w:val="single"/>
        </w:rPr>
        <w:t>（单位全称）（盖单位章）</w:t>
      </w:r>
      <w:r>
        <w:rPr>
          <w:rFonts w:hint="eastAsia" w:ascii="宋体" w:hAnsi="宋体" w:eastAsia="宋体" w:cs="宋体"/>
          <w:color w:val="auto"/>
          <w:kern w:val="0"/>
          <w:szCs w:val="21"/>
          <w:highlight w:val="none"/>
        </w:rPr>
        <w:t xml:space="preserve">    乙    方：</w:t>
      </w:r>
      <w:r>
        <w:rPr>
          <w:rFonts w:hint="eastAsia" w:ascii="宋体" w:hAnsi="宋体" w:eastAsia="宋体" w:cs="宋体"/>
          <w:color w:val="auto"/>
          <w:kern w:val="0"/>
          <w:szCs w:val="21"/>
          <w:highlight w:val="none"/>
          <w:u w:val="single"/>
        </w:rPr>
        <w:t xml:space="preserve"> （单位全称）（盖单位章）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     法定代表人</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或                                   或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其委托代理人</w:t>
      </w:r>
      <w:r>
        <w:rPr>
          <w:rFonts w:hint="eastAsia" w:ascii="宋体" w:hAnsi="宋体" w:eastAsia="宋体" w:cs="宋体"/>
          <w:color w:val="auto"/>
          <w:kern w:val="0"/>
          <w:szCs w:val="21"/>
          <w:highlight w:val="none"/>
          <w:u w:val="single"/>
        </w:rPr>
        <w:t xml:space="preserve">   （职务）   </w:t>
      </w:r>
      <w:r>
        <w:rPr>
          <w:rFonts w:hint="eastAsia" w:ascii="宋体" w:hAnsi="宋体" w:eastAsia="宋体" w:cs="宋体"/>
          <w:color w:val="auto"/>
          <w:kern w:val="0"/>
          <w:szCs w:val="21"/>
          <w:highlight w:val="none"/>
        </w:rPr>
        <w:t xml:space="preserve">             其委托代理人</w:t>
      </w:r>
      <w:r>
        <w:rPr>
          <w:rFonts w:hint="eastAsia" w:ascii="宋体" w:hAnsi="宋体" w:eastAsia="宋体" w:cs="宋体"/>
          <w:color w:val="auto"/>
          <w:kern w:val="0"/>
          <w:szCs w:val="21"/>
          <w:highlight w:val="none"/>
          <w:u w:val="single"/>
        </w:rPr>
        <w:t xml:space="preserve">   （职务）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（姓名）      （姓名）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（签字）       （签字）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地址：                                    地址：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电话：                                    电话：                    </w:t>
      </w:r>
    </w:p>
    <w:p>
      <w:pPr>
        <w:pStyle w:val="115"/>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日期：                                    日期：                    </w:t>
      </w:r>
    </w:p>
    <w:p>
      <w:pPr>
        <w:pStyle w:val="115"/>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甲方监督单位：</w:t>
      </w:r>
      <w:r>
        <w:rPr>
          <w:rFonts w:hint="eastAsia" w:ascii="宋体" w:hAnsi="宋体" w:eastAsia="宋体" w:cs="宋体"/>
          <w:color w:val="auto"/>
          <w:kern w:val="0"/>
          <w:szCs w:val="21"/>
          <w:highlight w:val="none"/>
          <w:u w:val="single"/>
        </w:rPr>
        <w:t>（单位全称）（盖单位章）</w:t>
      </w:r>
      <w:r>
        <w:rPr>
          <w:rFonts w:hint="eastAsia" w:ascii="宋体" w:hAnsi="宋体" w:eastAsia="宋体" w:cs="宋体"/>
          <w:color w:val="auto"/>
          <w:kern w:val="0"/>
          <w:szCs w:val="21"/>
          <w:highlight w:val="none"/>
        </w:rPr>
        <w:t xml:space="preserve">    乙方监督单位：</w:t>
      </w:r>
      <w:r>
        <w:rPr>
          <w:rFonts w:hint="eastAsia" w:ascii="宋体" w:hAnsi="宋体" w:eastAsia="宋体" w:cs="宋体"/>
          <w:color w:val="auto"/>
          <w:kern w:val="0"/>
          <w:szCs w:val="21"/>
          <w:highlight w:val="none"/>
          <w:u w:val="single"/>
        </w:rPr>
        <w:t>（单位全称）（盖单位章）</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highlight w:val="none"/>
        </w:rPr>
        <w:br w:type="page"/>
      </w:r>
    </w:p>
    <w:p>
      <w:pPr>
        <w:pStyle w:val="72"/>
        <w:outlineLvl w:val="1"/>
        <w:rPr>
          <w:rFonts w:hint="eastAsia" w:ascii="宋体" w:hAnsi="宋体" w:eastAsia="宋体" w:cs="宋体"/>
          <w:color w:val="auto"/>
          <w:highlight w:val="none"/>
        </w:rPr>
      </w:pPr>
      <w:bookmarkStart w:id="383" w:name="_Toc29814"/>
      <w:r>
        <w:rPr>
          <w:rFonts w:hint="eastAsia" w:ascii="宋体" w:hAnsi="宋体" w:eastAsia="宋体" w:cs="宋体"/>
          <w:color w:val="auto"/>
          <w:highlight w:val="none"/>
        </w:rPr>
        <w:t>附件三：安全生产责任合同格式</w:t>
      </w:r>
      <w:bookmarkEnd w:id="383"/>
    </w:p>
    <w:p>
      <w:pPr>
        <w:pStyle w:val="23"/>
        <w:spacing w:line="446" w:lineRule="exact"/>
        <w:jc w:val="center"/>
        <w:rPr>
          <w:rFonts w:hint="eastAsia" w:ascii="宋体" w:hAnsi="宋体" w:eastAsia="宋体" w:cs="宋体"/>
          <w:bCs/>
          <w:color w:val="auto"/>
          <w:sz w:val="32"/>
          <w:szCs w:val="32"/>
          <w:highlight w:val="none"/>
        </w:rPr>
      </w:pPr>
    </w:p>
    <w:p>
      <w:pPr>
        <w:pStyle w:val="23"/>
        <w:spacing w:line="446"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pacing w:val="45"/>
          <w:sz w:val="32"/>
          <w:szCs w:val="32"/>
          <w:highlight w:val="none"/>
        </w:rPr>
        <w:t>安全生产责任合</w:t>
      </w:r>
      <w:r>
        <w:rPr>
          <w:rFonts w:hint="eastAsia" w:ascii="宋体" w:hAnsi="宋体" w:eastAsia="宋体" w:cs="宋体"/>
          <w:bCs/>
          <w:color w:val="auto"/>
          <w:spacing w:val="5"/>
          <w:sz w:val="32"/>
          <w:szCs w:val="32"/>
          <w:highlight w:val="none"/>
        </w:rPr>
        <w:t>同</w:t>
      </w:r>
    </w:p>
    <w:p>
      <w:pPr>
        <w:spacing w:line="446" w:lineRule="exact"/>
        <w:ind w:firstLine="482" w:firstLineChars="200"/>
        <w:rPr>
          <w:rFonts w:hint="eastAsia" w:ascii="宋体" w:hAnsi="宋体" w:eastAsia="宋体" w:cs="宋体"/>
          <w:b/>
          <w:bCs/>
          <w:color w:val="auto"/>
          <w:sz w:val="24"/>
          <w:highlight w:val="none"/>
        </w:rPr>
      </w:pP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为在_______（项目名称）_______标段试验检测合同的实施过程中创造安全、高效的施工环境，切实搞好本项目的安全管理工作，本项目发包人</w:t>
      </w:r>
      <w:r>
        <w:rPr>
          <w:rFonts w:hint="eastAsia" w:ascii="宋体" w:hAnsi="宋体" w:eastAsia="宋体" w:cs="宋体"/>
          <w:color w:val="auto"/>
          <w:szCs w:val="21"/>
          <w:highlight w:val="none"/>
          <w:u w:val="single"/>
        </w:rPr>
        <w:t>（全称）</w:t>
      </w:r>
      <w:r>
        <w:rPr>
          <w:rFonts w:hint="eastAsia" w:ascii="宋体" w:hAnsi="宋体" w:eastAsia="宋体" w:cs="宋体"/>
          <w:color w:val="auto"/>
          <w:szCs w:val="21"/>
          <w:highlight w:val="none"/>
        </w:rPr>
        <w:t>（以下简称“甲方”）与检测人</w:t>
      </w:r>
      <w:r>
        <w:rPr>
          <w:rFonts w:hint="eastAsia" w:ascii="宋体" w:hAnsi="宋体" w:eastAsia="宋体" w:cs="宋体"/>
          <w:color w:val="auto"/>
          <w:szCs w:val="21"/>
          <w:highlight w:val="none"/>
          <w:u w:val="single"/>
        </w:rPr>
        <w:t>（全称）</w:t>
      </w:r>
      <w:r>
        <w:rPr>
          <w:rFonts w:hint="eastAsia" w:ascii="宋体" w:hAnsi="宋体" w:eastAsia="宋体" w:cs="宋体"/>
          <w:color w:val="auto"/>
          <w:szCs w:val="21"/>
          <w:highlight w:val="none"/>
        </w:rPr>
        <w:t>（以下简称“乙方”）特此签订安全生产合同：</w:t>
      </w:r>
    </w:p>
    <w:p>
      <w:pPr>
        <w:spacing w:line="440" w:lineRule="exact"/>
        <w:ind w:firstLine="420" w:firstLineChars="200"/>
        <w:outlineLvl w:val="0"/>
        <w:rPr>
          <w:rFonts w:hint="eastAsia" w:ascii="宋体" w:hAnsi="宋体" w:eastAsia="宋体" w:cs="宋体"/>
          <w:bCs/>
          <w:color w:val="auto"/>
          <w:szCs w:val="21"/>
          <w:highlight w:val="none"/>
        </w:rPr>
      </w:pPr>
      <w:bookmarkStart w:id="384" w:name="_Toc18795"/>
      <w:r>
        <w:rPr>
          <w:rFonts w:hint="eastAsia" w:ascii="宋体" w:hAnsi="宋体" w:eastAsia="宋体" w:cs="宋体"/>
          <w:bCs/>
          <w:color w:val="auto"/>
          <w:szCs w:val="21"/>
          <w:highlight w:val="none"/>
        </w:rPr>
        <w:t>一、甲方职责</w:t>
      </w:r>
      <w:bookmarkEnd w:id="384"/>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1．严格遵守国家有关安全生产的法律法规，认真执行工程承包合同中的有关安全要求。</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2．按照“安全第一、预防为主”和坚持“管生产必须管安全”的原则进行安全生产管理，做到生产与安全工作同时计划、布置、检查、总结和评比。</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3．定期召开安全生产调度会，及时传达有关部门安全生产的精神。</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4．组织对乙方施工现场安全生产检查，监督乙方及时处理发现的各项安全隐患。</w:t>
      </w:r>
    </w:p>
    <w:p>
      <w:pPr>
        <w:spacing w:line="440" w:lineRule="exact"/>
        <w:ind w:firstLine="420" w:firstLineChars="200"/>
        <w:outlineLvl w:val="0"/>
        <w:rPr>
          <w:rFonts w:hint="eastAsia" w:ascii="宋体" w:hAnsi="宋体" w:eastAsia="宋体" w:cs="宋体"/>
          <w:bCs/>
          <w:color w:val="auto"/>
          <w:szCs w:val="21"/>
          <w:highlight w:val="none"/>
        </w:rPr>
      </w:pPr>
      <w:bookmarkStart w:id="385" w:name="_Toc4837"/>
      <w:r>
        <w:rPr>
          <w:rFonts w:hint="eastAsia" w:ascii="宋体" w:hAnsi="宋体" w:eastAsia="宋体" w:cs="宋体"/>
          <w:bCs/>
          <w:color w:val="auto"/>
          <w:szCs w:val="21"/>
          <w:highlight w:val="none"/>
        </w:rPr>
        <w:t>二、乙方职责</w:t>
      </w:r>
      <w:bookmarkEnd w:id="385"/>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1．严格遵守国家有关安全生产的法律法规、交通运输部颁发的《公路工程施工安全技术规程》（JTG F90-2015）与《水运工程施工安全防护技术规范》（JTS 205-1-2016）有关安全生产的规定，认真执行。</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坚持“安全第一、预防为主”和“管生产必须管安全”的原则，加强安全生产宣传教育，增强全员安全生产意识，建立健全各项安全生产管理制度，配备兼职安全检查人员，有组织有领导地开展安全生产活动。</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3．建立健全安全生产责任制。从项目负责人到生产人员（包括临时雇请的民工）的安全生产管理系统必须做到纵向到底，一环不漏，人人有责。项目负责人是项目安全生产的第一责任人。</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4．乙方在任何时候都应采取各种合理的预防措施，防止其员工发生任何违法、违禁、暴力或妨碍治安的行为。</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5．进场使用的高空作业的设备均应定期检查，并有安全员的签字记录，保证其经常处于完好状态；不合格的机具、设备和劳动保护用品严禁使用。</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6．试验检测过程中采用技术、工艺、设备、材料时，必须制定相应的安全技术措施，现场必须具有相关的安全设施及警示标志。</w:t>
      </w:r>
    </w:p>
    <w:p>
      <w:pPr>
        <w:spacing w:line="440" w:lineRule="exact"/>
        <w:ind w:firstLine="420" w:firstLineChars="200"/>
        <w:outlineLvl w:val="0"/>
        <w:rPr>
          <w:rFonts w:hint="eastAsia" w:ascii="宋体" w:hAnsi="宋体" w:eastAsia="宋体" w:cs="宋体"/>
          <w:bCs/>
          <w:color w:val="auto"/>
          <w:szCs w:val="21"/>
          <w:highlight w:val="none"/>
        </w:rPr>
      </w:pPr>
      <w:bookmarkStart w:id="386" w:name="_Toc13726"/>
      <w:r>
        <w:rPr>
          <w:rFonts w:hint="eastAsia" w:ascii="宋体" w:hAnsi="宋体" w:eastAsia="宋体" w:cs="宋体"/>
          <w:bCs/>
          <w:color w:val="auto"/>
          <w:szCs w:val="21"/>
          <w:highlight w:val="none"/>
        </w:rPr>
        <w:t>三、违约责任</w:t>
      </w:r>
      <w:bookmarkEnd w:id="386"/>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如因甲方或乙方违约造成安全事故，将依法追究责任。</w:t>
      </w:r>
    </w:p>
    <w:p>
      <w:pPr>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本合同正本一式二份，副本八份，合同双方各执正本一份，副本四份。由双方法定代表人或其授权的代理人签署与加盖公章后生效，工程交工验收后失效。</w:t>
      </w:r>
    </w:p>
    <w:p>
      <w:pPr>
        <w:spacing w:line="430" w:lineRule="exact"/>
        <w:ind w:firstLine="420" w:firstLineChars="200"/>
        <w:rPr>
          <w:rFonts w:hint="eastAsia" w:ascii="宋体" w:hAnsi="宋体" w:eastAsia="宋体" w:cs="宋体"/>
          <w:color w:val="auto"/>
          <w:szCs w:val="21"/>
          <w:highlight w:val="none"/>
        </w:rPr>
      </w:pPr>
    </w:p>
    <w:p>
      <w:pPr>
        <w:pStyle w:val="115"/>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       方：</w:t>
      </w:r>
      <w:r>
        <w:rPr>
          <w:rFonts w:hint="eastAsia" w:ascii="宋体" w:hAnsi="宋体" w:eastAsia="宋体" w:cs="宋体"/>
          <w:color w:val="auto"/>
          <w:szCs w:val="21"/>
          <w:highlight w:val="none"/>
          <w:u w:val="single"/>
        </w:rPr>
        <w:t xml:space="preserve">  （单位全称）（盖章）  </w:t>
      </w:r>
      <w:r>
        <w:rPr>
          <w:rFonts w:hint="eastAsia" w:ascii="宋体" w:hAnsi="宋体" w:eastAsia="宋体" w:cs="宋体"/>
          <w:color w:val="auto"/>
          <w:szCs w:val="21"/>
          <w:highlight w:val="none"/>
        </w:rPr>
        <w:t xml:space="preserve">  乙     方：</w:t>
      </w:r>
      <w:r>
        <w:rPr>
          <w:rFonts w:hint="eastAsia" w:ascii="宋体" w:hAnsi="宋体" w:eastAsia="宋体" w:cs="宋体"/>
          <w:color w:val="auto"/>
          <w:szCs w:val="21"/>
          <w:highlight w:val="none"/>
          <w:u w:val="single"/>
        </w:rPr>
        <w:t xml:space="preserve">  （单位全称）（盖章）  </w:t>
      </w:r>
    </w:p>
    <w:p>
      <w:pPr>
        <w:pStyle w:val="115"/>
        <w:spacing w:line="43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法 定 代 表 人                                             法 定 代 表 人</w:t>
      </w:r>
    </w:p>
    <w:p>
      <w:pPr>
        <w:pStyle w:val="115"/>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                                    或</w:t>
      </w:r>
    </w:p>
    <w:p>
      <w:pPr>
        <w:pStyle w:val="115"/>
        <w:spacing w:line="43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其授权的代理人：</w:t>
      </w:r>
      <w:r>
        <w:rPr>
          <w:rFonts w:hint="eastAsia" w:ascii="宋体" w:hAnsi="宋体" w:eastAsia="宋体" w:cs="宋体"/>
          <w:color w:val="auto"/>
          <w:szCs w:val="21"/>
          <w:highlight w:val="none"/>
          <w:u w:val="single"/>
        </w:rPr>
        <w:t xml:space="preserve">     （职务）      </w:t>
      </w:r>
      <w:r>
        <w:rPr>
          <w:rFonts w:hint="eastAsia" w:ascii="宋体" w:hAnsi="宋体" w:eastAsia="宋体" w:cs="宋体"/>
          <w:color w:val="auto"/>
          <w:szCs w:val="21"/>
          <w:highlight w:val="none"/>
        </w:rPr>
        <w:t xml:space="preserve">    其授权的代理人：</w:t>
      </w:r>
      <w:r>
        <w:rPr>
          <w:rFonts w:hint="eastAsia" w:ascii="宋体" w:hAnsi="宋体" w:eastAsia="宋体" w:cs="宋体"/>
          <w:color w:val="auto"/>
          <w:szCs w:val="21"/>
          <w:highlight w:val="none"/>
          <w:u w:val="single"/>
        </w:rPr>
        <w:t xml:space="preserve">     （职务）      </w:t>
      </w:r>
    </w:p>
    <w:p>
      <w:pPr>
        <w:pStyle w:val="115"/>
        <w:spacing w:line="430" w:lineRule="exact"/>
        <w:ind w:firstLine="420" w:firstLineChars="200"/>
        <w:rPr>
          <w:rFonts w:hint="eastAsia" w:ascii="宋体" w:hAnsi="宋体" w:eastAsia="宋体" w:cs="宋体"/>
          <w:color w:val="auto"/>
          <w:szCs w:val="21"/>
          <w:highlight w:val="none"/>
        </w:rPr>
      </w:pPr>
    </w:p>
    <w:p>
      <w:pPr>
        <w:pStyle w:val="115"/>
        <w:spacing w:line="430" w:lineRule="exact"/>
        <w:ind w:firstLine="1470" w:firstLineChars="7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（姓名） （签字）      （姓名）（签字）       </w:t>
      </w:r>
    </w:p>
    <w:p>
      <w:pPr>
        <w:pStyle w:val="115"/>
        <w:spacing w:line="430" w:lineRule="exact"/>
        <w:ind w:firstLine="420" w:firstLineChars="200"/>
        <w:rPr>
          <w:rFonts w:hint="eastAsia" w:ascii="宋体" w:hAnsi="宋体" w:eastAsia="宋体" w:cs="宋体"/>
          <w:color w:val="auto"/>
          <w:szCs w:val="21"/>
          <w:highlight w:val="none"/>
        </w:rPr>
      </w:pPr>
    </w:p>
    <w:p>
      <w:pPr>
        <w:pStyle w:val="115"/>
        <w:spacing w:line="430" w:lineRule="exact"/>
        <w:ind w:firstLine="420" w:firstLineChars="200"/>
        <w:rPr>
          <w:rFonts w:hint="eastAsia" w:ascii="宋体" w:hAnsi="宋体" w:eastAsia="宋体" w:cs="宋体"/>
          <w:color w:val="auto"/>
          <w:szCs w:val="21"/>
          <w:highlight w:val="none"/>
        </w:rPr>
      </w:pPr>
    </w:p>
    <w:p>
      <w:pPr>
        <w:pStyle w:val="115"/>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pPr>
        <w:pStyle w:val="115"/>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pStyle w:val="115"/>
        <w:spacing w:line="430" w:lineRule="exact"/>
        <w:rPr>
          <w:rFonts w:hint="eastAsia" w:ascii="宋体" w:hAnsi="宋体" w:eastAsia="宋体" w:cs="宋体"/>
          <w:color w:val="auto"/>
          <w:highlight w:val="none"/>
        </w:rPr>
        <w:sectPr>
          <w:footnotePr>
            <w:numFmt w:val="decimalEnclosedCircleChinese"/>
            <w:numRestart w:val="eachPage"/>
          </w:footnotePr>
          <w:pgSz w:w="11906" w:h="16838"/>
          <w:pgMar w:top="1418" w:right="1361" w:bottom="1418" w:left="1242"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szCs w:val="21"/>
          <w:highlight w:val="none"/>
        </w:rPr>
        <w:t>日  期：  日 期：</w:t>
      </w:r>
    </w:p>
    <w:p>
      <w:pPr>
        <w:spacing w:line="360" w:lineRule="auto"/>
        <w:rPr>
          <w:rFonts w:hint="eastAsia" w:ascii="宋体" w:hAnsi="宋体" w:eastAsia="宋体" w:cs="宋体"/>
          <w:color w:val="auto"/>
          <w:kern w:val="0"/>
          <w:highlight w:val="none"/>
          <w:u w:val="single"/>
        </w:rPr>
      </w:pPr>
    </w:p>
    <w:p>
      <w:pPr>
        <w:pStyle w:val="72"/>
        <w:outlineLvl w:val="1"/>
        <w:rPr>
          <w:rFonts w:hint="eastAsia" w:ascii="宋体" w:hAnsi="宋体" w:eastAsia="宋体" w:cs="宋体"/>
          <w:color w:val="auto"/>
          <w:highlight w:val="none"/>
        </w:rPr>
      </w:pPr>
      <w:bookmarkStart w:id="387" w:name="_Toc1901"/>
      <w:r>
        <w:rPr>
          <w:rFonts w:hint="eastAsia" w:ascii="宋体" w:hAnsi="宋体" w:eastAsia="宋体" w:cs="宋体"/>
          <w:color w:val="auto"/>
          <w:highlight w:val="none"/>
        </w:rPr>
        <w:t>附件四：履约保函格式</w:t>
      </w:r>
      <w:bookmarkEnd w:id="387"/>
    </w:p>
    <w:p>
      <w:pPr>
        <w:autoSpaceDE w:val="0"/>
        <w:autoSpaceDN w:val="0"/>
        <w:adjustRightIn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履约保函</w:t>
      </w:r>
    </w:p>
    <w:p>
      <w:pPr>
        <w:autoSpaceDE w:val="0"/>
        <w:autoSpaceDN w:val="0"/>
        <w:adjustRightInd w:val="0"/>
        <w:spacing w:line="360" w:lineRule="auto"/>
        <w:jc w:val="left"/>
        <w:rPr>
          <w:rFonts w:hint="eastAsia" w:ascii="宋体" w:hAnsi="宋体" w:eastAsia="宋体" w:cs="宋体"/>
          <w:color w:val="auto"/>
          <w:kern w:val="0"/>
          <w:highlight w:val="none"/>
        </w:rPr>
      </w:pPr>
    </w:p>
    <w:p>
      <w:pPr>
        <w:autoSpaceDE w:val="0"/>
        <w:autoSpaceDN w:val="0"/>
        <w:adjustRightInd w:val="0"/>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u w:val="single"/>
        </w:rPr>
        <w:t>（发包人全称）</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鉴于</w:t>
      </w:r>
      <w:r>
        <w:rPr>
          <w:rFonts w:hint="eastAsia" w:ascii="宋体" w:hAnsi="宋体" w:eastAsia="宋体" w:cs="宋体"/>
          <w:color w:val="auto"/>
          <w:kern w:val="0"/>
          <w:highlight w:val="none"/>
          <w:u w:val="single"/>
        </w:rPr>
        <w:t>（检测人全称）</w:t>
      </w:r>
      <w:r>
        <w:rPr>
          <w:rFonts w:hint="eastAsia" w:ascii="宋体" w:hAnsi="宋体" w:eastAsia="宋体" w:cs="宋体"/>
          <w:color w:val="auto"/>
          <w:kern w:val="0"/>
          <w:highlight w:val="none"/>
        </w:rPr>
        <w:t>（下称“检测人”）与</w:t>
      </w:r>
      <w:r>
        <w:rPr>
          <w:rFonts w:hint="eastAsia" w:ascii="宋体" w:hAnsi="宋体" w:eastAsia="宋体" w:cs="宋体"/>
          <w:color w:val="auto"/>
          <w:kern w:val="0"/>
          <w:highlight w:val="none"/>
          <w:u w:val="single"/>
        </w:rPr>
        <w:t>（发包人全称）</w:t>
      </w:r>
      <w:r>
        <w:rPr>
          <w:rFonts w:hint="eastAsia" w:ascii="宋体" w:hAnsi="宋体" w:eastAsia="宋体" w:cs="宋体"/>
          <w:color w:val="auto"/>
          <w:kern w:val="0"/>
          <w:highlight w:val="none"/>
        </w:rPr>
        <w:t>（下称“发包人”）签订了</w:t>
      </w:r>
      <w:r>
        <w:rPr>
          <w:rFonts w:hint="eastAsia" w:ascii="宋体" w:hAnsi="宋体" w:eastAsia="宋体" w:cs="宋体"/>
          <w:color w:val="auto"/>
          <w:szCs w:val="21"/>
          <w:highlight w:val="none"/>
        </w:rPr>
        <w:t>_______（项目名称）标段</w:t>
      </w:r>
      <w:r>
        <w:rPr>
          <w:rFonts w:hint="eastAsia" w:ascii="宋体" w:hAnsi="宋体" w:eastAsia="宋体" w:cs="宋体"/>
          <w:color w:val="auto"/>
          <w:kern w:val="0"/>
          <w:highlight w:val="none"/>
        </w:rPr>
        <w:t>试验检测合同协议书，我方愿意无条件地、不可撤销地就检测人履行与你方订立的合同，向你方提供担保。</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 担保金额为人民币（大写）</w:t>
      </w:r>
      <w:r>
        <w:rPr>
          <w:rFonts w:hint="eastAsia" w:ascii="宋体" w:hAnsi="宋体" w:eastAsia="宋体" w:cs="宋体"/>
          <w:color w:val="auto"/>
          <w:szCs w:val="21"/>
          <w:highlight w:val="none"/>
        </w:rPr>
        <w:t>_______</w:t>
      </w:r>
      <w:r>
        <w:rPr>
          <w:rFonts w:hint="eastAsia" w:ascii="宋体" w:hAnsi="宋体" w:eastAsia="宋体" w:cs="宋体"/>
          <w:color w:val="auto"/>
          <w:kern w:val="0"/>
          <w:highlight w:val="none"/>
        </w:rPr>
        <w:t>元（￥</w:t>
      </w:r>
      <w:r>
        <w:rPr>
          <w:rFonts w:hint="eastAsia" w:ascii="宋体" w:hAnsi="宋体" w:eastAsia="宋体" w:cs="宋体"/>
          <w:color w:val="auto"/>
          <w:szCs w:val="21"/>
          <w:highlight w:val="none"/>
        </w:rPr>
        <w:t>_______</w:t>
      </w:r>
      <w:r>
        <w:rPr>
          <w:rFonts w:hint="eastAsia" w:ascii="宋体" w:hAnsi="宋体" w:eastAsia="宋体" w:cs="宋体"/>
          <w:color w:val="auto"/>
          <w:kern w:val="0"/>
          <w:highlight w:val="none"/>
        </w:rPr>
        <w:t>元）。</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 本保函自（生效日期）之日起生效，至（失效日期）之日失效。</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 在本担保有效期内，如你方认为检测人违反合同约定的义务给你方造成经济损失，我方在收到你方以书面形式提出的在担保金额内的赔偿要求后，在7天内无条件支付，无须你方出具证明或陈述理由。</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 发包人和检测人对合同条款进行任何修改或补充，我方承担本保函规定的义务不变。</w:t>
      </w: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p>
    <w:p>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p>
    <w:p>
      <w:pPr>
        <w:pStyle w:val="114"/>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担保银行：</w:t>
      </w:r>
      <w:r>
        <w:rPr>
          <w:rFonts w:hint="eastAsia" w:ascii="宋体" w:hAnsi="宋体" w:eastAsia="宋体" w:cs="宋体"/>
          <w:color w:val="auto"/>
          <w:szCs w:val="21"/>
          <w:highlight w:val="none"/>
          <w:u w:val="single"/>
        </w:rPr>
        <w:t xml:space="preserve">  （银行全称）  （盖单位章）  </w:t>
      </w:r>
    </w:p>
    <w:p>
      <w:pPr>
        <w:pStyle w:val="114"/>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法定代表人或其委托代理人：</w:t>
      </w:r>
      <w:r>
        <w:rPr>
          <w:rFonts w:hint="eastAsia" w:ascii="宋体" w:hAnsi="宋体" w:eastAsia="宋体" w:cs="宋体"/>
          <w:color w:val="auto"/>
          <w:szCs w:val="21"/>
          <w:highlight w:val="none"/>
          <w:u w:val="single"/>
        </w:rPr>
        <w:t xml:space="preserve">   （职务）   </w:t>
      </w:r>
    </w:p>
    <w:p>
      <w:pPr>
        <w:pStyle w:val="114"/>
        <w:autoSpaceDE w:val="0"/>
        <w:autoSpaceDN w:val="0"/>
        <w:adjustRightIn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（姓名）   </w:t>
      </w:r>
    </w:p>
    <w:p>
      <w:pPr>
        <w:pStyle w:val="114"/>
        <w:autoSpaceDE w:val="0"/>
        <w:autoSpaceDN w:val="0"/>
        <w:adjustRightIn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（签字）   </w:t>
      </w:r>
    </w:p>
    <w:p>
      <w:pPr>
        <w:pStyle w:val="114"/>
        <w:autoSpaceDE w:val="0"/>
        <w:autoSpaceDN w:val="0"/>
        <w:adjustRightInd w:val="0"/>
        <w:spacing w:line="360" w:lineRule="auto"/>
        <w:ind w:firstLine="3675" w:firstLineChars="17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pPr>
        <w:pStyle w:val="114"/>
        <w:autoSpaceDE w:val="0"/>
        <w:autoSpaceDN w:val="0"/>
        <w:adjustRightInd w:val="0"/>
        <w:spacing w:line="360" w:lineRule="auto"/>
        <w:ind w:firstLine="3675" w:firstLineChars="17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p>
      <w:pPr>
        <w:pStyle w:val="114"/>
        <w:autoSpaceDE w:val="0"/>
        <w:autoSpaceDN w:val="0"/>
        <w:adjustRightInd w:val="0"/>
        <w:spacing w:line="360" w:lineRule="auto"/>
        <w:ind w:firstLine="3675" w:firstLineChars="17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p>
      <w:pPr>
        <w:pStyle w:val="114"/>
        <w:autoSpaceDE w:val="0"/>
        <w:autoSpaceDN w:val="0"/>
        <w:adjustRightInd w:val="0"/>
        <w:spacing w:line="360" w:lineRule="auto"/>
        <w:ind w:firstLine="3675" w:firstLineChars="17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p>
      <w:pPr>
        <w:pStyle w:val="114"/>
        <w:autoSpaceDE w:val="0"/>
        <w:autoSpaceDN w:val="0"/>
        <w:adjustRightInd w:val="0"/>
        <w:spacing w:line="360" w:lineRule="auto"/>
        <w:rPr>
          <w:rFonts w:hint="eastAsia" w:ascii="宋体" w:hAnsi="宋体" w:eastAsia="宋体" w:cs="宋体"/>
          <w:color w:val="auto"/>
          <w:szCs w:val="21"/>
          <w:highlight w:val="none"/>
        </w:rPr>
      </w:pPr>
    </w:p>
    <w:p>
      <w:pPr>
        <w:pStyle w:val="114"/>
        <w:spacing w:line="360" w:lineRule="auto"/>
        <w:rPr>
          <w:rFonts w:hint="eastAsia" w:ascii="宋体" w:hAnsi="宋体" w:eastAsia="宋体" w:cs="宋体"/>
          <w:color w:val="auto"/>
          <w:szCs w:val="21"/>
          <w:highlight w:val="none"/>
        </w:rPr>
      </w:pPr>
    </w:p>
    <w:p>
      <w:pPr>
        <w:pStyle w:val="114"/>
        <w:spacing w:line="360" w:lineRule="auto"/>
        <w:ind w:firstLine="4305" w:firstLineChars="20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w:t>
      </w: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sectPr>
          <w:footnotePr>
            <w:numFmt w:val="decimalEnclosedCircleChinese"/>
            <w:numRestart w:val="eachPage"/>
          </w:footnotePr>
          <w:pgSz w:w="11906" w:h="16838"/>
          <w:pgMar w:top="1418" w:right="1361" w:bottom="1418" w:left="1361" w:header="851" w:footer="992" w:gutter="0"/>
          <w:pgBorders>
            <w:top w:val="none" w:sz="0" w:space="0"/>
            <w:left w:val="none" w:sz="0" w:space="0"/>
            <w:bottom w:val="none" w:sz="0" w:space="0"/>
            <w:right w:val="none" w:sz="0" w:space="0"/>
          </w:pgBorders>
          <w:cols w:space="720" w:num="1"/>
          <w:docGrid w:linePitch="312" w:charSpace="0"/>
        </w:sectPr>
      </w:pPr>
    </w:p>
    <w:p>
      <w:pPr>
        <w:pStyle w:val="2"/>
        <w:jc w:val="center"/>
        <w:rPr>
          <w:rFonts w:hint="eastAsia" w:ascii="宋体" w:hAnsi="宋体" w:eastAsia="宋体" w:cs="宋体"/>
          <w:color w:val="auto"/>
          <w:szCs w:val="32"/>
          <w:highlight w:val="none"/>
        </w:rPr>
      </w:pPr>
      <w:bookmarkStart w:id="388" w:name="_Toc32190"/>
      <w:r>
        <w:rPr>
          <w:rFonts w:hint="eastAsia" w:ascii="宋体" w:hAnsi="宋体" w:eastAsia="宋体" w:cs="宋体"/>
          <w:color w:val="auto"/>
          <w:szCs w:val="32"/>
          <w:highlight w:val="none"/>
        </w:rPr>
        <w:t>第五章  试验检测技术规范和要求</w:t>
      </w:r>
      <w:bookmarkEnd w:id="388"/>
    </w:p>
    <w:p>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本项目的试验检测工作符合国家有关法律、法规和工程建设标准强制性条文的规定。</w:t>
      </w:r>
    </w:p>
    <w:p>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本项目的试验检测工作符合交通运输部及浙江省关于公路水运试验检测方面现行的标准、规范、规程、办法、规定。</w:t>
      </w:r>
    </w:p>
    <w:p>
      <w:pPr>
        <w:spacing w:line="40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检测人在试验检测工作中使用下列标准、规范以外，需参考其他的技术标准、规范时，应征得发包人或发包人指定代表人的书面同意。</w:t>
      </w:r>
    </w:p>
    <w:p>
      <w:pPr>
        <w:spacing w:line="40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在试验检测过程中，如果国家或有关部门颁布实施了新的技术标准或规范，则检测人应采用新的标准或规范进行试验检测，如不能采用新的标准或规范，应征得发包人的书面同意。</w:t>
      </w:r>
    </w:p>
    <w:p>
      <w:pPr>
        <w:spacing w:line="40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优先采用本行业的标准，如无本行业的相关标准或规范，允许采用国标及其他标准，采用的顺序：国标—其他标准。</w:t>
      </w:r>
    </w:p>
    <w:p>
      <w:pPr>
        <w:spacing w:line="40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检测人在试验检测工作中必须使用中华人民共和国《工程建设标准强制性条文》（公路工程</w:t>
      </w:r>
      <w:r>
        <w:rPr>
          <w:rFonts w:hint="eastAsia" w:ascii="宋体" w:hAnsi="宋体" w:eastAsia="宋体" w:cs="宋体"/>
          <w:color w:val="auto"/>
          <w:kern w:val="0"/>
          <w:sz w:val="21"/>
          <w:szCs w:val="21"/>
          <w:highlight w:val="none"/>
          <w:lang w:eastAsia="zh-CN"/>
        </w:rPr>
        <w:t>部</w:t>
      </w:r>
      <w:r>
        <w:rPr>
          <w:rFonts w:hint="eastAsia" w:ascii="宋体" w:hAnsi="宋体" w:eastAsia="宋体" w:cs="宋体"/>
          <w:color w:val="auto"/>
          <w:kern w:val="0"/>
          <w:sz w:val="21"/>
          <w:szCs w:val="21"/>
          <w:highlight w:val="none"/>
        </w:rPr>
        <w:t>分）和下述标准、规范（不限于）：</w:t>
      </w:r>
    </w:p>
    <w:p>
      <w:pPr>
        <w:keepNext/>
        <w:keepLines/>
        <w:spacing w:before="100" w:line="400" w:lineRule="exact"/>
        <w:outlineLvl w:val="1"/>
        <w:rPr>
          <w:rFonts w:hint="eastAsia" w:ascii="宋体" w:hAnsi="宋体" w:eastAsia="宋体" w:cs="宋体"/>
          <w:b/>
          <w:bCs/>
          <w:color w:val="auto"/>
          <w:kern w:val="0"/>
          <w:sz w:val="21"/>
          <w:szCs w:val="21"/>
          <w:highlight w:val="none"/>
        </w:rPr>
      </w:pPr>
      <w:bookmarkStart w:id="389" w:name="_Toc21144"/>
      <w:bookmarkStart w:id="390" w:name="_Toc30263"/>
      <w:bookmarkStart w:id="391" w:name="_Toc27895"/>
      <w:r>
        <w:rPr>
          <w:rFonts w:hint="eastAsia" w:ascii="宋体" w:hAnsi="宋体" w:eastAsia="宋体" w:cs="宋体"/>
          <w:b/>
          <w:bCs/>
          <w:color w:val="auto"/>
          <w:kern w:val="0"/>
          <w:sz w:val="21"/>
          <w:szCs w:val="21"/>
          <w:highlight w:val="none"/>
        </w:rPr>
        <w:t>1.法律法规、规范性文件</w:t>
      </w:r>
      <w:bookmarkEnd w:id="389"/>
      <w:bookmarkEnd w:id="390"/>
      <w:bookmarkEnd w:id="391"/>
    </w:p>
    <w:tbl>
      <w:tblPr>
        <w:tblStyle w:val="43"/>
        <w:tblW w:w="9360" w:type="dxa"/>
        <w:tblInd w:w="15" w:type="dxa"/>
        <w:tblLayout w:type="fixed"/>
        <w:tblCellMar>
          <w:top w:w="15" w:type="dxa"/>
          <w:left w:w="15" w:type="dxa"/>
          <w:bottom w:w="15" w:type="dxa"/>
          <w:right w:w="15" w:type="dxa"/>
        </w:tblCellMar>
      </w:tblPr>
      <w:tblGrid>
        <w:gridCol w:w="9360"/>
      </w:tblGrid>
      <w:tr>
        <w:tblPrEx>
          <w:tblCellMar>
            <w:top w:w="15" w:type="dxa"/>
            <w:left w:w="15" w:type="dxa"/>
            <w:bottom w:w="15" w:type="dxa"/>
            <w:right w:w="15" w:type="dxa"/>
          </w:tblCellMar>
        </w:tblPrEx>
        <w:trPr>
          <w:trHeight w:val="90" w:hRule="atLeast"/>
        </w:trPr>
        <w:tc>
          <w:tcPr>
            <w:tcW w:w="9360" w:type="dxa"/>
            <w:noWrap w:val="0"/>
            <w:vAlign w:val="center"/>
          </w:tcPr>
          <w:p>
            <w:pPr>
              <w:widowControl/>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1.《浙江省交通建设工程质量和安全生产管理条例》</w:t>
            </w:r>
          </w:p>
        </w:tc>
      </w:tr>
      <w:tr>
        <w:tblPrEx>
          <w:tblCellMar>
            <w:top w:w="15" w:type="dxa"/>
            <w:left w:w="15" w:type="dxa"/>
            <w:bottom w:w="15" w:type="dxa"/>
            <w:right w:w="15" w:type="dxa"/>
          </w:tblCellMar>
        </w:tblPrEx>
        <w:trPr>
          <w:trHeight w:val="285" w:hRule="atLeast"/>
        </w:trPr>
        <w:tc>
          <w:tcPr>
            <w:tcW w:w="9360" w:type="dxa"/>
            <w:noWrap w:val="0"/>
            <w:vAlign w:val="center"/>
          </w:tcPr>
          <w:p>
            <w:pPr>
              <w:widowControl/>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1"/>
                <w:szCs w:val="21"/>
                <w:highlight w:val="none"/>
              </w:rPr>
              <w:t>《公路水运工程</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检测管理办法》</w:t>
            </w:r>
            <w:r>
              <w:rPr>
                <w:rFonts w:hint="eastAsia" w:ascii="宋体" w:hAnsi="宋体" w:eastAsia="宋体" w:cs="宋体"/>
                <w:color w:val="auto"/>
                <w:kern w:val="0"/>
                <w:sz w:val="21"/>
                <w:szCs w:val="21"/>
                <w:highlight w:val="none"/>
                <w:lang w:eastAsia="zh-CN"/>
              </w:rPr>
              <w:t>（交通运输部</w:t>
            </w:r>
            <w:r>
              <w:rPr>
                <w:rFonts w:hint="eastAsia" w:ascii="宋体" w:hAnsi="宋体" w:eastAsia="宋体" w:cs="宋体"/>
                <w:color w:val="auto"/>
                <w:kern w:val="0"/>
                <w:sz w:val="21"/>
                <w:szCs w:val="21"/>
                <w:highlight w:val="none"/>
              </w:rPr>
              <w:t>令</w:t>
            </w:r>
            <w:r>
              <w:rPr>
                <w:rFonts w:hint="eastAsia" w:ascii="宋体" w:hAnsi="宋体" w:eastAsia="宋体" w:cs="宋体"/>
                <w:color w:val="auto"/>
                <w:kern w:val="0"/>
                <w:sz w:val="21"/>
                <w:szCs w:val="21"/>
                <w:highlight w:val="none"/>
                <w:lang w:eastAsia="zh-CN"/>
              </w:rPr>
              <w:t>2023年第9号</w:t>
            </w:r>
            <w:r>
              <w:rPr>
                <w:rFonts w:hint="eastAsia" w:ascii="宋体" w:hAnsi="宋体" w:eastAsia="宋体" w:cs="宋体"/>
                <w:color w:val="auto"/>
                <w:kern w:val="0"/>
                <w:sz w:val="21"/>
                <w:szCs w:val="21"/>
                <w:highlight w:val="none"/>
              </w:rPr>
              <w:t>令</w:t>
            </w:r>
            <w:r>
              <w:rPr>
                <w:rFonts w:hint="eastAsia" w:ascii="宋体" w:hAnsi="宋体" w:eastAsia="宋体" w:cs="宋体"/>
                <w:color w:val="auto"/>
                <w:kern w:val="0"/>
                <w:sz w:val="21"/>
                <w:szCs w:val="21"/>
                <w:highlight w:val="none"/>
                <w:lang w:eastAsia="zh-CN"/>
              </w:rPr>
              <w:t>）</w:t>
            </w:r>
          </w:p>
        </w:tc>
      </w:tr>
      <w:tr>
        <w:tblPrEx>
          <w:tblCellMar>
            <w:top w:w="15" w:type="dxa"/>
            <w:left w:w="15" w:type="dxa"/>
            <w:bottom w:w="15" w:type="dxa"/>
            <w:right w:w="15" w:type="dxa"/>
          </w:tblCellMar>
        </w:tblPrEx>
        <w:trPr>
          <w:trHeight w:val="285" w:hRule="atLeast"/>
        </w:trPr>
        <w:tc>
          <w:tcPr>
            <w:tcW w:w="9360" w:type="dxa"/>
            <w:noWrap w:val="0"/>
            <w:vAlign w:val="center"/>
          </w:tcPr>
          <w:p>
            <w:pPr>
              <w:widowControl/>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.《公路工程竣（交）工验收办法》（</w:t>
            </w:r>
            <w:r>
              <w:rPr>
                <w:rFonts w:hint="eastAsia" w:ascii="宋体" w:hAnsi="宋体" w:eastAsia="宋体" w:cs="宋体"/>
                <w:color w:val="auto"/>
                <w:kern w:val="0"/>
                <w:sz w:val="21"/>
                <w:szCs w:val="21"/>
                <w:highlight w:val="none"/>
                <w:lang w:eastAsia="zh-CN"/>
              </w:rPr>
              <w:t>交通运输部</w:t>
            </w:r>
            <w:r>
              <w:rPr>
                <w:rFonts w:hint="eastAsia" w:ascii="宋体" w:hAnsi="宋体" w:eastAsia="宋体" w:cs="宋体"/>
                <w:color w:val="auto"/>
                <w:kern w:val="0"/>
                <w:sz w:val="21"/>
                <w:szCs w:val="21"/>
                <w:highlight w:val="none"/>
              </w:rPr>
              <w:t>2004年第3号令）</w:t>
            </w:r>
          </w:p>
        </w:tc>
      </w:tr>
      <w:tr>
        <w:tblPrEx>
          <w:tblCellMar>
            <w:top w:w="15" w:type="dxa"/>
            <w:left w:w="15" w:type="dxa"/>
            <w:bottom w:w="15" w:type="dxa"/>
            <w:right w:w="15" w:type="dxa"/>
          </w:tblCellMar>
        </w:tblPrEx>
        <w:trPr>
          <w:trHeight w:val="285" w:hRule="atLeast"/>
        </w:trPr>
        <w:tc>
          <w:tcPr>
            <w:tcW w:w="9360" w:type="dxa"/>
            <w:noWrap w:val="0"/>
            <w:vAlign w:val="center"/>
          </w:tcPr>
          <w:p>
            <w:pPr>
              <w:widowControl/>
              <w:spacing w:line="3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《公路工程竣（交）工验收办法实施细则》（交公路发[2010]65号）</w:t>
            </w:r>
          </w:p>
        </w:tc>
      </w:tr>
      <w:tr>
        <w:tblPrEx>
          <w:tblCellMar>
            <w:top w:w="15" w:type="dxa"/>
            <w:left w:w="15" w:type="dxa"/>
            <w:bottom w:w="15" w:type="dxa"/>
            <w:right w:w="15" w:type="dxa"/>
          </w:tblCellMar>
        </w:tblPrEx>
        <w:trPr>
          <w:trHeight w:val="285" w:hRule="atLeast"/>
        </w:trPr>
        <w:tc>
          <w:tcPr>
            <w:tcW w:w="9360" w:type="dxa"/>
            <w:noWrap w:val="0"/>
            <w:vAlign w:val="center"/>
          </w:tcPr>
          <w:p>
            <w:pPr>
              <w:widowControl/>
              <w:spacing w:line="360" w:lineRule="exact"/>
              <w:jc w:val="left"/>
              <w:rPr>
                <w:rFonts w:hint="eastAsia" w:ascii="宋体" w:hAnsi="宋体" w:eastAsia="宋体" w:cs="宋体"/>
                <w:color w:val="auto"/>
                <w:kern w:val="0"/>
                <w:sz w:val="21"/>
                <w:szCs w:val="21"/>
                <w:highlight w:val="none"/>
                <w:lang w:val="en-US" w:eastAsia="zh-CN"/>
              </w:rPr>
            </w:pPr>
            <w:bookmarkStart w:id="392" w:name="_Toc12764"/>
            <w:bookmarkStart w:id="393" w:name="_Toc7482"/>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.《浙江省公路工程竣（交）工验收办法》（浙交[2019]184号）</w:t>
            </w:r>
          </w:p>
        </w:tc>
      </w:tr>
    </w:tbl>
    <w:p>
      <w:pPr>
        <w:keepNext/>
        <w:keepLines/>
        <w:spacing w:before="100" w:line="400" w:lineRule="exact"/>
        <w:outlineLvl w:val="1"/>
        <w:rPr>
          <w:rFonts w:hint="eastAsia" w:ascii="宋体" w:hAnsi="宋体" w:eastAsia="宋体" w:cs="宋体"/>
          <w:b/>
          <w:bCs/>
          <w:color w:val="auto"/>
          <w:kern w:val="0"/>
          <w:sz w:val="21"/>
          <w:szCs w:val="21"/>
          <w:highlight w:val="none"/>
        </w:rPr>
      </w:pPr>
      <w:bookmarkStart w:id="394" w:name="_Toc1284"/>
      <w:r>
        <w:rPr>
          <w:rFonts w:hint="eastAsia" w:ascii="宋体" w:hAnsi="宋体" w:eastAsia="宋体" w:cs="宋体"/>
          <w:b/>
          <w:bCs/>
          <w:color w:val="auto"/>
          <w:kern w:val="0"/>
          <w:sz w:val="21"/>
          <w:szCs w:val="21"/>
          <w:highlight w:val="none"/>
        </w:rPr>
        <w:t>2.试验检测技术标准与规范</w:t>
      </w:r>
      <w:bookmarkEnd w:id="392"/>
      <w:bookmarkEnd w:id="393"/>
      <w:bookmarkEnd w:id="394"/>
    </w:p>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通用部分</w:t>
      </w:r>
    </w:p>
    <w:tbl>
      <w:tblPr>
        <w:tblStyle w:val="43"/>
        <w:tblW w:w="9360" w:type="dxa"/>
        <w:tblInd w:w="15" w:type="dxa"/>
        <w:tblLayout w:type="fixed"/>
        <w:tblCellMar>
          <w:top w:w="15" w:type="dxa"/>
          <w:left w:w="15" w:type="dxa"/>
          <w:bottom w:w="15" w:type="dxa"/>
          <w:right w:w="15" w:type="dxa"/>
        </w:tblCellMar>
      </w:tblPr>
      <w:tblGrid>
        <w:gridCol w:w="3420"/>
        <w:gridCol w:w="240"/>
        <w:gridCol w:w="5700"/>
      </w:tblGrid>
      <w:tr>
        <w:tblPrEx>
          <w:tblCellMar>
            <w:top w:w="15" w:type="dxa"/>
            <w:left w:w="15" w:type="dxa"/>
            <w:bottom w:w="15" w:type="dxa"/>
            <w:right w:w="15" w:type="dxa"/>
          </w:tblCellMar>
        </w:tblPrEx>
        <w:trPr>
          <w:trHeight w:val="90" w:hRule="atLeast"/>
        </w:trPr>
        <w:tc>
          <w:tcPr>
            <w:tcW w:w="3420" w:type="dxa"/>
            <w:noWrap w:val="0"/>
            <w:vAlign w:val="center"/>
          </w:tcPr>
          <w:p>
            <w:pPr>
              <w:widowControl/>
              <w:numPr>
                <w:ilvl w:val="0"/>
                <w:numId w:val="5"/>
              </w:numPr>
              <w:spacing w:line="400" w:lineRule="exact"/>
              <w:ind w:left="284" w:hanging="28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JGJ/T 193</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《混凝土耐久性检验评定标准》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50204</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《混凝土结构工程施工质量验收规范》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50205</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《钢结构工程施工质量验收标准》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 50026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《工程测量标准》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8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《建筑变形测量规范》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12897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《国家一、二等水准测量规范》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12898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《国家三、四等水准测量规范》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tabs>
                <w:tab w:val="left" w:pos="525"/>
                <w:tab w:val="left" w:pos="685"/>
              </w:tabs>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50497</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《建筑基坑工程监测技术标准》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tabs>
                <w:tab w:val="left" w:pos="525"/>
              </w:tabs>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50202</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《建筑地基基础工程施工质量验收标准》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50344</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《建筑结构检测技术标准》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106   </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《建筑基桩检测技术规范》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79 </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《建筑地基处理技术规范》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JT/T 695</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《混凝土桥梁结构表面涂层防腐技术条件》</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50496</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《大体积混凝土施工标准》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55008</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《混凝土结构通用规范》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50152</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《混凝土结构试验方法标准》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CECS 22</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《岩土锚杆（索）技术规程》</w:t>
            </w:r>
          </w:p>
        </w:tc>
      </w:tr>
      <w:tr>
        <w:tblPrEx>
          <w:tblCellMar>
            <w:top w:w="15" w:type="dxa"/>
            <w:left w:w="15" w:type="dxa"/>
            <w:bottom w:w="15" w:type="dxa"/>
            <w:right w:w="15" w:type="dxa"/>
          </w:tblCellMar>
        </w:tblPrEx>
        <w:trPr>
          <w:trHeight w:val="9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JGJ/T 401</w:t>
            </w:r>
          </w:p>
        </w:tc>
        <w:tc>
          <w:tcPr>
            <w:tcW w:w="240" w:type="dxa"/>
            <w:noWrap w:val="0"/>
            <w:vAlign w:val="center"/>
          </w:tcPr>
          <w:p>
            <w:pPr>
              <w:widowControl/>
              <w:spacing w:line="400" w:lineRule="exact"/>
              <w:jc w:val="center"/>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《锚杆检测与监测技术规程》</w:t>
            </w:r>
          </w:p>
        </w:tc>
      </w:tr>
      <w:tr>
        <w:tblPrEx>
          <w:tblCellMar>
            <w:top w:w="15" w:type="dxa"/>
            <w:left w:w="15" w:type="dxa"/>
            <w:bottom w:w="15" w:type="dxa"/>
            <w:right w:w="15" w:type="dxa"/>
          </w:tblCellMar>
        </w:tblPrEx>
        <w:trPr>
          <w:trHeight w:val="90" w:hRule="atLeast"/>
        </w:trPr>
        <w:tc>
          <w:tcPr>
            <w:tcW w:w="9360" w:type="dxa"/>
            <w:gridSpan w:val="3"/>
            <w:noWrap w:val="0"/>
            <w:vAlign w:val="center"/>
          </w:tcPr>
          <w:p>
            <w:pPr>
              <w:widowControl/>
              <w:tabs>
                <w:tab w:val="left" w:pos="525"/>
              </w:tabs>
              <w:spacing w:line="400" w:lineRule="exact"/>
              <w:ind w:left="284"/>
              <w:jc w:val="left"/>
              <w:rPr>
                <w:rFonts w:hint="eastAsia" w:ascii="宋体" w:hAnsi="宋体" w:eastAsia="宋体" w:cs="宋体"/>
                <w:color w:val="auto"/>
                <w:kern w:val="0"/>
                <w:sz w:val="21"/>
                <w:szCs w:val="21"/>
                <w:highlight w:val="none"/>
              </w:rPr>
            </w:pPr>
          </w:p>
        </w:tc>
      </w:tr>
    </w:tbl>
    <w:p>
      <w:pPr>
        <w:spacing w:line="400" w:lineRule="exact"/>
        <w:ind w:right="613" w:rightChars="29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 公路工程专用部分</w:t>
      </w:r>
    </w:p>
    <w:tbl>
      <w:tblPr>
        <w:tblStyle w:val="43"/>
        <w:tblW w:w="9360" w:type="dxa"/>
        <w:tblInd w:w="15" w:type="dxa"/>
        <w:tblLayout w:type="fixed"/>
        <w:tblCellMar>
          <w:top w:w="15" w:type="dxa"/>
          <w:left w:w="15" w:type="dxa"/>
          <w:bottom w:w="15" w:type="dxa"/>
          <w:right w:w="15" w:type="dxa"/>
        </w:tblCellMar>
      </w:tblPr>
      <w:tblGrid>
        <w:gridCol w:w="3420"/>
        <w:gridCol w:w="240"/>
        <w:gridCol w:w="5700"/>
      </w:tblGrid>
      <w:tr>
        <w:tblPrEx>
          <w:tblCellMar>
            <w:top w:w="15" w:type="dxa"/>
            <w:left w:w="15" w:type="dxa"/>
            <w:bottom w:w="15" w:type="dxa"/>
            <w:right w:w="15" w:type="dxa"/>
          </w:tblCellMar>
        </w:tblPrEx>
        <w:trPr>
          <w:trHeight w:val="30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B01</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《公路工程技术标准》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JTJ 002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《公路工程名词术语》</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F80/1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《公路工程质量检验评定标准 第一册 土建工程 》</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2182</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《公路工程质量检验评定标准 第二册 机电工程》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50300</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《建筑工程施工质量验收统一标准》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50210</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《建筑装饰装修工程质量验收标准》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50203</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《砌体结构工程施工质量验收规范》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《公路桥涵设计通用规范》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《公路圬工桥涵设计规范》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3363</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《公路桥涵地基与基础设计规范》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3363</w:t>
            </w:r>
          </w:p>
        </w:tc>
        <w:tc>
          <w:tcPr>
            <w:tcW w:w="24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《公路钢结构桥梁设计规范》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3362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《公路钢筋混凝土及预应力混凝土桥涵设计规范》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w:t>
            </w:r>
            <w:r>
              <w:rPr>
                <w:rFonts w:hint="eastAsia" w:ascii="宋体" w:hAnsi="宋体" w:eastAsia="宋体" w:cs="宋体"/>
                <w:color w:val="auto"/>
                <w:kern w:val="0"/>
                <w:sz w:val="21"/>
                <w:szCs w:val="21"/>
                <w:highlight w:val="none"/>
                <w:lang w:val="en-US" w:eastAsia="zh-CN"/>
              </w:rPr>
              <w:t>D64-2015</w:t>
            </w:r>
            <w:r>
              <w:rPr>
                <w:rFonts w:hint="eastAsia" w:ascii="宋体" w:hAnsi="宋体" w:eastAsia="宋体" w:cs="宋体"/>
                <w:color w:val="auto"/>
                <w:kern w:val="0"/>
                <w:sz w:val="21"/>
                <w:szCs w:val="21"/>
                <w:highlight w:val="none"/>
              </w:rPr>
              <w:t xml:space="preserve">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《公路桥涵地基与基础设计规范》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3370.1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《公路隧道设计规范 第一册 土建工程》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D70/2</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《公路隧道设计规范 第二册 交通工程与附属设施》</w:t>
            </w:r>
          </w:p>
        </w:tc>
      </w:tr>
      <w:tr>
        <w:tblPrEx>
          <w:tblCellMar>
            <w:top w:w="15" w:type="dxa"/>
            <w:left w:w="15" w:type="dxa"/>
            <w:bottom w:w="15" w:type="dxa"/>
            <w:right w:w="15" w:type="dxa"/>
          </w:tblCellMar>
        </w:tblPrEx>
        <w:trPr>
          <w:trHeight w:val="30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D70</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《公路隧道设计细则》</w:t>
            </w:r>
          </w:p>
        </w:tc>
      </w:tr>
      <w:tr>
        <w:tblPrEx>
          <w:tblCellMar>
            <w:top w:w="15" w:type="dxa"/>
            <w:left w:w="15" w:type="dxa"/>
            <w:bottom w:w="15" w:type="dxa"/>
            <w:right w:w="15" w:type="dxa"/>
          </w:tblCellMar>
        </w:tblPrEx>
        <w:trPr>
          <w:trHeight w:val="30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D70/2-01</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《公路隧道照明设计细则》</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D70/2-02</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《公路隧道通风设计细则》</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5210</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《公路技术状况评定标准》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J21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《公路桥梁承载能力检测评定规程》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H21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《公路桥梁技术状况评定标准》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3610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《公路路基施工技术规范》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F20</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《公路路面基层施工技术细则》</w:t>
            </w:r>
          </w:p>
        </w:tc>
      </w:tr>
      <w:tr>
        <w:tblPrEx>
          <w:tblCellMar>
            <w:top w:w="15" w:type="dxa"/>
            <w:left w:w="15" w:type="dxa"/>
            <w:bottom w:w="15" w:type="dxa"/>
            <w:right w:w="15" w:type="dxa"/>
          </w:tblCellMar>
        </w:tblPrEx>
        <w:trPr>
          <w:trHeight w:val="9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F40</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《公路沥青路面施工技术规范》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5521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《公路沥青路面再生技术规范》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50092</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《沥青路面施工及验收规范》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JTJ/T F20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《公路路面基层施工技术细则》</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F30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《公路水泥混凝土路面施工技术细则》</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3650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3660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F72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《公路隧道交通工程与附属设施施工技术规范》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3671</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《公路交通安全设施施工技术规范》</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3450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《公路路基路面现场测试规程》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50621</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《钢结构现场检测技术标准》</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J21-01</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《公路桥梁荷载试验规程》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3520</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《公路机电工程测试规程》</w:t>
            </w:r>
          </w:p>
        </w:tc>
      </w:tr>
      <w:tr>
        <w:tblPrEx>
          <w:tblCellMar>
            <w:top w:w="15" w:type="dxa"/>
            <w:left w:w="15" w:type="dxa"/>
            <w:bottom w:w="15" w:type="dxa"/>
            <w:right w:w="15" w:type="dxa"/>
          </w:tblCellMar>
        </w:tblPrEx>
        <w:trPr>
          <w:trHeight w:val="285"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C10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《公路勘测规范》</w:t>
            </w:r>
          </w:p>
        </w:tc>
      </w:tr>
      <w:tr>
        <w:tblPrEx>
          <w:tblCellMar>
            <w:top w:w="15" w:type="dxa"/>
            <w:left w:w="15" w:type="dxa"/>
            <w:bottom w:w="15" w:type="dxa"/>
            <w:right w:w="15" w:type="dxa"/>
          </w:tblCellMar>
        </w:tblPrEx>
        <w:trPr>
          <w:trHeight w:val="36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3222   </w:t>
            </w:r>
          </w:p>
        </w:tc>
        <w:tc>
          <w:tcPr>
            <w:tcW w:w="240" w:type="dxa"/>
            <w:noWrap w:val="0"/>
            <w:vAlign w:val="center"/>
          </w:tcPr>
          <w:p>
            <w:pPr>
              <w:widowControl/>
              <w:spacing w:line="400" w:lineRule="exact"/>
              <w:rPr>
                <w:rFonts w:hint="eastAsia" w:ascii="宋体" w:hAnsi="宋体" w:eastAsia="宋体" w:cs="宋体"/>
                <w:color w:val="auto"/>
                <w:kern w:val="0"/>
                <w:sz w:val="21"/>
                <w:szCs w:val="21"/>
                <w:highlight w:val="none"/>
              </w:rPr>
            </w:pPr>
          </w:p>
        </w:tc>
        <w:tc>
          <w:tcPr>
            <w:tcW w:w="5700" w:type="dxa"/>
            <w:noWrap w:val="0"/>
            <w:vAlign w:val="center"/>
          </w:tcPr>
          <w:p>
            <w:pPr>
              <w:widowControl/>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《公路工程物探规程》</w:t>
            </w:r>
          </w:p>
        </w:tc>
      </w:tr>
      <w:tr>
        <w:tblPrEx>
          <w:tblCellMar>
            <w:top w:w="15" w:type="dxa"/>
            <w:left w:w="15" w:type="dxa"/>
            <w:bottom w:w="15" w:type="dxa"/>
            <w:right w:w="15" w:type="dxa"/>
          </w:tblCellMar>
        </w:tblPrEx>
        <w:trPr>
          <w:trHeight w:val="36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JT/T 495</w:t>
            </w:r>
          </w:p>
        </w:tc>
        <w:tc>
          <w:tcPr>
            <w:tcW w:w="240" w:type="dxa"/>
            <w:noWrap w:val="0"/>
            <w:vAlign w:val="center"/>
          </w:tcPr>
          <w:p>
            <w:pPr>
              <w:widowControl/>
              <w:tabs>
                <w:tab w:val="left" w:pos="525"/>
              </w:tabs>
              <w:spacing w:line="400" w:lineRule="exact"/>
              <w:rPr>
                <w:rFonts w:hint="eastAsia" w:ascii="宋体" w:hAnsi="宋体" w:eastAsia="宋体" w:cs="宋体"/>
                <w:color w:val="auto"/>
                <w:kern w:val="0"/>
                <w:sz w:val="21"/>
                <w:szCs w:val="21"/>
                <w:highlight w:val="none"/>
              </w:rPr>
            </w:pPr>
          </w:p>
        </w:tc>
        <w:tc>
          <w:tcPr>
            <w:tcW w:w="5700" w:type="dxa"/>
            <w:noWrap w:val="0"/>
            <w:vAlign w:val="top"/>
          </w:tcPr>
          <w:p>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《公路交通安全设施质量检验抽样方法》</w:t>
            </w:r>
          </w:p>
        </w:tc>
      </w:tr>
      <w:tr>
        <w:tblPrEx>
          <w:tblCellMar>
            <w:top w:w="15" w:type="dxa"/>
            <w:left w:w="15" w:type="dxa"/>
            <w:bottom w:w="15" w:type="dxa"/>
            <w:right w:w="15" w:type="dxa"/>
          </w:tblCellMar>
        </w:tblPrEx>
        <w:trPr>
          <w:trHeight w:val="360" w:hRule="atLeast"/>
        </w:trPr>
        <w:tc>
          <w:tcPr>
            <w:tcW w:w="3420" w:type="dxa"/>
            <w:noWrap w:val="0"/>
            <w:vAlign w:val="center"/>
          </w:tcPr>
          <w:p>
            <w:pPr>
              <w:widowControl/>
              <w:numPr>
                <w:ilvl w:val="0"/>
                <w:numId w:val="5"/>
              </w:numPr>
              <w:spacing w:line="400" w:lineRule="exact"/>
              <w:ind w:left="284" w:hanging="28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16311</w:t>
            </w:r>
          </w:p>
        </w:tc>
        <w:tc>
          <w:tcPr>
            <w:tcW w:w="240" w:type="dxa"/>
            <w:noWrap w:val="0"/>
            <w:vAlign w:val="center"/>
          </w:tcPr>
          <w:p>
            <w:pPr>
              <w:widowControl/>
              <w:tabs>
                <w:tab w:val="left" w:pos="525"/>
              </w:tabs>
              <w:spacing w:line="400" w:lineRule="exact"/>
              <w:rPr>
                <w:rFonts w:hint="eastAsia" w:ascii="宋体" w:hAnsi="宋体" w:eastAsia="宋体" w:cs="宋体"/>
                <w:color w:val="auto"/>
                <w:kern w:val="0"/>
                <w:sz w:val="21"/>
                <w:szCs w:val="21"/>
                <w:highlight w:val="none"/>
              </w:rPr>
            </w:pPr>
          </w:p>
        </w:tc>
        <w:tc>
          <w:tcPr>
            <w:tcW w:w="5700" w:type="dxa"/>
            <w:noWrap w:val="0"/>
            <w:vAlign w:val="top"/>
          </w:tcPr>
          <w:p>
            <w:pPr>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《道路交通标线质量要求和检测方法》</w:t>
            </w:r>
          </w:p>
        </w:tc>
      </w:tr>
    </w:tbl>
    <w:p>
      <w:pPr>
        <w:spacing w:line="360" w:lineRule="auto"/>
        <w:rPr>
          <w:rFonts w:hint="eastAsia" w:ascii="宋体" w:hAnsi="宋体" w:eastAsia="宋体" w:cs="宋体"/>
          <w:color w:val="auto"/>
          <w:szCs w:val="21"/>
          <w:highlight w:val="none"/>
        </w:rPr>
      </w:pPr>
    </w:p>
    <w:p>
      <w:pPr>
        <w:pStyle w:val="97"/>
        <w:rPr>
          <w:rFonts w:hint="eastAsia" w:ascii="宋体" w:hAnsi="宋体" w:eastAsia="宋体" w:cs="宋体"/>
          <w:color w:val="auto"/>
          <w:sz w:val="24"/>
          <w:szCs w:val="24"/>
          <w:highlight w:val="none"/>
        </w:rPr>
      </w:pPr>
      <w:bookmarkStart w:id="395" w:name="_Toc26806"/>
      <w:r>
        <w:rPr>
          <w:rFonts w:hint="eastAsia" w:ascii="宋体" w:hAnsi="宋体" w:eastAsia="宋体" w:cs="宋体"/>
          <w:color w:val="auto"/>
          <w:sz w:val="24"/>
          <w:szCs w:val="24"/>
          <w:highlight w:val="none"/>
        </w:rPr>
        <w:t>3.发包人根据工程需要另行补充的试验检测技术要求</w:t>
      </w:r>
      <w:bookmarkEnd w:id="395"/>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2"/>
        <w:jc w:val="center"/>
        <w:rPr>
          <w:rFonts w:hint="eastAsia" w:ascii="宋体" w:hAnsi="宋体" w:eastAsia="宋体" w:cs="宋体"/>
          <w:color w:val="auto"/>
          <w:szCs w:val="32"/>
          <w:highlight w:val="none"/>
        </w:rPr>
      </w:pPr>
      <w:bookmarkStart w:id="396" w:name="_Toc32323"/>
      <w:r>
        <w:rPr>
          <w:rFonts w:hint="eastAsia" w:ascii="宋体" w:hAnsi="宋体" w:eastAsia="宋体" w:cs="宋体"/>
          <w:color w:val="auto"/>
          <w:szCs w:val="32"/>
          <w:highlight w:val="none"/>
        </w:rPr>
        <w:t>第六章  报价清单</w:t>
      </w:r>
      <w:bookmarkEnd w:id="396"/>
    </w:p>
    <w:p>
      <w:pPr>
        <w:rPr>
          <w:rFonts w:hint="eastAsia" w:ascii="宋体" w:hAnsi="宋体" w:eastAsia="宋体" w:cs="宋体"/>
          <w:color w:val="auto"/>
          <w:highlight w:val="none"/>
        </w:rPr>
      </w:pPr>
    </w:p>
    <w:p>
      <w:pPr>
        <w:keepNext/>
        <w:keepLines/>
        <w:pageBreakBefore w:val="0"/>
        <w:widowControl w:val="0"/>
        <w:kinsoku/>
        <w:wordWrap/>
        <w:bidi w:val="0"/>
        <w:spacing w:before="0" w:beforeLines="0" w:after="0" w:afterLines="0" w:line="360" w:lineRule="auto"/>
        <w:jc w:val="both"/>
        <w:textAlignment w:val="auto"/>
        <w:outlineLvl w:val="1"/>
        <w:rPr>
          <w:rFonts w:hint="eastAsia" w:ascii="宋体" w:hAnsi="宋体" w:eastAsia="宋体" w:cs="宋体"/>
          <w:b/>
          <w:bCs/>
          <w:color w:val="auto"/>
          <w:kern w:val="2"/>
          <w:sz w:val="30"/>
          <w:szCs w:val="30"/>
          <w:highlight w:val="none"/>
          <w:lang w:val="en-US" w:eastAsia="zh-CN" w:bidi="ar-SA"/>
        </w:rPr>
      </w:pPr>
      <w:bookmarkStart w:id="397" w:name="_Toc66370476"/>
      <w:bookmarkStart w:id="398" w:name="_Toc50108091"/>
      <w:bookmarkStart w:id="399" w:name="_Toc8874"/>
      <w:bookmarkStart w:id="400" w:name="_Toc19473"/>
      <w:bookmarkStart w:id="401" w:name="_Toc41918935"/>
      <w:bookmarkStart w:id="402" w:name="_Toc438460381"/>
      <w:bookmarkStart w:id="403" w:name="_Toc18044"/>
      <w:r>
        <w:rPr>
          <w:rFonts w:hint="eastAsia" w:ascii="宋体" w:hAnsi="宋体" w:eastAsia="宋体" w:cs="宋体"/>
          <w:b/>
          <w:bCs/>
          <w:color w:val="auto"/>
          <w:kern w:val="2"/>
          <w:sz w:val="30"/>
          <w:szCs w:val="30"/>
          <w:highlight w:val="none"/>
          <w:lang w:val="en-US" w:eastAsia="zh-CN" w:bidi="ar-SA"/>
        </w:rPr>
        <w:t>1、报价清单说明</w:t>
      </w:r>
      <w:bookmarkEnd w:id="397"/>
      <w:bookmarkEnd w:id="398"/>
      <w:bookmarkEnd w:id="399"/>
      <w:bookmarkEnd w:id="400"/>
      <w:bookmarkEnd w:id="401"/>
      <w:bookmarkEnd w:id="402"/>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bookmarkStart w:id="404" w:name="_Toc438460382"/>
      <w:bookmarkEnd w:id="404"/>
      <w:bookmarkStart w:id="405" w:name="_Toc23931"/>
      <w:bookmarkStart w:id="406" w:name="_Toc50108092"/>
      <w:bookmarkStart w:id="407" w:name="_Toc3446"/>
      <w:bookmarkStart w:id="408" w:name="_Toc66370477"/>
      <w:bookmarkStart w:id="409" w:name="_Toc19080"/>
      <w:bookmarkStart w:id="410" w:name="_Toc41918936"/>
      <w:r>
        <w:rPr>
          <w:rFonts w:hint="eastAsia" w:ascii="宋体" w:hAnsi="宋体" w:eastAsia="宋体" w:cs="宋体"/>
          <w:color w:val="auto"/>
          <w:kern w:val="0"/>
          <w:sz w:val="21"/>
          <w:szCs w:val="21"/>
          <w:highlight w:val="none"/>
          <w:lang w:val="en-US" w:eastAsia="zh-CN" w:bidi="ar-SA"/>
        </w:rPr>
        <w:t xml:space="preserve">1.1 本报价清单应与招标文件中的投标人须知、通用合同条款、专用合同条款、技术标准和要求等一起阅读和理解。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 本报价清单中所列检测数量是估算的数量，仅作为投标报价的共同基础，不作为最终结算与支付的依据。实际支付应按实际完成的数量、合同条款规定的计量方法、报价清单的单价或总额价计算支付金额。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 报价清单中的检测项目单价参照浙江省物价局文件《浙江省交通建设工程质量检测和工程材料试验收费标准》（以下简称“收费标准”）等现行有效的收费标准执行；若《收费标准》中没有的项目单价，由投标人根据人工费、机械设备费、材料费、企业管理费、利润和税金等内容进行组价。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1.4 投标人的报价中应包含各种税金、管理费等所有相关费用。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 报价清单中的每一子目须填入单价或总额价，且只允许有一个报价。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 除非合同另有规定，报价清单中有标价的单价和总额价均已包括了为实施和完成合同工程所需的劳务、材料、设备、安装、缺陷修复、管理、保险、税费、利润等费用，以及合同明示或隐含的所有责任、义务和一般风险。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1.7 符合合同条款规定的全部费用应认为已被计入有标价的报价清单所列各子目之中。未列子目不予计量的工作，其费用应视为已分摊在本合同工程的有关子目的单价之中。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 报价清单中各项金额均以人民币</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元</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结算。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 安全生产费应不低于投标总报价（除 100 章费用外）的 2% ①。 </w:t>
      </w:r>
    </w:p>
    <w:p>
      <w:pPr>
        <w:pageBreakBefore w:val="0"/>
        <w:widowControl w:val="0"/>
        <w:kinsoku/>
        <w:wordWrap/>
        <w:bidi w:val="0"/>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 暂列金额的数量及拟用子目的说明：</w:t>
      </w:r>
      <w:r>
        <w:rPr>
          <w:rFonts w:hint="eastAsia" w:ascii="宋体" w:hAnsi="宋体" w:eastAsia="宋体" w:cs="宋体"/>
          <w:color w:val="auto"/>
          <w:kern w:val="0"/>
          <w:sz w:val="21"/>
          <w:szCs w:val="21"/>
          <w:highlight w:val="none"/>
          <w:u w:val="single"/>
          <w:lang w:val="en-US" w:eastAsia="zh-CN" w:bidi="ar-SA"/>
        </w:rPr>
        <w:t xml:space="preserve">     /   </w:t>
      </w:r>
      <w:r>
        <w:rPr>
          <w:rFonts w:hint="eastAsia" w:ascii="宋体" w:hAnsi="宋体" w:eastAsia="宋体" w:cs="宋体"/>
          <w:color w:val="auto"/>
          <w:kern w:val="0"/>
          <w:sz w:val="21"/>
          <w:szCs w:val="21"/>
          <w:highlight w:val="none"/>
          <w:lang w:val="en-US" w:eastAsia="zh-CN" w:bidi="ar-SA"/>
        </w:rPr>
        <w:t>。</w:t>
      </w:r>
    </w:p>
    <w:p>
      <w:pPr>
        <w:pStyle w:val="42"/>
        <w:framePr w:wrap="auto" w:vAnchor="margin" w:hAnchor="text" w:yAlign="inline"/>
        <w:rPr>
          <w:rFonts w:hint="eastAsia"/>
          <w:color w:val="auto"/>
          <w:highlight w:val="none"/>
          <w:lang w:val="en-US" w:eastAsia="zh-CN"/>
        </w:rPr>
      </w:pPr>
    </w:p>
    <w:p>
      <w:pPr>
        <w:keepNext/>
        <w:keepLines/>
        <w:pageBreakBefore w:val="0"/>
        <w:widowControl w:val="0"/>
        <w:kinsoku/>
        <w:wordWrap/>
        <w:bidi w:val="0"/>
        <w:spacing w:before="0" w:beforeLines="0" w:after="0" w:afterLines="0" w:line="360" w:lineRule="auto"/>
        <w:jc w:val="both"/>
        <w:textAlignment w:val="auto"/>
        <w:outlineLvl w:val="1"/>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2、其他说明</w:t>
      </w:r>
      <w:bookmarkEnd w:id="405"/>
      <w:bookmarkEnd w:id="406"/>
      <w:bookmarkEnd w:id="407"/>
      <w:bookmarkEnd w:id="408"/>
      <w:bookmarkEnd w:id="409"/>
      <w:bookmarkEnd w:id="410"/>
    </w:p>
    <w:p>
      <w:pPr>
        <w:pageBreakBefore w:val="0"/>
        <w:widowControl w:val="0"/>
        <w:kinsoku/>
        <w:wordWrap/>
        <w:bidi w:val="0"/>
        <w:spacing w:line="360" w:lineRule="auto"/>
        <w:ind w:firstLine="482"/>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p>
      <w:pPr>
        <w:pStyle w:val="42"/>
        <w:framePr w:wrap="auto" w:vAnchor="margin" w:hAnchor="text" w:yAlign="inline"/>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color w:val="auto"/>
          <w:kern w:val="0"/>
          <w:sz w:val="21"/>
          <w:szCs w:val="21"/>
          <w:highlight w:val="none"/>
          <w:lang w:val="en-US" w:eastAsia="zh-CN" w:bidi="ar-SA"/>
        </w:rPr>
      </w:pPr>
    </w:p>
    <w:p>
      <w:pPr>
        <w:pStyle w:val="42"/>
        <w:framePr w:wrap="auto" w:vAnchor="margin" w:hAnchor="text" w:yAlign="inline"/>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color w:val="auto"/>
          <w:kern w:val="0"/>
          <w:sz w:val="21"/>
          <w:szCs w:val="21"/>
          <w:highlight w:val="none"/>
          <w:lang w:val="en-US" w:eastAsia="zh-CN" w:bidi="ar-SA"/>
        </w:rPr>
      </w:pPr>
    </w:p>
    <w:p>
      <w:pPr>
        <w:pStyle w:val="42"/>
        <w:framePr w:wrap="auto" w:vAnchor="margin" w:hAnchor="text" w:yAlign="inline"/>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color w:val="auto"/>
          <w:kern w:val="0"/>
          <w:sz w:val="21"/>
          <w:szCs w:val="21"/>
          <w:highlight w:val="none"/>
          <w:lang w:val="en-US" w:eastAsia="zh-CN" w:bidi="ar-SA"/>
        </w:rPr>
      </w:pPr>
    </w:p>
    <w:p>
      <w:pPr>
        <w:pStyle w:val="42"/>
        <w:framePr w:wrap="auto" w:vAnchor="margin" w:hAnchor="text" w:yAlign="inline"/>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color w:val="auto"/>
          <w:kern w:val="0"/>
          <w:sz w:val="21"/>
          <w:szCs w:val="21"/>
          <w:highlight w:val="none"/>
          <w:lang w:val="en-US" w:eastAsia="zh-CN" w:bidi="ar-SA"/>
        </w:rPr>
      </w:pPr>
    </w:p>
    <w:p>
      <w:pPr>
        <w:pStyle w:val="42"/>
        <w:framePr w:wrap="auto" w:vAnchor="margin" w:hAnchor="text" w:yAlign="inline"/>
        <w:rPr>
          <w:rFonts w:hint="eastAsia" w:ascii="宋体" w:hAnsi="宋体" w:eastAsia="宋体" w:cs="宋体"/>
          <w:color w:val="auto"/>
          <w:kern w:val="0"/>
          <w:sz w:val="21"/>
          <w:szCs w:val="21"/>
          <w:highlight w:val="none"/>
          <w:lang w:val="en-US" w:eastAsia="zh-CN" w:bidi="ar-SA"/>
        </w:rPr>
      </w:pPr>
    </w:p>
    <w:p>
      <w:pPr>
        <w:rPr>
          <w:rFonts w:hint="eastAsia"/>
          <w:color w:val="auto"/>
          <w:highlight w:val="none"/>
          <w:lang w:val="en-US" w:eastAsia="zh-CN"/>
        </w:rPr>
      </w:pPr>
    </w:p>
    <w:p>
      <w:pPr>
        <w:spacing w:line="440" w:lineRule="exact"/>
        <w:jc w:val="left"/>
        <w:outlineLvl w:val="0"/>
        <w:rPr>
          <w:rFonts w:hint="eastAsia" w:ascii="宋体" w:hAnsi="宋体" w:eastAsia="宋体" w:cs="宋体"/>
          <w:b/>
          <w:bCs/>
          <w:color w:val="auto"/>
          <w:sz w:val="30"/>
          <w:szCs w:val="30"/>
          <w:highlight w:val="none"/>
        </w:rPr>
      </w:pPr>
      <w:bookmarkStart w:id="411" w:name="_Toc133408198"/>
      <w:bookmarkStart w:id="412" w:name="_Toc1582"/>
      <w:r>
        <w:rPr>
          <w:rFonts w:hint="eastAsia" w:ascii="宋体" w:hAnsi="宋体" w:eastAsia="宋体" w:cs="宋体"/>
          <w:b/>
          <w:bCs/>
          <w:color w:val="auto"/>
          <w:sz w:val="30"/>
          <w:szCs w:val="30"/>
          <w:highlight w:val="none"/>
        </w:rPr>
        <w:t>3.报价清单表</w:t>
      </w:r>
      <w:bookmarkEnd w:id="403"/>
      <w:bookmarkEnd w:id="411"/>
      <w:bookmarkEnd w:id="412"/>
    </w:p>
    <w:p>
      <w:pPr>
        <w:pStyle w:val="124"/>
        <w:widowControl/>
        <w:jc w:val="left"/>
        <w:rPr>
          <w:rFonts w:hint="eastAsia" w:ascii="宋体" w:hAnsi="宋体" w:eastAsia="宋体" w:cs="宋体"/>
          <w:color w:val="auto"/>
          <w:sz w:val="28"/>
          <w:szCs w:val="28"/>
          <w:highlight w:val="none"/>
        </w:rPr>
      </w:pPr>
      <w:bookmarkStart w:id="413" w:name="_Toc9094408"/>
      <w:bookmarkStart w:id="414" w:name="_Toc394322547"/>
      <w:bookmarkStart w:id="415" w:name="_Toc24701"/>
    </w:p>
    <w:p>
      <w:pPr>
        <w:pStyle w:val="134"/>
        <w:rPr>
          <w:rFonts w:hint="eastAsia" w:ascii="宋体" w:hAnsi="宋体" w:eastAsia="宋体" w:cs="宋体"/>
          <w:b w:val="0"/>
          <w:color w:val="auto"/>
          <w:sz w:val="21"/>
          <w:szCs w:val="21"/>
          <w:highlight w:val="none"/>
        </w:rPr>
      </w:pPr>
      <w:bookmarkStart w:id="416" w:name="_Toc17880"/>
      <w:bookmarkStart w:id="417" w:name="_Toc3515"/>
      <w:r>
        <w:rPr>
          <w:rFonts w:hint="eastAsia" w:ascii="宋体" w:hAnsi="宋体" w:eastAsia="宋体" w:cs="宋体"/>
          <w:b w:val="0"/>
          <w:color w:val="auto"/>
          <w:sz w:val="21"/>
          <w:szCs w:val="21"/>
          <w:highlight w:val="none"/>
        </w:rPr>
        <w:t>3.1现场专项检测报价清单表</w:t>
      </w:r>
      <w:bookmarkEnd w:id="416"/>
      <w:bookmarkEnd w:id="417"/>
    </w:p>
    <w:p>
      <w:pPr>
        <w:widowControl w:val="0"/>
        <w:spacing w:line="360" w:lineRule="auto"/>
        <w:jc w:val="center"/>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bCs/>
          <w:color w:val="auto"/>
          <w:kern w:val="2"/>
          <w:sz w:val="28"/>
          <w:szCs w:val="28"/>
          <w:highlight w:val="none"/>
          <w:lang w:val="en-US" w:eastAsia="zh-CN" w:bidi="ar-SA"/>
        </w:rPr>
        <w:t>报价清单表</w:t>
      </w:r>
    </w:p>
    <w:p>
      <w:pPr>
        <w:widowControl w:val="0"/>
        <w:spacing w:line="360" w:lineRule="auto"/>
        <w:ind w:firstLine="7168" w:firstLineChars="3400"/>
        <w:jc w:val="both"/>
        <w:rPr>
          <w:rFonts w:hint="eastAsia" w:ascii="宋体" w:hAnsi="宋体" w:eastAsia="宋体" w:cs="宋体"/>
          <w:b/>
          <w:color w:val="auto"/>
          <w:kern w:val="2"/>
          <w:sz w:val="21"/>
          <w:szCs w:val="21"/>
          <w:highlight w:val="none"/>
          <w:lang w:val="en-US" w:eastAsia="zh-CN" w:bidi="ar-SA"/>
        </w:rPr>
      </w:pPr>
    </w:p>
    <w:tbl>
      <w:tblPr>
        <w:tblStyle w:val="43"/>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9"/>
        <w:gridCol w:w="4276"/>
        <w:gridCol w:w="813"/>
        <w:gridCol w:w="1088"/>
        <w:gridCol w:w="1160"/>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4" w:hRule="exact"/>
          <w:jc w:val="center"/>
        </w:trPr>
        <w:tc>
          <w:tcPr>
            <w:tcW w:w="9640" w:type="dxa"/>
            <w:gridSpan w:val="6"/>
            <w:tcBorders>
              <w:top w:val="single" w:color="auto" w:sz="12" w:space="0"/>
              <w:left w:val="single" w:color="auto" w:sz="12" w:space="0"/>
              <w:bottom w:val="single" w:color="auto" w:sz="6" w:space="0"/>
              <w:right w:val="single" w:color="auto" w:sz="12" w:space="0"/>
            </w:tcBorders>
            <w:noWrap/>
            <w:vAlign w:val="center"/>
          </w:tcPr>
          <w:p>
            <w:pPr>
              <w:widowControl w:val="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第100章 总 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exact"/>
          <w:jc w:val="center"/>
        </w:trPr>
        <w:tc>
          <w:tcPr>
            <w:tcW w:w="1139"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子目号</w:t>
            </w:r>
          </w:p>
        </w:tc>
        <w:tc>
          <w:tcPr>
            <w:tcW w:w="4276"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子 目 名 称</w:t>
            </w:r>
          </w:p>
        </w:tc>
        <w:tc>
          <w:tcPr>
            <w:tcW w:w="813"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1088"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160"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1164"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exact"/>
          <w:jc w:val="center"/>
        </w:trPr>
        <w:tc>
          <w:tcPr>
            <w:tcW w:w="1139" w:type="dxa"/>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101</w:t>
            </w:r>
          </w:p>
        </w:tc>
        <w:tc>
          <w:tcPr>
            <w:tcW w:w="4276" w:type="dxa"/>
            <w:noWrap/>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现场费用</w:t>
            </w:r>
          </w:p>
        </w:tc>
        <w:tc>
          <w:tcPr>
            <w:tcW w:w="813"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088"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160"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164" w:type="dxa"/>
            <w:noWrap/>
            <w:vAlign w:val="center"/>
          </w:tcPr>
          <w:p>
            <w:pPr>
              <w:widowControl/>
              <w:jc w:val="center"/>
              <w:textAlignment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exact"/>
          <w:jc w:val="center"/>
        </w:trPr>
        <w:tc>
          <w:tcPr>
            <w:tcW w:w="1139" w:type="dxa"/>
            <w:noWrap/>
            <w:vAlign w:val="center"/>
          </w:tcPr>
          <w:p>
            <w:pPr>
              <w:widowControl/>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101-1</w:t>
            </w:r>
          </w:p>
        </w:tc>
        <w:tc>
          <w:tcPr>
            <w:tcW w:w="427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安全生产费</w:t>
            </w:r>
          </w:p>
        </w:tc>
        <w:tc>
          <w:tcPr>
            <w:tcW w:w="813"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总额</w:t>
            </w:r>
          </w:p>
        </w:tc>
        <w:tc>
          <w:tcPr>
            <w:tcW w:w="1088"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60"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164" w:type="dxa"/>
            <w:noWrap/>
            <w:vAlign w:val="center"/>
          </w:tcPr>
          <w:p>
            <w:pPr>
              <w:widowControl/>
              <w:jc w:val="center"/>
              <w:textAlignment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exact"/>
          <w:jc w:val="center"/>
        </w:trPr>
        <w:tc>
          <w:tcPr>
            <w:tcW w:w="1139"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101-3</w:t>
            </w:r>
          </w:p>
        </w:tc>
        <w:tc>
          <w:tcPr>
            <w:tcW w:w="427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交通设施</w:t>
            </w:r>
          </w:p>
        </w:tc>
        <w:tc>
          <w:tcPr>
            <w:tcW w:w="813"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总额</w:t>
            </w:r>
          </w:p>
        </w:tc>
        <w:tc>
          <w:tcPr>
            <w:tcW w:w="1088"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60" w:type="dxa"/>
            <w:noWrap/>
            <w:vAlign w:val="center"/>
          </w:tcPr>
          <w:p>
            <w:pPr>
              <w:jc w:val="center"/>
              <w:rPr>
                <w:rFonts w:hint="eastAsia" w:ascii="宋体" w:hAnsi="宋体" w:eastAsia="宋体" w:cs="宋体"/>
                <w:color w:val="auto"/>
                <w:kern w:val="0"/>
                <w:sz w:val="21"/>
                <w:szCs w:val="21"/>
                <w:highlight w:val="none"/>
              </w:rPr>
            </w:pPr>
          </w:p>
        </w:tc>
        <w:tc>
          <w:tcPr>
            <w:tcW w:w="1164"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exact"/>
          <w:jc w:val="center"/>
        </w:trPr>
        <w:tc>
          <w:tcPr>
            <w:tcW w:w="1139"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101-4</w:t>
            </w:r>
          </w:p>
        </w:tc>
        <w:tc>
          <w:tcPr>
            <w:tcW w:w="427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通讯设施</w:t>
            </w:r>
          </w:p>
        </w:tc>
        <w:tc>
          <w:tcPr>
            <w:tcW w:w="813"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总额</w:t>
            </w:r>
          </w:p>
        </w:tc>
        <w:tc>
          <w:tcPr>
            <w:tcW w:w="1088"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60" w:type="dxa"/>
            <w:noWrap/>
            <w:vAlign w:val="center"/>
          </w:tcPr>
          <w:p>
            <w:pPr>
              <w:jc w:val="center"/>
              <w:rPr>
                <w:rFonts w:hint="eastAsia" w:ascii="宋体" w:hAnsi="宋体" w:eastAsia="宋体" w:cs="宋体"/>
                <w:color w:val="auto"/>
                <w:kern w:val="0"/>
                <w:sz w:val="21"/>
                <w:szCs w:val="21"/>
                <w:highlight w:val="none"/>
              </w:rPr>
            </w:pPr>
          </w:p>
        </w:tc>
        <w:tc>
          <w:tcPr>
            <w:tcW w:w="1164"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exact"/>
          <w:jc w:val="center"/>
        </w:trPr>
        <w:tc>
          <w:tcPr>
            <w:tcW w:w="9640" w:type="dxa"/>
            <w:gridSpan w:val="6"/>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第100章合计   人民币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tc>
      </w:tr>
    </w:tbl>
    <w:p>
      <w:pPr>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p>
    <w:p>
      <w:pPr>
        <w:rPr>
          <w:rFonts w:hint="eastAsia" w:ascii="宋体" w:hAnsi="宋体" w:eastAsia="宋体" w:cs="宋体"/>
          <w:color w:val="auto"/>
          <w:sz w:val="21"/>
          <w:szCs w:val="21"/>
          <w:highlight w:val="none"/>
        </w:rPr>
        <w:sectPr>
          <w:footnotePr>
            <w:numFmt w:val="decimalEnclosedCircleChinese"/>
            <w:numRestart w:val="eachPage"/>
          </w:footnotePr>
          <w:pgSz w:w="11906" w:h="16838"/>
          <w:pgMar w:top="1418" w:right="1361" w:bottom="1418" w:left="1242" w:header="851" w:footer="992" w:gutter="0"/>
          <w:cols w:space="720" w:num="1"/>
        </w:sectPr>
      </w:pPr>
    </w:p>
    <w:p>
      <w:pPr>
        <w:widowControl w:val="0"/>
        <w:jc w:val="both"/>
        <w:rPr>
          <w:rFonts w:hint="eastAsia" w:ascii="Times New Roman" w:hAnsi="Times New Roman" w:eastAsia="Times New Roman" w:cs="Times New Roman"/>
          <w:color w:val="auto"/>
          <w:sz w:val="18"/>
          <w:szCs w:val="18"/>
          <w:highlight w:val="none"/>
          <w:lang w:bidi="ar-SA"/>
        </w:rPr>
      </w:pPr>
    </w:p>
    <w:p>
      <w:pPr>
        <w:widowControl w:val="0"/>
        <w:jc w:val="both"/>
        <w:rPr>
          <w:rFonts w:hint="eastAsia" w:ascii="Times New Roman" w:hAnsi="Times New Roman" w:eastAsia="Times New Roman" w:cs="Times New Roman"/>
          <w:color w:val="auto"/>
          <w:sz w:val="18"/>
          <w:szCs w:val="18"/>
          <w:highlight w:val="none"/>
          <w:lang w:bidi="ar-SA"/>
        </w:rPr>
      </w:pPr>
    </w:p>
    <w:tbl>
      <w:tblPr>
        <w:tblStyle w:val="43"/>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2"/>
        <w:gridCol w:w="4291"/>
        <w:gridCol w:w="814"/>
        <w:gridCol w:w="1090"/>
        <w:gridCol w:w="1163"/>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exact"/>
          <w:jc w:val="center"/>
        </w:trPr>
        <w:tc>
          <w:tcPr>
            <w:tcW w:w="9680" w:type="dxa"/>
            <w:gridSpan w:val="6"/>
            <w:tcBorders>
              <w:top w:val="single" w:color="auto" w:sz="12" w:space="0"/>
              <w:left w:val="single" w:color="auto" w:sz="12" w:space="0"/>
              <w:bottom w:val="single" w:color="auto" w:sz="6" w:space="0"/>
              <w:right w:val="single" w:color="auto" w:sz="12" w:space="0"/>
            </w:tcBorders>
            <w:noWrap/>
            <w:vAlign w:val="center"/>
          </w:tcPr>
          <w:p>
            <w:pPr>
              <w:widowControl w:val="0"/>
              <w:jc w:val="center"/>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第700章 隧道施工监测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exact"/>
          <w:jc w:val="center"/>
        </w:trPr>
        <w:tc>
          <w:tcPr>
            <w:tcW w:w="1142"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子目号</w:t>
            </w:r>
          </w:p>
        </w:tc>
        <w:tc>
          <w:tcPr>
            <w:tcW w:w="4291"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子 目 名 称</w:t>
            </w:r>
          </w:p>
        </w:tc>
        <w:tc>
          <w:tcPr>
            <w:tcW w:w="814"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1090"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163"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1180" w:type="dxa"/>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701</w:t>
            </w:r>
          </w:p>
        </w:tc>
        <w:tc>
          <w:tcPr>
            <w:tcW w:w="4291" w:type="dxa"/>
            <w:noWrap/>
            <w:vAlign w:val="center"/>
          </w:tcPr>
          <w:p>
            <w:pPr>
              <w:keepNext w:val="0"/>
              <w:keepLines w:val="0"/>
              <w:widowControl/>
              <w:suppressLineNumbers w:val="0"/>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洞内、外观察</w:t>
            </w:r>
          </w:p>
        </w:tc>
        <w:tc>
          <w:tcPr>
            <w:tcW w:w="814"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1163"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180" w:type="dxa"/>
            <w:noWrap/>
            <w:vAlign w:val="center"/>
          </w:tcPr>
          <w:p>
            <w:pPr>
              <w:widowControl/>
              <w:jc w:val="center"/>
              <w:textAlignment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702</w:t>
            </w:r>
          </w:p>
        </w:tc>
        <w:tc>
          <w:tcPr>
            <w:tcW w:w="4291" w:type="dxa"/>
            <w:noWrap/>
            <w:vAlign w:val="center"/>
          </w:tcPr>
          <w:p>
            <w:pPr>
              <w:keepNext w:val="0"/>
              <w:keepLines w:val="0"/>
              <w:widowControl/>
              <w:suppressLineNumbers w:val="0"/>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周边位移</w:t>
            </w:r>
          </w:p>
        </w:tc>
        <w:tc>
          <w:tcPr>
            <w:tcW w:w="814"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1163" w:type="dxa"/>
            <w:noWrap/>
            <w:vAlign w:val="center"/>
          </w:tcPr>
          <w:p>
            <w:pPr>
              <w:widowControl/>
              <w:jc w:val="center"/>
              <w:textAlignment w:val="center"/>
              <w:rPr>
                <w:rFonts w:hint="eastAsia" w:ascii="宋体" w:hAnsi="宋体" w:eastAsia="宋体" w:cs="宋体"/>
                <w:color w:val="auto"/>
                <w:kern w:val="0"/>
                <w:sz w:val="21"/>
                <w:szCs w:val="21"/>
                <w:highlight w:val="none"/>
              </w:rPr>
            </w:pPr>
          </w:p>
        </w:tc>
        <w:tc>
          <w:tcPr>
            <w:tcW w:w="1180" w:type="dxa"/>
            <w:noWrap/>
            <w:vAlign w:val="center"/>
          </w:tcPr>
          <w:p>
            <w:pPr>
              <w:widowControl/>
              <w:jc w:val="center"/>
              <w:textAlignment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703</w:t>
            </w:r>
          </w:p>
        </w:tc>
        <w:tc>
          <w:tcPr>
            <w:tcW w:w="4291" w:type="dxa"/>
            <w:noWrap/>
            <w:vAlign w:val="center"/>
          </w:tcPr>
          <w:p>
            <w:pPr>
              <w:keepNext w:val="0"/>
              <w:keepLines w:val="0"/>
              <w:widowControl/>
              <w:suppressLineNumbers w:val="0"/>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拱顶下沉</w:t>
            </w:r>
          </w:p>
        </w:tc>
        <w:tc>
          <w:tcPr>
            <w:tcW w:w="814"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704</w:t>
            </w:r>
          </w:p>
        </w:tc>
        <w:tc>
          <w:tcPr>
            <w:tcW w:w="4291" w:type="dxa"/>
            <w:noWrap/>
            <w:vAlign w:val="center"/>
          </w:tcPr>
          <w:p>
            <w:pPr>
              <w:keepNext w:val="0"/>
              <w:keepLines w:val="0"/>
              <w:widowControl/>
              <w:suppressLineNumbers w:val="0"/>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地表下沉</w:t>
            </w:r>
          </w:p>
        </w:tc>
        <w:tc>
          <w:tcPr>
            <w:tcW w:w="814"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706</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围岩体内位移</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0"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706-1</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洞内设点</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707</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90"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707-1</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围岩压力</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707-4</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钢支撑内力及外力</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717</w:t>
            </w:r>
          </w:p>
        </w:tc>
        <w:tc>
          <w:tcPr>
            <w:tcW w:w="4291" w:type="dxa"/>
            <w:noWrap/>
            <w:vAlign w:val="center"/>
          </w:tcPr>
          <w:p>
            <w:pPr>
              <w:keepNext w:val="0"/>
              <w:keepLines w:val="0"/>
              <w:widowControl/>
              <w:suppressLineNumbers w:val="0"/>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锚杆拉拔力</w:t>
            </w:r>
          </w:p>
        </w:tc>
        <w:tc>
          <w:tcPr>
            <w:tcW w:w="814"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180</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exact"/>
          <w:jc w:val="center"/>
        </w:trPr>
        <w:tc>
          <w:tcPr>
            <w:tcW w:w="114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718</w:t>
            </w:r>
          </w:p>
        </w:tc>
        <w:tc>
          <w:tcPr>
            <w:tcW w:w="4291"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拱脚沉降</w:t>
            </w:r>
          </w:p>
        </w:tc>
        <w:tc>
          <w:tcPr>
            <w:tcW w:w="81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断面</w:t>
            </w:r>
          </w:p>
        </w:tc>
        <w:tc>
          <w:tcPr>
            <w:tcW w:w="1090"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40</w:t>
            </w:r>
          </w:p>
        </w:tc>
        <w:tc>
          <w:tcPr>
            <w:tcW w:w="1163" w:type="dxa"/>
            <w:noWrap/>
            <w:vAlign w:val="center"/>
          </w:tcPr>
          <w:p>
            <w:pPr>
              <w:jc w:val="center"/>
              <w:rPr>
                <w:rFonts w:hint="eastAsia" w:ascii="宋体" w:hAnsi="宋体" w:eastAsia="宋体" w:cs="宋体"/>
                <w:color w:val="auto"/>
                <w:kern w:val="0"/>
                <w:sz w:val="21"/>
                <w:szCs w:val="21"/>
                <w:highlight w:val="none"/>
              </w:rPr>
            </w:pPr>
          </w:p>
        </w:tc>
        <w:tc>
          <w:tcPr>
            <w:tcW w:w="1180" w:type="dxa"/>
            <w:noWrap/>
            <w:vAlign w:val="center"/>
          </w:tcPr>
          <w:p>
            <w:pPr>
              <w:jc w:val="center"/>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exact"/>
          <w:jc w:val="center"/>
        </w:trPr>
        <w:tc>
          <w:tcPr>
            <w:tcW w:w="9680" w:type="dxa"/>
            <w:gridSpan w:val="6"/>
            <w:noWrap/>
            <w:vAlign w:val="center"/>
          </w:tcPr>
          <w:p>
            <w:pPr>
              <w:widowControl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第700章合计   人民币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tc>
      </w:tr>
    </w:tbl>
    <w:p>
      <w:pPr>
        <w:rPr>
          <w:rFonts w:hint="eastAsia"/>
          <w:color w:val="auto"/>
          <w:highlight w:val="none"/>
        </w:rPr>
        <w:sectPr>
          <w:footnotePr>
            <w:numFmt w:val="decimalEnclosedCircleChinese"/>
            <w:numRestart w:val="eachPage"/>
          </w:footnotePr>
          <w:pgSz w:w="11906" w:h="16838"/>
          <w:pgMar w:top="1418" w:right="1361" w:bottom="1418" w:left="1242" w:header="851" w:footer="992" w:gutter="0"/>
          <w:cols w:space="720" w:num="1"/>
        </w:sectPr>
      </w:pPr>
    </w:p>
    <w:p>
      <w:pPr>
        <w:pStyle w:val="134"/>
        <w:rPr>
          <w:rFonts w:hint="eastAsia" w:ascii="宋体" w:hAnsi="宋体" w:eastAsia="宋体" w:cs="宋体"/>
          <w:b/>
          <w:bCs/>
          <w:color w:val="auto"/>
          <w:sz w:val="21"/>
          <w:szCs w:val="21"/>
          <w:highlight w:val="none"/>
        </w:rPr>
      </w:pPr>
      <w:bookmarkStart w:id="418" w:name="_Toc30981"/>
      <w:r>
        <w:rPr>
          <w:rFonts w:hint="eastAsia" w:ascii="宋体" w:hAnsi="宋体" w:eastAsia="宋体" w:cs="宋体"/>
          <w:b/>
          <w:bCs/>
          <w:color w:val="auto"/>
          <w:sz w:val="21"/>
          <w:szCs w:val="21"/>
          <w:highlight w:val="none"/>
        </w:rPr>
        <w:t>3.2现场专项检测报价清单汇总表</w:t>
      </w:r>
      <w:bookmarkEnd w:id="418"/>
    </w:p>
    <w:p>
      <w:pPr>
        <w:spacing w:line="440"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none"/>
          <w:lang w:val="en-US" w:eastAsia="zh-CN"/>
        </w:rPr>
        <w:t>（</w:t>
      </w:r>
      <w:r>
        <w:rPr>
          <w:rFonts w:hint="eastAsia" w:ascii="宋体" w:hAnsi="宋体" w:eastAsia="宋体" w:cs="宋体"/>
          <w:color w:val="auto"/>
          <w:kern w:val="0"/>
          <w:sz w:val="22"/>
          <w:szCs w:val="22"/>
          <w:highlight w:val="none"/>
          <w:u w:val="none"/>
          <w:lang w:eastAsia="zh-CN"/>
        </w:rPr>
        <w:t>项目名称）</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lang w:val="en-US" w:eastAsia="zh-CN"/>
        </w:rPr>
        <w:t>（标段）</w:t>
      </w:r>
    </w:p>
    <w:tbl>
      <w:tblPr>
        <w:tblStyle w:val="43"/>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857"/>
        <w:gridCol w:w="4256"/>
        <w:gridCol w:w="24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jc w:val="center"/>
        </w:trPr>
        <w:tc>
          <w:tcPr>
            <w:tcW w:w="1130" w:type="dxa"/>
            <w:noWrap/>
            <w:vAlign w:val="center"/>
          </w:tcPr>
          <w:p>
            <w:pPr>
              <w:widowControl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857" w:type="dxa"/>
            <w:noWrap/>
            <w:vAlign w:val="center"/>
          </w:tcPr>
          <w:p>
            <w:pPr>
              <w:widowControl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章次</w:t>
            </w:r>
          </w:p>
        </w:tc>
        <w:tc>
          <w:tcPr>
            <w:tcW w:w="4256" w:type="dxa"/>
            <w:noWrap/>
            <w:vAlign w:val="center"/>
          </w:tcPr>
          <w:p>
            <w:pPr>
              <w:widowControl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科目名称</w:t>
            </w:r>
          </w:p>
        </w:tc>
        <w:tc>
          <w:tcPr>
            <w:tcW w:w="2415" w:type="dxa"/>
            <w:noWrap/>
            <w:vAlign w:val="center"/>
          </w:tcPr>
          <w:p>
            <w:pPr>
              <w:widowControl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jc w:val="center"/>
        </w:trPr>
        <w:tc>
          <w:tcPr>
            <w:tcW w:w="1130" w:type="dxa"/>
            <w:noWrap/>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1</w:t>
            </w:r>
          </w:p>
        </w:tc>
        <w:tc>
          <w:tcPr>
            <w:tcW w:w="1857" w:type="dxa"/>
            <w:noWrap/>
            <w:vAlign w:val="center"/>
          </w:tcPr>
          <w:p>
            <w:pPr>
              <w:keepNext w:val="0"/>
              <w:keepLines w:val="0"/>
              <w:widowControl/>
              <w:suppressLineNumbers w:val="0"/>
              <w:jc w:val="center"/>
              <w:textAlignment w:val="center"/>
              <w:rPr>
                <w:rFonts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总则</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exact"/>
          <w:jc w:val="center"/>
        </w:trPr>
        <w:tc>
          <w:tcPr>
            <w:tcW w:w="1130" w:type="dxa"/>
            <w:noWrap/>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w:t>
            </w:r>
          </w:p>
        </w:tc>
        <w:tc>
          <w:tcPr>
            <w:tcW w:w="1857"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地基基础、基桩</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p>
        </w:tc>
        <w:tc>
          <w:tcPr>
            <w:tcW w:w="185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软基监测</w:t>
            </w:r>
          </w:p>
        </w:tc>
        <w:tc>
          <w:tcPr>
            <w:tcW w:w="2415"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p>
        </w:tc>
        <w:tc>
          <w:tcPr>
            <w:tcW w:w="185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基坑监测</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exact"/>
          <w:jc w:val="center"/>
        </w:trPr>
        <w:tc>
          <w:tcPr>
            <w:tcW w:w="1130"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w:t>
            </w:r>
          </w:p>
        </w:tc>
        <w:tc>
          <w:tcPr>
            <w:tcW w:w="1857"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500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高边坡监测</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exact"/>
          <w:jc w:val="center"/>
        </w:trPr>
        <w:tc>
          <w:tcPr>
            <w:tcW w:w="1130"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w:t>
            </w:r>
          </w:p>
        </w:tc>
        <w:tc>
          <w:tcPr>
            <w:tcW w:w="1857"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桥梁施工监测</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w:t>
            </w:r>
          </w:p>
        </w:tc>
        <w:tc>
          <w:tcPr>
            <w:tcW w:w="1857"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隧道施工监测</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w:t>
            </w:r>
          </w:p>
        </w:tc>
        <w:tc>
          <w:tcPr>
            <w:tcW w:w="185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桥梁静、动载试验</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w:t>
            </w:r>
          </w:p>
        </w:tc>
        <w:tc>
          <w:tcPr>
            <w:tcW w:w="185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路面技术服务</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w:t>
            </w:r>
          </w:p>
        </w:tc>
        <w:tc>
          <w:tcPr>
            <w:tcW w:w="185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425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水工结构物评估检测</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1130" w:type="dxa"/>
            <w:noWrap/>
            <w:vAlign w:val="center"/>
          </w:tcPr>
          <w:p>
            <w:pPr>
              <w:widowControl w:val="0"/>
              <w:jc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w:t>
            </w:r>
          </w:p>
        </w:tc>
        <w:tc>
          <w:tcPr>
            <w:tcW w:w="6113" w:type="dxa"/>
            <w:gridSpan w:val="2"/>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第100章～1000章清单合计</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12</w:t>
            </w:r>
          </w:p>
        </w:tc>
        <w:tc>
          <w:tcPr>
            <w:tcW w:w="6113" w:type="dxa"/>
            <w:gridSpan w:val="2"/>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暂列金（12）=（11-1）</w:t>
            </w:r>
            <w:r>
              <w:rPr>
                <w:rFonts w:ascii="等线" w:hAnsi="等线" w:eastAsia="等线" w:cs="等线"/>
                <w:i w:val="0"/>
                <w:iCs w:val="0"/>
                <w:color w:val="auto"/>
                <w:kern w:val="0"/>
                <w:sz w:val="21"/>
                <w:szCs w:val="21"/>
                <w:highlight w:val="none"/>
                <w:u w:val="none"/>
                <w:lang w:val="en-US" w:eastAsia="zh-CN" w:bidi="ar"/>
              </w:rPr>
              <w:t>×</w:t>
            </w:r>
            <w:r>
              <w:rPr>
                <w:rFonts w:hint="eastAsia" w:ascii="等线" w:hAnsi="等线" w:eastAsia="等线" w:cs="等线"/>
                <w:i w:val="0"/>
                <w:iCs w:val="0"/>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exact"/>
          <w:jc w:val="center"/>
        </w:trPr>
        <w:tc>
          <w:tcPr>
            <w:tcW w:w="1130" w:type="dxa"/>
            <w:noWrap/>
            <w:vAlign w:val="center"/>
          </w:tcPr>
          <w:p>
            <w:pPr>
              <w:widowControl/>
              <w:jc w:val="center"/>
              <w:textAlignment w:val="center"/>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13</w:t>
            </w:r>
          </w:p>
        </w:tc>
        <w:tc>
          <w:tcPr>
            <w:tcW w:w="6113" w:type="dxa"/>
            <w:gridSpan w:val="2"/>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1"/>
                <w:szCs w:val="21"/>
                <w:highlight w:val="none"/>
                <w:u w:val="none"/>
                <w:lang w:val="en-US" w:eastAsia="zh-CN" w:bidi="ar"/>
              </w:rPr>
              <w:t>投标报价（13）= （11）+（12）</w:t>
            </w:r>
          </w:p>
        </w:tc>
        <w:tc>
          <w:tcPr>
            <w:tcW w:w="2415" w:type="dxa"/>
            <w:noWrap/>
            <w:vAlign w:val="center"/>
          </w:tcPr>
          <w:p>
            <w:pPr>
              <w:widowControl/>
              <w:jc w:val="center"/>
              <w:textAlignment w:val="center"/>
              <w:rPr>
                <w:rFonts w:hint="eastAsia" w:ascii="宋体" w:hAnsi="宋体" w:eastAsia="宋体" w:cs="宋体"/>
                <w:color w:val="auto"/>
                <w:kern w:val="0"/>
                <w:sz w:val="22"/>
                <w:szCs w:val="22"/>
                <w:highlight w:val="none"/>
                <w:lang w:bidi="ar"/>
              </w:rPr>
            </w:pPr>
          </w:p>
        </w:tc>
      </w:tr>
    </w:tbl>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p>
      <w:pPr>
        <w:pStyle w:val="124"/>
        <w:widowControl/>
        <w:jc w:val="left"/>
        <w:rPr>
          <w:rFonts w:hint="eastAsia" w:ascii="宋体" w:hAnsi="宋体" w:eastAsia="宋体" w:cs="宋体"/>
          <w:color w:val="auto"/>
          <w:sz w:val="28"/>
          <w:szCs w:val="28"/>
          <w:highlight w:val="none"/>
        </w:rPr>
      </w:pPr>
    </w:p>
    <w:bookmarkEnd w:id="413"/>
    <w:bookmarkEnd w:id="414"/>
    <w:bookmarkEnd w:id="415"/>
    <w:p>
      <w:pPr>
        <w:pStyle w:val="2"/>
        <w:jc w:val="center"/>
        <w:rPr>
          <w:rFonts w:hint="eastAsia" w:ascii="宋体" w:hAnsi="宋体" w:eastAsia="宋体" w:cs="宋体"/>
          <w:color w:val="auto"/>
          <w:szCs w:val="32"/>
          <w:highlight w:val="none"/>
        </w:rPr>
      </w:pPr>
      <w:bookmarkStart w:id="419" w:name="_Toc19694"/>
    </w:p>
    <w:p>
      <w:pPr>
        <w:pStyle w:val="2"/>
        <w:jc w:val="center"/>
        <w:rPr>
          <w:rFonts w:hint="eastAsia" w:ascii="宋体" w:hAnsi="宋体" w:eastAsia="宋体" w:cs="宋体"/>
          <w:color w:val="auto"/>
          <w:szCs w:val="32"/>
          <w:highlight w:val="none"/>
        </w:rPr>
      </w:pPr>
    </w:p>
    <w:p>
      <w:pPr>
        <w:pStyle w:val="2"/>
        <w:jc w:val="center"/>
        <w:rPr>
          <w:rFonts w:hint="eastAsia" w:ascii="宋体" w:hAnsi="宋体" w:eastAsia="宋体" w:cs="宋体"/>
          <w:color w:val="auto"/>
          <w:szCs w:val="32"/>
          <w:highlight w:val="none"/>
        </w:rPr>
      </w:pPr>
    </w:p>
    <w:p>
      <w:pPr>
        <w:pStyle w:val="2"/>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第七章  </w:t>
      </w:r>
      <w:r>
        <w:rPr>
          <w:rFonts w:hint="eastAsia" w:ascii="宋体" w:hAnsi="宋体" w:eastAsia="宋体" w:cs="宋体"/>
          <w:color w:val="auto"/>
          <w:szCs w:val="32"/>
          <w:highlight w:val="none"/>
          <w:lang w:eastAsia="zh-CN"/>
        </w:rPr>
        <w:t>交易响应文件</w:t>
      </w:r>
      <w:r>
        <w:rPr>
          <w:rFonts w:hint="eastAsia" w:ascii="宋体" w:hAnsi="宋体" w:eastAsia="宋体" w:cs="宋体"/>
          <w:color w:val="auto"/>
          <w:szCs w:val="32"/>
          <w:highlight w:val="none"/>
        </w:rPr>
        <w:t>格式</w:t>
      </w:r>
      <w:bookmarkEnd w:id="419"/>
    </w:p>
    <w:p>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sz w:val="36"/>
          <w:szCs w:val="36"/>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浙江省</w:t>
      </w:r>
    </w:p>
    <w:p>
      <w:pPr>
        <w:spacing w:line="440" w:lineRule="exact"/>
        <w:rPr>
          <w:rFonts w:hint="eastAsia" w:ascii="宋体" w:hAnsi="宋体" w:eastAsia="宋体" w:cs="宋体"/>
          <w:color w:val="auto"/>
          <w:sz w:val="36"/>
          <w:szCs w:val="36"/>
          <w:highlight w:val="none"/>
        </w:rPr>
      </w:pPr>
    </w:p>
    <w:p>
      <w:pPr>
        <w:spacing w:line="36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工程</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试验检测</w:t>
      </w: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t>交易响应文件</w:t>
      </w:r>
    </w:p>
    <w:p>
      <w:pPr>
        <w:rPr>
          <w:rFonts w:hint="eastAsia" w:ascii="宋体" w:hAnsi="宋体" w:eastAsia="宋体" w:cs="宋体"/>
          <w:color w:val="auto"/>
          <w:sz w:val="28"/>
          <w:szCs w:val="28"/>
          <w:highlight w:val="none"/>
        </w:rPr>
      </w:pPr>
    </w:p>
    <w:p>
      <w:pPr>
        <w:pStyle w:val="97"/>
        <w:jc w:val="center"/>
        <w:rPr>
          <w:rFonts w:hint="eastAsia" w:ascii="宋体" w:hAnsi="宋体" w:eastAsia="宋体" w:cs="宋体"/>
          <w:color w:val="auto"/>
          <w:sz w:val="52"/>
          <w:szCs w:val="52"/>
          <w:highlight w:val="none"/>
        </w:rPr>
      </w:pPr>
      <w:bookmarkStart w:id="420" w:name="_Toc28433"/>
      <w:bookmarkStart w:id="421" w:name="_Toc286827107"/>
      <w:bookmarkStart w:id="422" w:name="_Toc286830216"/>
      <w:bookmarkStart w:id="423" w:name="_Toc286826660"/>
      <w:r>
        <w:rPr>
          <w:rFonts w:hint="eastAsia" w:ascii="宋体" w:hAnsi="宋体" w:eastAsia="宋体" w:cs="宋体"/>
          <w:color w:val="auto"/>
          <w:sz w:val="52"/>
          <w:szCs w:val="52"/>
          <w:highlight w:val="none"/>
        </w:rPr>
        <w:t>第一卷商务文件</w:t>
      </w:r>
      <w:bookmarkEnd w:id="420"/>
      <w:bookmarkEnd w:id="421"/>
      <w:bookmarkEnd w:id="422"/>
      <w:bookmarkEnd w:id="423"/>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2"/>
        <w:spacing w:line="360" w:lineRule="auto"/>
        <w:ind w:firstLine="437"/>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交易响应人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盖单位章</w:t>
      </w:r>
      <w:r>
        <w:rPr>
          <w:rFonts w:hint="eastAsia" w:ascii="宋体" w:hAnsi="宋体" w:eastAsia="宋体" w:cs="宋体"/>
          <w:color w:val="auto"/>
          <w:sz w:val="28"/>
          <w:szCs w:val="28"/>
          <w:highlight w:val="none"/>
        </w:rPr>
        <w:t>）</w:t>
      </w:r>
    </w:p>
    <w:p>
      <w:pPr>
        <w:pStyle w:val="112"/>
        <w:spacing w:line="360" w:lineRule="auto"/>
        <w:ind w:firstLine="43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pStyle w:val="97"/>
        <w:jc w:val="center"/>
        <w:outlineLvl w:val="9"/>
        <w:rPr>
          <w:rFonts w:hint="eastAsia" w:ascii="宋体" w:hAnsi="宋体" w:eastAsia="宋体" w:cs="宋体"/>
          <w:color w:val="auto"/>
          <w:sz w:val="36"/>
          <w:szCs w:val="36"/>
          <w:highlight w:val="none"/>
        </w:rPr>
      </w:pPr>
      <w:r>
        <w:rPr>
          <w:rFonts w:hint="eastAsia" w:ascii="宋体" w:hAnsi="宋体" w:eastAsia="宋体" w:cs="宋体"/>
          <w:color w:val="auto"/>
          <w:szCs w:val="28"/>
          <w:highlight w:val="none"/>
        </w:rPr>
        <w:br w:type="page"/>
      </w:r>
      <w:bookmarkStart w:id="424" w:name="_Toc286827108"/>
      <w:bookmarkStart w:id="425" w:name="_Toc179632807"/>
      <w:bookmarkStart w:id="426" w:name="_Toc15022"/>
      <w:bookmarkStart w:id="427" w:name="_Toc286826661"/>
      <w:bookmarkStart w:id="428" w:name="_Toc152045787"/>
      <w:bookmarkStart w:id="429" w:name="_Toc152042576"/>
      <w:bookmarkStart w:id="430" w:name="_Toc286830217"/>
      <w:bookmarkStart w:id="431" w:name="_Toc144974856"/>
      <w:r>
        <w:rPr>
          <w:rFonts w:hint="eastAsia" w:ascii="宋体" w:hAnsi="宋体" w:eastAsia="宋体" w:cs="宋体"/>
          <w:color w:val="auto"/>
          <w:sz w:val="36"/>
          <w:szCs w:val="36"/>
          <w:highlight w:val="none"/>
        </w:rPr>
        <w:t>目录</w:t>
      </w:r>
      <w:bookmarkEnd w:id="424"/>
      <w:bookmarkEnd w:id="425"/>
      <w:bookmarkEnd w:id="426"/>
      <w:bookmarkEnd w:id="427"/>
      <w:bookmarkEnd w:id="428"/>
      <w:bookmarkEnd w:id="429"/>
      <w:bookmarkEnd w:id="430"/>
      <w:bookmarkEnd w:id="431"/>
    </w:p>
    <w:p>
      <w:pPr>
        <w:spacing w:line="540" w:lineRule="exact"/>
        <w:rPr>
          <w:rFonts w:hint="eastAsia" w:ascii="宋体" w:hAnsi="宋体" w:eastAsia="宋体" w:cs="宋体"/>
          <w:color w:val="auto"/>
          <w:highlight w:val="none"/>
        </w:rPr>
      </w:pPr>
    </w:p>
    <w:p>
      <w:pPr>
        <w:spacing w:line="540" w:lineRule="exact"/>
        <w:ind w:left="1701" w:leftChars="810"/>
        <w:rPr>
          <w:rFonts w:hint="eastAsia" w:ascii="宋体" w:hAnsi="宋体" w:eastAsia="宋体" w:cs="宋体"/>
          <w:color w:val="auto"/>
          <w:highlight w:val="none"/>
          <w:lang w:eastAsia="zh-CN"/>
        </w:rPr>
      </w:pP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交易响应函</w:t>
      </w:r>
    </w:p>
    <w:p>
      <w:pPr>
        <w:spacing w:line="540" w:lineRule="exact"/>
        <w:ind w:left="1701" w:leftChars="810"/>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二、法定代表人身份证明或法定代表人的授权委托书</w:t>
      </w:r>
    </w:p>
    <w:p>
      <w:pPr>
        <w:spacing w:line="540" w:lineRule="exact"/>
        <w:ind w:left="1701" w:leftChars="81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cs="宋体"/>
          <w:color w:val="auto"/>
          <w:highlight w:val="none"/>
          <w:lang w:eastAsia="zh-CN"/>
        </w:rPr>
        <w:t>交易响应</w:t>
      </w:r>
      <w:r>
        <w:rPr>
          <w:rFonts w:hint="eastAsia" w:ascii="宋体" w:hAnsi="宋体" w:eastAsia="宋体" w:cs="宋体"/>
          <w:color w:val="auto"/>
          <w:highlight w:val="none"/>
        </w:rPr>
        <w:t>保证金</w:t>
      </w:r>
    </w:p>
    <w:p>
      <w:pPr>
        <w:spacing w:line="540" w:lineRule="exact"/>
        <w:ind w:left="1701" w:leftChars="810"/>
        <w:rPr>
          <w:rFonts w:hint="eastAsia" w:ascii="宋体" w:hAnsi="宋体" w:eastAsia="宋体" w:cs="宋体"/>
          <w:color w:val="auto"/>
          <w:highlight w:val="none"/>
        </w:rPr>
      </w:pPr>
      <w:r>
        <w:rPr>
          <w:rFonts w:hint="eastAsia" w:ascii="宋体" w:hAnsi="宋体" w:eastAsia="宋体" w:cs="宋体"/>
          <w:color w:val="auto"/>
          <w:highlight w:val="none"/>
        </w:rPr>
        <w:t>四、拟分包项目情况表（如有）</w:t>
      </w:r>
    </w:p>
    <w:p>
      <w:pPr>
        <w:spacing w:line="540" w:lineRule="exact"/>
        <w:ind w:left="1701" w:leftChars="810"/>
        <w:rPr>
          <w:rFonts w:hint="eastAsia" w:ascii="宋体" w:hAnsi="宋体" w:eastAsia="宋体" w:cs="宋体"/>
          <w:color w:val="auto"/>
          <w:highlight w:val="none"/>
        </w:rPr>
      </w:pPr>
      <w:r>
        <w:rPr>
          <w:rFonts w:hint="eastAsia" w:ascii="宋体" w:hAnsi="宋体" w:eastAsia="宋体" w:cs="宋体"/>
          <w:color w:val="auto"/>
          <w:highlight w:val="none"/>
        </w:rPr>
        <w:t>五、资格审查表</w:t>
      </w:r>
    </w:p>
    <w:p>
      <w:pPr>
        <w:spacing w:line="540" w:lineRule="exact"/>
        <w:ind w:left="1701" w:leftChars="810"/>
        <w:rPr>
          <w:rFonts w:hint="eastAsia" w:ascii="宋体" w:hAnsi="宋体" w:eastAsia="宋体" w:cs="宋体"/>
          <w:color w:val="auto"/>
          <w:highlight w:val="none"/>
        </w:rPr>
      </w:pPr>
      <w:r>
        <w:rPr>
          <w:rFonts w:hint="eastAsia" w:ascii="宋体" w:hAnsi="宋体" w:eastAsia="宋体" w:cs="宋体"/>
          <w:color w:val="auto"/>
          <w:highlight w:val="none"/>
        </w:rPr>
        <w:t>六、商务文件自评分表</w:t>
      </w:r>
    </w:p>
    <w:p>
      <w:pPr>
        <w:spacing w:line="540" w:lineRule="exact"/>
        <w:ind w:left="1701" w:leftChars="810"/>
        <w:rPr>
          <w:rFonts w:hint="eastAsia" w:ascii="宋体" w:hAnsi="宋体" w:eastAsia="宋体" w:cs="宋体"/>
          <w:color w:val="auto"/>
          <w:highlight w:val="none"/>
        </w:rPr>
      </w:pPr>
    </w:p>
    <w:p>
      <w:pPr>
        <w:spacing w:line="480" w:lineRule="auto"/>
        <w:jc w:val="center"/>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0"/>
          <w:szCs w:val="20"/>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97"/>
        <w:jc w:val="center"/>
        <w:outlineLvl w:val="0"/>
        <w:rPr>
          <w:rFonts w:hint="eastAsia" w:ascii="宋体" w:hAnsi="宋体" w:eastAsia="宋体" w:cs="宋体"/>
          <w:color w:val="auto"/>
          <w:sz w:val="30"/>
          <w:szCs w:val="30"/>
          <w:highlight w:val="none"/>
          <w:lang w:eastAsia="zh-CN"/>
        </w:rPr>
      </w:pPr>
      <w:bookmarkStart w:id="432" w:name="_Toc286827109"/>
      <w:bookmarkStart w:id="433" w:name="_Toc286830218"/>
      <w:bookmarkStart w:id="434" w:name="_Toc286826662"/>
      <w:bookmarkStart w:id="435" w:name="_Toc16950"/>
      <w:r>
        <w:rPr>
          <w:rFonts w:hint="eastAsia" w:ascii="宋体" w:hAnsi="宋体" w:eastAsia="宋体" w:cs="宋体"/>
          <w:color w:val="auto"/>
          <w:sz w:val="30"/>
          <w:szCs w:val="30"/>
          <w:highlight w:val="none"/>
        </w:rPr>
        <w:t>一、</w:t>
      </w:r>
      <w:bookmarkEnd w:id="432"/>
      <w:bookmarkEnd w:id="433"/>
      <w:bookmarkEnd w:id="434"/>
      <w:r>
        <w:rPr>
          <w:rFonts w:hint="eastAsia" w:ascii="宋体" w:hAnsi="宋体" w:eastAsia="宋体" w:cs="宋体"/>
          <w:color w:val="auto"/>
          <w:sz w:val="30"/>
          <w:szCs w:val="30"/>
          <w:highlight w:val="none"/>
          <w:lang w:eastAsia="zh-CN"/>
        </w:rPr>
        <w:t>交易响应函</w:t>
      </w:r>
      <w:bookmarkEnd w:id="435"/>
    </w:p>
    <w:p>
      <w:pPr>
        <w:spacing w:line="440" w:lineRule="exact"/>
        <w:ind w:firstLine="4050" w:firstLineChars="1350"/>
        <w:rPr>
          <w:rFonts w:hint="eastAsia" w:ascii="宋体" w:hAnsi="宋体" w:eastAsia="宋体" w:cs="宋体"/>
          <w:color w:val="auto"/>
          <w:sz w:val="30"/>
          <w:szCs w:val="30"/>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交易发起人</w:t>
      </w:r>
      <w:r>
        <w:rPr>
          <w:rFonts w:hint="eastAsia" w:ascii="宋体" w:hAnsi="宋体" w:eastAsia="宋体" w:cs="宋体"/>
          <w:color w:val="auto"/>
          <w:szCs w:val="21"/>
          <w:highlight w:val="none"/>
          <w:u w:val="single"/>
        </w:rPr>
        <w:t>全称）</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1、经现场踏勘和研究（项目名称）标段试验检测</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的全部内容（含第___号至第___号补遗书）后，我方就上述试验检测任务及相关服务进行</w:t>
      </w:r>
      <w:r>
        <w:rPr>
          <w:rFonts w:hint="eastAsia" w:ascii="宋体" w:hAnsi="宋体" w:eastAsia="宋体" w:cs="宋体"/>
          <w:color w:val="auto"/>
          <w:szCs w:val="21"/>
          <w:highlight w:val="none"/>
          <w:lang w:val="en-US" w:eastAsia="zh-CN"/>
        </w:rPr>
        <w:t>交易响应</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详见报价函。</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2、一旦我方中标，我方保证在收到</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规定的期限内与你方签订合同协议书，并在试验检测合同协议书所规定的期限内完成通知要求的试验检测任务。</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3、项目负责人姓名：__________  性别：____  年龄：____  现任职务：______  职称：________。</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4、如果我方中标，我方将按照规定提交履约担保，共同地和分别地承担责任。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5、我方承诺在本</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有效期内，本</w:t>
      </w:r>
      <w:r>
        <w:rPr>
          <w:rFonts w:hint="eastAsia" w:ascii="宋体" w:hAnsi="宋体" w:eastAsia="宋体" w:cs="宋体"/>
          <w:color w:val="auto"/>
          <w:szCs w:val="21"/>
          <w:highlight w:val="none"/>
          <w:lang w:eastAsia="zh-CN"/>
        </w:rPr>
        <w:t>交易响应函</w:t>
      </w:r>
      <w:r>
        <w:rPr>
          <w:rFonts w:hint="eastAsia" w:ascii="宋体" w:hAnsi="宋体" w:eastAsia="宋体" w:cs="宋体"/>
          <w:color w:val="auto"/>
          <w:szCs w:val="21"/>
          <w:highlight w:val="none"/>
        </w:rPr>
        <w:t>对我方具有约束力，并随时接受中标。</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6、在合同协议书正式签署生效之前，本</w:t>
      </w:r>
      <w:r>
        <w:rPr>
          <w:rFonts w:hint="eastAsia" w:ascii="宋体" w:hAnsi="宋体" w:eastAsia="宋体" w:cs="宋体"/>
          <w:color w:val="auto"/>
          <w:szCs w:val="21"/>
          <w:highlight w:val="none"/>
          <w:lang w:eastAsia="zh-CN"/>
        </w:rPr>
        <w:t>交易响应函</w:t>
      </w:r>
      <w:r>
        <w:rPr>
          <w:rFonts w:hint="eastAsia" w:ascii="宋体" w:hAnsi="宋体" w:eastAsia="宋体" w:cs="宋体"/>
          <w:color w:val="auto"/>
          <w:szCs w:val="21"/>
          <w:highlight w:val="none"/>
        </w:rPr>
        <w:t>连同你方的</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将构成我们双方之间共同遵守的文件，对双方具有约束力。</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7、我方以金额为人民币______万元</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担保与本</w:t>
      </w:r>
      <w:r>
        <w:rPr>
          <w:rFonts w:hint="eastAsia" w:ascii="宋体" w:hAnsi="宋体" w:eastAsia="宋体" w:cs="宋体"/>
          <w:color w:val="auto"/>
          <w:szCs w:val="21"/>
          <w:highlight w:val="none"/>
          <w:lang w:eastAsia="zh-CN"/>
        </w:rPr>
        <w:t>交易响应函</w:t>
      </w:r>
      <w:r>
        <w:rPr>
          <w:rFonts w:hint="eastAsia" w:ascii="宋体" w:hAnsi="宋体" w:eastAsia="宋体" w:cs="宋体"/>
          <w:color w:val="auto"/>
          <w:szCs w:val="21"/>
          <w:highlight w:val="none"/>
        </w:rPr>
        <w:t>同时递交。</w:t>
      </w:r>
    </w:p>
    <w:p>
      <w:pPr>
        <w:spacing w:line="440" w:lineRule="exact"/>
        <w:ind w:firstLine="3675" w:firstLineChars="1750"/>
        <w:rPr>
          <w:rFonts w:hint="eastAsia" w:ascii="宋体" w:hAnsi="宋体" w:eastAsia="宋体" w:cs="宋体"/>
          <w:color w:val="auto"/>
          <w:szCs w:val="21"/>
          <w:highlight w:val="none"/>
        </w:rPr>
      </w:pPr>
    </w:p>
    <w:p>
      <w:pPr>
        <w:spacing w:line="440" w:lineRule="exact"/>
        <w:ind w:firstLine="3675" w:firstLineChars="1750"/>
        <w:rPr>
          <w:rFonts w:hint="eastAsia" w:ascii="宋体" w:hAnsi="宋体" w:eastAsia="宋体" w:cs="宋体"/>
          <w:color w:val="auto"/>
          <w:szCs w:val="21"/>
          <w:highlight w:val="none"/>
        </w:rPr>
      </w:pPr>
    </w:p>
    <w:p>
      <w:pPr>
        <w:spacing w:line="440" w:lineRule="exact"/>
        <w:ind w:firstLine="3675" w:firstLineChars="1750"/>
        <w:rPr>
          <w:rFonts w:hint="eastAsia" w:ascii="宋体" w:hAnsi="宋体" w:eastAsia="宋体" w:cs="宋体"/>
          <w:color w:val="auto"/>
          <w:szCs w:val="21"/>
          <w:highlight w:val="none"/>
        </w:rPr>
      </w:pP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pStyle w:val="112"/>
        <w:spacing w:line="380" w:lineRule="exact"/>
        <w:ind w:firstLine="2431" w:firstLineChars="11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（签字或盖章）</w:t>
      </w: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pPr>
        <w:spacing w:line="440" w:lineRule="exact"/>
        <w:ind w:firstLine="2415" w:firstLineChars="1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p>
    <w:p>
      <w:pPr>
        <w:spacing w:line="440" w:lineRule="exact"/>
        <w:ind w:firstLine="2415" w:firstLineChars="1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______年______月______日</w:t>
      </w: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spacing w:line="440" w:lineRule="exact"/>
        <w:ind w:firstLine="3500" w:firstLineChars="1750"/>
        <w:rPr>
          <w:rFonts w:hint="eastAsia" w:ascii="宋体" w:hAnsi="宋体" w:eastAsia="宋体" w:cs="宋体"/>
          <w:color w:val="auto"/>
          <w:sz w:val="20"/>
          <w:szCs w:val="20"/>
          <w:highlight w:val="none"/>
        </w:rPr>
      </w:pPr>
    </w:p>
    <w:p>
      <w:pPr>
        <w:pStyle w:val="97"/>
        <w:jc w:val="center"/>
        <w:outlineLvl w:val="0"/>
        <w:rPr>
          <w:rFonts w:hint="eastAsia" w:ascii="宋体" w:hAnsi="宋体" w:eastAsia="宋体" w:cs="宋体"/>
          <w:color w:val="auto"/>
          <w:sz w:val="30"/>
          <w:szCs w:val="30"/>
          <w:highlight w:val="none"/>
        </w:rPr>
      </w:pPr>
      <w:bookmarkStart w:id="436" w:name="_Toc179632811"/>
      <w:bookmarkStart w:id="437" w:name="_Toc144974860"/>
      <w:bookmarkStart w:id="438" w:name="_Toc152042580"/>
      <w:bookmarkStart w:id="439" w:name="_Toc152045791"/>
      <w:bookmarkStart w:id="440" w:name="_Toc11055"/>
      <w:bookmarkStart w:id="441" w:name="_Toc286827110"/>
      <w:bookmarkStart w:id="442" w:name="_Toc286830219"/>
      <w:bookmarkStart w:id="443" w:name="_Toc286826663"/>
      <w:r>
        <w:rPr>
          <w:rFonts w:hint="eastAsia" w:ascii="宋体" w:hAnsi="宋体" w:eastAsia="宋体" w:cs="宋体"/>
          <w:color w:val="auto"/>
          <w:sz w:val="30"/>
          <w:szCs w:val="30"/>
          <w:highlight w:val="none"/>
        </w:rPr>
        <w:t>二、法定代表人身份证明</w:t>
      </w:r>
      <w:bookmarkEnd w:id="436"/>
      <w:bookmarkEnd w:id="437"/>
      <w:bookmarkEnd w:id="438"/>
      <w:bookmarkEnd w:id="439"/>
      <w:r>
        <w:rPr>
          <w:rFonts w:hint="eastAsia" w:ascii="宋体" w:hAnsi="宋体" w:eastAsia="宋体" w:cs="宋体"/>
          <w:color w:val="auto"/>
          <w:sz w:val="30"/>
          <w:szCs w:val="30"/>
          <w:highlight w:val="none"/>
        </w:rPr>
        <w:t>或法定代表人的授权委托书</w:t>
      </w:r>
      <w:bookmarkEnd w:id="440"/>
      <w:bookmarkEnd w:id="441"/>
      <w:bookmarkEnd w:id="442"/>
      <w:bookmarkEnd w:id="443"/>
    </w:p>
    <w:p>
      <w:pPr>
        <w:spacing w:line="440" w:lineRule="exact"/>
        <w:rPr>
          <w:rFonts w:hint="eastAsia" w:ascii="宋体" w:hAnsi="宋体" w:eastAsia="宋体" w:cs="宋体"/>
          <w:color w:val="auto"/>
          <w:sz w:val="20"/>
          <w:szCs w:val="20"/>
          <w:highlight w:val="none"/>
        </w:rPr>
      </w:pPr>
    </w:p>
    <w:p>
      <w:pPr>
        <w:pStyle w:val="72"/>
        <w:jc w:val="center"/>
        <w:outlineLvl w:val="0"/>
        <w:rPr>
          <w:rFonts w:hint="eastAsia" w:ascii="宋体" w:hAnsi="宋体" w:eastAsia="宋体" w:cs="宋体"/>
          <w:color w:val="auto"/>
          <w:sz w:val="30"/>
          <w:szCs w:val="30"/>
          <w:highlight w:val="none"/>
        </w:rPr>
      </w:pPr>
      <w:bookmarkStart w:id="444" w:name="_Toc30084"/>
      <w:bookmarkStart w:id="445" w:name="_Toc286826664"/>
      <w:r>
        <w:rPr>
          <w:rFonts w:hint="eastAsia" w:ascii="宋体" w:hAnsi="宋体" w:eastAsia="宋体" w:cs="宋体"/>
          <w:color w:val="auto"/>
          <w:sz w:val="30"/>
          <w:szCs w:val="30"/>
          <w:highlight w:val="none"/>
        </w:rPr>
        <w:t>（一）法定代表人身份证明</w:t>
      </w:r>
      <w:bookmarkEnd w:id="444"/>
      <w:bookmarkEnd w:id="445"/>
    </w:p>
    <w:p>
      <w:pPr>
        <w:spacing w:line="440" w:lineRule="exact"/>
        <w:rPr>
          <w:rFonts w:hint="eastAsia" w:ascii="宋体" w:hAnsi="宋体" w:eastAsia="宋体" w:cs="宋体"/>
          <w:color w:val="auto"/>
          <w:szCs w:val="21"/>
          <w:highlight w:val="none"/>
        </w:rPr>
      </w:pPr>
    </w:p>
    <w:p>
      <w:pPr>
        <w:pStyle w:val="112"/>
        <w:spacing w:line="360" w:lineRule="auto"/>
        <w:ind w:firstLine="437"/>
        <w:rPr>
          <w:rFonts w:hint="eastAsia" w:ascii="宋体" w:hAnsi="宋体" w:eastAsia="宋体" w:cs="宋体"/>
          <w:color w:val="auto"/>
          <w:kern w:val="0"/>
          <w:szCs w:val="21"/>
          <w:highlight w:val="none"/>
        </w:rPr>
      </w:pPr>
    </w:p>
    <w:p>
      <w:pPr>
        <w:pStyle w:val="112"/>
        <w:spacing w:line="360" w:lineRule="auto"/>
        <w:ind w:firstLine="43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交易响应人</w:t>
      </w:r>
      <w:r>
        <w:rPr>
          <w:rFonts w:hint="eastAsia" w:ascii="宋体" w:hAnsi="宋体" w:eastAsia="宋体" w:cs="宋体"/>
          <w:color w:val="auto"/>
          <w:kern w:val="0"/>
          <w:szCs w:val="21"/>
          <w:highlight w:val="none"/>
        </w:rPr>
        <w:t xml:space="preserve">名称： </w:t>
      </w:r>
    </w:p>
    <w:p>
      <w:pPr>
        <w:pStyle w:val="112"/>
        <w:spacing w:line="360" w:lineRule="auto"/>
        <w:ind w:firstLine="437"/>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p>
    <w:p>
      <w:pPr>
        <w:pStyle w:val="112"/>
        <w:spacing w:line="360" w:lineRule="auto"/>
        <w:ind w:firstLine="437"/>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    址：</w:t>
      </w:r>
    </w:p>
    <w:p>
      <w:pPr>
        <w:pStyle w:val="112"/>
        <w:spacing w:line="360" w:lineRule="auto"/>
        <w:ind w:firstLine="43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日</w:t>
      </w:r>
    </w:p>
    <w:p>
      <w:pPr>
        <w:pStyle w:val="112"/>
        <w:spacing w:line="360" w:lineRule="auto"/>
        <w:ind w:firstLine="437"/>
        <w:rPr>
          <w:rFonts w:hint="eastAsia" w:ascii="宋体" w:hAnsi="宋体" w:eastAsia="宋体" w:cs="宋体"/>
          <w:color w:val="auto"/>
          <w:kern w:val="0"/>
          <w:szCs w:val="21"/>
          <w:highlight w:val="none"/>
        </w:rPr>
      </w:pPr>
    </w:p>
    <w:p>
      <w:pPr>
        <w:pStyle w:val="112"/>
        <w:spacing w:line="360" w:lineRule="auto"/>
        <w:ind w:firstLine="43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性别：年龄：职务：系（公司名称）的法定代表人。</w:t>
      </w:r>
    </w:p>
    <w:p>
      <w:pPr>
        <w:pStyle w:val="112"/>
        <w:spacing w:line="360" w:lineRule="auto"/>
        <w:ind w:firstLine="437"/>
        <w:rPr>
          <w:rFonts w:hint="eastAsia" w:ascii="宋体" w:hAnsi="宋体" w:eastAsia="宋体" w:cs="宋体"/>
          <w:color w:val="auto"/>
          <w:kern w:val="0"/>
          <w:szCs w:val="21"/>
          <w:highlight w:val="none"/>
        </w:rPr>
      </w:pPr>
    </w:p>
    <w:p>
      <w:pPr>
        <w:pStyle w:val="112"/>
        <w:spacing w:line="360" w:lineRule="auto"/>
        <w:ind w:firstLine="43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特此证明。</w:t>
      </w:r>
    </w:p>
    <w:p>
      <w:pPr>
        <w:pStyle w:val="112"/>
        <w:spacing w:line="360" w:lineRule="auto"/>
        <w:ind w:firstLine="437"/>
        <w:rPr>
          <w:rFonts w:hint="eastAsia" w:ascii="宋体" w:hAnsi="宋体" w:eastAsia="宋体" w:cs="宋体"/>
          <w:color w:val="auto"/>
          <w:kern w:val="0"/>
          <w:szCs w:val="21"/>
          <w:highlight w:val="none"/>
        </w:rPr>
      </w:pPr>
    </w:p>
    <w:p>
      <w:pPr>
        <w:pStyle w:val="112"/>
        <w:spacing w:line="360" w:lineRule="auto"/>
        <w:ind w:firstLine="437"/>
        <w:rPr>
          <w:rFonts w:hint="eastAsia" w:ascii="宋体" w:hAnsi="宋体" w:eastAsia="宋体" w:cs="宋体"/>
          <w:color w:val="auto"/>
          <w:kern w:val="0"/>
          <w:szCs w:val="21"/>
          <w:highlight w:val="none"/>
        </w:rPr>
      </w:pPr>
    </w:p>
    <w:p>
      <w:pPr>
        <w:spacing w:line="500" w:lineRule="exact"/>
        <w:ind w:left="420" w:leftChars="200" w:firstLine="3465" w:firstLineChars="16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交易响应人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盖单位章</w:t>
      </w:r>
      <w:r>
        <w:rPr>
          <w:rFonts w:hint="eastAsia" w:ascii="宋体" w:hAnsi="宋体" w:eastAsia="宋体" w:cs="宋体"/>
          <w:color w:val="auto"/>
          <w:kern w:val="0"/>
          <w:szCs w:val="21"/>
          <w:highlight w:val="none"/>
        </w:rPr>
        <w:t>）</w:t>
      </w:r>
    </w:p>
    <w:p>
      <w:pPr>
        <w:pStyle w:val="114"/>
        <w:spacing w:line="500" w:lineRule="exact"/>
        <w:ind w:firstLine="5250" w:firstLineChars="25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年   月   日</w:t>
      </w:r>
    </w:p>
    <w:p>
      <w:pPr>
        <w:spacing w:line="440" w:lineRule="exact"/>
        <w:ind w:firstLine="420" w:firstLineChars="200"/>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tbl>
      <w:tblPr>
        <w:tblStyle w:val="43"/>
        <w:tblW w:w="5886" w:type="dxa"/>
        <w:tblInd w:w="2088" w:type="dxa"/>
        <w:tblLayout w:type="fixed"/>
        <w:tblCellMar>
          <w:top w:w="0" w:type="dxa"/>
          <w:left w:w="108" w:type="dxa"/>
          <w:bottom w:w="0" w:type="dxa"/>
          <w:right w:w="108" w:type="dxa"/>
        </w:tblCellMar>
      </w:tblPr>
      <w:tblGrid>
        <w:gridCol w:w="5886"/>
      </w:tblGrid>
      <w:tr>
        <w:tblPrEx>
          <w:tblCellMar>
            <w:top w:w="0" w:type="dxa"/>
            <w:left w:w="108" w:type="dxa"/>
            <w:bottom w:w="0" w:type="dxa"/>
            <w:right w:w="108" w:type="dxa"/>
          </w:tblCellMar>
        </w:tblPrEx>
        <w:tc>
          <w:tcPr>
            <w:tcW w:w="5886" w:type="dxa"/>
            <w:tcBorders>
              <w:top w:val="single" w:color="auto" w:sz="4" w:space="0"/>
              <w:left w:val="single" w:color="auto" w:sz="4" w:space="0"/>
              <w:bottom w:val="single" w:color="auto" w:sz="4" w:space="0"/>
              <w:right w:val="single" w:color="auto" w:sz="4" w:space="0"/>
            </w:tcBorders>
          </w:tcPr>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firstLine="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w:t>
            </w: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br w:type="page"/>
      </w:r>
    </w:p>
    <w:p>
      <w:pPr>
        <w:pStyle w:val="72"/>
        <w:jc w:val="center"/>
        <w:outlineLvl w:val="0"/>
        <w:rPr>
          <w:rFonts w:hint="eastAsia" w:ascii="宋体" w:hAnsi="宋体" w:eastAsia="宋体" w:cs="宋体"/>
          <w:color w:val="auto"/>
          <w:sz w:val="30"/>
          <w:szCs w:val="30"/>
          <w:highlight w:val="none"/>
        </w:rPr>
      </w:pPr>
      <w:bookmarkStart w:id="446" w:name="_Toc179632812"/>
      <w:bookmarkStart w:id="447" w:name="_Toc15095"/>
      <w:bookmarkStart w:id="448" w:name="_Toc144974861"/>
      <w:bookmarkStart w:id="449" w:name="_Toc286826665"/>
      <w:bookmarkStart w:id="450" w:name="_Toc152042581"/>
      <w:bookmarkStart w:id="451" w:name="_Toc152045792"/>
      <w:r>
        <w:rPr>
          <w:rFonts w:hint="eastAsia" w:ascii="宋体" w:hAnsi="宋体" w:eastAsia="宋体" w:cs="宋体"/>
          <w:color w:val="auto"/>
          <w:sz w:val="30"/>
          <w:szCs w:val="30"/>
          <w:highlight w:val="none"/>
        </w:rPr>
        <w:t>（二）授权委托书</w:t>
      </w:r>
      <w:bookmarkEnd w:id="446"/>
      <w:bookmarkEnd w:id="447"/>
      <w:bookmarkEnd w:id="448"/>
      <w:bookmarkEnd w:id="449"/>
      <w:bookmarkEnd w:id="450"/>
      <w:bookmarkEnd w:id="451"/>
    </w:p>
    <w:p>
      <w:pPr>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交易响应人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的法定代表人，现委托</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（项目名称）</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标段试验检测</w:t>
      </w:r>
      <w:r>
        <w:rPr>
          <w:rFonts w:hint="eastAsia" w:ascii="宋体" w:hAnsi="宋体" w:eastAsia="宋体" w:cs="宋体"/>
          <w:color w:val="auto"/>
          <w:szCs w:val="21"/>
          <w:highlight w:val="none"/>
          <w:lang w:eastAsia="zh-CN"/>
        </w:rPr>
        <w:t>交易响应文件</w:t>
      </w:r>
      <w:r>
        <w:rPr>
          <w:rFonts w:hint="eastAsia" w:ascii="宋体" w:hAnsi="宋体" w:eastAsia="宋体" w:cs="宋体"/>
          <w:color w:val="auto"/>
          <w:szCs w:val="21"/>
          <w:highlight w:val="none"/>
        </w:rPr>
        <w:t>，签订合同和处理有关事宜，其法律后果由我方承担。</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vertAlign w:val="superscript"/>
        </w:rPr>
        <w:footnoteReference w:id="0"/>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p>
    <w:p>
      <w:pPr>
        <w:pStyle w:val="114"/>
        <w:spacing w:line="360" w:lineRule="auto"/>
        <w:ind w:firstLine="4004" w:firstLineChars="190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eastAsia="zh-CN"/>
        </w:rPr>
        <w:t>盖单位章</w:t>
      </w:r>
      <w:r>
        <w:rPr>
          <w:rFonts w:hint="eastAsia" w:ascii="宋体" w:hAnsi="宋体" w:eastAsia="宋体" w:cs="宋体"/>
          <w:color w:val="auto"/>
          <w:szCs w:val="21"/>
          <w:highlight w:val="none"/>
        </w:rPr>
        <w:t>）</w:t>
      </w:r>
    </w:p>
    <w:p>
      <w:pPr>
        <w:pStyle w:val="114"/>
        <w:spacing w:line="360" w:lineRule="auto"/>
        <w:ind w:firstLine="4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法定代表人：（签字）</w:t>
      </w:r>
    </w:p>
    <w:p>
      <w:pPr>
        <w:pStyle w:val="114"/>
        <w:spacing w:line="360" w:lineRule="auto"/>
        <w:ind w:firstLine="43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身份证号码：</w:t>
      </w:r>
    </w:p>
    <w:p>
      <w:pPr>
        <w:pStyle w:val="114"/>
        <w:spacing w:line="360" w:lineRule="auto"/>
        <w:ind w:firstLine="749" w:firstLineChars="3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委托代理人：（签字）</w:t>
      </w:r>
    </w:p>
    <w:p>
      <w:pPr>
        <w:pStyle w:val="114"/>
        <w:spacing w:line="360" w:lineRule="auto"/>
        <w:ind w:firstLine="43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身份证号码：</w:t>
      </w:r>
    </w:p>
    <w:p>
      <w:pPr>
        <w:pStyle w:val="112"/>
        <w:spacing w:line="360" w:lineRule="auto"/>
        <w:ind w:firstLine="4006" w:firstLineChars="190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委托代理人联系方式：</w:t>
      </w:r>
    </w:p>
    <w:p>
      <w:pPr>
        <w:pStyle w:val="112"/>
        <w:spacing w:line="360" w:lineRule="auto"/>
        <w:ind w:firstLine="5369" w:firstLineChars="25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440" w:lineRule="exact"/>
        <w:rPr>
          <w:rFonts w:hint="eastAsia" w:ascii="宋体" w:hAnsi="宋体" w:eastAsia="宋体" w:cs="宋体"/>
          <w:color w:val="auto"/>
          <w:szCs w:val="21"/>
          <w:highlight w:val="none"/>
        </w:rPr>
      </w:pPr>
    </w:p>
    <w:p>
      <w:pPr>
        <w:spacing w:line="440" w:lineRule="exact"/>
        <w:ind w:left="3599" w:leftChars="1714" w:firstLine="2310" w:firstLineChars="1100"/>
        <w:rPr>
          <w:rFonts w:hint="eastAsia" w:ascii="宋体" w:hAnsi="宋体" w:eastAsia="宋体" w:cs="宋体"/>
          <w:color w:val="auto"/>
          <w:szCs w:val="21"/>
          <w:highlight w:val="none"/>
        </w:rPr>
      </w:pPr>
    </w:p>
    <w:tbl>
      <w:tblPr>
        <w:tblStyle w:val="43"/>
        <w:tblW w:w="5886" w:type="dxa"/>
        <w:tblInd w:w="1908" w:type="dxa"/>
        <w:tblLayout w:type="fixed"/>
        <w:tblCellMar>
          <w:top w:w="0" w:type="dxa"/>
          <w:left w:w="108" w:type="dxa"/>
          <w:bottom w:w="0" w:type="dxa"/>
          <w:right w:w="108" w:type="dxa"/>
        </w:tblCellMar>
      </w:tblPr>
      <w:tblGrid>
        <w:gridCol w:w="5886"/>
      </w:tblGrid>
      <w:tr>
        <w:tblPrEx>
          <w:tblCellMar>
            <w:top w:w="0" w:type="dxa"/>
            <w:left w:w="108" w:type="dxa"/>
            <w:bottom w:w="0" w:type="dxa"/>
            <w:right w:w="108" w:type="dxa"/>
          </w:tblCellMar>
        </w:tblPrEx>
        <w:tc>
          <w:tcPr>
            <w:tcW w:w="5886" w:type="dxa"/>
            <w:tcBorders>
              <w:top w:val="single" w:color="auto" w:sz="4" w:space="0"/>
              <w:left w:val="single" w:color="auto" w:sz="4" w:space="0"/>
              <w:bottom w:val="single" w:color="auto" w:sz="4" w:space="0"/>
              <w:right w:val="single" w:color="auto" w:sz="4" w:space="0"/>
            </w:tcBorders>
          </w:tcPr>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firstLine="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w:t>
            </w: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p>
            <w:pPr>
              <w:pStyle w:val="105"/>
              <w:adjustRightInd w:val="0"/>
              <w:snapToGrid w:val="0"/>
              <w:ind w:left="5250" w:firstLine="420" w:firstLineChars="200"/>
              <w:rPr>
                <w:rFonts w:hint="eastAsia" w:ascii="宋体" w:hAnsi="宋体" w:eastAsia="宋体" w:cs="宋体"/>
                <w:color w:val="auto"/>
                <w:szCs w:val="21"/>
                <w:highlight w:val="none"/>
              </w:rPr>
            </w:pPr>
          </w:p>
        </w:tc>
      </w:tr>
    </w:tbl>
    <w:p>
      <w:pPr>
        <w:spacing w:line="440" w:lineRule="exact"/>
        <w:ind w:left="3599" w:leftChars="1714" w:firstLine="2310" w:firstLineChars="1100"/>
        <w:rPr>
          <w:rFonts w:hint="eastAsia" w:ascii="宋体" w:hAnsi="宋体" w:eastAsia="宋体" w:cs="宋体"/>
          <w:color w:val="auto"/>
          <w:szCs w:val="21"/>
          <w:highlight w:val="none"/>
        </w:rPr>
      </w:pPr>
    </w:p>
    <w:p>
      <w:pPr>
        <w:spacing w:line="440" w:lineRule="exact"/>
        <w:ind w:left="3599" w:leftChars="1714" w:firstLine="2310" w:firstLineChars="1100"/>
        <w:rPr>
          <w:rFonts w:hint="eastAsia" w:ascii="宋体" w:hAnsi="宋体" w:eastAsia="宋体" w:cs="宋体"/>
          <w:color w:val="auto"/>
          <w:szCs w:val="21"/>
          <w:highlight w:val="none"/>
        </w:rPr>
      </w:pPr>
    </w:p>
    <w:p>
      <w:pPr>
        <w:spacing w:line="440" w:lineRule="exact"/>
        <w:ind w:left="3599" w:leftChars="1714" w:firstLine="2310" w:firstLineChars="1100"/>
        <w:rPr>
          <w:rFonts w:hint="eastAsia" w:ascii="宋体" w:hAnsi="宋体" w:eastAsia="宋体" w:cs="宋体"/>
          <w:color w:val="auto"/>
          <w:szCs w:val="21"/>
          <w:highlight w:val="none"/>
        </w:rPr>
      </w:pPr>
    </w:p>
    <w:p>
      <w:pPr>
        <w:spacing w:line="440" w:lineRule="exact"/>
        <w:ind w:firstLine="2310" w:firstLineChars="1100"/>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br w:type="page"/>
      </w:r>
    </w:p>
    <w:p>
      <w:pPr>
        <w:pStyle w:val="97"/>
        <w:jc w:val="center"/>
        <w:outlineLvl w:val="0"/>
        <w:rPr>
          <w:rFonts w:hint="eastAsia" w:ascii="宋体" w:hAnsi="宋体" w:eastAsia="宋体" w:cs="宋体"/>
          <w:color w:val="auto"/>
          <w:sz w:val="30"/>
          <w:szCs w:val="30"/>
          <w:highlight w:val="none"/>
        </w:rPr>
      </w:pPr>
      <w:bookmarkStart w:id="452" w:name="_Toc286827112"/>
      <w:bookmarkStart w:id="453" w:name="_Toc152045794"/>
      <w:bookmarkStart w:id="454" w:name="_Toc8375"/>
      <w:bookmarkStart w:id="455" w:name="_Toc152042583"/>
      <w:bookmarkStart w:id="456" w:name="_Toc286830221"/>
      <w:bookmarkStart w:id="457" w:name="_Toc144974862"/>
      <w:bookmarkStart w:id="458" w:name="_Toc286826667"/>
      <w:bookmarkStart w:id="459" w:name="_Toc179632814"/>
      <w:r>
        <w:rPr>
          <w:rFonts w:hint="eastAsia" w:ascii="宋体" w:hAnsi="宋体" w:eastAsia="宋体" w:cs="宋体"/>
          <w:color w:val="auto"/>
          <w:sz w:val="30"/>
          <w:szCs w:val="30"/>
          <w:highlight w:val="none"/>
        </w:rPr>
        <w:t>三、</w:t>
      </w:r>
      <w:r>
        <w:rPr>
          <w:rFonts w:hint="eastAsia" w:ascii="宋体" w:hAnsi="宋体" w:eastAsia="宋体" w:cs="宋体"/>
          <w:color w:val="auto"/>
          <w:sz w:val="30"/>
          <w:szCs w:val="30"/>
          <w:highlight w:val="none"/>
          <w:lang w:val="en-US" w:eastAsia="zh-CN"/>
        </w:rPr>
        <w:t>交易响应</w:t>
      </w:r>
      <w:r>
        <w:rPr>
          <w:rFonts w:hint="eastAsia" w:ascii="宋体" w:hAnsi="宋体" w:eastAsia="宋体" w:cs="宋体"/>
          <w:color w:val="auto"/>
          <w:sz w:val="30"/>
          <w:szCs w:val="30"/>
          <w:highlight w:val="none"/>
        </w:rPr>
        <w:t>保证金</w:t>
      </w:r>
      <w:bookmarkEnd w:id="452"/>
      <w:bookmarkEnd w:id="453"/>
      <w:bookmarkEnd w:id="454"/>
      <w:bookmarkEnd w:id="455"/>
      <w:bookmarkEnd w:id="456"/>
      <w:bookmarkEnd w:id="457"/>
      <w:bookmarkEnd w:id="458"/>
      <w:bookmarkEnd w:id="459"/>
    </w:p>
    <w:p>
      <w:pPr>
        <w:spacing w:line="440" w:lineRule="exact"/>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按照第二章“</w:t>
      </w: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须知”第3.4款</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保证金规定的形式和金额，提交</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保证金。</w:t>
      </w:r>
    </w:p>
    <w:p>
      <w:pPr>
        <w:spacing w:line="440" w:lineRule="exact"/>
        <w:rPr>
          <w:rFonts w:hint="eastAsia" w:ascii="宋体" w:hAnsi="宋体" w:eastAsia="宋体" w:cs="宋体"/>
          <w:color w:val="auto"/>
          <w:szCs w:val="21"/>
          <w:highlight w:val="none"/>
        </w:rPr>
      </w:pPr>
    </w:p>
    <w:p>
      <w:pPr>
        <w:spacing w:line="440" w:lineRule="exact"/>
        <w:ind w:firstLine="4888" w:firstLineChars="2328"/>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pStyle w:val="97"/>
        <w:jc w:val="center"/>
        <w:outlineLvl w:val="0"/>
        <w:rPr>
          <w:rFonts w:hint="eastAsia" w:ascii="宋体" w:hAnsi="宋体" w:eastAsia="宋体" w:cs="宋体"/>
          <w:color w:val="auto"/>
          <w:sz w:val="30"/>
          <w:szCs w:val="30"/>
          <w:highlight w:val="none"/>
        </w:rPr>
      </w:pPr>
      <w:bookmarkStart w:id="460" w:name="_Toc286830222"/>
      <w:bookmarkStart w:id="461" w:name="_Toc286826668"/>
      <w:bookmarkStart w:id="462" w:name="_Toc286827113"/>
      <w:bookmarkStart w:id="463" w:name="_Toc8924"/>
      <w:r>
        <w:rPr>
          <w:rFonts w:hint="eastAsia" w:ascii="宋体" w:hAnsi="宋体" w:eastAsia="宋体" w:cs="宋体"/>
          <w:color w:val="auto"/>
          <w:sz w:val="30"/>
          <w:szCs w:val="30"/>
          <w:highlight w:val="none"/>
        </w:rPr>
        <w:t>四、</w:t>
      </w:r>
      <w:bookmarkEnd w:id="460"/>
      <w:bookmarkEnd w:id="461"/>
      <w:bookmarkEnd w:id="462"/>
      <w:bookmarkStart w:id="464" w:name="_Toc286827114"/>
      <w:bookmarkStart w:id="465" w:name="_Toc286826669"/>
      <w:bookmarkStart w:id="466" w:name="_Toc286830223"/>
      <w:r>
        <w:rPr>
          <w:rFonts w:hint="eastAsia" w:ascii="宋体" w:hAnsi="宋体" w:eastAsia="宋体" w:cs="宋体"/>
          <w:color w:val="auto"/>
          <w:sz w:val="30"/>
          <w:szCs w:val="30"/>
          <w:highlight w:val="none"/>
        </w:rPr>
        <w:t>分包承诺书（</w:t>
      </w:r>
      <w:r>
        <w:rPr>
          <w:rFonts w:hint="eastAsia" w:ascii="宋体" w:hAnsi="宋体" w:eastAsia="宋体" w:cs="宋体"/>
          <w:color w:val="auto"/>
          <w:sz w:val="30"/>
          <w:szCs w:val="30"/>
          <w:highlight w:val="none"/>
          <w:lang w:eastAsia="zh-CN"/>
        </w:rPr>
        <w:t>本项目不适用</w:t>
      </w:r>
      <w:r>
        <w:rPr>
          <w:rFonts w:hint="eastAsia" w:ascii="宋体" w:hAnsi="宋体" w:eastAsia="宋体" w:cs="宋体"/>
          <w:color w:val="auto"/>
          <w:sz w:val="30"/>
          <w:szCs w:val="30"/>
          <w:highlight w:val="none"/>
        </w:rPr>
        <w:t>）</w:t>
      </w:r>
      <w:bookmarkEnd w:id="463"/>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 xml:space="preserve">全称）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我谨代表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交易响应人</w:t>
      </w:r>
      <w:r>
        <w:rPr>
          <w:rFonts w:hint="eastAsia" w:ascii="宋体" w:hAnsi="宋体" w:eastAsia="宋体" w:cs="宋体"/>
          <w:color w:val="auto"/>
          <w:sz w:val="24"/>
          <w:highlight w:val="none"/>
          <w:u w:val="single"/>
        </w:rPr>
        <w:t xml:space="preserve">全称）       </w:t>
      </w:r>
      <w:r>
        <w:rPr>
          <w:rFonts w:hint="eastAsia" w:ascii="宋体" w:hAnsi="宋体" w:eastAsia="宋体" w:cs="宋体"/>
          <w:color w:val="auto"/>
          <w:sz w:val="24"/>
          <w:highlight w:val="none"/>
        </w:rPr>
        <w:t>郑重承诺：若我单位成为项目工程第检测标段的</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，分包单位的相应试验检测等级证书及参数满足</w:t>
      </w:r>
      <w:r>
        <w:rPr>
          <w:rFonts w:hint="eastAsia" w:ascii="宋体" w:hAnsi="宋体" w:eastAsia="宋体" w:cs="宋体"/>
          <w:color w:val="auto"/>
          <w:sz w:val="24"/>
          <w:highlight w:val="none"/>
          <w:lang w:eastAsia="zh-CN"/>
        </w:rPr>
        <w:t>交易文件</w:t>
      </w:r>
      <w:r>
        <w:rPr>
          <w:rFonts w:hint="eastAsia" w:ascii="宋体" w:hAnsi="宋体" w:eastAsia="宋体" w:cs="宋体"/>
          <w:color w:val="auto"/>
          <w:sz w:val="24"/>
          <w:highlight w:val="none"/>
        </w:rPr>
        <w:t>的要求且分包工作量不超过工作总量的30%，并经监理人、发包人审批备案，为本工程检测工作服务。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交易响应人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（全称</w:t>
      </w:r>
      <w:r>
        <w:rPr>
          <w:rFonts w:hint="eastAsia" w:ascii="宋体" w:hAnsi="宋体" w:eastAsia="宋体" w:cs="宋体"/>
          <w:color w:val="auto"/>
          <w:sz w:val="24"/>
          <w:highlight w:val="none"/>
          <w:u w:val="single"/>
          <w:lang w:eastAsia="zh-CN"/>
        </w:rPr>
        <w:t>并</w:t>
      </w:r>
      <w:r>
        <w:rPr>
          <w:rFonts w:hint="eastAsia" w:ascii="宋体" w:hAnsi="宋体" w:eastAsia="宋体" w:cs="宋体"/>
          <w:color w:val="auto"/>
          <w:sz w:val="24"/>
          <w:highlight w:val="none"/>
          <w:u w:val="single"/>
        </w:rPr>
        <w:t>盖单位章）</w:t>
      </w:r>
    </w:p>
    <w:p>
      <w:pPr>
        <w:spacing w:line="500" w:lineRule="exact"/>
        <w:ind w:right="36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或其授权代理人：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签字或盖章</w:t>
      </w:r>
      <w:r>
        <w:rPr>
          <w:rFonts w:hint="eastAsia" w:ascii="宋体" w:hAnsi="宋体" w:eastAsia="宋体" w:cs="宋体"/>
          <w:color w:val="auto"/>
          <w:sz w:val="24"/>
          <w:highlight w:val="none"/>
          <w:u w:val="single"/>
        </w:rPr>
        <w:t>）</w:t>
      </w:r>
      <w:bookmarkStart w:id="467" w:name="_Toc5474"/>
    </w:p>
    <w:bookmarkEnd w:id="467"/>
    <w:p>
      <w:pPr>
        <w:pStyle w:val="112"/>
        <w:spacing w:line="360" w:lineRule="auto"/>
        <w:ind w:firstLine="5369" w:firstLineChars="2557"/>
        <w:jc w:val="left"/>
        <w:rPr>
          <w:rFonts w:hint="eastAsia" w:ascii="宋体" w:hAnsi="宋体" w:eastAsia="宋体" w:cs="宋体"/>
          <w:color w:val="auto"/>
          <w:szCs w:val="21"/>
          <w:highlight w:val="none"/>
        </w:rPr>
      </w:pPr>
    </w:p>
    <w:p>
      <w:pPr>
        <w:pStyle w:val="112"/>
        <w:spacing w:line="360" w:lineRule="auto"/>
        <w:ind w:firstLine="5369" w:firstLineChars="255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4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注：1.如无分包人，则</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无需提供。</w:t>
      </w:r>
    </w:p>
    <w:p>
      <w:pPr>
        <w:pStyle w:val="97"/>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68" w:name="_Toc16691"/>
      <w:r>
        <w:rPr>
          <w:rFonts w:hint="eastAsia" w:ascii="宋体" w:hAnsi="宋体" w:eastAsia="宋体" w:cs="宋体"/>
          <w:color w:val="auto"/>
          <w:sz w:val="30"/>
          <w:szCs w:val="30"/>
          <w:highlight w:val="none"/>
        </w:rPr>
        <w:t>五、资格审查表</w:t>
      </w:r>
      <w:bookmarkEnd w:id="464"/>
      <w:bookmarkEnd w:id="465"/>
      <w:bookmarkEnd w:id="466"/>
      <w:bookmarkEnd w:id="468"/>
    </w:p>
    <w:p>
      <w:pPr>
        <w:spacing w:line="360" w:lineRule="auto"/>
        <w:rPr>
          <w:rFonts w:hint="eastAsia" w:ascii="宋体" w:hAnsi="宋体" w:eastAsia="宋体" w:cs="宋体"/>
          <w:color w:val="auto"/>
          <w:highlight w:val="none"/>
        </w:rPr>
      </w:pPr>
    </w:p>
    <w:p>
      <w:pPr>
        <w:pStyle w:val="4"/>
        <w:jc w:val="center"/>
        <w:rPr>
          <w:rFonts w:hint="eastAsia" w:ascii="宋体" w:hAnsi="宋体" w:eastAsia="宋体" w:cs="宋体"/>
          <w:color w:val="auto"/>
          <w:sz w:val="28"/>
          <w:highlight w:val="none"/>
        </w:rPr>
      </w:pPr>
      <w:bookmarkStart w:id="469" w:name="_Toc31498"/>
      <w:bookmarkStart w:id="470" w:name="_Toc286826670"/>
      <w:r>
        <w:rPr>
          <w:rFonts w:hint="eastAsia" w:ascii="宋体" w:hAnsi="宋体" w:eastAsia="宋体" w:cs="宋体"/>
          <w:color w:val="auto"/>
          <w:sz w:val="28"/>
          <w:highlight w:val="none"/>
        </w:rPr>
        <w:t>（一）</w:t>
      </w:r>
      <w:r>
        <w:rPr>
          <w:rFonts w:hint="eastAsia" w:ascii="宋体" w:hAnsi="宋体" w:eastAsia="宋体" w:cs="宋体"/>
          <w:color w:val="auto"/>
          <w:sz w:val="28"/>
          <w:highlight w:val="none"/>
          <w:lang w:eastAsia="zh-CN"/>
        </w:rPr>
        <w:t>交易响应人</w:t>
      </w:r>
      <w:r>
        <w:rPr>
          <w:rFonts w:hint="eastAsia" w:ascii="宋体" w:hAnsi="宋体" w:eastAsia="宋体" w:cs="宋体"/>
          <w:color w:val="auto"/>
          <w:sz w:val="28"/>
          <w:highlight w:val="none"/>
        </w:rPr>
        <w:t>基本情况表</w:t>
      </w:r>
      <w:bookmarkEnd w:id="469"/>
      <w:bookmarkEnd w:id="470"/>
    </w:p>
    <w:tbl>
      <w:tblPr>
        <w:tblStyle w:val="43"/>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8"/>
        <w:gridCol w:w="1080"/>
        <w:gridCol w:w="1260"/>
        <w:gridCol w:w="720"/>
        <w:gridCol w:w="540"/>
        <w:gridCol w:w="1260"/>
        <w:gridCol w:w="18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名称</w:t>
            </w:r>
          </w:p>
        </w:tc>
        <w:tc>
          <w:tcPr>
            <w:tcW w:w="7380" w:type="dxa"/>
            <w:gridSpan w:val="8"/>
            <w:tcBorders>
              <w:top w:val="single" w:color="auto" w:sz="12"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60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520"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5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520"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vMerge w:val="continue"/>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252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电子邮件</w:t>
            </w:r>
          </w:p>
        </w:tc>
        <w:tc>
          <w:tcPr>
            <w:tcW w:w="2520"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26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26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620"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26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26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620"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5040" w:type="dxa"/>
            <w:gridSpan w:val="6"/>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试验检测</w:t>
            </w:r>
            <w:r>
              <w:rPr>
                <w:rFonts w:hint="eastAsia" w:ascii="宋体" w:hAnsi="宋体" w:eastAsia="宋体" w:cs="宋体"/>
                <w:color w:val="auto"/>
                <w:highlight w:val="none"/>
              </w:rPr>
              <w:t>等级</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720"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98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高级职称</w:t>
            </w:r>
          </w:p>
        </w:tc>
        <w:tc>
          <w:tcPr>
            <w:tcW w:w="2340"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资质认定证书号</w:t>
            </w:r>
          </w:p>
        </w:tc>
        <w:tc>
          <w:tcPr>
            <w:tcW w:w="234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720" w:type="dxa"/>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98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中级职称</w:t>
            </w:r>
          </w:p>
        </w:tc>
        <w:tc>
          <w:tcPr>
            <w:tcW w:w="2340"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4"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营业执照（法人证书）号</w:t>
            </w:r>
          </w:p>
        </w:tc>
        <w:tc>
          <w:tcPr>
            <w:tcW w:w="2340" w:type="dxa"/>
            <w:gridSpan w:val="2"/>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720" w:type="dxa"/>
            <w:vMerge w:val="continue"/>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hint="eastAsia" w:ascii="宋体" w:hAnsi="宋体" w:eastAsia="宋体" w:cs="宋体"/>
                <w:color w:val="auto"/>
                <w:highlight w:val="none"/>
              </w:rPr>
            </w:pPr>
          </w:p>
        </w:tc>
        <w:tc>
          <w:tcPr>
            <w:tcW w:w="1980" w:type="dxa"/>
            <w:gridSpan w:val="3"/>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各类注册人员</w:t>
            </w:r>
          </w:p>
        </w:tc>
        <w:tc>
          <w:tcPr>
            <w:tcW w:w="2340"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7380"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78" w:hRule="atLeast"/>
        </w:trPr>
        <w:tc>
          <w:tcPr>
            <w:tcW w:w="1828" w:type="dxa"/>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7380" w:type="dxa"/>
            <w:gridSpan w:val="8"/>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4" w:hRule="atLeast"/>
        </w:trPr>
        <w:tc>
          <w:tcPr>
            <w:tcW w:w="1828" w:type="dxa"/>
            <w:tcBorders>
              <w:top w:val="single" w:color="auto" w:sz="6" w:space="0"/>
              <w:left w:val="single" w:color="auto" w:sz="12" w:space="0"/>
              <w:bottom w:val="single" w:color="auto" w:sz="12" w:space="0"/>
              <w:right w:val="single" w:color="auto" w:sz="6" w:space="0"/>
            </w:tcBorders>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7380" w:type="dxa"/>
            <w:gridSpan w:val="8"/>
            <w:tcBorders>
              <w:top w:val="single" w:color="auto" w:sz="6" w:space="0"/>
              <w:left w:val="single" w:color="auto" w:sz="6" w:space="0"/>
              <w:bottom w:val="single" w:color="auto" w:sz="12" w:space="0"/>
              <w:right w:val="single" w:color="auto" w:sz="12" w:space="0"/>
            </w:tcBorders>
            <w:vAlign w:val="center"/>
          </w:tcPr>
          <w:p>
            <w:pPr>
              <w:spacing w:line="240" w:lineRule="exact"/>
              <w:rPr>
                <w:rFonts w:hint="eastAsia" w:ascii="宋体" w:hAnsi="宋体" w:eastAsia="宋体" w:cs="宋体"/>
                <w:color w:val="auto"/>
                <w:highlight w:val="none"/>
              </w:rPr>
            </w:pPr>
          </w:p>
        </w:tc>
      </w:tr>
    </w:tbl>
    <w:p>
      <w:pPr>
        <w:spacing w:line="300" w:lineRule="exact"/>
        <w:ind w:left="945" w:leftChars="200" w:right="-153" w:rightChars="-73" w:hanging="525" w:hangingChars="250"/>
        <w:rPr>
          <w:rFonts w:hint="eastAsia" w:ascii="宋体" w:hAnsi="宋体" w:eastAsia="宋体" w:cs="宋体"/>
          <w:color w:val="auto"/>
          <w:highlight w:val="none"/>
        </w:rPr>
      </w:pPr>
    </w:p>
    <w:p>
      <w:pPr>
        <w:spacing w:line="300" w:lineRule="exact"/>
        <w:ind w:right="-153" w:rightChars="-7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注：1．在本表后应附企业法人营业执照或事业单位法人证书副本的复印件、试验检测等级证书副本的复印件、资质认定证书复印件、公路水运工程质量试验检测管理信息系统公开信息打印件。</w:t>
      </w:r>
    </w:p>
    <w:p>
      <w:pPr>
        <w:spacing w:line="300" w:lineRule="exact"/>
        <w:ind w:right="-153" w:rightChars="-73"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2. </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可提供浙江省交通运输厅最新公布（</w:t>
      </w:r>
      <w:r>
        <w:rPr>
          <w:rFonts w:hint="eastAsia" w:ascii="宋体" w:hAnsi="宋体" w:cs="宋体"/>
          <w:color w:val="auto"/>
          <w:sz w:val="18"/>
          <w:szCs w:val="18"/>
          <w:highlight w:val="none"/>
          <w:lang w:eastAsia="zh-CN"/>
        </w:rPr>
        <w:t>交易响应</w:t>
      </w:r>
      <w:r>
        <w:rPr>
          <w:rFonts w:hint="eastAsia" w:ascii="宋体" w:hAnsi="宋体" w:eastAsia="宋体" w:cs="宋体"/>
          <w:color w:val="auto"/>
          <w:sz w:val="18"/>
          <w:szCs w:val="18"/>
          <w:highlight w:val="none"/>
        </w:rPr>
        <w:t>截止日为准）有效的公路水运工程试验检测机构信用评价结果正式文件复印件。</w:t>
      </w:r>
    </w:p>
    <w:p>
      <w:pPr>
        <w:pStyle w:val="4"/>
        <w:jc w:val="center"/>
        <w:rPr>
          <w:rFonts w:hint="eastAsia" w:ascii="宋体" w:hAnsi="宋体" w:eastAsia="宋体" w:cs="宋体"/>
          <w:color w:val="auto"/>
          <w:sz w:val="28"/>
          <w:highlight w:val="none"/>
        </w:rPr>
      </w:pPr>
      <w:r>
        <w:rPr>
          <w:rFonts w:hint="eastAsia" w:ascii="宋体" w:hAnsi="宋体" w:eastAsia="宋体" w:cs="宋体"/>
          <w:color w:val="auto"/>
          <w:highlight w:val="none"/>
        </w:rPr>
        <w:br w:type="page"/>
      </w:r>
      <w:bookmarkStart w:id="471" w:name="_Toc286826671"/>
      <w:bookmarkStart w:id="472" w:name="_Toc17763"/>
      <w:r>
        <w:rPr>
          <w:rFonts w:hint="eastAsia" w:ascii="宋体" w:hAnsi="宋体" w:eastAsia="宋体" w:cs="宋体"/>
          <w:color w:val="auto"/>
          <w:sz w:val="28"/>
          <w:highlight w:val="none"/>
        </w:rPr>
        <w:t>（二）</w:t>
      </w:r>
      <w:r>
        <w:rPr>
          <w:rFonts w:hint="eastAsia" w:ascii="宋体" w:hAnsi="宋体" w:eastAsia="宋体" w:cs="宋体"/>
          <w:color w:val="auto"/>
          <w:sz w:val="28"/>
          <w:szCs w:val="28"/>
          <w:highlight w:val="none"/>
        </w:rPr>
        <w:t>201</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月1日</w:t>
      </w:r>
      <w:r>
        <w:rPr>
          <w:rFonts w:hint="eastAsia" w:ascii="宋体" w:hAnsi="宋体" w:eastAsia="宋体" w:cs="宋体"/>
          <w:color w:val="auto"/>
          <w:sz w:val="28"/>
          <w:highlight w:val="none"/>
        </w:rPr>
        <w:t>以来完成的类似项目情况表</w:t>
      </w:r>
      <w:bookmarkEnd w:id="471"/>
      <w:bookmarkEnd w:id="472"/>
    </w:p>
    <w:tbl>
      <w:tblPr>
        <w:tblStyle w:val="4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top w:val="single" w:color="auto" w:sz="12" w:space="0"/>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480" w:type="dxa"/>
            <w:tcBorders>
              <w:top w:val="single" w:color="auto" w:sz="12" w:space="0"/>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项目等级</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项目总投资</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承担的试验检测工作</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前期路况检测服务期</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项目完成情况</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00" w:type="dxa"/>
            <w:tcBorders>
              <w:left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480" w:type="dxa"/>
            <w:tcBorders>
              <w:right w:val="single" w:color="auto" w:sz="12" w:space="0"/>
            </w:tcBorders>
            <w:vAlign w:val="center"/>
          </w:tcPr>
          <w:p>
            <w:pPr>
              <w:spacing w:line="26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0" w:type="dxa"/>
            <w:tcBorders>
              <w:left w:val="single" w:color="auto" w:sz="12" w:space="0"/>
              <w:bottom w:val="single" w:color="auto" w:sz="12" w:space="0"/>
            </w:tcBorders>
            <w:vAlign w:val="center"/>
          </w:tcPr>
          <w:p>
            <w:pPr>
              <w:spacing w:line="2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480" w:type="dxa"/>
            <w:tcBorders>
              <w:bottom w:val="single" w:color="auto" w:sz="12" w:space="0"/>
              <w:right w:val="single" w:color="auto" w:sz="12" w:space="0"/>
            </w:tcBorders>
            <w:vAlign w:val="center"/>
          </w:tcPr>
          <w:p>
            <w:pPr>
              <w:spacing w:line="260" w:lineRule="exact"/>
              <w:jc w:val="center"/>
              <w:rPr>
                <w:rFonts w:hint="eastAsia" w:ascii="宋体" w:hAnsi="宋体" w:eastAsia="宋体" w:cs="宋体"/>
                <w:color w:val="auto"/>
                <w:highlight w:val="none"/>
              </w:rPr>
            </w:pPr>
          </w:p>
        </w:tc>
      </w:tr>
    </w:tbl>
    <w:p>
      <w:pPr>
        <w:rPr>
          <w:rFonts w:hint="eastAsia" w:ascii="宋体" w:hAnsi="宋体" w:eastAsia="宋体" w:cs="宋体"/>
          <w:color w:val="auto"/>
          <w:highlight w:val="none"/>
        </w:rPr>
      </w:pPr>
    </w:p>
    <w:p>
      <w:pPr>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应提供201</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月1日以来已完成的类似试验检测项目情况。每张表格只填写一个项目，并标明序号。</w:t>
      </w:r>
      <w:bookmarkStart w:id="515" w:name="_GoBack"/>
      <w:bookmarkEnd w:id="515"/>
    </w:p>
    <w:p>
      <w:pPr>
        <w:spacing w:line="30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2.项目完成情况：</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应根据项目实际完成情况进行填报。</w:t>
      </w:r>
    </w:p>
    <w:p>
      <w:pPr>
        <w:spacing w:line="30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3.本表后应附合同协议书或委托书</w:t>
      </w:r>
      <w:r>
        <w:rPr>
          <w:rFonts w:hint="eastAsia" w:ascii="宋体" w:hAnsi="宋体" w:cs="宋体"/>
          <w:color w:val="auto"/>
          <w:sz w:val="18"/>
          <w:szCs w:val="18"/>
          <w:highlight w:val="none"/>
          <w:lang w:eastAsia="zh-CN"/>
        </w:rPr>
        <w:t>或中标通知书</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eastAsia="zh-CN"/>
        </w:rPr>
        <w:t>发包人（或交通运输部门）出具的证明材料</w:t>
      </w:r>
      <w:r>
        <w:rPr>
          <w:rFonts w:hint="eastAsia" w:ascii="宋体" w:hAnsi="宋体" w:eastAsia="宋体" w:cs="宋体"/>
          <w:color w:val="auto"/>
          <w:sz w:val="18"/>
          <w:szCs w:val="18"/>
          <w:highlight w:val="none"/>
        </w:rPr>
        <w:t>，两者缺一不可。如合同协议书或委托书、发包人（或交通运输部门）出具的证明材料均无法反映工程规模、技术标准、主要检测内容的，应提供发包人（或交通运输部门）出具的证明材料，否则业绩不予认可。上述资料中的单位名称与</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名称必须一致（单位名称发生合法变更的除外，但需提供合法变更的有效文件），否则业绩不予认可。工程规模的解释顺序为：合同协议书或委托书、发包人（或交通运输部门）出具的证明材料。</w:t>
      </w:r>
    </w:p>
    <w:p>
      <w:pPr>
        <w:spacing w:line="300" w:lineRule="auto"/>
        <w:ind w:firstLine="360" w:firstLineChars="200"/>
        <w:rPr>
          <w:rFonts w:hint="eastAsia" w:ascii="宋体" w:hAnsi="宋体" w:eastAsia="宋体" w:cs="宋体"/>
          <w:color w:val="auto"/>
          <w:sz w:val="18"/>
          <w:szCs w:val="18"/>
          <w:highlight w:val="none"/>
        </w:rPr>
      </w:pPr>
    </w:p>
    <w:p>
      <w:pPr>
        <w:pStyle w:val="4"/>
        <w:jc w:val="cente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bookmarkStart w:id="473" w:name="_Toc286826672"/>
      <w:bookmarkStart w:id="474" w:name="_Toc7020"/>
      <w:r>
        <w:rPr>
          <w:rFonts w:hint="eastAsia" w:ascii="宋体" w:hAnsi="宋体" w:eastAsia="宋体" w:cs="宋体"/>
          <w:color w:val="auto"/>
          <w:sz w:val="28"/>
          <w:highlight w:val="none"/>
        </w:rPr>
        <w:t>（三）正在进行的试验检测和新承接的项目情况表</w:t>
      </w:r>
      <w:bookmarkEnd w:id="473"/>
      <w:bookmarkEnd w:id="474"/>
    </w:p>
    <w:tbl>
      <w:tblPr>
        <w:tblStyle w:val="43"/>
        <w:tblW w:w="924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9"/>
        <w:gridCol w:w="2127"/>
        <w:gridCol w:w="1984"/>
        <w:gridCol w:w="1701"/>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21" w:hRule="atLeast"/>
        </w:trPr>
        <w:tc>
          <w:tcPr>
            <w:tcW w:w="1729"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起讫时间</w:t>
            </w:r>
          </w:p>
        </w:tc>
        <w:tc>
          <w:tcPr>
            <w:tcW w:w="2127"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项目概况</w:t>
            </w:r>
          </w:p>
        </w:tc>
        <w:tc>
          <w:tcPr>
            <w:tcW w:w="1984"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701"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计划完成日期</w:t>
            </w:r>
          </w:p>
        </w:tc>
        <w:tc>
          <w:tcPr>
            <w:tcW w:w="1701"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2127"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c>
          <w:tcPr>
            <w:tcW w:w="1701" w:type="dxa"/>
            <w:vAlign w:val="center"/>
          </w:tcPr>
          <w:p>
            <w:pPr>
              <w:spacing w:line="240" w:lineRule="exact"/>
              <w:jc w:val="center"/>
              <w:rPr>
                <w:rFonts w:hint="eastAsia" w:ascii="宋体" w:hAnsi="宋体" w:eastAsia="宋体" w:cs="宋体"/>
                <w:color w:val="auto"/>
                <w:highlight w:val="none"/>
              </w:rPr>
            </w:pPr>
          </w:p>
        </w:tc>
      </w:tr>
    </w:tbl>
    <w:p>
      <w:pPr>
        <w:spacing w:line="300" w:lineRule="exact"/>
        <w:rPr>
          <w:rFonts w:hint="eastAsia" w:ascii="宋体" w:hAnsi="宋体" w:eastAsia="宋体" w:cs="宋体"/>
          <w:color w:val="auto"/>
          <w:highlight w:val="none"/>
        </w:rPr>
      </w:pPr>
    </w:p>
    <w:p>
      <w:pPr>
        <w:spacing w:line="30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应如实将正在试验检测中或已中标还未签订合同（包括已签订合同但尚未开始）的主要试验检测项目情况填入本表中。</w:t>
      </w:r>
    </w:p>
    <w:p>
      <w:pPr>
        <w:spacing w:line="300" w:lineRule="auto"/>
        <w:ind w:firstLine="435"/>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2、项目概况包括：项目名称、项目等级、规模、总投资、</w:t>
      </w:r>
      <w:r>
        <w:rPr>
          <w:rFonts w:hint="eastAsia" w:ascii="宋体" w:hAnsi="宋体" w:eastAsia="宋体" w:cs="宋体"/>
          <w:color w:val="auto"/>
          <w:sz w:val="18"/>
          <w:szCs w:val="18"/>
          <w:highlight w:val="none"/>
          <w:lang w:eastAsia="zh-CN"/>
        </w:rPr>
        <w:t>检测服务期</w:t>
      </w:r>
      <w:r>
        <w:rPr>
          <w:rFonts w:hint="eastAsia" w:ascii="宋体" w:hAnsi="宋体" w:eastAsia="宋体" w:cs="宋体"/>
          <w:color w:val="auto"/>
          <w:sz w:val="18"/>
          <w:szCs w:val="18"/>
          <w:highlight w:val="none"/>
        </w:rPr>
        <w:t>、项目负责人。</w:t>
      </w:r>
    </w:p>
    <w:p>
      <w:pPr>
        <w:spacing w:line="300" w:lineRule="auto"/>
        <w:ind w:firstLine="435"/>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3、本表后须附</w:t>
      </w:r>
      <w:r>
        <w:rPr>
          <w:rFonts w:hint="eastAsia" w:ascii="宋体" w:hAnsi="宋体" w:eastAsia="宋体" w:cs="宋体"/>
          <w:color w:val="auto"/>
          <w:sz w:val="18"/>
          <w:szCs w:val="18"/>
          <w:highlight w:val="none"/>
          <w:lang w:eastAsia="zh-CN"/>
        </w:rPr>
        <w:t>成交通知书</w:t>
      </w:r>
      <w:r>
        <w:rPr>
          <w:rFonts w:hint="eastAsia" w:ascii="宋体" w:hAnsi="宋体" w:eastAsia="宋体" w:cs="宋体"/>
          <w:color w:val="auto"/>
          <w:sz w:val="18"/>
          <w:szCs w:val="18"/>
          <w:highlight w:val="none"/>
        </w:rPr>
        <w:t>或合同协议书或委托书的复印件。</w:t>
      </w: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spacing w:line="300" w:lineRule="auto"/>
        <w:ind w:firstLine="435"/>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00" w:lineRule="auto"/>
        <w:ind w:firstLine="435"/>
        <w:rPr>
          <w:rFonts w:hint="eastAsia" w:ascii="宋体" w:hAnsi="宋体" w:eastAsia="宋体" w:cs="宋体"/>
          <w:color w:val="auto"/>
          <w:szCs w:val="21"/>
          <w:highlight w:val="none"/>
        </w:rPr>
      </w:pPr>
    </w:p>
    <w:p>
      <w:pPr>
        <w:pStyle w:val="4"/>
        <w:jc w:val="center"/>
        <w:rPr>
          <w:rFonts w:hint="eastAsia" w:ascii="宋体" w:hAnsi="宋体" w:eastAsia="宋体" w:cs="宋体"/>
          <w:color w:val="auto"/>
          <w:sz w:val="28"/>
          <w:highlight w:val="none"/>
        </w:rPr>
      </w:pPr>
      <w:bookmarkStart w:id="475" w:name="_Toc25611"/>
      <w:bookmarkStart w:id="476" w:name="_Toc286826673"/>
      <w:r>
        <w:rPr>
          <w:rFonts w:hint="eastAsia" w:ascii="宋体" w:hAnsi="宋体" w:eastAsia="宋体" w:cs="宋体"/>
          <w:color w:val="auto"/>
          <w:sz w:val="28"/>
          <w:highlight w:val="none"/>
        </w:rPr>
        <w:t>（四）拟委任的主要人员汇总表</w:t>
      </w:r>
      <w:bookmarkEnd w:id="475"/>
      <w:bookmarkEnd w:id="476"/>
    </w:p>
    <w:p>
      <w:pPr>
        <w:rPr>
          <w:rFonts w:hint="eastAsia" w:ascii="宋体" w:hAnsi="宋体" w:eastAsia="宋体" w:cs="宋体"/>
          <w:color w:val="auto"/>
          <w:highlight w:val="none"/>
        </w:rPr>
      </w:pPr>
    </w:p>
    <w:tbl>
      <w:tblPr>
        <w:tblStyle w:val="43"/>
        <w:tblW w:w="92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9"/>
        <w:gridCol w:w="993"/>
        <w:gridCol w:w="1984"/>
        <w:gridCol w:w="1550"/>
        <w:gridCol w:w="1476"/>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21" w:hRule="atLeast"/>
        </w:trPr>
        <w:tc>
          <w:tcPr>
            <w:tcW w:w="1729"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993"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984"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拟在本项目中担任的职务</w:t>
            </w:r>
          </w:p>
        </w:tc>
        <w:tc>
          <w:tcPr>
            <w:tcW w:w="1550"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476"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476" w:type="dxa"/>
            <w:vAlign w:val="center"/>
          </w:tcPr>
          <w:p>
            <w:pPr>
              <w:spacing w:line="2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类似试验检测经验年限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1" w:hRule="atLeast"/>
        </w:trPr>
        <w:tc>
          <w:tcPr>
            <w:tcW w:w="1729" w:type="dxa"/>
            <w:vAlign w:val="center"/>
          </w:tcPr>
          <w:p>
            <w:pPr>
              <w:spacing w:line="240" w:lineRule="exact"/>
              <w:jc w:val="center"/>
              <w:rPr>
                <w:rFonts w:hint="eastAsia" w:ascii="宋体" w:hAnsi="宋体" w:eastAsia="宋体" w:cs="宋体"/>
                <w:color w:val="auto"/>
                <w:highlight w:val="none"/>
              </w:rPr>
            </w:pPr>
          </w:p>
        </w:tc>
        <w:tc>
          <w:tcPr>
            <w:tcW w:w="993" w:type="dxa"/>
            <w:vAlign w:val="center"/>
          </w:tcPr>
          <w:p>
            <w:pPr>
              <w:spacing w:line="240" w:lineRule="exact"/>
              <w:jc w:val="center"/>
              <w:rPr>
                <w:rFonts w:hint="eastAsia" w:ascii="宋体" w:hAnsi="宋体" w:eastAsia="宋体" w:cs="宋体"/>
                <w:color w:val="auto"/>
                <w:highlight w:val="none"/>
              </w:rPr>
            </w:pPr>
          </w:p>
        </w:tc>
        <w:tc>
          <w:tcPr>
            <w:tcW w:w="1984" w:type="dxa"/>
            <w:vAlign w:val="center"/>
          </w:tcPr>
          <w:p>
            <w:pPr>
              <w:spacing w:line="240" w:lineRule="exact"/>
              <w:jc w:val="center"/>
              <w:rPr>
                <w:rFonts w:hint="eastAsia" w:ascii="宋体" w:hAnsi="宋体" w:eastAsia="宋体" w:cs="宋体"/>
                <w:color w:val="auto"/>
                <w:highlight w:val="none"/>
              </w:rPr>
            </w:pPr>
          </w:p>
        </w:tc>
        <w:tc>
          <w:tcPr>
            <w:tcW w:w="1550"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c>
          <w:tcPr>
            <w:tcW w:w="1476" w:type="dxa"/>
            <w:vAlign w:val="center"/>
          </w:tcPr>
          <w:p>
            <w:pPr>
              <w:spacing w:line="240" w:lineRule="exact"/>
              <w:jc w:val="center"/>
              <w:rPr>
                <w:rFonts w:hint="eastAsia" w:ascii="宋体" w:hAnsi="宋体" w:eastAsia="宋体" w:cs="宋体"/>
                <w:color w:val="auto"/>
                <w:highlight w:val="none"/>
              </w:rPr>
            </w:pPr>
          </w:p>
        </w:tc>
      </w:tr>
    </w:tbl>
    <w:p>
      <w:pPr>
        <w:spacing w:line="300" w:lineRule="exact"/>
        <w:rPr>
          <w:rFonts w:hint="eastAsia" w:ascii="宋体" w:hAnsi="宋体" w:eastAsia="宋体" w:cs="宋体"/>
          <w:color w:val="auto"/>
          <w:highlight w:val="none"/>
        </w:rPr>
      </w:pPr>
    </w:p>
    <w:p>
      <w:pPr>
        <w:spacing w:line="300" w:lineRule="exact"/>
        <w:ind w:right="-153" w:rightChars="-7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注：1.本表填报的人员应满足“</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须知前附表”附录3的要求。</w:t>
      </w:r>
    </w:p>
    <w:p>
      <w:pPr>
        <w:spacing w:line="300" w:lineRule="exact"/>
        <w:ind w:right="-153" w:rightChars="-73" w:firstLine="360" w:firstLineChars="200"/>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Style w:val="4"/>
        <w:jc w:val="center"/>
        <w:rPr>
          <w:rFonts w:hint="eastAsia" w:ascii="宋体" w:hAnsi="宋体" w:eastAsia="宋体" w:cs="宋体"/>
          <w:color w:val="auto"/>
          <w:sz w:val="28"/>
          <w:highlight w:val="none"/>
        </w:rPr>
      </w:pPr>
      <w:bookmarkStart w:id="477" w:name="_Toc11307"/>
      <w:r>
        <w:rPr>
          <w:rFonts w:hint="eastAsia" w:ascii="宋体" w:hAnsi="宋体" w:eastAsia="宋体" w:cs="宋体"/>
          <w:color w:val="auto"/>
          <w:sz w:val="28"/>
          <w:highlight w:val="none"/>
        </w:rPr>
        <w:t>（五）拟委任的主要人员简历表</w:t>
      </w:r>
      <w:bookmarkEnd w:id="477"/>
    </w:p>
    <w:p>
      <w:pPr>
        <w:jc w:val="center"/>
        <w:rPr>
          <w:rFonts w:hint="eastAsia" w:ascii="宋体" w:hAnsi="宋体" w:eastAsia="宋体" w:cs="宋体"/>
          <w:b/>
          <w:color w:val="auto"/>
          <w:sz w:val="32"/>
          <w:szCs w:val="32"/>
          <w:highlight w:val="none"/>
        </w:rPr>
      </w:pPr>
    </w:p>
    <w:tbl>
      <w:tblPr>
        <w:tblStyle w:val="43"/>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611"/>
        <w:gridCol w:w="2714"/>
        <w:gridCol w:w="2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9" w:hRule="atLeas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拟委任职务</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姓名/年龄</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职务/职称</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exac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（毕业时间、校名、专业）</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4" w:hRule="exac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（何时在哪些项目中任何职务）</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8" w:hRule="exact"/>
          <w:jc w:val="center"/>
        </w:trPr>
        <w:tc>
          <w:tcPr>
            <w:tcW w:w="361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有</w:t>
            </w:r>
            <w:r>
              <w:rPr>
                <w:rFonts w:hint="eastAsia" w:ascii="宋体" w:hAnsi="宋体" w:eastAsia="宋体" w:cs="宋体"/>
                <w:color w:val="auto"/>
                <w:szCs w:val="21"/>
                <w:highlight w:val="none"/>
              </w:rPr>
              <w:t>何其他特长，受过哪些奖励）</w:t>
            </w:r>
          </w:p>
        </w:tc>
        <w:tc>
          <w:tcPr>
            <w:tcW w:w="2714"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2714" w:type="dxa"/>
            <w:tcBorders>
              <w:left w:val="single" w:color="auto" w:sz="4" w:space="0"/>
            </w:tcBorders>
            <w:vAlign w:val="center"/>
          </w:tcPr>
          <w:p>
            <w:pPr>
              <w:jc w:val="center"/>
              <w:rPr>
                <w:rFonts w:hint="eastAsia" w:ascii="宋体" w:hAnsi="宋体" w:eastAsia="宋体" w:cs="宋体"/>
                <w:color w:val="auto"/>
                <w:szCs w:val="21"/>
                <w:highlight w:val="none"/>
              </w:rPr>
            </w:pPr>
          </w:p>
        </w:tc>
      </w:tr>
    </w:tbl>
    <w:p>
      <w:pPr>
        <w:pStyle w:val="114"/>
        <w:spacing w:line="300" w:lineRule="exact"/>
        <w:ind w:left="504" w:leftChars="240" w:right="613"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说明：1.本表后应附</w:t>
      </w:r>
      <w:bookmarkStart w:id="478" w:name="_Toc286826675"/>
      <w:r>
        <w:rPr>
          <w:rFonts w:hint="eastAsia" w:ascii="宋体" w:hAnsi="宋体" w:eastAsia="宋体" w:cs="宋体"/>
          <w:color w:val="auto"/>
          <w:sz w:val="18"/>
          <w:szCs w:val="18"/>
          <w:highlight w:val="none"/>
        </w:rPr>
        <w:t>：</w:t>
      </w:r>
    </w:p>
    <w:p>
      <w:pPr>
        <w:pStyle w:val="114"/>
        <w:spacing w:line="300" w:lineRule="exact"/>
        <w:ind w:left="504" w:leftChars="240" w:right="613"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a.拟委任的项目负责人、技术负责人的包括职称证、身份证、试验检测人员资格证书、</w:t>
      </w:r>
      <w:r>
        <w:rPr>
          <w:rFonts w:hint="eastAsia" w:ascii="宋体" w:hAnsi="宋体" w:eastAsia="宋体" w:cs="宋体"/>
          <w:bCs/>
          <w:color w:val="auto"/>
          <w:sz w:val="18"/>
          <w:szCs w:val="18"/>
          <w:highlight w:val="none"/>
        </w:rPr>
        <w:t>公路水运工程质量试验检测管理信息系统</w:t>
      </w:r>
      <w:r>
        <w:rPr>
          <w:rFonts w:hint="eastAsia" w:ascii="宋体" w:hAnsi="宋体" w:eastAsia="宋体" w:cs="宋体"/>
          <w:color w:val="auto"/>
          <w:sz w:val="18"/>
          <w:szCs w:val="18"/>
          <w:highlight w:val="none"/>
        </w:rPr>
        <w:t>公开信息等，以及</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所属社保机构出具的自</w:t>
      </w:r>
      <w:r>
        <w:rPr>
          <w:rFonts w:hint="eastAsia" w:ascii="宋体" w:hAnsi="宋体" w:eastAsia="宋体" w:cs="宋体"/>
          <w:color w:val="auto"/>
          <w:sz w:val="18"/>
          <w:szCs w:val="18"/>
          <w:highlight w:val="none"/>
          <w:lang w:eastAsia="zh-CN"/>
        </w:rPr>
        <w:t>交易公告</w:t>
      </w:r>
      <w:r>
        <w:rPr>
          <w:rFonts w:hint="eastAsia" w:ascii="宋体" w:hAnsi="宋体" w:eastAsia="宋体" w:cs="宋体"/>
          <w:color w:val="auto"/>
          <w:sz w:val="18"/>
          <w:szCs w:val="18"/>
          <w:highlight w:val="none"/>
        </w:rPr>
        <w:t>发出后的社保缴费证明或其他能够证明项目负责人、技术负责人参加社保的有效证明材料复印件</w:t>
      </w:r>
      <w:r>
        <w:rPr>
          <w:rFonts w:hint="eastAsia" w:ascii="宋体" w:hAnsi="宋体" w:cs="宋体"/>
          <w:color w:val="auto"/>
          <w:sz w:val="18"/>
          <w:szCs w:val="18"/>
          <w:highlight w:val="none"/>
          <w:lang w:eastAsia="zh-CN"/>
        </w:rPr>
        <w:t>；</w:t>
      </w:r>
    </w:p>
    <w:p>
      <w:pPr>
        <w:pStyle w:val="114"/>
        <w:spacing w:line="300" w:lineRule="exact"/>
        <w:ind w:left="504" w:leftChars="240" w:right="613"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b.项目负责人应提供资格业绩证明材料：</w:t>
      </w:r>
      <w:r>
        <w:rPr>
          <w:rFonts w:hint="eastAsia" w:ascii="宋体" w:hAnsi="宋体" w:eastAsia="宋体" w:cs="宋体"/>
          <w:color w:val="auto"/>
          <w:sz w:val="18"/>
          <w:szCs w:val="18"/>
          <w:highlight w:val="none"/>
          <w:lang w:eastAsia="zh-CN"/>
        </w:rPr>
        <w:t>中标（或成交）通知书</w:t>
      </w:r>
      <w:r>
        <w:rPr>
          <w:rFonts w:hint="eastAsia" w:ascii="宋体" w:hAnsi="宋体" w:eastAsia="宋体" w:cs="宋体"/>
          <w:color w:val="auto"/>
          <w:sz w:val="18"/>
          <w:szCs w:val="18"/>
          <w:highlight w:val="none"/>
        </w:rPr>
        <w:t>或合同协议书或委托书。如</w:t>
      </w:r>
      <w:r>
        <w:rPr>
          <w:rFonts w:hint="eastAsia" w:ascii="宋体" w:hAnsi="宋体" w:eastAsia="宋体" w:cs="宋体"/>
          <w:color w:val="auto"/>
          <w:sz w:val="18"/>
          <w:szCs w:val="18"/>
          <w:highlight w:val="none"/>
          <w:lang w:eastAsia="zh-CN"/>
        </w:rPr>
        <w:t>中标（或成交）通知书</w:t>
      </w:r>
      <w:r>
        <w:rPr>
          <w:rFonts w:hint="eastAsia" w:ascii="宋体" w:hAnsi="宋体" w:eastAsia="宋体" w:cs="宋体"/>
          <w:color w:val="auto"/>
          <w:sz w:val="18"/>
          <w:szCs w:val="18"/>
          <w:highlight w:val="none"/>
        </w:rPr>
        <w:t>或合同协议书或委托书无法体现人员姓名和任职的，应提供项目发包人（或交通运输部门）出具的证明材料，否则业绩不予认可。</w:t>
      </w:r>
    </w:p>
    <w:p>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pStyle w:val="4"/>
        <w:jc w:val="center"/>
        <w:rPr>
          <w:rFonts w:hint="eastAsia" w:ascii="宋体" w:hAnsi="宋体" w:eastAsia="宋体" w:cs="宋体"/>
          <w:color w:val="auto"/>
          <w:sz w:val="28"/>
          <w:highlight w:val="none"/>
        </w:rPr>
      </w:pPr>
      <w:bookmarkStart w:id="479" w:name="_Toc10045"/>
      <w:r>
        <w:rPr>
          <w:rFonts w:hint="eastAsia" w:ascii="宋体" w:hAnsi="宋体" w:eastAsia="宋体" w:cs="宋体"/>
          <w:color w:val="auto"/>
          <w:sz w:val="28"/>
          <w:highlight w:val="none"/>
        </w:rPr>
        <w:t>（六）</w:t>
      </w:r>
      <w:r>
        <w:rPr>
          <w:rFonts w:hint="eastAsia" w:ascii="宋体" w:hAnsi="宋体" w:eastAsia="宋体" w:cs="宋体"/>
          <w:color w:val="auto"/>
          <w:sz w:val="28"/>
          <w:highlight w:val="none"/>
          <w:lang w:eastAsia="zh-CN"/>
        </w:rPr>
        <w:t>交易响应人</w:t>
      </w:r>
      <w:r>
        <w:rPr>
          <w:rFonts w:hint="eastAsia" w:ascii="宋体" w:hAnsi="宋体" w:eastAsia="宋体" w:cs="宋体"/>
          <w:color w:val="auto"/>
          <w:sz w:val="28"/>
          <w:highlight w:val="none"/>
        </w:rPr>
        <w:t>信誉情况表</w:t>
      </w:r>
      <w:bookmarkEnd w:id="478"/>
      <w:bookmarkEnd w:id="479"/>
    </w:p>
    <w:p>
      <w:pPr>
        <w:spacing w:after="120"/>
        <w:jc w:val="center"/>
        <w:rPr>
          <w:rFonts w:hint="eastAsia" w:ascii="宋体" w:hAnsi="宋体" w:eastAsia="宋体" w:cs="宋体"/>
          <w:color w:val="auto"/>
          <w:highlight w:val="none"/>
        </w:rPr>
      </w:pPr>
    </w:p>
    <w:tbl>
      <w:tblPr>
        <w:tblStyle w:val="43"/>
        <w:tblW w:w="93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46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9320" w:type="dxa"/>
            <w:gridSpan w:val="2"/>
          </w:tcPr>
          <w:p>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应针对第二章“</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须知前附表”附录4的要求，在此对其信誉情况作出说明。</w:t>
            </w:r>
          </w:p>
          <w:p>
            <w:pPr>
              <w:spacing w:line="360" w:lineRule="exact"/>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4699"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信誉要求</w:t>
            </w:r>
          </w:p>
        </w:tc>
        <w:tc>
          <w:tcPr>
            <w:tcW w:w="4621" w:type="dxa"/>
            <w:vAlign w:val="center"/>
          </w:tcPr>
          <w:p>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自述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4699" w:type="dxa"/>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1、不存在“</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须知”第1.4.3、1.4.4项的情形；</w:t>
            </w:r>
          </w:p>
        </w:tc>
        <w:tc>
          <w:tcPr>
            <w:tcW w:w="4621" w:type="dxa"/>
          </w:tcPr>
          <w:p>
            <w:pPr>
              <w:spacing w:line="360" w:lineRule="exact"/>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4699" w:type="dxa"/>
            <w:vAlign w:val="center"/>
          </w:tcPr>
          <w:p>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自</w:t>
            </w:r>
            <w:r>
              <w:rPr>
                <w:rFonts w:hint="eastAsia" w:ascii="宋体" w:hAnsi="宋体" w:eastAsia="宋体" w:cs="宋体"/>
                <w:color w:val="auto"/>
                <w:highlight w:val="none"/>
                <w:lang w:val="en-US" w:eastAsia="zh-CN"/>
              </w:rPr>
              <w:t>2019年01月01以来，交易响应人无行贿犯罪行为（以中国裁判文书网查询结果为准，交易响应人无须提供）</w:t>
            </w:r>
            <w:r>
              <w:rPr>
                <w:rFonts w:hint="eastAsia" w:ascii="宋体" w:hAnsi="宋体" w:eastAsia="宋体" w:cs="宋体"/>
                <w:color w:val="auto"/>
                <w:highlight w:val="none"/>
              </w:rPr>
              <w:t>。</w:t>
            </w:r>
          </w:p>
        </w:tc>
        <w:tc>
          <w:tcPr>
            <w:tcW w:w="4621" w:type="dxa"/>
          </w:tcPr>
          <w:p>
            <w:pPr>
              <w:spacing w:line="360" w:lineRule="exact"/>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4699" w:type="dxa"/>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3、自202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月1日以来，</w:t>
            </w:r>
            <w:r>
              <w:rPr>
                <w:rFonts w:hint="eastAsia" w:ascii="宋体" w:hAnsi="宋体" w:eastAsia="宋体" w:cs="宋体"/>
                <w:color w:val="auto"/>
                <w:highlight w:val="none"/>
                <w:lang w:eastAsia="zh-CN"/>
              </w:rPr>
              <w:t>未</w:t>
            </w:r>
            <w:r>
              <w:rPr>
                <w:rFonts w:hint="eastAsia" w:ascii="宋体" w:hAnsi="宋体" w:eastAsia="宋体" w:cs="宋体"/>
                <w:color w:val="auto"/>
                <w:highlight w:val="none"/>
              </w:rPr>
              <w:t>被交通运输部、浙江省发展和改革委员会、浙江省交通运输厅三部门以外的省级及以上单位（部门）书面通报限制</w:t>
            </w:r>
            <w:r>
              <w:rPr>
                <w:rFonts w:hint="eastAsia" w:ascii="宋体" w:hAnsi="宋体" w:cs="宋体"/>
                <w:color w:val="auto"/>
                <w:highlight w:val="none"/>
                <w:lang w:eastAsia="zh-CN"/>
              </w:rPr>
              <w:t>交易响应</w:t>
            </w:r>
            <w:r>
              <w:rPr>
                <w:rFonts w:hint="eastAsia" w:ascii="宋体" w:hAnsi="宋体" w:eastAsia="宋体" w:cs="宋体"/>
                <w:color w:val="auto"/>
                <w:highlight w:val="none"/>
              </w:rPr>
              <w:t>。</w:t>
            </w:r>
          </w:p>
        </w:tc>
        <w:tc>
          <w:tcPr>
            <w:tcW w:w="4621" w:type="dxa"/>
          </w:tcPr>
          <w:p>
            <w:pPr>
              <w:spacing w:line="360" w:lineRule="exact"/>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4699" w:type="dxa"/>
            <w:vAlign w:val="center"/>
          </w:tcPr>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4621" w:type="dxa"/>
          </w:tcPr>
          <w:p>
            <w:pPr>
              <w:spacing w:line="360" w:lineRule="exact"/>
              <w:rPr>
                <w:rFonts w:hint="eastAsia" w:ascii="宋体" w:hAnsi="宋体" w:eastAsia="宋体" w:cs="宋体"/>
                <w:color w:val="auto"/>
                <w:highlight w:val="none"/>
              </w:rPr>
            </w:pPr>
          </w:p>
        </w:tc>
      </w:tr>
    </w:tbl>
    <w:p>
      <w:pPr>
        <w:ind w:left="1289" w:leftChars="177" w:right="347" w:hanging="917" w:hangingChars="437"/>
        <w:rPr>
          <w:rFonts w:hint="eastAsia" w:ascii="宋体" w:hAnsi="宋体" w:eastAsia="宋体" w:cs="宋体"/>
          <w:color w:val="auto"/>
          <w:highlight w:val="none"/>
        </w:rPr>
      </w:pPr>
    </w:p>
    <w:p>
      <w:pPr>
        <w:pStyle w:val="4"/>
        <w:jc w:val="center"/>
        <w:rPr>
          <w:rFonts w:hint="eastAsia" w:ascii="宋体" w:hAnsi="宋体" w:eastAsia="宋体" w:cs="宋体"/>
          <w:color w:val="auto"/>
          <w:sz w:val="28"/>
          <w:highlight w:val="none"/>
        </w:rPr>
      </w:pPr>
      <w:r>
        <w:rPr>
          <w:rFonts w:hint="eastAsia" w:ascii="宋体" w:hAnsi="宋体" w:eastAsia="宋体" w:cs="宋体"/>
          <w:color w:val="auto"/>
          <w:sz w:val="27"/>
          <w:szCs w:val="27"/>
          <w:highlight w:val="none"/>
        </w:rPr>
        <w:br w:type="page"/>
      </w:r>
      <w:bookmarkStart w:id="480" w:name="_Toc20325"/>
      <w:bookmarkStart w:id="481" w:name="_Toc286826676"/>
      <w:r>
        <w:rPr>
          <w:rFonts w:hint="eastAsia" w:ascii="宋体" w:hAnsi="宋体" w:eastAsia="宋体" w:cs="宋体"/>
          <w:color w:val="auto"/>
          <w:sz w:val="28"/>
          <w:highlight w:val="none"/>
        </w:rPr>
        <w:t>（七）拟投入主要试验检测仪器设备</w:t>
      </w:r>
      <w:bookmarkEnd w:id="480"/>
    </w:p>
    <w:tbl>
      <w:tblPr>
        <w:tblStyle w:val="43"/>
        <w:tblW w:w="9134" w:type="dxa"/>
        <w:tblInd w:w="25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1313"/>
        <w:gridCol w:w="1313"/>
        <w:gridCol w:w="1313"/>
        <w:gridCol w:w="691"/>
        <w:gridCol w:w="691"/>
        <w:gridCol w:w="691"/>
        <w:gridCol w:w="691"/>
        <w:gridCol w:w="14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exact"/>
        </w:trPr>
        <w:tc>
          <w:tcPr>
            <w:tcW w:w="986"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13"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313" w:type="dxa"/>
            <w:vMerge w:val="restart"/>
            <w:tcBorders>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型号、产地</w:t>
            </w:r>
          </w:p>
        </w:tc>
        <w:tc>
          <w:tcPr>
            <w:tcW w:w="1313" w:type="dxa"/>
            <w:vMerge w:val="restart"/>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用途、功能规格</w:t>
            </w:r>
          </w:p>
        </w:tc>
        <w:tc>
          <w:tcPr>
            <w:tcW w:w="2764" w:type="dxa"/>
            <w:gridSpan w:val="4"/>
            <w:tcBorders>
              <w:left w:val="single" w:color="auto" w:sz="4" w:space="0"/>
              <w:bottom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45"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exact"/>
        </w:trPr>
        <w:tc>
          <w:tcPr>
            <w:tcW w:w="986" w:type="dxa"/>
            <w:vMerge w:val="continue"/>
            <w:vAlign w:val="center"/>
          </w:tcPr>
          <w:p>
            <w:pPr>
              <w:jc w:val="center"/>
              <w:rPr>
                <w:rFonts w:hint="eastAsia" w:ascii="宋体" w:hAnsi="宋体" w:eastAsia="宋体" w:cs="宋体"/>
                <w:color w:val="auto"/>
                <w:szCs w:val="21"/>
                <w:highlight w:val="none"/>
              </w:rPr>
            </w:pPr>
          </w:p>
        </w:tc>
        <w:tc>
          <w:tcPr>
            <w:tcW w:w="1313" w:type="dxa"/>
            <w:vMerge w:val="continue"/>
            <w:vAlign w:val="center"/>
          </w:tcPr>
          <w:p>
            <w:pPr>
              <w:jc w:val="center"/>
              <w:rPr>
                <w:rFonts w:hint="eastAsia" w:ascii="宋体" w:hAnsi="宋体" w:eastAsia="宋体" w:cs="宋体"/>
                <w:color w:val="auto"/>
                <w:szCs w:val="21"/>
                <w:highlight w:val="none"/>
              </w:rPr>
            </w:pPr>
          </w:p>
        </w:tc>
        <w:tc>
          <w:tcPr>
            <w:tcW w:w="1313" w:type="dxa"/>
            <w:vMerge w:val="continue"/>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69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自有</w:t>
            </w:r>
          </w:p>
        </w:tc>
        <w:tc>
          <w:tcPr>
            <w:tcW w:w="69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w:t>
            </w:r>
          </w:p>
        </w:tc>
        <w:tc>
          <w:tcPr>
            <w:tcW w:w="691" w:type="dxa"/>
            <w:tcBorders>
              <w:top w:val="single" w:color="auto" w:sz="4" w:space="0"/>
              <w:lef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新购</w:t>
            </w:r>
          </w:p>
        </w:tc>
        <w:tc>
          <w:tcPr>
            <w:tcW w:w="1445" w:type="dxa"/>
            <w:vMerge w:val="continue"/>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所在页号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exact"/>
        </w:trPr>
        <w:tc>
          <w:tcPr>
            <w:tcW w:w="98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vAlign w:val="center"/>
          </w:tcPr>
          <w:p>
            <w:pPr>
              <w:jc w:val="center"/>
              <w:rPr>
                <w:rFonts w:hint="eastAsia" w:ascii="宋体" w:hAnsi="宋体" w:eastAsia="宋体" w:cs="宋体"/>
                <w:color w:val="auto"/>
                <w:szCs w:val="21"/>
                <w:highlight w:val="none"/>
              </w:rPr>
            </w:pPr>
          </w:p>
        </w:tc>
        <w:tc>
          <w:tcPr>
            <w:tcW w:w="1313" w:type="dxa"/>
            <w:tcBorders>
              <w:right w:val="single" w:color="auto" w:sz="4" w:space="0"/>
            </w:tcBorders>
            <w:vAlign w:val="center"/>
          </w:tcPr>
          <w:p>
            <w:pPr>
              <w:jc w:val="center"/>
              <w:rPr>
                <w:rFonts w:hint="eastAsia" w:ascii="宋体" w:hAnsi="宋体" w:eastAsia="宋体" w:cs="宋体"/>
                <w:color w:val="auto"/>
                <w:szCs w:val="21"/>
                <w:highlight w:val="none"/>
              </w:rPr>
            </w:pPr>
          </w:p>
        </w:tc>
        <w:tc>
          <w:tcPr>
            <w:tcW w:w="1313"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right w:val="single" w:color="auto" w:sz="4" w:space="0"/>
            </w:tcBorders>
            <w:vAlign w:val="center"/>
          </w:tcPr>
          <w:p>
            <w:pPr>
              <w:jc w:val="center"/>
              <w:rPr>
                <w:rFonts w:hint="eastAsia" w:ascii="宋体" w:hAnsi="宋体" w:eastAsia="宋体" w:cs="宋体"/>
                <w:color w:val="auto"/>
                <w:szCs w:val="21"/>
                <w:highlight w:val="none"/>
              </w:rPr>
            </w:pPr>
          </w:p>
        </w:tc>
        <w:tc>
          <w:tcPr>
            <w:tcW w:w="691" w:type="dxa"/>
            <w:tcBorders>
              <w:left w:val="single" w:color="auto" w:sz="4" w:space="0"/>
            </w:tcBorders>
            <w:vAlign w:val="center"/>
          </w:tcPr>
          <w:p>
            <w:pPr>
              <w:jc w:val="center"/>
              <w:rPr>
                <w:rFonts w:hint="eastAsia" w:ascii="宋体" w:hAnsi="宋体" w:eastAsia="宋体" w:cs="宋体"/>
                <w:color w:val="auto"/>
                <w:szCs w:val="21"/>
                <w:highlight w:val="none"/>
              </w:rPr>
            </w:pPr>
          </w:p>
        </w:tc>
        <w:tc>
          <w:tcPr>
            <w:tcW w:w="1445" w:type="dxa"/>
            <w:vAlign w:val="center"/>
          </w:tcPr>
          <w:p>
            <w:pPr>
              <w:jc w:val="center"/>
              <w:rPr>
                <w:rFonts w:hint="eastAsia" w:ascii="宋体" w:hAnsi="宋体" w:eastAsia="宋体" w:cs="宋体"/>
                <w:color w:val="auto"/>
                <w:szCs w:val="21"/>
                <w:highlight w:val="none"/>
              </w:rPr>
            </w:pPr>
          </w:p>
        </w:tc>
      </w:tr>
    </w:tbl>
    <w:p>
      <w:pPr>
        <w:spacing w:line="320" w:lineRule="exact"/>
        <w:ind w:right="-153" w:rightChars="-7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注：1.本表填报的试验检测仪器设备应满足“</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须知前附表”附录5的要求。</w:t>
      </w:r>
    </w:p>
    <w:p>
      <w:pPr>
        <w:spacing w:line="320" w:lineRule="exact"/>
        <w:ind w:right="-153" w:rightChars="-73" w:firstLine="90" w:firstLineChars="5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交易响应人</w:t>
      </w:r>
      <w:r>
        <w:rPr>
          <w:rFonts w:hint="eastAsia" w:ascii="宋体" w:hAnsi="宋体" w:eastAsia="宋体" w:cs="宋体"/>
          <w:color w:val="auto"/>
          <w:sz w:val="18"/>
          <w:szCs w:val="18"/>
          <w:highlight w:val="none"/>
        </w:rPr>
        <w:t>应按</w:t>
      </w:r>
      <w:r>
        <w:rPr>
          <w:rFonts w:hint="eastAsia" w:ascii="宋体" w:hAnsi="宋体" w:eastAsia="宋体" w:cs="宋体"/>
          <w:color w:val="auto"/>
          <w:sz w:val="18"/>
          <w:szCs w:val="18"/>
          <w:highlight w:val="none"/>
          <w:lang w:eastAsia="zh-CN"/>
        </w:rPr>
        <w:t>交易文件</w:t>
      </w:r>
      <w:r>
        <w:rPr>
          <w:rFonts w:hint="eastAsia" w:ascii="宋体" w:hAnsi="宋体" w:eastAsia="宋体" w:cs="宋体"/>
          <w:color w:val="auto"/>
          <w:sz w:val="18"/>
          <w:szCs w:val="18"/>
          <w:highlight w:val="none"/>
        </w:rPr>
        <w:t>格式要求提供承诺函，无需提供实验检测仪器设备的证明材料。</w:t>
      </w:r>
    </w:p>
    <w:p>
      <w:pPr>
        <w:pStyle w:val="4"/>
        <w:jc w:val="center"/>
        <w:rPr>
          <w:rFonts w:hint="eastAsia" w:ascii="宋体" w:hAnsi="宋体" w:eastAsia="宋体" w:cs="宋体"/>
          <w:color w:val="auto"/>
          <w:sz w:val="28"/>
          <w:highlight w:val="none"/>
        </w:rPr>
      </w:pPr>
      <w:r>
        <w:rPr>
          <w:rFonts w:hint="eastAsia" w:ascii="宋体" w:hAnsi="宋体" w:eastAsia="宋体" w:cs="宋体"/>
          <w:color w:val="auto"/>
          <w:szCs w:val="21"/>
          <w:highlight w:val="none"/>
        </w:rPr>
        <w:br w:type="page"/>
      </w:r>
      <w:bookmarkStart w:id="482" w:name="_Toc4038"/>
      <w:r>
        <w:rPr>
          <w:rFonts w:hint="eastAsia" w:ascii="宋体" w:hAnsi="宋体" w:eastAsia="宋体" w:cs="宋体"/>
          <w:color w:val="auto"/>
          <w:sz w:val="28"/>
          <w:highlight w:val="none"/>
        </w:rPr>
        <w:t>（八）</w:t>
      </w:r>
      <w:r>
        <w:rPr>
          <w:rFonts w:hint="eastAsia" w:ascii="宋体" w:hAnsi="宋体" w:eastAsia="宋体" w:cs="宋体"/>
          <w:color w:val="auto"/>
          <w:sz w:val="28"/>
          <w:highlight w:val="none"/>
          <w:lang w:eastAsia="zh-CN"/>
        </w:rPr>
        <w:t>交易响应人</w:t>
      </w:r>
      <w:r>
        <w:rPr>
          <w:rFonts w:hint="eastAsia" w:ascii="宋体" w:hAnsi="宋体" w:eastAsia="宋体" w:cs="宋体"/>
          <w:color w:val="auto"/>
          <w:sz w:val="28"/>
          <w:highlight w:val="none"/>
        </w:rPr>
        <w:t>与其他单位资产关联、隶属关系框图</w:t>
      </w:r>
      <w:bookmarkEnd w:id="481"/>
      <w:bookmarkEnd w:id="482"/>
    </w:p>
    <w:tbl>
      <w:tblPr>
        <w:tblStyle w:val="43"/>
        <w:tblW w:w="918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15" w:hRule="atLeast"/>
        </w:trPr>
        <w:tc>
          <w:tcPr>
            <w:tcW w:w="9180" w:type="dxa"/>
          </w:tcPr>
          <w:p>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本框图须提供涉及</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利益关系的所有资产关联情况，应在本框图内明确显示</w:t>
            </w:r>
            <w:r>
              <w:rPr>
                <w:rFonts w:hint="eastAsia" w:ascii="宋体" w:hAnsi="宋体" w:eastAsia="宋体" w:cs="宋体"/>
                <w:color w:val="auto"/>
                <w:highlight w:val="none"/>
                <w:lang w:eastAsia="zh-CN"/>
              </w:rPr>
              <w:t>交易响应人</w:t>
            </w:r>
            <w:r>
              <w:rPr>
                <w:rFonts w:hint="eastAsia" w:ascii="宋体" w:hAnsi="宋体" w:eastAsia="宋体" w:cs="宋体"/>
                <w:color w:val="auto"/>
                <w:highlight w:val="none"/>
              </w:rPr>
              <w:t>的投资人、母公司、子公司、分公司及其控股和参股公司。</w:t>
            </w:r>
          </w:p>
        </w:tc>
      </w:tr>
    </w:tbl>
    <w:p>
      <w:pPr>
        <w:ind w:left="1289" w:leftChars="177" w:right="347" w:hanging="917" w:hangingChars="437"/>
        <w:rPr>
          <w:rFonts w:hint="eastAsia" w:ascii="宋体" w:hAnsi="宋体" w:eastAsia="宋体" w:cs="宋体"/>
          <w:color w:val="auto"/>
          <w:highlight w:val="none"/>
        </w:rPr>
      </w:pPr>
    </w:p>
    <w:p>
      <w:pPr>
        <w:pStyle w:val="4"/>
        <w:jc w:val="center"/>
        <w:rPr>
          <w:rFonts w:hint="eastAsia" w:ascii="宋体" w:hAnsi="宋体" w:eastAsia="宋体" w:cs="宋体"/>
          <w:color w:val="auto"/>
          <w:sz w:val="28"/>
          <w:highlight w:val="none"/>
        </w:rPr>
      </w:pPr>
      <w:r>
        <w:rPr>
          <w:rFonts w:hint="eastAsia" w:ascii="宋体" w:hAnsi="宋体" w:eastAsia="宋体" w:cs="宋体"/>
          <w:color w:val="auto"/>
          <w:sz w:val="27"/>
          <w:szCs w:val="27"/>
          <w:highlight w:val="none"/>
        </w:rPr>
        <w:br w:type="page"/>
      </w:r>
      <w:bookmarkStart w:id="483" w:name="_Toc21827"/>
      <w:r>
        <w:rPr>
          <w:rFonts w:hint="eastAsia" w:ascii="宋体" w:hAnsi="宋体" w:eastAsia="宋体" w:cs="宋体"/>
          <w:color w:val="auto"/>
          <w:sz w:val="28"/>
          <w:highlight w:val="none"/>
        </w:rPr>
        <w:t>（九）拟投入检测设施设备及检测工程师、检测员承诺书</w:t>
      </w:r>
      <w:bookmarkEnd w:id="483"/>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 xml:space="preserve">全称）      </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我谨代表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交易响应人</w:t>
      </w:r>
      <w:r>
        <w:rPr>
          <w:rFonts w:hint="eastAsia" w:ascii="宋体" w:hAnsi="宋体" w:eastAsia="宋体" w:cs="宋体"/>
          <w:color w:val="auto"/>
          <w:sz w:val="24"/>
          <w:highlight w:val="none"/>
          <w:u w:val="single"/>
        </w:rPr>
        <w:t xml:space="preserve">全称）       </w:t>
      </w:r>
      <w:r>
        <w:rPr>
          <w:rFonts w:hint="eastAsia" w:ascii="宋体" w:hAnsi="宋体" w:eastAsia="宋体" w:cs="宋体"/>
          <w:color w:val="auto"/>
          <w:sz w:val="24"/>
          <w:highlight w:val="none"/>
        </w:rPr>
        <w:t>郑重承诺：若我单位成为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工程第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检测标段的</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，将保证配备、派遣满足</w:t>
      </w:r>
      <w:r>
        <w:rPr>
          <w:rFonts w:hint="eastAsia" w:ascii="宋体" w:hAnsi="宋体" w:eastAsia="宋体" w:cs="宋体"/>
          <w:color w:val="auto"/>
          <w:sz w:val="24"/>
          <w:highlight w:val="none"/>
          <w:lang w:eastAsia="zh-CN"/>
        </w:rPr>
        <w:t>交易文件</w:t>
      </w:r>
      <w:r>
        <w:rPr>
          <w:rFonts w:hint="eastAsia" w:ascii="宋体" w:hAnsi="宋体" w:eastAsia="宋体" w:cs="宋体"/>
          <w:color w:val="auto"/>
          <w:sz w:val="24"/>
          <w:highlight w:val="none"/>
        </w:rPr>
        <w:t>规定的检测设施设备及检测工程师和检测员到场，即检测设施设备及检测人员的人数、技术职称、检测资格、工作经历和年龄等所有各项条件均满足</w:t>
      </w:r>
      <w:r>
        <w:rPr>
          <w:rFonts w:hint="eastAsia" w:ascii="宋体" w:hAnsi="宋体" w:eastAsia="宋体" w:cs="宋体"/>
          <w:color w:val="auto"/>
          <w:sz w:val="24"/>
          <w:highlight w:val="none"/>
          <w:lang w:eastAsia="zh-CN"/>
        </w:rPr>
        <w:t>交易文件</w:t>
      </w:r>
      <w:r>
        <w:rPr>
          <w:rFonts w:hint="eastAsia" w:ascii="宋体" w:hAnsi="宋体" w:eastAsia="宋体" w:cs="宋体"/>
          <w:color w:val="auto"/>
          <w:sz w:val="24"/>
          <w:highlight w:val="none"/>
        </w:rPr>
        <w:t>合同专用条款的规定要求，为本工程检测工作服务。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p>
    <w:p>
      <w:pPr>
        <w:spacing w:line="500" w:lineRule="exact"/>
        <w:ind w:firstLine="4560" w:firstLineChars="19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交易响应人：               （盖单位公章）</w:t>
      </w:r>
    </w:p>
    <w:p>
      <w:pPr>
        <w:spacing w:line="500" w:lineRule="exact"/>
        <w:ind w:firstLine="4560" w:firstLineChars="1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法定代表人或其授权代理人：  （签字或盖章）</w:t>
      </w:r>
    </w:p>
    <w:p>
      <w:pPr>
        <w:spacing w:line="440" w:lineRule="exact"/>
        <w:jc w:val="center"/>
        <w:rPr>
          <w:rFonts w:hint="eastAsia" w:ascii="宋体" w:hAnsi="宋体" w:eastAsia="宋体" w:cs="宋体"/>
          <w:color w:val="auto"/>
          <w:sz w:val="27"/>
          <w:szCs w:val="27"/>
          <w:highlight w:val="none"/>
        </w:rPr>
      </w:pPr>
      <w:r>
        <w:rPr>
          <w:rFonts w:hint="eastAsia" w:ascii="宋体" w:hAnsi="宋体" w:eastAsia="宋体" w:cs="宋体"/>
          <w:color w:val="auto"/>
          <w:sz w:val="24"/>
          <w:highlight w:val="none"/>
        </w:rPr>
        <w:t xml:space="preserve">                       日     期：    </w:t>
      </w:r>
      <w:r>
        <w:rPr>
          <w:rFonts w:hint="eastAsia" w:ascii="宋体" w:hAnsi="宋体" w:eastAsia="宋体" w:cs="宋体"/>
          <w:color w:val="auto"/>
          <w:szCs w:val="21"/>
          <w:highlight w:val="none"/>
        </w:rPr>
        <w:t>年   月   日</w:t>
      </w:r>
      <w:r>
        <w:rPr>
          <w:rFonts w:hint="eastAsia" w:ascii="宋体" w:hAnsi="宋体" w:eastAsia="宋体" w:cs="宋体"/>
          <w:color w:val="auto"/>
          <w:sz w:val="27"/>
          <w:szCs w:val="27"/>
          <w:highlight w:val="none"/>
        </w:rPr>
        <w:br w:type="page"/>
      </w:r>
    </w:p>
    <w:p>
      <w:pPr>
        <w:pStyle w:val="97"/>
        <w:jc w:val="center"/>
        <w:outlineLvl w:val="0"/>
        <w:rPr>
          <w:rFonts w:hint="eastAsia" w:ascii="宋体" w:hAnsi="宋体" w:eastAsia="宋体" w:cs="宋体"/>
          <w:color w:val="auto"/>
          <w:sz w:val="30"/>
          <w:szCs w:val="30"/>
          <w:highlight w:val="none"/>
        </w:rPr>
      </w:pPr>
      <w:bookmarkStart w:id="484" w:name="_Toc286827115"/>
      <w:bookmarkStart w:id="485" w:name="_Toc179632815"/>
      <w:bookmarkStart w:id="486" w:name="_Toc144974863"/>
      <w:bookmarkStart w:id="487" w:name="_Toc286826677"/>
      <w:bookmarkStart w:id="488" w:name="_Toc152045795"/>
      <w:bookmarkStart w:id="489" w:name="_Toc152042584"/>
      <w:bookmarkStart w:id="490" w:name="_Toc286830224"/>
      <w:bookmarkStart w:id="491" w:name="_Toc7515"/>
      <w:r>
        <w:rPr>
          <w:rFonts w:hint="eastAsia" w:ascii="宋体" w:hAnsi="宋体" w:eastAsia="宋体" w:cs="宋体"/>
          <w:color w:val="auto"/>
          <w:sz w:val="30"/>
          <w:szCs w:val="30"/>
          <w:highlight w:val="none"/>
        </w:rPr>
        <w:t>六、</w:t>
      </w:r>
      <w:bookmarkEnd w:id="484"/>
      <w:bookmarkEnd w:id="485"/>
      <w:bookmarkEnd w:id="486"/>
      <w:bookmarkEnd w:id="487"/>
      <w:bookmarkEnd w:id="488"/>
      <w:bookmarkEnd w:id="489"/>
      <w:bookmarkEnd w:id="490"/>
      <w:r>
        <w:rPr>
          <w:rFonts w:hint="eastAsia" w:ascii="宋体" w:hAnsi="宋体" w:eastAsia="宋体" w:cs="宋体"/>
          <w:color w:val="auto"/>
          <w:sz w:val="30"/>
          <w:szCs w:val="30"/>
          <w:highlight w:val="none"/>
        </w:rPr>
        <w:t>商务文件自评分表</w:t>
      </w:r>
      <w:bookmarkEnd w:id="491"/>
    </w:p>
    <w:p>
      <w:pPr>
        <w:spacing w:line="440" w:lineRule="exact"/>
        <w:jc w:val="center"/>
        <w:rPr>
          <w:rFonts w:hint="eastAsia" w:ascii="宋体" w:hAnsi="宋体" w:eastAsia="宋体" w:cs="宋体"/>
          <w:color w:val="auto"/>
          <w:sz w:val="20"/>
          <w:szCs w:val="20"/>
          <w:highlight w:val="none"/>
        </w:rPr>
      </w:pPr>
    </w:p>
    <w:tbl>
      <w:tblPr>
        <w:tblStyle w:val="43"/>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198"/>
        <w:gridCol w:w="3173"/>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9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评分内容</w:t>
            </w:r>
          </w:p>
        </w:tc>
        <w:tc>
          <w:tcPr>
            <w:tcW w:w="3173"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自评得分</w:t>
            </w:r>
          </w:p>
        </w:tc>
        <w:tc>
          <w:tcPr>
            <w:tcW w:w="3173"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98" w:type="dxa"/>
            <w:vAlign w:val="center"/>
          </w:tcPr>
          <w:p>
            <w:pPr>
              <w:autoSpaceDE w:val="0"/>
              <w:autoSpaceDN w:val="0"/>
              <w:adjustRightInd w:val="0"/>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与本项目相关的具体业绩</w:t>
            </w:r>
          </w:p>
        </w:tc>
        <w:tc>
          <w:tcPr>
            <w:tcW w:w="3173" w:type="dxa"/>
            <w:vAlign w:val="center"/>
          </w:tcPr>
          <w:p>
            <w:pPr>
              <w:spacing w:line="400" w:lineRule="exact"/>
              <w:jc w:val="center"/>
              <w:rPr>
                <w:rFonts w:hint="eastAsia" w:ascii="宋体" w:hAnsi="宋体" w:eastAsia="宋体" w:cs="宋体"/>
                <w:color w:val="auto"/>
                <w:szCs w:val="21"/>
                <w:highlight w:val="none"/>
              </w:rPr>
            </w:pPr>
          </w:p>
        </w:tc>
        <w:tc>
          <w:tcPr>
            <w:tcW w:w="3173" w:type="dxa"/>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98" w:type="dxa"/>
            <w:vAlign w:val="center"/>
          </w:tcPr>
          <w:p>
            <w:pPr>
              <w:autoSpaceDE w:val="0"/>
              <w:autoSpaceDN w:val="0"/>
              <w:adjustRightInd w:val="0"/>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拟投入本项目的人员资格和能力</w:t>
            </w:r>
          </w:p>
        </w:tc>
        <w:tc>
          <w:tcPr>
            <w:tcW w:w="3173" w:type="dxa"/>
            <w:vAlign w:val="center"/>
          </w:tcPr>
          <w:p>
            <w:pPr>
              <w:spacing w:line="400" w:lineRule="exact"/>
              <w:jc w:val="center"/>
              <w:rPr>
                <w:rFonts w:hint="eastAsia" w:ascii="宋体" w:hAnsi="宋体" w:eastAsia="宋体" w:cs="宋体"/>
                <w:color w:val="auto"/>
                <w:szCs w:val="21"/>
                <w:highlight w:val="none"/>
              </w:rPr>
            </w:pPr>
          </w:p>
        </w:tc>
        <w:tc>
          <w:tcPr>
            <w:tcW w:w="3173" w:type="dxa"/>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98" w:type="dxa"/>
            <w:vAlign w:val="center"/>
          </w:tcPr>
          <w:p>
            <w:pPr>
              <w:autoSpaceDE w:val="0"/>
              <w:autoSpaceDN w:val="0"/>
              <w:adjustRightInd w:val="0"/>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tc>
        <w:tc>
          <w:tcPr>
            <w:tcW w:w="3173" w:type="dxa"/>
            <w:vAlign w:val="center"/>
          </w:tcPr>
          <w:p>
            <w:pPr>
              <w:spacing w:line="400" w:lineRule="exact"/>
              <w:jc w:val="center"/>
              <w:rPr>
                <w:rFonts w:hint="eastAsia" w:ascii="宋体" w:hAnsi="宋体" w:eastAsia="宋体" w:cs="宋体"/>
                <w:color w:val="auto"/>
                <w:szCs w:val="21"/>
                <w:highlight w:val="none"/>
              </w:rPr>
            </w:pPr>
          </w:p>
        </w:tc>
        <w:tc>
          <w:tcPr>
            <w:tcW w:w="3173" w:type="dxa"/>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98"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的信誉</w:t>
            </w:r>
          </w:p>
        </w:tc>
        <w:tc>
          <w:tcPr>
            <w:tcW w:w="3173" w:type="dxa"/>
            <w:vAlign w:val="center"/>
          </w:tcPr>
          <w:p>
            <w:pPr>
              <w:spacing w:line="400" w:lineRule="exact"/>
              <w:jc w:val="center"/>
              <w:rPr>
                <w:rFonts w:hint="eastAsia" w:ascii="宋体" w:hAnsi="宋体" w:eastAsia="宋体" w:cs="宋体"/>
                <w:color w:val="auto"/>
                <w:szCs w:val="21"/>
                <w:highlight w:val="none"/>
              </w:rPr>
            </w:pPr>
          </w:p>
        </w:tc>
        <w:tc>
          <w:tcPr>
            <w:tcW w:w="3173" w:type="dxa"/>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9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eastAsia="zh-CN"/>
              </w:rPr>
              <w:t>……</w:t>
            </w:r>
          </w:p>
        </w:tc>
        <w:tc>
          <w:tcPr>
            <w:tcW w:w="3173" w:type="dxa"/>
            <w:vAlign w:val="center"/>
          </w:tcPr>
          <w:p>
            <w:pPr>
              <w:spacing w:line="400" w:lineRule="exact"/>
              <w:jc w:val="center"/>
              <w:rPr>
                <w:rFonts w:hint="eastAsia" w:ascii="宋体" w:hAnsi="宋体" w:eastAsia="宋体" w:cs="宋体"/>
                <w:color w:val="auto"/>
                <w:szCs w:val="21"/>
                <w:highlight w:val="none"/>
              </w:rPr>
            </w:pPr>
          </w:p>
        </w:tc>
        <w:tc>
          <w:tcPr>
            <w:tcW w:w="3173" w:type="dxa"/>
            <w:vAlign w:val="center"/>
          </w:tcPr>
          <w:p>
            <w:pPr>
              <w:spacing w:line="400" w:lineRule="exact"/>
              <w:jc w:val="center"/>
              <w:rPr>
                <w:rFonts w:hint="eastAsia" w:ascii="宋体" w:hAnsi="宋体" w:eastAsia="宋体" w:cs="宋体"/>
                <w:color w:val="auto"/>
                <w:szCs w:val="21"/>
                <w:highlight w:val="none"/>
              </w:rPr>
            </w:pPr>
          </w:p>
        </w:tc>
      </w:tr>
    </w:tbl>
    <w:p>
      <w:pPr>
        <w:spacing w:line="400" w:lineRule="exact"/>
        <w:rPr>
          <w:rFonts w:hint="eastAsia" w:ascii="宋体" w:hAnsi="宋体" w:eastAsia="宋体" w:cs="宋体"/>
          <w:color w:val="auto"/>
          <w:szCs w:val="21"/>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浙江省</w:t>
      </w:r>
    </w:p>
    <w:p>
      <w:pPr>
        <w:spacing w:line="440" w:lineRule="exact"/>
        <w:rPr>
          <w:rFonts w:hint="eastAsia" w:ascii="宋体" w:hAnsi="宋体" w:eastAsia="宋体" w:cs="宋体"/>
          <w:color w:val="auto"/>
          <w:sz w:val="36"/>
          <w:szCs w:val="36"/>
          <w:highlight w:val="none"/>
        </w:rPr>
      </w:pPr>
    </w:p>
    <w:p>
      <w:pPr>
        <w:ind w:firstLine="2160" w:firstLineChars="600"/>
        <w:rPr>
          <w:rFonts w:hint="eastAsia" w:ascii="宋体" w:hAnsi="宋体" w:eastAsia="宋体" w:cs="宋体"/>
          <w:color w:val="auto"/>
          <w:sz w:val="20"/>
          <w:szCs w:val="20"/>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工程</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试验检测</w:t>
      </w: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t>交易响应文件</w:t>
      </w:r>
    </w:p>
    <w:p>
      <w:pPr>
        <w:rPr>
          <w:rFonts w:hint="eastAsia" w:ascii="宋体" w:hAnsi="宋体" w:eastAsia="宋体" w:cs="宋体"/>
          <w:color w:val="auto"/>
          <w:sz w:val="28"/>
          <w:szCs w:val="28"/>
          <w:highlight w:val="none"/>
        </w:rPr>
      </w:pPr>
    </w:p>
    <w:p>
      <w:pPr>
        <w:pStyle w:val="97"/>
        <w:jc w:val="center"/>
        <w:rPr>
          <w:rFonts w:hint="eastAsia" w:ascii="宋体" w:hAnsi="宋体" w:eastAsia="宋体" w:cs="宋体"/>
          <w:color w:val="auto"/>
          <w:sz w:val="52"/>
          <w:szCs w:val="52"/>
          <w:highlight w:val="none"/>
        </w:rPr>
      </w:pPr>
      <w:bookmarkStart w:id="492" w:name="_Toc286827116"/>
      <w:bookmarkStart w:id="493" w:name="_Toc286826678"/>
      <w:bookmarkStart w:id="494" w:name="_Toc13847"/>
      <w:bookmarkStart w:id="495" w:name="_Toc286830225"/>
      <w:r>
        <w:rPr>
          <w:rFonts w:hint="eastAsia" w:ascii="宋体" w:hAnsi="宋体" w:eastAsia="宋体" w:cs="宋体"/>
          <w:color w:val="auto"/>
          <w:sz w:val="52"/>
          <w:szCs w:val="52"/>
          <w:highlight w:val="none"/>
        </w:rPr>
        <w:t>第二卷技术文件</w:t>
      </w:r>
      <w:bookmarkEnd w:id="492"/>
      <w:bookmarkEnd w:id="493"/>
      <w:bookmarkEnd w:id="494"/>
      <w:bookmarkEnd w:id="495"/>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2"/>
        <w:spacing w:line="360" w:lineRule="auto"/>
        <w:ind w:firstLine="437"/>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交易响应人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盖单位章</w:t>
      </w:r>
      <w:r>
        <w:rPr>
          <w:rFonts w:hint="eastAsia" w:ascii="宋体" w:hAnsi="宋体" w:eastAsia="宋体" w:cs="宋体"/>
          <w:color w:val="auto"/>
          <w:sz w:val="28"/>
          <w:szCs w:val="28"/>
          <w:highlight w:val="none"/>
        </w:rPr>
        <w:t>）</w:t>
      </w:r>
    </w:p>
    <w:p>
      <w:pPr>
        <w:pStyle w:val="112"/>
        <w:spacing w:line="360" w:lineRule="auto"/>
        <w:ind w:firstLine="43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pPr>
        <w:pStyle w:val="97"/>
        <w:jc w:val="center"/>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bookmarkStart w:id="496" w:name="_Toc286826679"/>
      <w:bookmarkStart w:id="497" w:name="_Toc286827117"/>
      <w:bookmarkStart w:id="498" w:name="_Toc286830226"/>
      <w:bookmarkStart w:id="499" w:name="_Toc10440"/>
      <w:r>
        <w:rPr>
          <w:rFonts w:hint="eastAsia" w:ascii="宋体" w:hAnsi="宋体" w:eastAsia="宋体" w:cs="宋体"/>
          <w:color w:val="auto"/>
          <w:sz w:val="36"/>
          <w:szCs w:val="36"/>
          <w:highlight w:val="none"/>
        </w:rPr>
        <w:t>目录</w:t>
      </w:r>
      <w:bookmarkEnd w:id="496"/>
      <w:bookmarkEnd w:id="497"/>
      <w:bookmarkEnd w:id="498"/>
      <w:bookmarkEnd w:id="499"/>
    </w:p>
    <w:p>
      <w:pPr>
        <w:spacing w:line="54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pStyle w:val="97"/>
        <w:jc w:val="center"/>
        <w:outlineLvl w:val="0"/>
        <w:rPr>
          <w:rFonts w:hint="eastAsia" w:ascii="宋体" w:hAnsi="宋体" w:eastAsia="宋体" w:cs="宋体"/>
          <w:color w:val="auto"/>
          <w:sz w:val="30"/>
          <w:szCs w:val="30"/>
          <w:highlight w:val="none"/>
        </w:rPr>
      </w:pPr>
      <w:bookmarkStart w:id="500" w:name="_Toc286826680"/>
      <w:bookmarkStart w:id="501" w:name="_Toc286830227"/>
      <w:bookmarkStart w:id="502" w:name="_Toc286827118"/>
      <w:bookmarkStart w:id="503" w:name="_Toc10803"/>
      <w:r>
        <w:rPr>
          <w:rFonts w:hint="eastAsia" w:ascii="宋体" w:hAnsi="宋体" w:eastAsia="宋体" w:cs="宋体"/>
          <w:color w:val="auto"/>
          <w:sz w:val="30"/>
          <w:szCs w:val="30"/>
          <w:highlight w:val="none"/>
        </w:rPr>
        <w:t>七、</w:t>
      </w:r>
      <w:bookmarkEnd w:id="500"/>
      <w:bookmarkEnd w:id="501"/>
      <w:bookmarkEnd w:id="502"/>
      <w:r>
        <w:rPr>
          <w:rFonts w:hint="eastAsia" w:ascii="宋体" w:hAnsi="宋体" w:eastAsia="宋体" w:cs="宋体"/>
          <w:color w:val="auto"/>
          <w:highlight w:val="none"/>
        </w:rPr>
        <w:t>试验检测实施方案</w:t>
      </w:r>
      <w:bookmarkEnd w:id="503"/>
    </w:p>
    <w:p>
      <w:pPr>
        <w:spacing w:line="440" w:lineRule="exact"/>
        <w:jc w:val="center"/>
        <w:rPr>
          <w:rFonts w:hint="eastAsia" w:ascii="宋体" w:hAnsi="宋体" w:eastAsia="宋体" w:cs="宋体"/>
          <w:color w:val="auto"/>
          <w:szCs w:val="21"/>
          <w:highlight w:val="none"/>
        </w:rPr>
      </w:pPr>
    </w:p>
    <w:p>
      <w:pPr>
        <w:spacing w:line="360" w:lineRule="auto"/>
        <w:ind w:left="480"/>
        <w:rPr>
          <w:rFonts w:hint="eastAsia" w:ascii="宋体" w:hAnsi="宋体" w:eastAsia="宋体" w:cs="宋体"/>
          <w:color w:val="auto"/>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编写的</w:t>
      </w:r>
      <w:r>
        <w:rPr>
          <w:rFonts w:hint="eastAsia" w:ascii="宋体" w:hAnsi="宋体" w:eastAsia="宋体" w:cs="宋体"/>
          <w:color w:val="auto"/>
          <w:highlight w:val="none"/>
        </w:rPr>
        <w:t>试验</w:t>
      </w:r>
      <w:r>
        <w:rPr>
          <w:rFonts w:hint="eastAsia" w:ascii="宋体" w:hAnsi="宋体" w:eastAsia="宋体" w:cs="宋体"/>
          <w:color w:val="auto"/>
          <w:szCs w:val="21"/>
          <w:highlight w:val="none"/>
        </w:rPr>
        <w:t>检测实施方案应包括但不局限于下列内容：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1试验</w:t>
      </w:r>
      <w:r>
        <w:rPr>
          <w:rFonts w:hint="eastAsia" w:ascii="宋体" w:hAnsi="宋体" w:eastAsia="宋体" w:cs="宋体"/>
          <w:color w:val="auto"/>
          <w:szCs w:val="21"/>
          <w:highlight w:val="none"/>
        </w:rPr>
        <w:t>检测的目的、检测内容、方法；</w:t>
      </w:r>
    </w:p>
    <w:p>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2.本项目管理、</w:t>
      </w:r>
      <w:r>
        <w:rPr>
          <w:rFonts w:hint="eastAsia" w:ascii="宋体" w:hAnsi="宋体" w:eastAsia="宋体" w:cs="宋体"/>
          <w:color w:val="auto"/>
          <w:highlight w:val="none"/>
        </w:rPr>
        <w:t>试验</w:t>
      </w:r>
      <w:r>
        <w:rPr>
          <w:rFonts w:hint="eastAsia" w:ascii="宋体" w:hAnsi="宋体" w:eastAsia="宋体" w:cs="宋体"/>
          <w:color w:val="auto"/>
          <w:szCs w:val="21"/>
          <w:highlight w:val="none"/>
        </w:rPr>
        <w:t>检测的重点、难点分析；</w:t>
      </w:r>
    </w:p>
    <w:p>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3.质量保证措施及服务方案；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4.信息化建设方案；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5.安全保证措施及廉政保证措施；</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p>
      <w:pPr>
        <w:spacing w:line="440" w:lineRule="exact"/>
        <w:ind w:firstLine="435"/>
        <w:rPr>
          <w:rFonts w:hint="eastAsia" w:ascii="宋体" w:hAnsi="宋体" w:eastAsia="宋体" w:cs="宋体"/>
          <w:color w:val="auto"/>
          <w:szCs w:val="21"/>
          <w:highlight w:val="none"/>
        </w:rPr>
      </w:pPr>
    </w:p>
    <w:p>
      <w:pPr>
        <w:spacing w:line="440" w:lineRule="exact"/>
        <w:ind w:firstLine="435"/>
        <w:rPr>
          <w:rFonts w:hint="eastAsia" w:ascii="宋体" w:hAnsi="宋体" w:eastAsia="宋体" w:cs="宋体"/>
          <w:color w:val="auto"/>
          <w:highlight w:val="none"/>
        </w:rPr>
      </w:pPr>
    </w:p>
    <w:p>
      <w:pPr>
        <w:spacing w:line="440" w:lineRule="exact"/>
        <w:ind w:firstLine="435"/>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br w:type="page"/>
      </w:r>
    </w:p>
    <w:p>
      <w:pPr>
        <w:spacing w:line="40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jc w:val="center"/>
        <w:rPr>
          <w:rFonts w:hint="eastAsia" w:ascii="宋体" w:hAnsi="宋体" w:eastAsia="宋体" w:cs="宋体"/>
          <w:color w:val="auto"/>
          <w:sz w:val="36"/>
          <w:szCs w:val="36"/>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浙江省</w:t>
      </w:r>
    </w:p>
    <w:p>
      <w:pPr>
        <w:spacing w:line="440" w:lineRule="exact"/>
        <w:rPr>
          <w:rFonts w:hint="eastAsia" w:ascii="宋体" w:hAnsi="宋体" w:eastAsia="宋体" w:cs="宋体"/>
          <w:color w:val="auto"/>
          <w:sz w:val="36"/>
          <w:szCs w:val="36"/>
          <w:highlight w:val="none"/>
        </w:rPr>
      </w:pPr>
    </w:p>
    <w:p>
      <w:pPr>
        <w:spacing w:line="36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工程</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none"/>
        </w:rPr>
        <w:t>试验检测</w:t>
      </w: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eastAsia="zh-CN"/>
        </w:rPr>
        <w:t>交易响应文件</w:t>
      </w:r>
    </w:p>
    <w:p>
      <w:pPr>
        <w:rPr>
          <w:rFonts w:hint="eastAsia" w:ascii="宋体" w:hAnsi="宋体" w:eastAsia="宋体" w:cs="宋体"/>
          <w:color w:val="auto"/>
          <w:sz w:val="28"/>
          <w:szCs w:val="28"/>
          <w:highlight w:val="none"/>
        </w:rPr>
      </w:pPr>
    </w:p>
    <w:p>
      <w:pPr>
        <w:pStyle w:val="97"/>
        <w:jc w:val="center"/>
        <w:rPr>
          <w:rFonts w:hint="eastAsia" w:ascii="宋体" w:hAnsi="宋体" w:eastAsia="宋体" w:cs="宋体"/>
          <w:color w:val="auto"/>
          <w:sz w:val="52"/>
          <w:szCs w:val="52"/>
          <w:highlight w:val="none"/>
        </w:rPr>
      </w:pPr>
      <w:bookmarkStart w:id="504" w:name="_Toc286826681"/>
      <w:bookmarkStart w:id="505" w:name="_Toc286830228"/>
      <w:bookmarkStart w:id="506" w:name="_Toc286827119"/>
      <w:bookmarkStart w:id="507" w:name="_Toc10474"/>
      <w:r>
        <w:rPr>
          <w:rFonts w:hint="eastAsia" w:ascii="宋体" w:hAnsi="宋体" w:eastAsia="宋体" w:cs="宋体"/>
          <w:color w:val="auto"/>
          <w:sz w:val="52"/>
          <w:szCs w:val="52"/>
          <w:highlight w:val="none"/>
        </w:rPr>
        <w:t>第三卷报价</w:t>
      </w:r>
      <w:bookmarkEnd w:id="504"/>
      <w:bookmarkEnd w:id="505"/>
      <w:bookmarkEnd w:id="506"/>
      <w:r>
        <w:rPr>
          <w:rFonts w:hint="eastAsia" w:ascii="宋体" w:hAnsi="宋体" w:eastAsia="宋体" w:cs="宋体"/>
          <w:color w:val="auto"/>
          <w:sz w:val="52"/>
          <w:szCs w:val="52"/>
          <w:highlight w:val="none"/>
        </w:rPr>
        <w:t>文件</w:t>
      </w:r>
      <w:bookmarkEnd w:id="507"/>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12"/>
        <w:spacing w:line="360" w:lineRule="auto"/>
        <w:ind w:firstLine="437"/>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交易响应人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盖单位章</w:t>
      </w:r>
      <w:r>
        <w:rPr>
          <w:rFonts w:hint="eastAsia" w:ascii="宋体" w:hAnsi="宋体" w:eastAsia="宋体" w:cs="宋体"/>
          <w:color w:val="auto"/>
          <w:sz w:val="28"/>
          <w:szCs w:val="28"/>
          <w:highlight w:val="none"/>
        </w:rPr>
        <w:t>）</w:t>
      </w:r>
    </w:p>
    <w:p>
      <w:pPr>
        <w:pStyle w:val="112"/>
        <w:spacing w:line="360" w:lineRule="auto"/>
        <w:ind w:firstLine="43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pPr>
        <w:pStyle w:val="97"/>
        <w:jc w:val="center"/>
        <w:outlineLvl w:val="9"/>
        <w:rPr>
          <w:rFonts w:hint="eastAsia" w:ascii="宋体" w:hAnsi="宋体" w:eastAsia="宋体" w:cs="宋体"/>
          <w:color w:val="auto"/>
          <w:sz w:val="36"/>
          <w:szCs w:val="36"/>
          <w:highlight w:val="none"/>
        </w:rPr>
      </w:pPr>
      <w:r>
        <w:rPr>
          <w:rFonts w:hint="eastAsia" w:ascii="宋体" w:hAnsi="宋体" w:eastAsia="宋体" w:cs="宋体"/>
          <w:color w:val="auto"/>
          <w:szCs w:val="28"/>
          <w:highlight w:val="none"/>
        </w:rPr>
        <w:br w:type="page"/>
      </w:r>
      <w:bookmarkStart w:id="508" w:name="_Toc286827120"/>
      <w:bookmarkStart w:id="509" w:name="_Toc286830229"/>
      <w:bookmarkStart w:id="510" w:name="_Toc286826682"/>
      <w:bookmarkStart w:id="511" w:name="_Toc13707"/>
      <w:r>
        <w:rPr>
          <w:rFonts w:hint="eastAsia" w:ascii="宋体" w:hAnsi="宋体" w:eastAsia="宋体" w:cs="宋体"/>
          <w:color w:val="auto"/>
          <w:sz w:val="36"/>
          <w:szCs w:val="36"/>
          <w:highlight w:val="none"/>
        </w:rPr>
        <w:t>目录</w:t>
      </w:r>
      <w:bookmarkEnd w:id="508"/>
      <w:bookmarkEnd w:id="509"/>
      <w:bookmarkEnd w:id="510"/>
      <w:bookmarkEnd w:id="511"/>
    </w:p>
    <w:p>
      <w:pPr>
        <w:spacing w:line="540" w:lineRule="exact"/>
        <w:rPr>
          <w:rFonts w:hint="eastAsia" w:ascii="宋体" w:hAnsi="宋体" w:eastAsia="宋体" w:cs="宋体"/>
          <w:color w:val="auto"/>
          <w:highlight w:val="none"/>
        </w:rPr>
      </w:pPr>
    </w:p>
    <w:p>
      <w:pPr>
        <w:spacing w:line="540" w:lineRule="exact"/>
        <w:ind w:left="1701" w:leftChars="81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（1）报价函</w:t>
      </w:r>
    </w:p>
    <w:p>
      <w:pPr>
        <w:spacing w:line="540" w:lineRule="exact"/>
        <w:ind w:left="1701" w:leftChars="81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（2）报价清单</w:t>
      </w:r>
    </w:p>
    <w:p>
      <w:pPr>
        <w:spacing w:line="540" w:lineRule="exact"/>
        <w:ind w:left="1701" w:leftChars="8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a</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报价清单说明</w:t>
      </w:r>
    </w:p>
    <w:p>
      <w:pPr>
        <w:spacing w:line="540" w:lineRule="exact"/>
        <w:ind w:left="1701" w:leftChars="8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b</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其他说明</w:t>
      </w:r>
    </w:p>
    <w:p>
      <w:pPr>
        <w:spacing w:line="540" w:lineRule="exact"/>
        <w:ind w:left="1701" w:leftChars="8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c</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报价清单表</w:t>
      </w:r>
    </w:p>
    <w:p>
      <w:pPr>
        <w:spacing w:line="540" w:lineRule="exact"/>
        <w:ind w:left="1701" w:leftChars="810"/>
        <w:rPr>
          <w:rFonts w:hint="eastAsia" w:ascii="宋体" w:hAnsi="宋体" w:eastAsia="宋体" w:cs="宋体"/>
          <w:color w:val="auto"/>
          <w:highlight w:val="none"/>
        </w:rPr>
      </w:pPr>
    </w:p>
    <w:p>
      <w:pPr>
        <w:spacing w:line="480" w:lineRule="auto"/>
        <w:jc w:val="center"/>
        <w:rPr>
          <w:rFonts w:hint="eastAsia" w:ascii="宋体" w:hAnsi="宋体" w:eastAsia="宋体" w:cs="宋体"/>
          <w:color w:val="auto"/>
          <w:sz w:val="28"/>
          <w:szCs w:val="28"/>
          <w:highlight w:val="none"/>
        </w:rPr>
      </w:pPr>
    </w:p>
    <w:p>
      <w:pPr>
        <w:pStyle w:val="97"/>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Cs w:val="28"/>
          <w:highlight w:val="none"/>
        </w:rPr>
        <w:br w:type="page"/>
      </w:r>
      <w:bookmarkStart w:id="512" w:name="_Toc286830230"/>
      <w:bookmarkStart w:id="513" w:name="_Toc71"/>
      <w:r>
        <w:rPr>
          <w:rFonts w:hint="eastAsia" w:ascii="宋体" w:hAnsi="宋体" w:eastAsia="宋体" w:cs="宋体"/>
          <w:color w:val="auto"/>
          <w:szCs w:val="28"/>
          <w:highlight w:val="none"/>
        </w:rPr>
        <w:t>一、</w:t>
      </w:r>
      <w:r>
        <w:rPr>
          <w:rFonts w:hint="eastAsia" w:ascii="宋体" w:hAnsi="宋体" w:eastAsia="宋体" w:cs="宋体"/>
          <w:color w:val="auto"/>
          <w:sz w:val="30"/>
          <w:szCs w:val="30"/>
          <w:highlight w:val="none"/>
        </w:rPr>
        <w:t>报价函</w:t>
      </w:r>
      <w:bookmarkEnd w:id="512"/>
      <w:bookmarkEnd w:id="513"/>
    </w:p>
    <w:p>
      <w:pPr>
        <w:spacing w:line="480" w:lineRule="auto"/>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交易发起人</w:t>
      </w:r>
      <w:r>
        <w:rPr>
          <w:rFonts w:hint="eastAsia" w:ascii="宋体" w:hAnsi="宋体" w:eastAsia="宋体" w:cs="宋体"/>
          <w:color w:val="auto"/>
          <w:szCs w:val="21"/>
          <w:highlight w:val="none"/>
        </w:rPr>
        <w:t>全称）</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经现场踏勘和研究_______（项目名称）_______标段试验检测</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的全部内容（含第____号至第_____号补遗书）后，我方就上述试验检测任务及相关服务进行</w:t>
      </w:r>
      <w:r>
        <w:rPr>
          <w:rFonts w:hint="eastAsia" w:ascii="宋体" w:hAnsi="宋体" w:cs="宋体"/>
          <w:color w:val="auto"/>
          <w:szCs w:val="21"/>
          <w:highlight w:val="none"/>
          <w:lang w:eastAsia="zh-CN"/>
        </w:rPr>
        <w:t>交易响应</w:t>
      </w:r>
      <w:r>
        <w:rPr>
          <w:rFonts w:hint="eastAsia" w:ascii="宋体" w:hAnsi="宋体" w:eastAsia="宋体" w:cs="宋体"/>
          <w:color w:val="auto"/>
          <w:szCs w:val="21"/>
          <w:highlight w:val="none"/>
        </w:rPr>
        <w:t>。</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根据分析计算，我方愿以</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人民币（大写）_______元（</w:t>
      </w: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_______），完成本</w:t>
      </w:r>
      <w:r>
        <w:rPr>
          <w:rFonts w:hint="eastAsia" w:ascii="宋体" w:hAnsi="宋体" w:eastAsia="宋体" w:cs="宋体"/>
          <w:color w:val="auto"/>
          <w:szCs w:val="21"/>
          <w:highlight w:val="none"/>
          <w:lang w:eastAsia="zh-CN"/>
        </w:rPr>
        <w:t>交易项目</w:t>
      </w:r>
      <w:r>
        <w:rPr>
          <w:rFonts w:hint="eastAsia" w:ascii="宋体" w:hAnsi="宋体" w:eastAsia="宋体" w:cs="宋体"/>
          <w:color w:val="auto"/>
          <w:szCs w:val="21"/>
          <w:highlight w:val="none"/>
        </w:rPr>
        <w:t>规定的所有工作内容，并接受</w:t>
      </w:r>
      <w:r>
        <w:rPr>
          <w:rFonts w:hint="eastAsia" w:ascii="宋体" w:hAnsi="宋体" w:eastAsia="宋体" w:cs="宋体"/>
          <w:color w:val="auto"/>
          <w:szCs w:val="21"/>
          <w:highlight w:val="none"/>
          <w:lang w:eastAsia="zh-CN"/>
        </w:rPr>
        <w:t>交易文件</w:t>
      </w:r>
      <w:r>
        <w:rPr>
          <w:rFonts w:hint="eastAsia" w:ascii="宋体" w:hAnsi="宋体" w:eastAsia="宋体" w:cs="宋体"/>
          <w:color w:val="auto"/>
          <w:szCs w:val="21"/>
          <w:highlight w:val="none"/>
        </w:rPr>
        <w:t>第三章“评标办法”第2.8款规定的对本</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进行的“算术性修正”。同时，我方承诺：本</w:t>
      </w:r>
      <w:r>
        <w:rPr>
          <w:rFonts w:hint="eastAsia" w:ascii="宋体" w:hAnsi="宋体" w:eastAsia="宋体" w:cs="宋体"/>
          <w:color w:val="auto"/>
          <w:szCs w:val="21"/>
          <w:highlight w:val="none"/>
          <w:lang w:eastAsia="zh-CN"/>
        </w:rPr>
        <w:t>交易响应报价</w:t>
      </w:r>
      <w:r>
        <w:rPr>
          <w:rFonts w:hint="eastAsia" w:ascii="宋体" w:hAnsi="宋体" w:eastAsia="宋体" w:cs="宋体"/>
          <w:color w:val="auto"/>
          <w:szCs w:val="21"/>
          <w:highlight w:val="none"/>
        </w:rPr>
        <w:t>最终接受“通用合同条款”和“专用合同条款”中第5.4款、第6.2款的约束和调整。</w:t>
      </w:r>
    </w:p>
    <w:p>
      <w:pPr>
        <w:spacing w:line="480" w:lineRule="auto"/>
        <w:ind w:firstLine="420" w:firstLineChars="200"/>
        <w:rPr>
          <w:rFonts w:hint="eastAsia" w:ascii="宋体" w:hAnsi="宋体" w:eastAsia="宋体" w:cs="宋体"/>
          <w:color w:val="auto"/>
          <w:szCs w:val="21"/>
          <w:highlight w:val="none"/>
        </w:rPr>
      </w:pPr>
    </w:p>
    <w:p>
      <w:pPr>
        <w:spacing w:line="360" w:lineRule="exact"/>
        <w:ind w:firstLine="3675" w:firstLineChars="1750"/>
        <w:rPr>
          <w:rFonts w:hint="eastAsia" w:ascii="宋体" w:hAnsi="宋体" w:eastAsia="宋体" w:cs="宋体"/>
          <w:color w:val="auto"/>
          <w:szCs w:val="21"/>
          <w:highlight w:val="none"/>
        </w:rPr>
      </w:pP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交易响应人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盖单位章</w:t>
      </w:r>
      <w:r>
        <w:rPr>
          <w:rFonts w:hint="eastAsia" w:ascii="宋体" w:hAnsi="宋体" w:eastAsia="宋体" w:cs="宋体"/>
          <w:color w:val="auto"/>
          <w:szCs w:val="21"/>
          <w:highlight w:val="none"/>
        </w:rPr>
        <w:t>）</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（签字或盖章）</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Style w:val="114"/>
        <w:spacing w:line="360" w:lineRule="exact"/>
        <w:ind w:right="613" w:firstLine="3255" w:firstLineChars="15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网址：</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p>
      <w:pPr>
        <w:pStyle w:val="114"/>
        <w:spacing w:line="360" w:lineRule="exact"/>
        <w:ind w:right="613"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w:t>
      </w:r>
    </w:p>
    <w:p>
      <w:pPr>
        <w:spacing w:line="480" w:lineRule="auto"/>
        <w:ind w:firstLine="560" w:firstLineChars="200"/>
        <w:jc w:val="center"/>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0"/>
          <w:szCs w:val="20"/>
          <w:highlight w:val="none"/>
        </w:rPr>
      </w:pPr>
    </w:p>
    <w:p>
      <w:pPr>
        <w:pStyle w:val="97"/>
        <w:jc w:val="center"/>
        <w:outlineLvl w:val="0"/>
        <w:rPr>
          <w:rFonts w:hint="eastAsia" w:ascii="宋体" w:hAnsi="宋体" w:eastAsia="宋体" w:cs="宋体"/>
          <w:color w:val="auto"/>
          <w:w w:val="90"/>
          <w:sz w:val="18"/>
          <w:szCs w:val="18"/>
          <w:highlight w:val="none"/>
        </w:rPr>
      </w:pPr>
      <w:r>
        <w:rPr>
          <w:rFonts w:hint="eastAsia" w:ascii="宋体" w:hAnsi="宋体" w:eastAsia="宋体" w:cs="宋体"/>
          <w:color w:val="auto"/>
          <w:sz w:val="20"/>
          <w:highlight w:val="none"/>
        </w:rPr>
        <w:br w:type="page"/>
      </w:r>
      <w:bookmarkStart w:id="514" w:name="_Toc28008"/>
      <w:r>
        <w:rPr>
          <w:rFonts w:hint="eastAsia" w:ascii="宋体" w:hAnsi="宋体" w:eastAsia="宋体" w:cs="宋体"/>
          <w:color w:val="auto"/>
          <w:highlight w:val="none"/>
        </w:rPr>
        <w:t>二、</w:t>
      </w:r>
      <w:r>
        <w:rPr>
          <w:rFonts w:hint="eastAsia" w:ascii="宋体" w:hAnsi="宋体" w:eastAsia="宋体" w:cs="宋体"/>
          <w:color w:val="auto"/>
          <w:sz w:val="30"/>
          <w:szCs w:val="30"/>
          <w:highlight w:val="none"/>
        </w:rPr>
        <w:t>报价清单</w:t>
      </w:r>
      <w:bookmarkEnd w:id="514"/>
    </w:p>
    <w:p>
      <w:pPr>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交易响应人</w:t>
      </w:r>
      <w:r>
        <w:rPr>
          <w:rFonts w:hint="eastAsia" w:ascii="宋体" w:hAnsi="宋体" w:eastAsia="宋体" w:cs="宋体"/>
          <w:color w:val="auto"/>
          <w:sz w:val="24"/>
          <w:highlight w:val="none"/>
        </w:rPr>
        <w:t>应按照第六章“报价清单”的要求逐项填报报价清单，包括报价清单说明、其他说明及报价清单各项表格。</w:t>
      </w:r>
      <w:bookmarkEnd w:id="0"/>
    </w:p>
    <w:sectPr>
      <w:headerReference r:id="rId13" w:type="default"/>
      <w:headerReference r:id="rId14" w:type="even"/>
      <w:footnotePr>
        <w:numFmt w:val="decimalEnclosedCircleChinese"/>
        <w:numRestart w:val="eachPage"/>
      </w:footnotePr>
      <w:pgSz w:w="11906" w:h="16838"/>
      <w:pgMar w:top="1418" w:right="1361" w:bottom="1418" w:left="1242"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35"/>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35"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6s1RdAAAAADAQAADwAAAAAAAAABACAAAAAiAAAAZHJz&#10;L2Rvd25yZXYueG1sUEsBAhQAFAAAAAgAh07iQPNxOOIMAgAADwQAAA4AAAAAAAAAAQAgAAAAHwEA&#10;AGRycy9lMm9Eb2MueG1sUEsFBgAAAAAGAAYAWQEAAJ0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36"/>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3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&#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qzVF0AAAAAMBAAAPAAAAAAAAAAEAIAAAACIAAABk&#10;cnMvZG93bnJldi54bWxQSwECFAAUAAAACACHTuJA9aOcEw4CAAAPBAAADgAAAAAAAAABACAAAAAf&#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310" cy="153035"/>
              <wp:effectExtent l="0" t="0" r="0" b="0"/>
              <wp:wrapNone/>
              <wp:docPr id="3" name="文本框37"/>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37" o:spid="_x0000_s1026" o:spt="202" type="#_x0000_t202" style="position:absolute;left:0pt;margin-top:0pt;height:12.05pt;width:5.3pt;mso-position-horizontal:center;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&#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qzVF0AAAAAMBAAAPAAAAAAAAAAEAIAAAACIAAABk&#10;cnMvZG93bnJldi54bWxQSwECFAAUAAAACACHTuJA9+0AQw4CAAAPBAAADgAAAAAAAAABACAAAAAf&#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委托期限可写：自本委托书签署之日起至</w:t>
      </w:r>
      <w:r>
        <w:rPr>
          <w:rFonts w:hint="eastAsia" w:ascii="宋体" w:hAnsi="宋体"/>
          <w:sz w:val="18"/>
          <w:szCs w:val="18"/>
          <w:lang w:eastAsia="zh-CN"/>
        </w:rPr>
        <w:t>交易响应有效期</w:t>
      </w:r>
      <w:r>
        <w:rPr>
          <w:rFonts w:hint="eastAsia" w:ascii="宋体" w:hAnsi="宋体"/>
          <w:sz w:val="18"/>
          <w:szCs w:val="18"/>
        </w:rPr>
        <w:t>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rPr>
        <w:rFonts w:ascii="黑体" w:eastAsia="黑体"/>
        <w:sz w:val="21"/>
      </w:rPr>
    </w:pPr>
    <w:r>
      <w:rPr>
        <w:rFonts w:hint="eastAsia" w:ascii="黑体" w:eastAsia="黑体"/>
        <w:sz w:val="21"/>
      </w:rPr>
      <w:t xml:space="preserve">                                                                  第一章 </w:t>
    </w:r>
    <w:r>
      <w:rPr>
        <w:rFonts w:hint="eastAsia" w:ascii="黑体" w:eastAsia="黑体"/>
        <w:sz w:val="21"/>
        <w:lang w:eastAsia="zh-CN"/>
      </w:rPr>
      <w:t>交易公告</w:t>
    </w:r>
    <w:r>
      <w:rPr>
        <w:rFonts w:hint="eastAsia" w:ascii="黑体" w:eastAsia="黑体"/>
        <w:sz w:val="21"/>
      </w:rPr>
      <w:t xml:space="preserve"> </w:t>
    </w:r>
  </w:p>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rPr>
        <w:rFonts w:ascii="黑体" w:eastAsia="黑体"/>
        <w:sz w:val="21"/>
      </w:rPr>
    </w:pPr>
    <w:r>
      <w:rPr>
        <w:rFonts w:hint="eastAsia" w:ascii="黑体" w:eastAsia="黑体"/>
        <w:sz w:val="21"/>
      </w:rPr>
      <w:t xml:space="preserve">第二章 </w:t>
    </w:r>
    <w:r>
      <w:rPr>
        <w:rFonts w:hint="eastAsia" w:ascii="黑体" w:eastAsia="黑体"/>
        <w:sz w:val="21"/>
        <w:lang w:eastAsia="zh-CN"/>
      </w:rPr>
      <w:t>交易响应人</w:t>
    </w:r>
    <w:r>
      <w:rPr>
        <w:rFonts w:hint="eastAsia" w:ascii="黑体" w:eastAsia="黑体"/>
        <w:sz w:val="21"/>
      </w:rPr>
      <w:t xml:space="preserve">须知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rPr>
        <w:rFonts w:ascii="黑体" w:eastAsia="黑体"/>
        <w:sz w:val="21"/>
      </w:rPr>
    </w:pPr>
    <w:r>
      <w:rPr>
        <w:rFonts w:hint="eastAsia" w:ascii="黑体" w:eastAsia="黑体"/>
        <w:sz w:val="21"/>
      </w:rPr>
      <w:t xml:space="preserve">第三章 评标办法（综合评估法）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rPr>
        <w:rFonts w:ascii="黑体" w:eastAsia="黑体"/>
        <w:sz w:val="21"/>
      </w:rPr>
    </w:pPr>
    <w:r>
      <w:rPr>
        <w:rFonts w:hint="eastAsia" w:ascii="黑体" w:eastAsia="黑体"/>
        <w:sz w:val="21"/>
      </w:rPr>
      <w:t xml:space="preserve">第四章 合同条款及格式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pPr>
    <w:r>
      <w:rPr>
        <w:rFonts w:hint="eastAsia" w:ascii="黑体" w:eastAsia="黑体"/>
        <w:sz w:val="21"/>
      </w:rPr>
      <w:t>第四章 合同条款及格式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rPr>
        <w:rFonts w:ascii="黑体" w:eastAsia="黑体"/>
        <w:sz w:val="21"/>
      </w:rPr>
    </w:pPr>
    <w:r>
      <w:rPr>
        <w:rFonts w:hint="eastAsia" w:ascii="黑体" w:eastAsia="黑体"/>
        <w:sz w:val="21"/>
      </w:rPr>
      <w:t>第六章 报价清单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jc w:val="right"/>
    </w:pPr>
    <w:r>
      <w:rPr>
        <w:rFonts w:hint="eastAsia" w:ascii="黑体" w:eastAsia="黑体"/>
        <w:sz w:val="21"/>
      </w:rPr>
      <w:t xml:space="preserve">第七章 </w:t>
    </w:r>
    <w:r>
      <w:rPr>
        <w:rFonts w:hint="eastAsia" w:ascii="黑体" w:eastAsia="黑体"/>
        <w:sz w:val="21"/>
        <w:lang w:eastAsia="zh-CN"/>
      </w:rPr>
      <w:t>交易响应文件</w:t>
    </w:r>
    <w:r>
      <w:rPr>
        <w:rFonts w:hint="eastAsia" w:ascii="黑体" w:eastAsia="黑体"/>
        <w:sz w:val="21"/>
      </w:rPr>
      <w:t xml:space="preserve">格式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6"/>
      <w:numFmt w:val="japaneseCounting"/>
      <w:lvlText w:val="第%1条"/>
      <w:lvlJc w:val="left"/>
      <w:pPr>
        <w:tabs>
          <w:tab w:val="left" w:pos="1275"/>
        </w:tabs>
        <w:ind w:left="1275" w:hanging="855"/>
      </w:pPr>
      <w:rPr>
        <w:rFonts w:hint="default" w:ascii="宋体" w:hAnsi="宋体" w:cs="宋体"/>
        <w:color w:val="00000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9C018E5"/>
    <w:multiLevelType w:val="multilevel"/>
    <w:tmpl w:val="49C018E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E705351"/>
    <w:multiLevelType w:val="multilevel"/>
    <w:tmpl w:val="4E705351"/>
    <w:lvl w:ilvl="0" w:tentative="0">
      <w:start w:val="1"/>
      <w:numFmt w:val="decimal"/>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674246"/>
    <w:multiLevelType w:val="singleLevel"/>
    <w:tmpl w:val="52674246"/>
    <w:lvl w:ilvl="0" w:tentative="0">
      <w:start w:val="1"/>
      <w:numFmt w:val="decimal"/>
      <w:suff w:val="nothing"/>
      <w:lvlText w:val="%1、"/>
      <w:lvlJc w:val="left"/>
    </w:lvl>
  </w:abstractNum>
  <w:abstractNum w:abstractNumId="4">
    <w:nsid w:val="70EC13A3"/>
    <w:multiLevelType w:val="singleLevel"/>
    <w:tmpl w:val="70EC13A3"/>
    <w:lvl w:ilvl="0" w:tentative="0">
      <w:start w:val="7"/>
      <w:numFmt w:val="decimal"/>
      <w:suff w:val="nothing"/>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GU0MzQ3YTBmMDM0MzYwOTRhNTg4M2QwNGY4MjcifQ=="/>
  </w:docVars>
  <w:rsids>
    <w:rsidRoot w:val="00172A27"/>
    <w:rsid w:val="00003963"/>
    <w:rsid w:val="00004504"/>
    <w:rsid w:val="000063AB"/>
    <w:rsid w:val="00011C4B"/>
    <w:rsid w:val="00014112"/>
    <w:rsid w:val="000172E2"/>
    <w:rsid w:val="0002283D"/>
    <w:rsid w:val="00022E36"/>
    <w:rsid w:val="00024FE2"/>
    <w:rsid w:val="00032C6F"/>
    <w:rsid w:val="00034BD7"/>
    <w:rsid w:val="00036425"/>
    <w:rsid w:val="00041246"/>
    <w:rsid w:val="000415ED"/>
    <w:rsid w:val="00044482"/>
    <w:rsid w:val="00047104"/>
    <w:rsid w:val="00054865"/>
    <w:rsid w:val="00060890"/>
    <w:rsid w:val="000628DA"/>
    <w:rsid w:val="00071203"/>
    <w:rsid w:val="00071D21"/>
    <w:rsid w:val="00073A0F"/>
    <w:rsid w:val="000778DD"/>
    <w:rsid w:val="000779E8"/>
    <w:rsid w:val="00077D38"/>
    <w:rsid w:val="00080185"/>
    <w:rsid w:val="00080615"/>
    <w:rsid w:val="00086228"/>
    <w:rsid w:val="0008752F"/>
    <w:rsid w:val="00087706"/>
    <w:rsid w:val="00090F02"/>
    <w:rsid w:val="0009726E"/>
    <w:rsid w:val="000977E7"/>
    <w:rsid w:val="000A3819"/>
    <w:rsid w:val="000A617D"/>
    <w:rsid w:val="000A73D2"/>
    <w:rsid w:val="000B2BFB"/>
    <w:rsid w:val="000B3E64"/>
    <w:rsid w:val="000B4BD3"/>
    <w:rsid w:val="000C29C0"/>
    <w:rsid w:val="000C4DCB"/>
    <w:rsid w:val="000D3B2D"/>
    <w:rsid w:val="000D54A5"/>
    <w:rsid w:val="000E41DE"/>
    <w:rsid w:val="000E4B75"/>
    <w:rsid w:val="000E56C5"/>
    <w:rsid w:val="000E5D90"/>
    <w:rsid w:val="000F0368"/>
    <w:rsid w:val="000F27AD"/>
    <w:rsid w:val="000F46DC"/>
    <w:rsid w:val="000F5DE2"/>
    <w:rsid w:val="000F5F56"/>
    <w:rsid w:val="000F6235"/>
    <w:rsid w:val="001019B2"/>
    <w:rsid w:val="00103EEC"/>
    <w:rsid w:val="00104761"/>
    <w:rsid w:val="00105917"/>
    <w:rsid w:val="001127E1"/>
    <w:rsid w:val="00121288"/>
    <w:rsid w:val="00123B79"/>
    <w:rsid w:val="00125090"/>
    <w:rsid w:val="00130136"/>
    <w:rsid w:val="00130F44"/>
    <w:rsid w:val="00133BF5"/>
    <w:rsid w:val="001358FC"/>
    <w:rsid w:val="00141BFE"/>
    <w:rsid w:val="001451AB"/>
    <w:rsid w:val="00145F5B"/>
    <w:rsid w:val="001470A8"/>
    <w:rsid w:val="001470F5"/>
    <w:rsid w:val="0015405C"/>
    <w:rsid w:val="00156294"/>
    <w:rsid w:val="00157999"/>
    <w:rsid w:val="00164A4A"/>
    <w:rsid w:val="00165791"/>
    <w:rsid w:val="001665C3"/>
    <w:rsid w:val="00166781"/>
    <w:rsid w:val="00166DDF"/>
    <w:rsid w:val="00172A27"/>
    <w:rsid w:val="001732F7"/>
    <w:rsid w:val="001752AE"/>
    <w:rsid w:val="0017547A"/>
    <w:rsid w:val="001757EF"/>
    <w:rsid w:val="00177CA8"/>
    <w:rsid w:val="001805BF"/>
    <w:rsid w:val="00183506"/>
    <w:rsid w:val="001870FF"/>
    <w:rsid w:val="00192189"/>
    <w:rsid w:val="001922BA"/>
    <w:rsid w:val="001941B6"/>
    <w:rsid w:val="001959E9"/>
    <w:rsid w:val="00195D25"/>
    <w:rsid w:val="001A2624"/>
    <w:rsid w:val="001A5399"/>
    <w:rsid w:val="001A5751"/>
    <w:rsid w:val="001A5FA6"/>
    <w:rsid w:val="001B7888"/>
    <w:rsid w:val="001C08C4"/>
    <w:rsid w:val="001C272F"/>
    <w:rsid w:val="001C3B84"/>
    <w:rsid w:val="001D0CDD"/>
    <w:rsid w:val="001D1EE6"/>
    <w:rsid w:val="001D26F7"/>
    <w:rsid w:val="001D489F"/>
    <w:rsid w:val="001D5A6F"/>
    <w:rsid w:val="001D5B28"/>
    <w:rsid w:val="001E1C5A"/>
    <w:rsid w:val="001E1F64"/>
    <w:rsid w:val="001E55E7"/>
    <w:rsid w:val="001F028D"/>
    <w:rsid w:val="001F2835"/>
    <w:rsid w:val="001F2D25"/>
    <w:rsid w:val="001F65D4"/>
    <w:rsid w:val="00200A3F"/>
    <w:rsid w:val="00202A46"/>
    <w:rsid w:val="002039D4"/>
    <w:rsid w:val="00203F17"/>
    <w:rsid w:val="0020630C"/>
    <w:rsid w:val="00212BBD"/>
    <w:rsid w:val="002159E2"/>
    <w:rsid w:val="00216B57"/>
    <w:rsid w:val="00217752"/>
    <w:rsid w:val="00221293"/>
    <w:rsid w:val="00223277"/>
    <w:rsid w:val="0022566F"/>
    <w:rsid w:val="002265CE"/>
    <w:rsid w:val="002327D6"/>
    <w:rsid w:val="00234A8D"/>
    <w:rsid w:val="00234CA8"/>
    <w:rsid w:val="00250B9C"/>
    <w:rsid w:val="002522A2"/>
    <w:rsid w:val="002546D6"/>
    <w:rsid w:val="00261918"/>
    <w:rsid w:val="002621DF"/>
    <w:rsid w:val="00266ED0"/>
    <w:rsid w:val="00271E9A"/>
    <w:rsid w:val="002731B6"/>
    <w:rsid w:val="00276B6E"/>
    <w:rsid w:val="00281E57"/>
    <w:rsid w:val="00281E5F"/>
    <w:rsid w:val="002821CB"/>
    <w:rsid w:val="00287691"/>
    <w:rsid w:val="00290FB6"/>
    <w:rsid w:val="00291D03"/>
    <w:rsid w:val="00295E57"/>
    <w:rsid w:val="002969A6"/>
    <w:rsid w:val="00297ACB"/>
    <w:rsid w:val="002A30E9"/>
    <w:rsid w:val="002A7B18"/>
    <w:rsid w:val="002C28C0"/>
    <w:rsid w:val="002C3CD7"/>
    <w:rsid w:val="002D29E1"/>
    <w:rsid w:val="002E14B6"/>
    <w:rsid w:val="002E2DAA"/>
    <w:rsid w:val="002E32B6"/>
    <w:rsid w:val="002E4424"/>
    <w:rsid w:val="002F1509"/>
    <w:rsid w:val="002F2403"/>
    <w:rsid w:val="002F5EDD"/>
    <w:rsid w:val="00302FFD"/>
    <w:rsid w:val="003035C4"/>
    <w:rsid w:val="00304B53"/>
    <w:rsid w:val="00307C64"/>
    <w:rsid w:val="00314EF0"/>
    <w:rsid w:val="00317451"/>
    <w:rsid w:val="003178AE"/>
    <w:rsid w:val="00330726"/>
    <w:rsid w:val="00330FA2"/>
    <w:rsid w:val="0033533B"/>
    <w:rsid w:val="00340545"/>
    <w:rsid w:val="00340E08"/>
    <w:rsid w:val="00342764"/>
    <w:rsid w:val="00342906"/>
    <w:rsid w:val="00342984"/>
    <w:rsid w:val="00343837"/>
    <w:rsid w:val="003457B2"/>
    <w:rsid w:val="00347D49"/>
    <w:rsid w:val="00356F54"/>
    <w:rsid w:val="00371D2B"/>
    <w:rsid w:val="00376F0F"/>
    <w:rsid w:val="003773B6"/>
    <w:rsid w:val="003775C7"/>
    <w:rsid w:val="00382B92"/>
    <w:rsid w:val="00382F6B"/>
    <w:rsid w:val="00383895"/>
    <w:rsid w:val="00397359"/>
    <w:rsid w:val="003A429F"/>
    <w:rsid w:val="003A5249"/>
    <w:rsid w:val="003A62AE"/>
    <w:rsid w:val="003B3FE8"/>
    <w:rsid w:val="003C14AB"/>
    <w:rsid w:val="003C4D7C"/>
    <w:rsid w:val="003C6C5D"/>
    <w:rsid w:val="003D6273"/>
    <w:rsid w:val="003F0DB9"/>
    <w:rsid w:val="003F6831"/>
    <w:rsid w:val="00402DA7"/>
    <w:rsid w:val="00404681"/>
    <w:rsid w:val="0041323F"/>
    <w:rsid w:val="00413CB9"/>
    <w:rsid w:val="004141D1"/>
    <w:rsid w:val="004174B0"/>
    <w:rsid w:val="004225C9"/>
    <w:rsid w:val="00422C28"/>
    <w:rsid w:val="00431634"/>
    <w:rsid w:val="00434822"/>
    <w:rsid w:val="004404FB"/>
    <w:rsid w:val="00445C6D"/>
    <w:rsid w:val="004526AC"/>
    <w:rsid w:val="004601B5"/>
    <w:rsid w:val="00461FED"/>
    <w:rsid w:val="0046401B"/>
    <w:rsid w:val="004713F0"/>
    <w:rsid w:val="00472ECD"/>
    <w:rsid w:val="00473614"/>
    <w:rsid w:val="00473949"/>
    <w:rsid w:val="00474F94"/>
    <w:rsid w:val="004767A4"/>
    <w:rsid w:val="00477B8D"/>
    <w:rsid w:val="00477BB1"/>
    <w:rsid w:val="0048227D"/>
    <w:rsid w:val="00487569"/>
    <w:rsid w:val="0049180D"/>
    <w:rsid w:val="00491E99"/>
    <w:rsid w:val="00493317"/>
    <w:rsid w:val="004933E5"/>
    <w:rsid w:val="00494AC1"/>
    <w:rsid w:val="00497E81"/>
    <w:rsid w:val="004A4E76"/>
    <w:rsid w:val="004A7F3E"/>
    <w:rsid w:val="004B307D"/>
    <w:rsid w:val="004B3A87"/>
    <w:rsid w:val="004B496E"/>
    <w:rsid w:val="004B5ED6"/>
    <w:rsid w:val="004B6654"/>
    <w:rsid w:val="004B66BF"/>
    <w:rsid w:val="004C090A"/>
    <w:rsid w:val="004C51F9"/>
    <w:rsid w:val="004C7906"/>
    <w:rsid w:val="004D186A"/>
    <w:rsid w:val="004D201F"/>
    <w:rsid w:val="004D44D3"/>
    <w:rsid w:val="004E2C46"/>
    <w:rsid w:val="004E4DA9"/>
    <w:rsid w:val="004E55BA"/>
    <w:rsid w:val="004F28DF"/>
    <w:rsid w:val="00503278"/>
    <w:rsid w:val="00511C3C"/>
    <w:rsid w:val="00515F40"/>
    <w:rsid w:val="00517203"/>
    <w:rsid w:val="00526C60"/>
    <w:rsid w:val="005274ED"/>
    <w:rsid w:val="005311A8"/>
    <w:rsid w:val="00535FD3"/>
    <w:rsid w:val="00536AF4"/>
    <w:rsid w:val="00537B7E"/>
    <w:rsid w:val="00544305"/>
    <w:rsid w:val="005450B7"/>
    <w:rsid w:val="00545B36"/>
    <w:rsid w:val="0055161C"/>
    <w:rsid w:val="005548D6"/>
    <w:rsid w:val="00561B4E"/>
    <w:rsid w:val="005675CD"/>
    <w:rsid w:val="0056791C"/>
    <w:rsid w:val="00570330"/>
    <w:rsid w:val="00571764"/>
    <w:rsid w:val="00583FCD"/>
    <w:rsid w:val="005874CD"/>
    <w:rsid w:val="00587DD3"/>
    <w:rsid w:val="00593AB4"/>
    <w:rsid w:val="00593C47"/>
    <w:rsid w:val="00596624"/>
    <w:rsid w:val="00596ACF"/>
    <w:rsid w:val="005A3339"/>
    <w:rsid w:val="005B0C9C"/>
    <w:rsid w:val="005B179E"/>
    <w:rsid w:val="005B24AB"/>
    <w:rsid w:val="005B2850"/>
    <w:rsid w:val="005B2C0C"/>
    <w:rsid w:val="005B372B"/>
    <w:rsid w:val="005C32EE"/>
    <w:rsid w:val="005C43BE"/>
    <w:rsid w:val="005C6C25"/>
    <w:rsid w:val="005D3031"/>
    <w:rsid w:val="005D3519"/>
    <w:rsid w:val="005D4144"/>
    <w:rsid w:val="005E065D"/>
    <w:rsid w:val="005E318A"/>
    <w:rsid w:val="005E73C0"/>
    <w:rsid w:val="005F084F"/>
    <w:rsid w:val="005F661B"/>
    <w:rsid w:val="00600588"/>
    <w:rsid w:val="00601B91"/>
    <w:rsid w:val="0060499F"/>
    <w:rsid w:val="00604B3C"/>
    <w:rsid w:val="00605C3A"/>
    <w:rsid w:val="00610A0B"/>
    <w:rsid w:val="00614291"/>
    <w:rsid w:val="006159E5"/>
    <w:rsid w:val="006169EF"/>
    <w:rsid w:val="00616ED9"/>
    <w:rsid w:val="006206AF"/>
    <w:rsid w:val="00622079"/>
    <w:rsid w:val="00624614"/>
    <w:rsid w:val="006301B9"/>
    <w:rsid w:val="00633F3D"/>
    <w:rsid w:val="00636902"/>
    <w:rsid w:val="00637A0D"/>
    <w:rsid w:val="00637E77"/>
    <w:rsid w:val="006462DE"/>
    <w:rsid w:val="0065012D"/>
    <w:rsid w:val="00654646"/>
    <w:rsid w:val="006734F6"/>
    <w:rsid w:val="00673BC2"/>
    <w:rsid w:val="00673EF9"/>
    <w:rsid w:val="00681D07"/>
    <w:rsid w:val="00682E6D"/>
    <w:rsid w:val="00686817"/>
    <w:rsid w:val="00691745"/>
    <w:rsid w:val="006952C4"/>
    <w:rsid w:val="006A4B31"/>
    <w:rsid w:val="006A5CFE"/>
    <w:rsid w:val="006A744F"/>
    <w:rsid w:val="006A7F37"/>
    <w:rsid w:val="006B1F17"/>
    <w:rsid w:val="006B3C15"/>
    <w:rsid w:val="006C0589"/>
    <w:rsid w:val="006C7263"/>
    <w:rsid w:val="006C7814"/>
    <w:rsid w:val="006D445E"/>
    <w:rsid w:val="006D7734"/>
    <w:rsid w:val="006E0693"/>
    <w:rsid w:val="006E0733"/>
    <w:rsid w:val="006E0F7D"/>
    <w:rsid w:val="00700665"/>
    <w:rsid w:val="00700E82"/>
    <w:rsid w:val="00707A47"/>
    <w:rsid w:val="0071415C"/>
    <w:rsid w:val="00714925"/>
    <w:rsid w:val="007257FC"/>
    <w:rsid w:val="007261EA"/>
    <w:rsid w:val="00733525"/>
    <w:rsid w:val="007352A8"/>
    <w:rsid w:val="007359C2"/>
    <w:rsid w:val="0073614C"/>
    <w:rsid w:val="0074416E"/>
    <w:rsid w:val="0074570C"/>
    <w:rsid w:val="0074634D"/>
    <w:rsid w:val="00751496"/>
    <w:rsid w:val="007541D9"/>
    <w:rsid w:val="007606A9"/>
    <w:rsid w:val="00764391"/>
    <w:rsid w:val="007757C7"/>
    <w:rsid w:val="00775CCB"/>
    <w:rsid w:val="00777DFC"/>
    <w:rsid w:val="00786BB8"/>
    <w:rsid w:val="0079337D"/>
    <w:rsid w:val="007A07F4"/>
    <w:rsid w:val="007A4EE6"/>
    <w:rsid w:val="007A5C4E"/>
    <w:rsid w:val="007A7384"/>
    <w:rsid w:val="007B0765"/>
    <w:rsid w:val="007B11D7"/>
    <w:rsid w:val="007B70AF"/>
    <w:rsid w:val="007C3564"/>
    <w:rsid w:val="007C72E9"/>
    <w:rsid w:val="007D7B45"/>
    <w:rsid w:val="007E2281"/>
    <w:rsid w:val="007F0195"/>
    <w:rsid w:val="007F1D01"/>
    <w:rsid w:val="007F1D5B"/>
    <w:rsid w:val="007F55AD"/>
    <w:rsid w:val="007F7295"/>
    <w:rsid w:val="00801B1E"/>
    <w:rsid w:val="0080673E"/>
    <w:rsid w:val="0080679A"/>
    <w:rsid w:val="00807F69"/>
    <w:rsid w:val="00810635"/>
    <w:rsid w:val="0081375D"/>
    <w:rsid w:val="00815DCB"/>
    <w:rsid w:val="00824A4A"/>
    <w:rsid w:val="008349AA"/>
    <w:rsid w:val="00836F90"/>
    <w:rsid w:val="00840202"/>
    <w:rsid w:val="0084201B"/>
    <w:rsid w:val="00847D57"/>
    <w:rsid w:val="0085009F"/>
    <w:rsid w:val="00852585"/>
    <w:rsid w:val="00854E85"/>
    <w:rsid w:val="008554A1"/>
    <w:rsid w:val="00857452"/>
    <w:rsid w:val="0086630D"/>
    <w:rsid w:val="008719F5"/>
    <w:rsid w:val="00873EEF"/>
    <w:rsid w:val="008749B5"/>
    <w:rsid w:val="008764B8"/>
    <w:rsid w:val="008778F9"/>
    <w:rsid w:val="008854DB"/>
    <w:rsid w:val="0088561E"/>
    <w:rsid w:val="00885BC2"/>
    <w:rsid w:val="00890B1E"/>
    <w:rsid w:val="00890BFC"/>
    <w:rsid w:val="008912E8"/>
    <w:rsid w:val="008952B7"/>
    <w:rsid w:val="008A16EA"/>
    <w:rsid w:val="008A5F8E"/>
    <w:rsid w:val="008A643F"/>
    <w:rsid w:val="008A7C67"/>
    <w:rsid w:val="008B1A97"/>
    <w:rsid w:val="008B6095"/>
    <w:rsid w:val="008B6708"/>
    <w:rsid w:val="008B7725"/>
    <w:rsid w:val="008C12E0"/>
    <w:rsid w:val="008C3257"/>
    <w:rsid w:val="008C36DF"/>
    <w:rsid w:val="008C6769"/>
    <w:rsid w:val="008D0781"/>
    <w:rsid w:val="008D7583"/>
    <w:rsid w:val="008E09A5"/>
    <w:rsid w:val="008E1035"/>
    <w:rsid w:val="008E3197"/>
    <w:rsid w:val="008E37D4"/>
    <w:rsid w:val="008E47ED"/>
    <w:rsid w:val="008F5457"/>
    <w:rsid w:val="008F594C"/>
    <w:rsid w:val="008F792F"/>
    <w:rsid w:val="0090191E"/>
    <w:rsid w:val="009040FB"/>
    <w:rsid w:val="0091427E"/>
    <w:rsid w:val="00916D99"/>
    <w:rsid w:val="0093355B"/>
    <w:rsid w:val="00933B15"/>
    <w:rsid w:val="0093466B"/>
    <w:rsid w:val="0093601B"/>
    <w:rsid w:val="009375AE"/>
    <w:rsid w:val="009456CC"/>
    <w:rsid w:val="00946582"/>
    <w:rsid w:val="00946630"/>
    <w:rsid w:val="00950726"/>
    <w:rsid w:val="009510BD"/>
    <w:rsid w:val="009519DD"/>
    <w:rsid w:val="009534E7"/>
    <w:rsid w:val="009570B0"/>
    <w:rsid w:val="00961FE3"/>
    <w:rsid w:val="009639AB"/>
    <w:rsid w:val="00965846"/>
    <w:rsid w:val="00966427"/>
    <w:rsid w:val="00971A34"/>
    <w:rsid w:val="00971B5C"/>
    <w:rsid w:val="00976F70"/>
    <w:rsid w:val="0097706F"/>
    <w:rsid w:val="00980708"/>
    <w:rsid w:val="00982C17"/>
    <w:rsid w:val="0098369D"/>
    <w:rsid w:val="00984B7B"/>
    <w:rsid w:val="00984B87"/>
    <w:rsid w:val="0098702C"/>
    <w:rsid w:val="00994440"/>
    <w:rsid w:val="0099519E"/>
    <w:rsid w:val="009A1486"/>
    <w:rsid w:val="009A151A"/>
    <w:rsid w:val="009C1B33"/>
    <w:rsid w:val="009C21C8"/>
    <w:rsid w:val="009C5629"/>
    <w:rsid w:val="009D0327"/>
    <w:rsid w:val="009D1D4B"/>
    <w:rsid w:val="009E147F"/>
    <w:rsid w:val="009E23DC"/>
    <w:rsid w:val="009E6E1E"/>
    <w:rsid w:val="009F5D65"/>
    <w:rsid w:val="009F6446"/>
    <w:rsid w:val="00A00725"/>
    <w:rsid w:val="00A00D33"/>
    <w:rsid w:val="00A05E62"/>
    <w:rsid w:val="00A06302"/>
    <w:rsid w:val="00A068D4"/>
    <w:rsid w:val="00A108A1"/>
    <w:rsid w:val="00A10A87"/>
    <w:rsid w:val="00A122F0"/>
    <w:rsid w:val="00A127C6"/>
    <w:rsid w:val="00A130E7"/>
    <w:rsid w:val="00A1469B"/>
    <w:rsid w:val="00A146B7"/>
    <w:rsid w:val="00A152D3"/>
    <w:rsid w:val="00A23AEA"/>
    <w:rsid w:val="00A26824"/>
    <w:rsid w:val="00A33ACF"/>
    <w:rsid w:val="00A37B53"/>
    <w:rsid w:val="00A472C2"/>
    <w:rsid w:val="00A52D1D"/>
    <w:rsid w:val="00A53012"/>
    <w:rsid w:val="00A53FDE"/>
    <w:rsid w:val="00A61D19"/>
    <w:rsid w:val="00A63081"/>
    <w:rsid w:val="00A63276"/>
    <w:rsid w:val="00A64760"/>
    <w:rsid w:val="00A653DD"/>
    <w:rsid w:val="00A74EE4"/>
    <w:rsid w:val="00A753E7"/>
    <w:rsid w:val="00A8124A"/>
    <w:rsid w:val="00A813F8"/>
    <w:rsid w:val="00A8442F"/>
    <w:rsid w:val="00A84928"/>
    <w:rsid w:val="00A854C4"/>
    <w:rsid w:val="00A95BDE"/>
    <w:rsid w:val="00A97B64"/>
    <w:rsid w:val="00A97EE5"/>
    <w:rsid w:val="00AB5EDF"/>
    <w:rsid w:val="00AB7562"/>
    <w:rsid w:val="00AC7191"/>
    <w:rsid w:val="00AD41B7"/>
    <w:rsid w:val="00AE05EF"/>
    <w:rsid w:val="00AE1765"/>
    <w:rsid w:val="00AE1F87"/>
    <w:rsid w:val="00AE3B19"/>
    <w:rsid w:val="00AE467E"/>
    <w:rsid w:val="00AE4704"/>
    <w:rsid w:val="00AF0A2E"/>
    <w:rsid w:val="00AF149D"/>
    <w:rsid w:val="00AF3227"/>
    <w:rsid w:val="00AF48F1"/>
    <w:rsid w:val="00AF5F5D"/>
    <w:rsid w:val="00AF7A8A"/>
    <w:rsid w:val="00B01AA9"/>
    <w:rsid w:val="00B01E2A"/>
    <w:rsid w:val="00B0227B"/>
    <w:rsid w:val="00B07D93"/>
    <w:rsid w:val="00B11111"/>
    <w:rsid w:val="00B22812"/>
    <w:rsid w:val="00B31EC2"/>
    <w:rsid w:val="00B3562F"/>
    <w:rsid w:val="00B3630C"/>
    <w:rsid w:val="00B367AF"/>
    <w:rsid w:val="00B43CD6"/>
    <w:rsid w:val="00B446AA"/>
    <w:rsid w:val="00B44CD4"/>
    <w:rsid w:val="00B47341"/>
    <w:rsid w:val="00B50D4C"/>
    <w:rsid w:val="00B52689"/>
    <w:rsid w:val="00B53195"/>
    <w:rsid w:val="00B56233"/>
    <w:rsid w:val="00B618E7"/>
    <w:rsid w:val="00B622B9"/>
    <w:rsid w:val="00B634B5"/>
    <w:rsid w:val="00B64421"/>
    <w:rsid w:val="00B6616E"/>
    <w:rsid w:val="00B72D17"/>
    <w:rsid w:val="00B77D96"/>
    <w:rsid w:val="00B80B65"/>
    <w:rsid w:val="00B9596E"/>
    <w:rsid w:val="00BA48E0"/>
    <w:rsid w:val="00BA6D19"/>
    <w:rsid w:val="00BB0EAF"/>
    <w:rsid w:val="00BB1143"/>
    <w:rsid w:val="00BB2458"/>
    <w:rsid w:val="00BB5F6E"/>
    <w:rsid w:val="00BB69A7"/>
    <w:rsid w:val="00BC2F59"/>
    <w:rsid w:val="00BC5C21"/>
    <w:rsid w:val="00BC70B1"/>
    <w:rsid w:val="00BC7315"/>
    <w:rsid w:val="00BD0851"/>
    <w:rsid w:val="00BD1380"/>
    <w:rsid w:val="00BD13E2"/>
    <w:rsid w:val="00BD2C03"/>
    <w:rsid w:val="00BD7D4B"/>
    <w:rsid w:val="00BE0813"/>
    <w:rsid w:val="00BE302D"/>
    <w:rsid w:val="00BE3340"/>
    <w:rsid w:val="00BF2A2E"/>
    <w:rsid w:val="00BF52F6"/>
    <w:rsid w:val="00C02B1B"/>
    <w:rsid w:val="00C03FAF"/>
    <w:rsid w:val="00C067F4"/>
    <w:rsid w:val="00C1415E"/>
    <w:rsid w:val="00C16297"/>
    <w:rsid w:val="00C21A2D"/>
    <w:rsid w:val="00C24A79"/>
    <w:rsid w:val="00C2516C"/>
    <w:rsid w:val="00C316A9"/>
    <w:rsid w:val="00C34F40"/>
    <w:rsid w:val="00C36F46"/>
    <w:rsid w:val="00C46057"/>
    <w:rsid w:val="00C5048A"/>
    <w:rsid w:val="00C508D8"/>
    <w:rsid w:val="00C509D5"/>
    <w:rsid w:val="00C61D80"/>
    <w:rsid w:val="00C6356A"/>
    <w:rsid w:val="00C64468"/>
    <w:rsid w:val="00C7250A"/>
    <w:rsid w:val="00C90A9E"/>
    <w:rsid w:val="00C90D41"/>
    <w:rsid w:val="00C96511"/>
    <w:rsid w:val="00CA4074"/>
    <w:rsid w:val="00CB591B"/>
    <w:rsid w:val="00CC0E4E"/>
    <w:rsid w:val="00CC59C4"/>
    <w:rsid w:val="00CC5D24"/>
    <w:rsid w:val="00CC673A"/>
    <w:rsid w:val="00CD2F20"/>
    <w:rsid w:val="00CD4EFD"/>
    <w:rsid w:val="00CD707F"/>
    <w:rsid w:val="00CE24D3"/>
    <w:rsid w:val="00CE6654"/>
    <w:rsid w:val="00CF2872"/>
    <w:rsid w:val="00CF28C6"/>
    <w:rsid w:val="00CF5740"/>
    <w:rsid w:val="00D000F9"/>
    <w:rsid w:val="00D023B9"/>
    <w:rsid w:val="00D031B2"/>
    <w:rsid w:val="00D03D70"/>
    <w:rsid w:val="00D069CB"/>
    <w:rsid w:val="00D10DE3"/>
    <w:rsid w:val="00D11D1F"/>
    <w:rsid w:val="00D20406"/>
    <w:rsid w:val="00D216B8"/>
    <w:rsid w:val="00D26A73"/>
    <w:rsid w:val="00D3041C"/>
    <w:rsid w:val="00D30664"/>
    <w:rsid w:val="00D3148B"/>
    <w:rsid w:val="00D32095"/>
    <w:rsid w:val="00D33A88"/>
    <w:rsid w:val="00D372D8"/>
    <w:rsid w:val="00D41577"/>
    <w:rsid w:val="00D42EB1"/>
    <w:rsid w:val="00D447E7"/>
    <w:rsid w:val="00D449F6"/>
    <w:rsid w:val="00D52E4D"/>
    <w:rsid w:val="00D53F32"/>
    <w:rsid w:val="00D5597E"/>
    <w:rsid w:val="00D57A9D"/>
    <w:rsid w:val="00D60A8F"/>
    <w:rsid w:val="00D6165D"/>
    <w:rsid w:val="00D65810"/>
    <w:rsid w:val="00D67048"/>
    <w:rsid w:val="00D679A8"/>
    <w:rsid w:val="00D7195E"/>
    <w:rsid w:val="00D72806"/>
    <w:rsid w:val="00D7426B"/>
    <w:rsid w:val="00D758C3"/>
    <w:rsid w:val="00D75D72"/>
    <w:rsid w:val="00D77AF4"/>
    <w:rsid w:val="00D800BC"/>
    <w:rsid w:val="00D91745"/>
    <w:rsid w:val="00D917B1"/>
    <w:rsid w:val="00D9532E"/>
    <w:rsid w:val="00D973EB"/>
    <w:rsid w:val="00DA24F9"/>
    <w:rsid w:val="00DA4E9A"/>
    <w:rsid w:val="00DA78B3"/>
    <w:rsid w:val="00DB1134"/>
    <w:rsid w:val="00DB121B"/>
    <w:rsid w:val="00DB75A4"/>
    <w:rsid w:val="00DC2E30"/>
    <w:rsid w:val="00DC74E8"/>
    <w:rsid w:val="00DD0282"/>
    <w:rsid w:val="00DD3D11"/>
    <w:rsid w:val="00DD7221"/>
    <w:rsid w:val="00DD7317"/>
    <w:rsid w:val="00DE5A64"/>
    <w:rsid w:val="00DE6F54"/>
    <w:rsid w:val="00DF42A4"/>
    <w:rsid w:val="00DF6383"/>
    <w:rsid w:val="00E02A95"/>
    <w:rsid w:val="00E07488"/>
    <w:rsid w:val="00E07BF4"/>
    <w:rsid w:val="00E200AD"/>
    <w:rsid w:val="00E22767"/>
    <w:rsid w:val="00E30284"/>
    <w:rsid w:val="00E30650"/>
    <w:rsid w:val="00E43C58"/>
    <w:rsid w:val="00E4572E"/>
    <w:rsid w:val="00E47C07"/>
    <w:rsid w:val="00E50A72"/>
    <w:rsid w:val="00E67333"/>
    <w:rsid w:val="00E674E7"/>
    <w:rsid w:val="00E72694"/>
    <w:rsid w:val="00E74066"/>
    <w:rsid w:val="00E76E8C"/>
    <w:rsid w:val="00E77BE1"/>
    <w:rsid w:val="00E77F49"/>
    <w:rsid w:val="00E80634"/>
    <w:rsid w:val="00E8147B"/>
    <w:rsid w:val="00E845F5"/>
    <w:rsid w:val="00E86925"/>
    <w:rsid w:val="00E9081E"/>
    <w:rsid w:val="00E91CB3"/>
    <w:rsid w:val="00E94E43"/>
    <w:rsid w:val="00E9727E"/>
    <w:rsid w:val="00EA0452"/>
    <w:rsid w:val="00EA295D"/>
    <w:rsid w:val="00EA7348"/>
    <w:rsid w:val="00EB2BCC"/>
    <w:rsid w:val="00EB2C58"/>
    <w:rsid w:val="00EB2DDF"/>
    <w:rsid w:val="00EB346A"/>
    <w:rsid w:val="00EB3E51"/>
    <w:rsid w:val="00EB446A"/>
    <w:rsid w:val="00EB4786"/>
    <w:rsid w:val="00EB5BB3"/>
    <w:rsid w:val="00EB6119"/>
    <w:rsid w:val="00EC0D49"/>
    <w:rsid w:val="00ED6C71"/>
    <w:rsid w:val="00EE079C"/>
    <w:rsid w:val="00EE0E2B"/>
    <w:rsid w:val="00EE1843"/>
    <w:rsid w:val="00EE298E"/>
    <w:rsid w:val="00EE5B85"/>
    <w:rsid w:val="00EF22A4"/>
    <w:rsid w:val="00EF423C"/>
    <w:rsid w:val="00EF5811"/>
    <w:rsid w:val="00F00F37"/>
    <w:rsid w:val="00F012BF"/>
    <w:rsid w:val="00F01F37"/>
    <w:rsid w:val="00F04898"/>
    <w:rsid w:val="00F11661"/>
    <w:rsid w:val="00F218FD"/>
    <w:rsid w:val="00F23246"/>
    <w:rsid w:val="00F2362C"/>
    <w:rsid w:val="00F2434D"/>
    <w:rsid w:val="00F2619C"/>
    <w:rsid w:val="00F350CB"/>
    <w:rsid w:val="00F45274"/>
    <w:rsid w:val="00F53A08"/>
    <w:rsid w:val="00F56166"/>
    <w:rsid w:val="00F62CC2"/>
    <w:rsid w:val="00F63636"/>
    <w:rsid w:val="00F6363D"/>
    <w:rsid w:val="00F7167C"/>
    <w:rsid w:val="00F73F9E"/>
    <w:rsid w:val="00F75323"/>
    <w:rsid w:val="00F75824"/>
    <w:rsid w:val="00F75AB8"/>
    <w:rsid w:val="00F76390"/>
    <w:rsid w:val="00F85056"/>
    <w:rsid w:val="00F954A7"/>
    <w:rsid w:val="00FA2443"/>
    <w:rsid w:val="00FA6116"/>
    <w:rsid w:val="00FA637E"/>
    <w:rsid w:val="00FB700F"/>
    <w:rsid w:val="00FD2509"/>
    <w:rsid w:val="00FD4CB8"/>
    <w:rsid w:val="00FD7477"/>
    <w:rsid w:val="00FE109A"/>
    <w:rsid w:val="00FE3CF5"/>
    <w:rsid w:val="00FF2347"/>
    <w:rsid w:val="019E7934"/>
    <w:rsid w:val="02ED1C6E"/>
    <w:rsid w:val="038A1BB2"/>
    <w:rsid w:val="03B64127"/>
    <w:rsid w:val="04242233"/>
    <w:rsid w:val="04350271"/>
    <w:rsid w:val="04472DF8"/>
    <w:rsid w:val="05D67331"/>
    <w:rsid w:val="064055CE"/>
    <w:rsid w:val="06EA21EB"/>
    <w:rsid w:val="07041C7C"/>
    <w:rsid w:val="082173D1"/>
    <w:rsid w:val="09A711C7"/>
    <w:rsid w:val="0A002BCE"/>
    <w:rsid w:val="0B325E6C"/>
    <w:rsid w:val="0CA3647A"/>
    <w:rsid w:val="0CEE78D4"/>
    <w:rsid w:val="0EE07EC7"/>
    <w:rsid w:val="10923E54"/>
    <w:rsid w:val="11691281"/>
    <w:rsid w:val="116A22AD"/>
    <w:rsid w:val="13A22600"/>
    <w:rsid w:val="142C636E"/>
    <w:rsid w:val="147F3597"/>
    <w:rsid w:val="14B65589"/>
    <w:rsid w:val="15F70341"/>
    <w:rsid w:val="161F43DC"/>
    <w:rsid w:val="164B51D1"/>
    <w:rsid w:val="17C23271"/>
    <w:rsid w:val="17C54406"/>
    <w:rsid w:val="18240603"/>
    <w:rsid w:val="18D81FF0"/>
    <w:rsid w:val="194A4FE1"/>
    <w:rsid w:val="19680B03"/>
    <w:rsid w:val="19B76FF3"/>
    <w:rsid w:val="1A9C18ED"/>
    <w:rsid w:val="1B047B51"/>
    <w:rsid w:val="1BDA430F"/>
    <w:rsid w:val="1BF4281F"/>
    <w:rsid w:val="1CB448CA"/>
    <w:rsid w:val="1D393D8C"/>
    <w:rsid w:val="1DEE6E43"/>
    <w:rsid w:val="1E1E1A99"/>
    <w:rsid w:val="1E2269EF"/>
    <w:rsid w:val="1EA80F9F"/>
    <w:rsid w:val="204363FB"/>
    <w:rsid w:val="206A5C62"/>
    <w:rsid w:val="215C77DC"/>
    <w:rsid w:val="219E228F"/>
    <w:rsid w:val="23016F11"/>
    <w:rsid w:val="232A2B23"/>
    <w:rsid w:val="2369038F"/>
    <w:rsid w:val="23CC080A"/>
    <w:rsid w:val="23FE13DE"/>
    <w:rsid w:val="249B2820"/>
    <w:rsid w:val="25561596"/>
    <w:rsid w:val="25C552CC"/>
    <w:rsid w:val="263E5F16"/>
    <w:rsid w:val="265A014C"/>
    <w:rsid w:val="268663ED"/>
    <w:rsid w:val="27267315"/>
    <w:rsid w:val="27B87CE5"/>
    <w:rsid w:val="27CA4B76"/>
    <w:rsid w:val="282765C8"/>
    <w:rsid w:val="2A900EC8"/>
    <w:rsid w:val="2B532CBE"/>
    <w:rsid w:val="2CC17B44"/>
    <w:rsid w:val="2D8A3E67"/>
    <w:rsid w:val="2DF92517"/>
    <w:rsid w:val="2E9B7A79"/>
    <w:rsid w:val="2EF370CA"/>
    <w:rsid w:val="2FE241E1"/>
    <w:rsid w:val="302411F4"/>
    <w:rsid w:val="317149C1"/>
    <w:rsid w:val="31841575"/>
    <w:rsid w:val="31AE51A4"/>
    <w:rsid w:val="321169FA"/>
    <w:rsid w:val="332B3C8B"/>
    <w:rsid w:val="335025E9"/>
    <w:rsid w:val="33EA7980"/>
    <w:rsid w:val="33FF63BA"/>
    <w:rsid w:val="34AF32CF"/>
    <w:rsid w:val="34DB376C"/>
    <w:rsid w:val="38466AD2"/>
    <w:rsid w:val="3889054C"/>
    <w:rsid w:val="389B56ED"/>
    <w:rsid w:val="38B835EA"/>
    <w:rsid w:val="39652E1A"/>
    <w:rsid w:val="398E448C"/>
    <w:rsid w:val="39EF45AC"/>
    <w:rsid w:val="3A9E7428"/>
    <w:rsid w:val="3ADB3D03"/>
    <w:rsid w:val="3B7A2C46"/>
    <w:rsid w:val="3B7F577F"/>
    <w:rsid w:val="3BE23632"/>
    <w:rsid w:val="3C3D31AB"/>
    <w:rsid w:val="3D540560"/>
    <w:rsid w:val="3DD3125D"/>
    <w:rsid w:val="3E301A89"/>
    <w:rsid w:val="3E79027E"/>
    <w:rsid w:val="3ED73C2C"/>
    <w:rsid w:val="3F00196F"/>
    <w:rsid w:val="4103393F"/>
    <w:rsid w:val="41FF7556"/>
    <w:rsid w:val="43C76010"/>
    <w:rsid w:val="443F7874"/>
    <w:rsid w:val="44C36AC2"/>
    <w:rsid w:val="45B37305"/>
    <w:rsid w:val="46666D85"/>
    <w:rsid w:val="48A01E07"/>
    <w:rsid w:val="4CC45362"/>
    <w:rsid w:val="4CFA3CDD"/>
    <w:rsid w:val="4E014E9C"/>
    <w:rsid w:val="4E37780E"/>
    <w:rsid w:val="4E470E69"/>
    <w:rsid w:val="4F6A5262"/>
    <w:rsid w:val="4FA92FE3"/>
    <w:rsid w:val="4FCA09F6"/>
    <w:rsid w:val="500B5CB4"/>
    <w:rsid w:val="50575F45"/>
    <w:rsid w:val="519D3CEB"/>
    <w:rsid w:val="51FC3AFF"/>
    <w:rsid w:val="52DA668A"/>
    <w:rsid w:val="534730F5"/>
    <w:rsid w:val="537D7BFC"/>
    <w:rsid w:val="53AB7B06"/>
    <w:rsid w:val="543653C7"/>
    <w:rsid w:val="552C3F9A"/>
    <w:rsid w:val="560E52F8"/>
    <w:rsid w:val="564E09EC"/>
    <w:rsid w:val="56876341"/>
    <w:rsid w:val="571F2EA0"/>
    <w:rsid w:val="57D32355"/>
    <w:rsid w:val="583077A8"/>
    <w:rsid w:val="58767330"/>
    <w:rsid w:val="58963AC8"/>
    <w:rsid w:val="58AE1535"/>
    <w:rsid w:val="595F538F"/>
    <w:rsid w:val="59D01EF3"/>
    <w:rsid w:val="5AB45C7D"/>
    <w:rsid w:val="5AD32DFB"/>
    <w:rsid w:val="5AF51C26"/>
    <w:rsid w:val="5CB33BEF"/>
    <w:rsid w:val="5CC35E3D"/>
    <w:rsid w:val="5CD73855"/>
    <w:rsid w:val="5D497377"/>
    <w:rsid w:val="5D9D5839"/>
    <w:rsid w:val="5EC06AEE"/>
    <w:rsid w:val="5F1E03AD"/>
    <w:rsid w:val="60F76287"/>
    <w:rsid w:val="61B87D97"/>
    <w:rsid w:val="63901DB7"/>
    <w:rsid w:val="64A8557F"/>
    <w:rsid w:val="64B66E32"/>
    <w:rsid w:val="64DC1784"/>
    <w:rsid w:val="65EF5F24"/>
    <w:rsid w:val="6620177C"/>
    <w:rsid w:val="665161F6"/>
    <w:rsid w:val="67A755AC"/>
    <w:rsid w:val="67FF4E88"/>
    <w:rsid w:val="68934A87"/>
    <w:rsid w:val="689A24D9"/>
    <w:rsid w:val="68C926C7"/>
    <w:rsid w:val="69104872"/>
    <w:rsid w:val="6A0167DA"/>
    <w:rsid w:val="6A9F4325"/>
    <w:rsid w:val="6AD95A65"/>
    <w:rsid w:val="6B951CF5"/>
    <w:rsid w:val="6BA0659B"/>
    <w:rsid w:val="6BE2610D"/>
    <w:rsid w:val="6DBE4D8F"/>
    <w:rsid w:val="6DDF42F8"/>
    <w:rsid w:val="6E0F4941"/>
    <w:rsid w:val="6E8C2C4E"/>
    <w:rsid w:val="6FD35191"/>
    <w:rsid w:val="70381498"/>
    <w:rsid w:val="70BE06DD"/>
    <w:rsid w:val="71323801"/>
    <w:rsid w:val="72541742"/>
    <w:rsid w:val="74E042F7"/>
    <w:rsid w:val="77275DC2"/>
    <w:rsid w:val="78374DCE"/>
    <w:rsid w:val="789D5A65"/>
    <w:rsid w:val="789E2D74"/>
    <w:rsid w:val="78AB3148"/>
    <w:rsid w:val="792940F9"/>
    <w:rsid w:val="795073E0"/>
    <w:rsid w:val="79CE0777"/>
    <w:rsid w:val="7A541141"/>
    <w:rsid w:val="7A936840"/>
    <w:rsid w:val="7AE364A4"/>
    <w:rsid w:val="7B3A3063"/>
    <w:rsid w:val="7BBFB395"/>
    <w:rsid w:val="7D0E1EA7"/>
    <w:rsid w:val="7D5D1FC5"/>
    <w:rsid w:val="7E373A89"/>
    <w:rsid w:val="7EE6E780"/>
    <w:rsid w:val="7EFE1AFE"/>
    <w:rsid w:val="9FFE3CB6"/>
    <w:rsid w:val="AFBFDE05"/>
    <w:rsid w:val="B41EE6BC"/>
    <w:rsid w:val="F3F3F95B"/>
    <w:rsid w:val="FDDFB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Calibri" w:hAnsi="Calibri" w:cs="Calibri"/>
      <w:sz w:val="18"/>
      <w:szCs w:val="18"/>
    </w:rPr>
  </w:style>
  <w:style w:type="paragraph" w:styleId="12">
    <w:name w:val="Normal Indent"/>
    <w:basedOn w:val="1"/>
    <w:link w:val="55"/>
    <w:autoRedefine/>
    <w:qFormat/>
    <w:uiPriority w:val="0"/>
    <w:pPr>
      <w:widowControl/>
      <w:ind w:firstLine="420"/>
      <w:jc w:val="left"/>
    </w:pPr>
    <w:rPr>
      <w:kern w:val="0"/>
      <w:sz w:val="24"/>
      <w:szCs w:val="20"/>
    </w:rPr>
  </w:style>
  <w:style w:type="paragraph" w:styleId="13">
    <w:name w:val="caption"/>
    <w:basedOn w:val="1"/>
    <w:next w:val="1"/>
    <w:autoRedefine/>
    <w:qFormat/>
    <w:uiPriority w:val="0"/>
    <w:pPr>
      <w:keepNext/>
      <w:adjustRightInd w:val="0"/>
      <w:snapToGrid w:val="0"/>
      <w:spacing w:after="120"/>
      <w:jc w:val="center"/>
    </w:pPr>
    <w:rPr>
      <w:rFonts w:ascii="Arial" w:hAnsi="Arial" w:eastAsia="黑体"/>
      <w:sz w:val="20"/>
      <w:szCs w:val="20"/>
    </w:rPr>
  </w:style>
  <w:style w:type="paragraph" w:styleId="14">
    <w:name w:val="Document Map"/>
    <w:basedOn w:val="1"/>
    <w:link w:val="56"/>
    <w:autoRedefine/>
    <w:qFormat/>
    <w:uiPriority w:val="0"/>
    <w:pPr>
      <w:shd w:val="clear" w:color="auto" w:fill="000080"/>
    </w:pPr>
  </w:style>
  <w:style w:type="paragraph" w:styleId="15">
    <w:name w:val="annotation text"/>
    <w:basedOn w:val="1"/>
    <w:link w:val="57"/>
    <w:autoRedefine/>
    <w:qFormat/>
    <w:uiPriority w:val="0"/>
    <w:pPr>
      <w:jc w:val="left"/>
    </w:pPr>
  </w:style>
  <w:style w:type="paragraph" w:styleId="16">
    <w:name w:val="Body Text 3"/>
    <w:basedOn w:val="1"/>
    <w:autoRedefine/>
    <w:qFormat/>
    <w:uiPriority w:val="0"/>
    <w:pPr>
      <w:spacing w:after="120"/>
    </w:pPr>
    <w:rPr>
      <w:sz w:val="16"/>
      <w:szCs w:val="16"/>
    </w:rPr>
  </w:style>
  <w:style w:type="paragraph" w:styleId="17">
    <w:name w:val="Body Text"/>
    <w:basedOn w:val="1"/>
    <w:autoRedefine/>
    <w:qFormat/>
    <w:uiPriority w:val="0"/>
    <w:pPr>
      <w:spacing w:beforeLines="50" w:afterLines="50"/>
    </w:pPr>
    <w:rPr>
      <w:rFonts w:ascii="宋体"/>
      <w:szCs w:val="21"/>
    </w:rPr>
  </w:style>
  <w:style w:type="paragraph" w:styleId="18">
    <w:name w:val="Body Text Indent"/>
    <w:basedOn w:val="1"/>
    <w:autoRedefine/>
    <w:qFormat/>
    <w:uiPriority w:val="0"/>
    <w:pPr>
      <w:spacing w:beforeLines="50"/>
      <w:ind w:firstLine="420" w:firstLineChars="200"/>
    </w:pPr>
    <w:rPr>
      <w:rFonts w:ascii="宋体"/>
      <w:szCs w:val="21"/>
    </w:rPr>
  </w:style>
  <w:style w:type="paragraph" w:styleId="19">
    <w:name w:val="Block Text"/>
    <w:basedOn w:val="1"/>
    <w:autoRedefine/>
    <w:qFormat/>
    <w:uiPriority w:val="0"/>
    <w:pPr>
      <w:spacing w:line="240" w:lineRule="exact"/>
      <w:ind w:left="475" w:leftChars="240" w:right="578" w:rightChars="292" w:firstLine="473"/>
    </w:pPr>
    <w:rPr>
      <w:rFonts w:ascii="宋体"/>
      <w:szCs w:val="21"/>
    </w:rPr>
  </w:style>
  <w:style w:type="paragraph" w:styleId="20">
    <w:name w:val="index 4"/>
    <w:basedOn w:val="1"/>
    <w:next w:val="1"/>
    <w:autoRedefine/>
    <w:qFormat/>
    <w:uiPriority w:val="0"/>
    <w:pPr>
      <w:ind w:left="600" w:leftChars="600"/>
    </w:pPr>
    <w:rPr>
      <w:rFonts w:ascii="宋体"/>
      <w:sz w:val="24"/>
    </w:rPr>
  </w:style>
  <w:style w:type="paragraph" w:styleId="21">
    <w:name w:val="toc 5"/>
    <w:basedOn w:val="1"/>
    <w:next w:val="1"/>
    <w:autoRedefine/>
    <w:qFormat/>
    <w:uiPriority w:val="39"/>
    <w:pPr>
      <w:ind w:left="840"/>
      <w:jc w:val="left"/>
    </w:pPr>
    <w:rPr>
      <w:rFonts w:ascii="Calibri" w:hAnsi="Calibri" w:cs="Calibri"/>
      <w:sz w:val="18"/>
      <w:szCs w:val="18"/>
    </w:rPr>
  </w:style>
  <w:style w:type="paragraph" w:styleId="22">
    <w:name w:val="toc 3"/>
    <w:basedOn w:val="1"/>
    <w:next w:val="1"/>
    <w:autoRedefine/>
    <w:qFormat/>
    <w:uiPriority w:val="39"/>
    <w:pPr>
      <w:ind w:left="420"/>
      <w:jc w:val="left"/>
    </w:pPr>
    <w:rPr>
      <w:rFonts w:ascii="Calibri" w:hAnsi="Calibri" w:cs="Calibri"/>
      <w:i/>
      <w:iCs/>
      <w:sz w:val="20"/>
      <w:szCs w:val="20"/>
    </w:rPr>
  </w:style>
  <w:style w:type="paragraph" w:styleId="23">
    <w:name w:val="Plain Text"/>
    <w:basedOn w:val="1"/>
    <w:autoRedefine/>
    <w:qFormat/>
    <w:uiPriority w:val="0"/>
    <w:pPr>
      <w:widowControl/>
      <w:jc w:val="left"/>
    </w:pPr>
    <w:rPr>
      <w:rFonts w:ascii="宋体" w:hAnsi="Courier New" w:cs="Courier New"/>
      <w:kern w:val="0"/>
      <w:sz w:val="24"/>
      <w:szCs w:val="21"/>
    </w:rPr>
  </w:style>
  <w:style w:type="paragraph" w:styleId="24">
    <w:name w:val="toc 8"/>
    <w:basedOn w:val="1"/>
    <w:next w:val="1"/>
    <w:autoRedefine/>
    <w:qFormat/>
    <w:uiPriority w:val="39"/>
    <w:pPr>
      <w:ind w:left="1470"/>
      <w:jc w:val="left"/>
    </w:pPr>
    <w:rPr>
      <w:rFonts w:ascii="Calibri" w:hAnsi="Calibri" w:cs="Calibri"/>
      <w:sz w:val="18"/>
      <w:szCs w:val="18"/>
    </w:rPr>
  </w:style>
  <w:style w:type="paragraph" w:styleId="25">
    <w:name w:val="Date"/>
    <w:basedOn w:val="1"/>
    <w:next w:val="1"/>
    <w:autoRedefine/>
    <w:qFormat/>
    <w:uiPriority w:val="0"/>
    <w:rPr>
      <w:rFonts w:ascii="宋体" w:hAnsi="宋体"/>
      <w:szCs w:val="20"/>
    </w:rPr>
  </w:style>
  <w:style w:type="paragraph" w:styleId="26">
    <w:name w:val="Body Text Indent 2"/>
    <w:basedOn w:val="1"/>
    <w:autoRedefine/>
    <w:qFormat/>
    <w:uiPriority w:val="0"/>
    <w:pPr>
      <w:ind w:left="1558" w:leftChars="742" w:firstLine="330" w:firstLineChars="157"/>
    </w:pPr>
    <w:rPr>
      <w:rFonts w:ascii="宋体" w:hAnsi="宋体"/>
      <w:szCs w:val="21"/>
    </w:rPr>
  </w:style>
  <w:style w:type="paragraph" w:styleId="27">
    <w:name w:val="Balloon Text"/>
    <w:basedOn w:val="1"/>
    <w:autoRedefine/>
    <w:qFormat/>
    <w:uiPriority w:val="0"/>
    <w:rPr>
      <w:sz w:val="18"/>
      <w:szCs w:val="18"/>
    </w:rPr>
  </w:style>
  <w:style w:type="paragraph" w:styleId="28">
    <w:name w:val="footer"/>
    <w:basedOn w:val="1"/>
    <w:link w:val="58"/>
    <w:autoRedefine/>
    <w:qFormat/>
    <w:uiPriority w:val="0"/>
    <w:pPr>
      <w:tabs>
        <w:tab w:val="center" w:pos="4153"/>
        <w:tab w:val="right" w:pos="8306"/>
      </w:tabs>
      <w:snapToGrid w:val="0"/>
      <w:jc w:val="left"/>
    </w:pPr>
    <w:rPr>
      <w:sz w:val="18"/>
      <w:szCs w:val="18"/>
    </w:rPr>
  </w:style>
  <w:style w:type="paragraph" w:styleId="29">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Calibri" w:hAnsi="Calibri" w:cs="Calibri"/>
      <w:b/>
      <w:bCs/>
      <w:caps/>
      <w:sz w:val="20"/>
      <w:szCs w:val="20"/>
    </w:rPr>
  </w:style>
  <w:style w:type="paragraph" w:styleId="31">
    <w:name w:val="toc 4"/>
    <w:basedOn w:val="1"/>
    <w:next w:val="1"/>
    <w:autoRedefine/>
    <w:qFormat/>
    <w:uiPriority w:val="39"/>
    <w:pPr>
      <w:ind w:left="630"/>
      <w:jc w:val="left"/>
    </w:pPr>
    <w:rPr>
      <w:rFonts w:ascii="Calibri" w:hAnsi="Calibri" w:cs="Calibri"/>
      <w:sz w:val="18"/>
      <w:szCs w:val="18"/>
    </w:rPr>
  </w:style>
  <w:style w:type="paragraph" w:styleId="32">
    <w:name w:val="footnote text"/>
    <w:basedOn w:val="1"/>
    <w:link w:val="60"/>
    <w:autoRedefine/>
    <w:qFormat/>
    <w:uiPriority w:val="0"/>
    <w:pPr>
      <w:snapToGrid w:val="0"/>
      <w:jc w:val="left"/>
    </w:pPr>
    <w:rPr>
      <w:sz w:val="18"/>
      <w:szCs w:val="18"/>
    </w:rPr>
  </w:style>
  <w:style w:type="paragraph" w:styleId="33">
    <w:name w:val="toc 6"/>
    <w:basedOn w:val="1"/>
    <w:next w:val="1"/>
    <w:autoRedefine/>
    <w:qFormat/>
    <w:uiPriority w:val="39"/>
    <w:pPr>
      <w:ind w:left="1050"/>
      <w:jc w:val="left"/>
    </w:pPr>
    <w:rPr>
      <w:rFonts w:ascii="Calibri" w:hAnsi="Calibri" w:cs="Calibri"/>
      <w:sz w:val="18"/>
      <w:szCs w:val="18"/>
    </w:rPr>
  </w:style>
  <w:style w:type="paragraph" w:styleId="34">
    <w:name w:val="Body Text Indent 3"/>
    <w:basedOn w:val="1"/>
    <w:autoRedefine/>
    <w:qFormat/>
    <w:uiPriority w:val="0"/>
    <w:pPr>
      <w:ind w:left="1556" w:leftChars="739" w:hanging="4" w:hangingChars="2"/>
    </w:pPr>
    <w:rPr>
      <w:rFonts w:ascii="宋体"/>
      <w:szCs w:val="21"/>
    </w:rPr>
  </w:style>
  <w:style w:type="paragraph" w:styleId="35">
    <w:name w:val="toc 2"/>
    <w:basedOn w:val="1"/>
    <w:next w:val="1"/>
    <w:autoRedefine/>
    <w:qFormat/>
    <w:uiPriority w:val="39"/>
    <w:pPr>
      <w:ind w:left="210"/>
      <w:jc w:val="left"/>
    </w:pPr>
    <w:rPr>
      <w:rFonts w:ascii="Calibri" w:hAnsi="Calibri" w:cs="Calibri"/>
      <w:smallCaps/>
      <w:sz w:val="20"/>
      <w:szCs w:val="20"/>
    </w:rPr>
  </w:style>
  <w:style w:type="paragraph" w:styleId="36">
    <w:name w:val="toc 9"/>
    <w:basedOn w:val="1"/>
    <w:next w:val="1"/>
    <w:autoRedefine/>
    <w:qFormat/>
    <w:uiPriority w:val="39"/>
    <w:pPr>
      <w:ind w:left="1680"/>
      <w:jc w:val="left"/>
    </w:pPr>
    <w:rPr>
      <w:rFonts w:ascii="Calibri" w:hAnsi="Calibri" w:cs="Calibri"/>
      <w:sz w:val="18"/>
      <w:szCs w:val="18"/>
    </w:rPr>
  </w:style>
  <w:style w:type="paragraph" w:styleId="37">
    <w:name w:val="Body Text 2"/>
    <w:basedOn w:val="1"/>
    <w:autoRedefine/>
    <w:qFormat/>
    <w:uiPriority w:val="0"/>
    <w:pPr>
      <w:spacing w:beforeLines="50"/>
      <w:jc w:val="center"/>
    </w:pPr>
    <w:rPr>
      <w:rFonts w:ascii="宋体"/>
      <w:szCs w:val="21"/>
    </w:rPr>
  </w:style>
  <w:style w:type="paragraph" w:styleId="38">
    <w:name w:val="Normal (Web)"/>
    <w:basedOn w:val="1"/>
    <w:autoRedefine/>
    <w:qFormat/>
    <w:uiPriority w:val="0"/>
    <w:pPr>
      <w:widowControl/>
      <w:spacing w:before="100" w:beforeAutospacing="1" w:after="100" w:afterAutospacing="1"/>
      <w:jc w:val="left"/>
    </w:pPr>
    <w:rPr>
      <w:rFonts w:ascii="宋体" w:cs="宋体"/>
      <w:color w:val="000000"/>
      <w:kern w:val="0"/>
      <w:sz w:val="24"/>
      <w:szCs w:val="21"/>
    </w:rPr>
  </w:style>
  <w:style w:type="paragraph" w:styleId="39">
    <w:name w:val="index 1"/>
    <w:basedOn w:val="1"/>
    <w:next w:val="1"/>
    <w:autoRedefine/>
    <w:qFormat/>
    <w:uiPriority w:val="0"/>
    <w:pPr>
      <w:spacing w:line="220" w:lineRule="exact"/>
      <w:jc w:val="center"/>
    </w:pPr>
    <w:rPr>
      <w:rFonts w:ascii="仿宋_GB2312" w:eastAsia="仿宋_GB2312"/>
      <w:szCs w:val="21"/>
    </w:rPr>
  </w:style>
  <w:style w:type="paragraph" w:styleId="40">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autoRedefine/>
    <w:qFormat/>
    <w:uiPriority w:val="0"/>
    <w:rPr>
      <w:b/>
      <w:bCs/>
    </w:rPr>
  </w:style>
  <w:style w:type="paragraph" w:styleId="42">
    <w:name w:val="Body Text First Indent"/>
    <w:basedOn w:val="1"/>
    <w:next w:val="1"/>
    <w:autoRedefine/>
    <w:unhideWhenUsed/>
    <w:qFormat/>
    <w:uiPriority w:val="0"/>
    <w:pPr>
      <w:framePr w:wrap="auto" w:vAnchor="margin" w:hAnchor="text" w:yAlign="inline"/>
      <w:widowControl w:val="0"/>
      <w:spacing w:beforeLines="0" w:after="120" w:afterLines="0"/>
      <w:ind w:firstLine="420" w:firstLineChars="100"/>
      <w:jc w:val="both"/>
    </w:pPr>
    <w:rPr>
      <w:rFonts w:ascii="Times New Roman" w:hAnsi="Calibri" w:eastAsia="宋体" w:cs="Times New Roman"/>
      <w:kern w:val="2"/>
      <w:sz w:val="21"/>
      <w:szCs w:val="24"/>
      <w:lang w:val="en-US" w:eastAsia="zh-CN" w:bidi="ar-SA"/>
    </w:rPr>
  </w:style>
  <w:style w:type="table" w:styleId="44">
    <w:name w:val="Table Grid"/>
    <w:basedOn w:val="4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TML Typewriter"/>
    <w:autoRedefine/>
    <w:qFormat/>
    <w:uiPriority w:val="0"/>
    <w:rPr>
      <w:rFonts w:ascii="黑体" w:hAnsi="Courier New" w:eastAsia="黑体" w:cs="Courier New"/>
      <w:sz w:val="20"/>
      <w:szCs w:val="20"/>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styleId="53">
    <w:name w:val="footnote reference"/>
    <w:autoRedefine/>
    <w:qFormat/>
    <w:uiPriority w:val="0"/>
    <w:rPr>
      <w:vertAlign w:val="superscript"/>
    </w:rPr>
  </w:style>
  <w:style w:type="character" w:customStyle="1" w:styleId="54">
    <w:name w:val="标题 3 Char"/>
    <w:link w:val="4"/>
    <w:autoRedefine/>
    <w:qFormat/>
    <w:uiPriority w:val="0"/>
    <w:rPr>
      <w:rFonts w:eastAsia="宋体"/>
      <w:b/>
      <w:bCs/>
      <w:kern w:val="2"/>
      <w:sz w:val="24"/>
      <w:szCs w:val="32"/>
      <w:lang w:val="en-US" w:eastAsia="zh-CN" w:bidi="ar-SA"/>
    </w:rPr>
  </w:style>
  <w:style w:type="character" w:customStyle="1" w:styleId="55">
    <w:name w:val="正文缩进 Char"/>
    <w:link w:val="12"/>
    <w:autoRedefine/>
    <w:qFormat/>
    <w:uiPriority w:val="0"/>
    <w:rPr>
      <w:sz w:val="24"/>
    </w:rPr>
  </w:style>
  <w:style w:type="character" w:customStyle="1" w:styleId="56">
    <w:name w:val="文档结构图 Char"/>
    <w:basedOn w:val="45"/>
    <w:link w:val="14"/>
    <w:autoRedefine/>
    <w:qFormat/>
    <w:uiPriority w:val="0"/>
    <w:rPr>
      <w:kern w:val="2"/>
      <w:sz w:val="21"/>
      <w:szCs w:val="24"/>
      <w:shd w:val="clear" w:color="auto" w:fill="000080"/>
    </w:rPr>
  </w:style>
  <w:style w:type="character" w:customStyle="1" w:styleId="57">
    <w:name w:val="批注文字 Char"/>
    <w:link w:val="15"/>
    <w:autoRedefine/>
    <w:qFormat/>
    <w:uiPriority w:val="0"/>
    <w:rPr>
      <w:kern w:val="2"/>
      <w:sz w:val="21"/>
      <w:szCs w:val="24"/>
    </w:rPr>
  </w:style>
  <w:style w:type="character" w:customStyle="1" w:styleId="58">
    <w:name w:val="页脚 Char"/>
    <w:link w:val="28"/>
    <w:autoRedefine/>
    <w:qFormat/>
    <w:uiPriority w:val="0"/>
    <w:rPr>
      <w:kern w:val="2"/>
      <w:sz w:val="18"/>
      <w:szCs w:val="18"/>
    </w:rPr>
  </w:style>
  <w:style w:type="character" w:customStyle="1" w:styleId="59">
    <w:name w:val="页眉 Char"/>
    <w:link w:val="29"/>
    <w:autoRedefine/>
    <w:qFormat/>
    <w:uiPriority w:val="0"/>
    <w:rPr>
      <w:rFonts w:eastAsia="宋体"/>
      <w:kern w:val="2"/>
      <w:sz w:val="18"/>
      <w:szCs w:val="18"/>
      <w:lang w:val="en-US" w:eastAsia="zh-CN" w:bidi="ar-SA"/>
    </w:rPr>
  </w:style>
  <w:style w:type="character" w:customStyle="1" w:styleId="60">
    <w:name w:val="脚注文本 Char"/>
    <w:link w:val="32"/>
    <w:autoRedefine/>
    <w:qFormat/>
    <w:uiPriority w:val="0"/>
    <w:rPr>
      <w:kern w:val="2"/>
      <w:sz w:val="18"/>
      <w:szCs w:val="18"/>
    </w:rPr>
  </w:style>
  <w:style w:type="character" w:customStyle="1" w:styleId="61">
    <w:name w:val="Char Char Char1 Char Char Char"/>
    <w:link w:val="62"/>
    <w:autoRedefine/>
    <w:qFormat/>
    <w:uiPriority w:val="0"/>
    <w:rPr>
      <w:rFonts w:eastAsia="宋体"/>
      <w:kern w:val="2"/>
      <w:sz w:val="21"/>
      <w:szCs w:val="24"/>
      <w:lang w:val="en-US" w:eastAsia="zh-CN" w:bidi="ar-SA"/>
    </w:rPr>
  </w:style>
  <w:style w:type="paragraph" w:customStyle="1" w:styleId="62">
    <w:name w:val="Char Char Char1 Char"/>
    <w:basedOn w:val="1"/>
    <w:next w:val="1"/>
    <w:link w:val="61"/>
    <w:autoRedefine/>
    <w:qFormat/>
    <w:uiPriority w:val="0"/>
  </w:style>
  <w:style w:type="character" w:customStyle="1" w:styleId="63">
    <w:name w:val="normaltext1"/>
    <w:autoRedefine/>
    <w:qFormat/>
    <w:uiPriority w:val="0"/>
    <w:rPr>
      <w:rFonts w:hint="default"/>
      <w:color w:val="000000"/>
      <w:sz w:val="18"/>
      <w:szCs w:val="18"/>
      <w:u w:val="none"/>
    </w:rPr>
  </w:style>
  <w:style w:type="character" w:customStyle="1" w:styleId="64">
    <w:name w:val="zbggmain style9"/>
    <w:autoRedefine/>
    <w:qFormat/>
    <w:uiPriority w:val="0"/>
  </w:style>
  <w:style w:type="character" w:customStyle="1" w:styleId="65">
    <w:name w:val="texttitle1"/>
    <w:autoRedefine/>
    <w:qFormat/>
    <w:uiPriority w:val="0"/>
    <w:rPr>
      <w:rFonts w:hint="default"/>
      <w:b/>
      <w:bCs/>
      <w:color w:val="0000FF"/>
      <w:sz w:val="21"/>
      <w:szCs w:val="21"/>
    </w:rPr>
  </w:style>
  <w:style w:type="character" w:customStyle="1" w:styleId="66">
    <w:name w:val="my Char Char"/>
    <w:link w:val="67"/>
    <w:autoRedefine/>
    <w:qFormat/>
    <w:uiPriority w:val="0"/>
    <w:rPr>
      <w:rFonts w:ascii="楷体_GB2312" w:eastAsia="楷体_GB2312"/>
      <w:snapToGrid w:val="0"/>
      <w:sz w:val="28"/>
      <w:szCs w:val="28"/>
      <w:lang w:val="en-US" w:eastAsia="zh-CN" w:bidi="ar-SA"/>
    </w:rPr>
  </w:style>
  <w:style w:type="paragraph" w:customStyle="1" w:styleId="67">
    <w:name w:val="my"/>
    <w:basedOn w:val="1"/>
    <w:link w:val="66"/>
    <w:autoRedefine/>
    <w:qFormat/>
    <w:uiPriority w:val="0"/>
    <w:pPr>
      <w:widowControl/>
      <w:tabs>
        <w:tab w:val="left" w:pos="0"/>
        <w:tab w:val="left" w:pos="5823"/>
      </w:tabs>
      <w:adjustRightInd w:val="0"/>
      <w:spacing w:line="520" w:lineRule="exact"/>
      <w:ind w:firstLine="565" w:firstLineChars="200"/>
    </w:pPr>
    <w:rPr>
      <w:rFonts w:ascii="楷体_GB2312" w:eastAsia="楷体_GB2312"/>
      <w:snapToGrid w:val="0"/>
      <w:kern w:val="0"/>
      <w:sz w:val="28"/>
      <w:szCs w:val="28"/>
    </w:rPr>
  </w:style>
  <w:style w:type="character" w:customStyle="1" w:styleId="68">
    <w:name w:val="font161"/>
    <w:autoRedefine/>
    <w:qFormat/>
    <w:uiPriority w:val="0"/>
    <w:rPr>
      <w:b/>
      <w:bCs/>
      <w:sz w:val="32"/>
      <w:szCs w:val="32"/>
    </w:rPr>
  </w:style>
  <w:style w:type="character" w:customStyle="1" w:styleId="69">
    <w:name w:val="unnamed11"/>
    <w:autoRedefine/>
    <w:qFormat/>
    <w:uiPriority w:val="0"/>
    <w:rPr>
      <w:rFonts w:hint="default" w:ascii="ˎ̥" w:hAnsi="ˎ̥"/>
      <w:sz w:val="16"/>
      <w:szCs w:val="16"/>
      <w:u w:val="none"/>
    </w:rPr>
  </w:style>
  <w:style w:type="paragraph" w:customStyle="1" w:styleId="7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正文1"/>
    <w:autoRedefine/>
    <w:qFormat/>
    <w:uiPriority w:val="0"/>
    <w:pPr>
      <w:widowControl w:val="0"/>
      <w:adjustRightInd w:val="0"/>
      <w:snapToGrid w:val="0"/>
      <w:spacing w:after="120" w:line="300" w:lineRule="auto"/>
      <w:ind w:firstLine="539"/>
      <w:jc w:val="both"/>
    </w:pPr>
    <w:rPr>
      <w:rFonts w:ascii="宋体" w:hAnsi="Times New Roman" w:eastAsia="宋体" w:cs="Times New Roman"/>
      <w:spacing w:val="10"/>
      <w:sz w:val="24"/>
      <w:lang w:val="en-US" w:eastAsia="zh-CN" w:bidi="ar-SA"/>
    </w:rPr>
  </w:style>
  <w:style w:type="paragraph" w:customStyle="1" w:styleId="72">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73">
    <w:name w:val="Char"/>
    <w:basedOn w:val="1"/>
    <w:autoRedefine/>
    <w:qFormat/>
    <w:uiPriority w:val="0"/>
    <w:rPr>
      <w:rFonts w:ascii="Tahoma" w:hAnsi="Tahoma"/>
      <w:sz w:val="24"/>
      <w:szCs w:val="20"/>
    </w:rPr>
  </w:style>
  <w:style w:type="paragraph" w:customStyle="1" w:styleId="74">
    <w:name w:val="表中"/>
    <w:basedOn w:val="1"/>
    <w:autoRedefine/>
    <w:qFormat/>
    <w:uiPriority w:val="0"/>
    <w:pPr>
      <w:autoSpaceDE w:val="0"/>
      <w:autoSpaceDN w:val="0"/>
      <w:adjustRightInd w:val="0"/>
      <w:spacing w:line="360" w:lineRule="atLeast"/>
      <w:jc w:val="center"/>
    </w:pPr>
    <w:rPr>
      <w:rFonts w:ascii="宋体"/>
      <w:kern w:val="0"/>
      <w:szCs w:val="20"/>
    </w:rPr>
  </w:style>
  <w:style w:type="paragraph" w:customStyle="1" w:styleId="7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6">
    <w:name w:val="1.1.1"/>
    <w:next w:val="71"/>
    <w:autoRedefine/>
    <w:qFormat/>
    <w:uiPriority w:val="0"/>
    <w:pPr>
      <w:spacing w:before="50" w:after="50" w:line="300" w:lineRule="auto"/>
      <w:jc w:val="both"/>
    </w:pPr>
    <w:rPr>
      <w:rFonts w:ascii="宋体" w:hAnsi="Times New Roman" w:eastAsia="宋体" w:cs="Times New Roman"/>
      <w:b/>
      <w:spacing w:val="10"/>
      <w:sz w:val="24"/>
      <w:lang w:val="en-US" w:eastAsia="zh-CN" w:bidi="ar-SA"/>
    </w:rPr>
  </w:style>
  <w:style w:type="paragraph" w:customStyle="1" w:styleId="77">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Cs w:val="20"/>
    </w:rPr>
  </w:style>
  <w:style w:type="paragraph" w:customStyle="1" w:styleId="78">
    <w:name w:val="标题3"/>
    <w:basedOn w:val="1"/>
    <w:autoRedefine/>
    <w:qFormat/>
    <w:uiPriority w:val="0"/>
    <w:pPr>
      <w:spacing w:line="440" w:lineRule="exact"/>
      <w:ind w:left="359" w:leftChars="171" w:firstLine="435"/>
    </w:pPr>
    <w:rPr>
      <w:szCs w:val="21"/>
    </w:rPr>
  </w:style>
  <w:style w:type="paragraph" w:customStyle="1" w:styleId="79">
    <w:name w:val="表格文字"/>
    <w:basedOn w:val="1"/>
    <w:link w:val="80"/>
    <w:autoRedefine/>
    <w:qFormat/>
    <w:uiPriority w:val="0"/>
    <w:pPr>
      <w:adjustRightInd w:val="0"/>
      <w:spacing w:line="420" w:lineRule="atLeast"/>
      <w:jc w:val="left"/>
      <w:textAlignment w:val="baseline"/>
    </w:pPr>
    <w:rPr>
      <w:kern w:val="0"/>
      <w:szCs w:val="20"/>
    </w:rPr>
  </w:style>
  <w:style w:type="character" w:customStyle="1" w:styleId="80">
    <w:name w:val="表格文字 Char"/>
    <w:link w:val="79"/>
    <w:autoRedefine/>
    <w:qFormat/>
    <w:uiPriority w:val="0"/>
    <w:rPr>
      <w:sz w:val="21"/>
    </w:rPr>
  </w:style>
  <w:style w:type="paragraph" w:customStyle="1" w:styleId="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2">
    <w:name w:val="1"/>
    <w:basedOn w:val="1"/>
    <w:next w:val="1"/>
    <w:autoRedefine/>
    <w:qFormat/>
    <w:uiPriority w:val="0"/>
  </w:style>
  <w:style w:type="paragraph" w:customStyle="1" w:styleId="83">
    <w:name w:val="表格"/>
    <w:basedOn w:val="1"/>
    <w:autoRedefine/>
    <w:qFormat/>
    <w:uiPriority w:val="0"/>
    <w:pPr>
      <w:jc w:val="center"/>
      <w:textAlignment w:val="center"/>
    </w:pPr>
    <w:rPr>
      <w:rFonts w:ascii="华文细黑" w:hAnsi="华文细黑"/>
      <w:kern w:val="0"/>
      <w:szCs w:val="20"/>
    </w:rPr>
  </w:style>
  <w:style w:type="paragraph" w:customStyle="1" w:styleId="84">
    <w:name w:val="_Style 50"/>
    <w:basedOn w:val="1"/>
    <w:next w:val="1"/>
    <w:autoRedefine/>
    <w:qFormat/>
    <w:uiPriority w:val="0"/>
  </w:style>
  <w:style w:type="paragraph" w:customStyle="1" w:styleId="85">
    <w:name w:val="TOC 标题1"/>
    <w:basedOn w:val="2"/>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8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87">
    <w:name w:val="Char Char1 Char Char Char"/>
    <w:basedOn w:val="1"/>
    <w:autoRedefine/>
    <w:qFormat/>
    <w:uiPriority w:val="0"/>
    <w:rPr>
      <w:kern w:val="0"/>
      <w:sz w:val="20"/>
      <w:szCs w:val="20"/>
    </w:rPr>
  </w:style>
  <w:style w:type="paragraph" w:customStyle="1" w:styleId="88">
    <w:name w:val="样式1"/>
    <w:basedOn w:val="1"/>
    <w:next w:val="5"/>
    <w:autoRedefine/>
    <w:qFormat/>
    <w:uiPriority w:val="0"/>
    <w:pPr>
      <w:spacing w:line="360" w:lineRule="auto"/>
      <w:ind w:firstLine="420" w:firstLineChars="200"/>
    </w:pPr>
    <w:rPr>
      <w:rFonts w:ascii="宋体" w:hAnsi="宋体"/>
      <w:szCs w:val="21"/>
    </w:rPr>
  </w:style>
  <w:style w:type="paragraph" w:customStyle="1" w:styleId="8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01"/>
    <w:basedOn w:val="1"/>
    <w:autoRedefine/>
    <w:qFormat/>
    <w:uiPriority w:val="0"/>
    <w:pPr>
      <w:spacing w:before="60" w:line="460" w:lineRule="exact"/>
      <w:ind w:firstLine="200" w:firstLineChars="200"/>
    </w:pPr>
    <w:rPr>
      <w:sz w:val="24"/>
    </w:rPr>
  </w:style>
  <w:style w:type="paragraph" w:customStyle="1" w:styleId="91">
    <w:name w:val="xl2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92">
    <w:name w:val="Körper"/>
    <w:basedOn w:val="1"/>
    <w:autoRedefine/>
    <w:qFormat/>
    <w:uiPriority w:val="0"/>
    <w:pPr>
      <w:widowControl/>
      <w:spacing w:before="120" w:line="240" w:lineRule="exact"/>
    </w:pPr>
    <w:rPr>
      <w:rFonts w:ascii="Arial" w:hAnsi="Arial"/>
      <w:kern w:val="0"/>
      <w:sz w:val="20"/>
      <w:szCs w:val="20"/>
      <w:lang w:val="de-DE" w:eastAsia="de-DE"/>
    </w:rPr>
  </w:style>
  <w:style w:type="paragraph" w:customStyle="1" w:styleId="9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
    <w:name w:val="xl25"/>
    <w:basedOn w:val="1"/>
    <w:autoRedefine/>
    <w:qFormat/>
    <w:uiPriority w:val="0"/>
    <w:pPr>
      <w:widowControl/>
      <w:spacing w:before="100" w:beforeAutospacing="1" w:after="100" w:afterAutospacing="1"/>
      <w:jc w:val="center"/>
      <w:textAlignment w:val="center"/>
    </w:pPr>
    <w:rPr>
      <w:rFonts w:hint="eastAsia" w:ascii="新宋体" w:hAnsi="新宋体" w:eastAsia="新宋体" w:cs="Arial Unicode MS"/>
      <w:b/>
      <w:bCs/>
      <w:kern w:val="0"/>
      <w:sz w:val="36"/>
      <w:szCs w:val="36"/>
    </w:rPr>
  </w:style>
  <w:style w:type="paragraph" w:customStyle="1" w:styleId="95">
    <w:name w:val="Char1 Char Char Char1 Char Char Char Char Char Char"/>
    <w:basedOn w:val="1"/>
    <w:next w:val="1"/>
    <w:autoRedefine/>
    <w:qFormat/>
    <w:uiPriority w:val="0"/>
  </w:style>
  <w:style w:type="paragraph" w:customStyle="1" w:styleId="96">
    <w:name w:val="xl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9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8">
    <w:name w:val="Char1 Char Char Char Char Char Char Char Char Char"/>
    <w:basedOn w:val="1"/>
    <w:next w:val="1"/>
    <w:autoRedefine/>
    <w:qFormat/>
    <w:uiPriority w:val="0"/>
  </w:style>
  <w:style w:type="paragraph" w:customStyle="1" w:styleId="99">
    <w:name w:val="xl2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0">
    <w:name w:val="Char Char Char Char Char Char3 Char Char Char Char Char Char Char Char Char Char"/>
    <w:basedOn w:val="1"/>
    <w:next w:val="1"/>
    <w:autoRedefine/>
    <w:qFormat/>
    <w:uiPriority w:val="0"/>
    <w:rPr>
      <w:rFonts w:eastAsia="黑体"/>
      <w:sz w:val="28"/>
    </w:rPr>
  </w:style>
  <w:style w:type="paragraph" w:customStyle="1" w:styleId="101">
    <w:name w:val="Char Char"/>
    <w:basedOn w:val="1"/>
    <w:autoRedefine/>
    <w:qFormat/>
    <w:uiPriority w:val="0"/>
    <w:rPr>
      <w:rFonts w:ascii="Tahoma" w:hAnsi="Tahoma"/>
      <w:sz w:val="24"/>
      <w:szCs w:val="20"/>
    </w:rPr>
  </w:style>
  <w:style w:type="paragraph" w:customStyle="1" w:styleId="102">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103">
    <w:name w:val="正文LA"/>
    <w:autoRedefine/>
    <w:qFormat/>
    <w:uiPriority w:val="0"/>
    <w:pPr>
      <w:widowControl w:val="0"/>
      <w:tabs>
        <w:tab w:val="left" w:pos="0"/>
      </w:tabs>
      <w:adjustRightInd w:val="0"/>
      <w:spacing w:beforeLines="50" w:line="360" w:lineRule="auto"/>
      <w:ind w:firstLine="225" w:firstLineChars="225"/>
      <w:jc w:val="both"/>
    </w:pPr>
    <w:rPr>
      <w:rFonts w:ascii="宋体" w:hAnsi="宋体" w:eastAsia="宋体" w:cs="Times New Roman"/>
      <w:snapToGrid w:val="0"/>
      <w:sz w:val="24"/>
      <w:lang w:val="en-US" w:eastAsia="zh-CN" w:bidi="ar-SA"/>
    </w:rPr>
  </w:style>
  <w:style w:type="paragraph" w:customStyle="1" w:styleId="104">
    <w:name w:val="标准书眉_偶数页"/>
    <w:basedOn w:val="89"/>
    <w:next w:val="1"/>
    <w:autoRedefine/>
    <w:qFormat/>
    <w:uiPriority w:val="0"/>
    <w:pPr>
      <w:jc w:val="left"/>
    </w:pPr>
  </w:style>
  <w:style w:type="paragraph" w:customStyle="1" w:styleId="10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6">
    <w:name w:val="未处理的提及1"/>
    <w:autoRedefine/>
    <w:unhideWhenUsed/>
    <w:qFormat/>
    <w:uiPriority w:val="99"/>
    <w:rPr>
      <w:color w:val="605E5C"/>
      <w:shd w:val="clear" w:color="auto" w:fill="E1DFDD"/>
    </w:rPr>
  </w:style>
  <w:style w:type="character" w:customStyle="1" w:styleId="107">
    <w:name w:val="font21"/>
    <w:autoRedefine/>
    <w:qFormat/>
    <w:uiPriority w:val="0"/>
    <w:rPr>
      <w:rFonts w:hint="default" w:ascii="Microsoft Sans Serif" w:hAnsi="Microsoft Sans Serif" w:eastAsia="Microsoft Sans Serif" w:cs="Microsoft Sans Serif"/>
      <w:color w:val="000000"/>
      <w:sz w:val="20"/>
      <w:szCs w:val="20"/>
      <w:u w:val="none"/>
    </w:rPr>
  </w:style>
  <w:style w:type="character" w:customStyle="1" w:styleId="108">
    <w:name w:val="font11"/>
    <w:autoRedefine/>
    <w:qFormat/>
    <w:uiPriority w:val="0"/>
    <w:rPr>
      <w:rFonts w:hint="eastAsia" w:ascii="宋体" w:hAnsi="宋体" w:eastAsia="宋体" w:cs="宋体"/>
      <w:color w:val="000000"/>
      <w:sz w:val="20"/>
      <w:szCs w:val="20"/>
      <w:u w:val="none"/>
    </w:rPr>
  </w:style>
  <w:style w:type="character" w:customStyle="1" w:styleId="109">
    <w:name w:val="font01"/>
    <w:autoRedefine/>
    <w:qFormat/>
    <w:uiPriority w:val="0"/>
    <w:rPr>
      <w:rFonts w:ascii="Microsoft Sans Serif" w:hAnsi="Microsoft Sans Serif" w:eastAsia="Microsoft Sans Serif" w:cs="Microsoft Sans Serif"/>
      <w:color w:val="000000"/>
      <w:sz w:val="18"/>
      <w:szCs w:val="18"/>
      <w:u w:val="none"/>
    </w:rPr>
  </w:style>
  <w:style w:type="character" w:customStyle="1" w:styleId="110">
    <w:name w:val="font31"/>
    <w:autoRedefine/>
    <w:qFormat/>
    <w:uiPriority w:val="0"/>
    <w:rPr>
      <w:rFonts w:hint="eastAsia" w:ascii="宋体" w:hAnsi="宋体" w:eastAsia="宋体" w:cs="宋体"/>
      <w:color w:val="000000"/>
      <w:sz w:val="18"/>
      <w:szCs w:val="18"/>
      <w:u w:val="none"/>
    </w:rPr>
  </w:style>
  <w:style w:type="paragraph" w:customStyle="1" w:styleId="1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正文_0_0_0"/>
    <w:basedOn w:val="1"/>
    <w:link w:val="113"/>
    <w:autoRedefine/>
    <w:qFormat/>
    <w:uiPriority w:val="0"/>
    <w:rPr>
      <w:szCs w:val="22"/>
    </w:rPr>
  </w:style>
  <w:style w:type="character" w:customStyle="1" w:styleId="113">
    <w:name w:val="正文_0 Char"/>
    <w:link w:val="112"/>
    <w:autoRedefine/>
    <w:qFormat/>
    <w:uiPriority w:val="0"/>
    <w:rPr>
      <w:kern w:val="2"/>
      <w:sz w:val="21"/>
      <w:szCs w:val="22"/>
    </w:rPr>
  </w:style>
  <w:style w:type="paragraph" w:customStyle="1" w:styleId="114">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正文_0_0"/>
    <w:basedOn w:val="114"/>
    <w:link w:val="116"/>
    <w:autoRedefine/>
    <w:qFormat/>
    <w:uiPriority w:val="0"/>
  </w:style>
  <w:style w:type="character" w:customStyle="1" w:styleId="116">
    <w:name w:val="正文_0 字符"/>
    <w:link w:val="115"/>
    <w:autoRedefine/>
    <w:qFormat/>
    <w:uiPriority w:val="0"/>
    <w:rPr>
      <w:kern w:val="2"/>
      <w:sz w:val="21"/>
      <w:szCs w:val="22"/>
    </w:rPr>
  </w:style>
  <w:style w:type="paragraph" w:styleId="117">
    <w:name w:val="List Paragraph"/>
    <w:basedOn w:val="1"/>
    <w:autoRedefine/>
    <w:unhideWhenUsed/>
    <w:qFormat/>
    <w:uiPriority w:val="99"/>
    <w:pPr>
      <w:ind w:firstLine="420" w:firstLineChars="200"/>
    </w:pPr>
  </w:style>
  <w:style w:type="paragraph" w:customStyle="1" w:styleId="118">
    <w:name w:val="正文2"/>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120">
    <w:name w:val="未处理的提及2"/>
    <w:basedOn w:val="45"/>
    <w:autoRedefine/>
    <w:semiHidden/>
    <w:unhideWhenUsed/>
    <w:qFormat/>
    <w:uiPriority w:val="99"/>
    <w:rPr>
      <w:color w:val="605E5C"/>
      <w:shd w:val="clear" w:color="auto" w:fill="E1DFDD"/>
    </w:rPr>
  </w:style>
  <w:style w:type="character" w:customStyle="1" w:styleId="121">
    <w:name w:val="Unresolved Mention"/>
    <w:basedOn w:val="45"/>
    <w:autoRedefine/>
    <w:semiHidden/>
    <w:unhideWhenUsed/>
    <w:qFormat/>
    <w:uiPriority w:val="99"/>
    <w:rPr>
      <w:color w:val="605E5C"/>
      <w:shd w:val="clear" w:color="auto" w:fill="E1DFDD"/>
    </w:rPr>
  </w:style>
  <w:style w:type="paragraph" w:customStyle="1" w:styleId="122">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5">
    <w:name w:val="font51"/>
    <w:basedOn w:val="45"/>
    <w:autoRedefine/>
    <w:qFormat/>
    <w:uiPriority w:val="0"/>
    <w:rPr>
      <w:rFonts w:hint="eastAsia" w:ascii="黑体" w:hAnsi="宋体" w:eastAsia="黑体" w:cs="黑体"/>
      <w:color w:val="000000"/>
      <w:sz w:val="18"/>
      <w:szCs w:val="18"/>
      <w:u w:val="none"/>
    </w:rPr>
  </w:style>
  <w:style w:type="character" w:customStyle="1" w:styleId="126">
    <w:name w:val="font12"/>
    <w:basedOn w:val="45"/>
    <w:autoRedefine/>
    <w:qFormat/>
    <w:uiPriority w:val="0"/>
    <w:rPr>
      <w:rFonts w:hint="default" w:ascii="Times New Roman" w:hAnsi="Times New Roman" w:cs="Times New Roman"/>
      <w:color w:val="000000"/>
      <w:sz w:val="21"/>
      <w:szCs w:val="21"/>
      <w:u w:val="none"/>
    </w:rPr>
  </w:style>
  <w:style w:type="character" w:customStyle="1" w:styleId="127">
    <w:name w:val="font81"/>
    <w:basedOn w:val="45"/>
    <w:autoRedefine/>
    <w:qFormat/>
    <w:uiPriority w:val="0"/>
    <w:rPr>
      <w:rFonts w:ascii="楷体" w:hAnsi="楷体" w:eastAsia="楷体" w:cs="楷体"/>
      <w:color w:val="000000"/>
      <w:sz w:val="21"/>
      <w:szCs w:val="21"/>
      <w:u w:val="none"/>
    </w:rPr>
  </w:style>
  <w:style w:type="character" w:customStyle="1" w:styleId="128">
    <w:name w:val="font91"/>
    <w:basedOn w:val="45"/>
    <w:autoRedefine/>
    <w:qFormat/>
    <w:uiPriority w:val="0"/>
    <w:rPr>
      <w:rFonts w:hint="eastAsia" w:ascii="楷体" w:hAnsi="楷体" w:eastAsia="楷体" w:cs="楷体"/>
      <w:color w:val="000000"/>
      <w:sz w:val="11"/>
      <w:szCs w:val="11"/>
      <w:u w:val="none"/>
    </w:rPr>
  </w:style>
  <w:style w:type="character" w:customStyle="1" w:styleId="129">
    <w:name w:val="font101"/>
    <w:basedOn w:val="45"/>
    <w:autoRedefine/>
    <w:qFormat/>
    <w:uiPriority w:val="0"/>
    <w:rPr>
      <w:rFonts w:hint="eastAsia" w:ascii="宋体" w:hAnsi="宋体" w:eastAsia="宋体" w:cs="宋体"/>
      <w:color w:val="000000"/>
      <w:sz w:val="21"/>
      <w:szCs w:val="21"/>
      <w:u w:val="none"/>
    </w:rPr>
  </w:style>
  <w:style w:type="character" w:customStyle="1" w:styleId="130">
    <w:name w:val="font41"/>
    <w:basedOn w:val="45"/>
    <w:autoRedefine/>
    <w:qFormat/>
    <w:uiPriority w:val="0"/>
    <w:rPr>
      <w:rFonts w:hint="default" w:ascii="Arial" w:hAnsi="Arial" w:cs="Arial"/>
      <w:color w:val="000000"/>
      <w:sz w:val="21"/>
      <w:szCs w:val="21"/>
      <w:u w:val="none"/>
    </w:rPr>
  </w:style>
  <w:style w:type="character" w:customStyle="1" w:styleId="131">
    <w:name w:val="font61"/>
    <w:basedOn w:val="45"/>
    <w:autoRedefine/>
    <w:qFormat/>
    <w:uiPriority w:val="0"/>
    <w:rPr>
      <w:rFonts w:hint="default" w:ascii="Times New Roman" w:hAnsi="Times New Roman" w:cs="Times New Roman"/>
      <w:color w:val="000000"/>
      <w:sz w:val="18"/>
      <w:szCs w:val="18"/>
      <w:u w:val="none"/>
    </w:rPr>
  </w:style>
  <w:style w:type="character" w:customStyle="1" w:styleId="132">
    <w:name w:val="font71"/>
    <w:basedOn w:val="45"/>
    <w:autoRedefine/>
    <w:qFormat/>
    <w:uiPriority w:val="0"/>
    <w:rPr>
      <w:rFonts w:hint="eastAsia" w:ascii="宋体" w:hAnsi="宋体" w:eastAsia="宋体" w:cs="宋体"/>
      <w:color w:val="000000"/>
      <w:sz w:val="18"/>
      <w:szCs w:val="18"/>
      <w:u w:val="none"/>
    </w:rPr>
  </w:style>
  <w:style w:type="character" w:customStyle="1" w:styleId="133">
    <w:name w:val="font111"/>
    <w:basedOn w:val="45"/>
    <w:autoRedefine/>
    <w:qFormat/>
    <w:uiPriority w:val="0"/>
    <w:rPr>
      <w:rFonts w:hint="eastAsia" w:ascii="宋体" w:hAnsi="宋体" w:eastAsia="宋体" w:cs="宋体"/>
      <w:color w:val="000000"/>
      <w:sz w:val="18"/>
      <w:szCs w:val="18"/>
      <w:u w:val="single"/>
    </w:rPr>
  </w:style>
  <w:style w:type="paragraph" w:customStyle="1" w:styleId="134">
    <w:name w:val="标题 3_1"/>
    <w:next w:val="124"/>
    <w:autoRedefine/>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Zheng Miaodong</Manager>
  <Company>ydsws</Company>
  <Pages>114</Pages>
  <Words>56618</Words>
  <Characters>62025</Characters>
  <Lines>230</Lines>
  <Paragraphs>177</Paragraphs>
  <TotalTime>225</TotalTime>
  <ScaleCrop>false</ScaleCrop>
  <LinksUpToDate>false</LinksUpToDate>
  <CharactersWithSpaces>66265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2023-07-28T01:18:00Z</dcterms:created>
  <dc:creator>Zheng Miaodong</dc:creator>
  <cp:lastModifiedBy>漆黑拉乌</cp:lastModifiedBy>
  <cp:lastPrinted>2024-04-22T06:46:00Z</cp:lastPrinted>
  <dcterms:modified xsi:type="dcterms:W3CDTF">2024-04-23T01:10:07Z</dcterms:modified>
  <dc:subject>施工标准文件</dc:subject>
  <dc:title>浙江省施工标准文件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F7519462EBBB499599489F1B6557CD49_13</vt:lpwstr>
  </property>
</Properties>
</file>