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1D727">
      <w:pPr>
        <w:pStyle w:val="8"/>
        <w:jc w:val="center"/>
        <w:rPr>
          <w:b/>
          <w:color w:val="000000"/>
          <w:sz w:val="72"/>
          <w:szCs w:val="72"/>
          <w:highlight w:val="none"/>
        </w:rPr>
      </w:pPr>
      <w:bookmarkStart w:id="0" w:name="OLE_LINK5"/>
      <w:bookmarkStart w:id="1" w:name="OLE_LINK10"/>
      <w:bookmarkStart w:id="2" w:name="OLE_LINK11"/>
      <w:bookmarkStart w:id="3" w:name="OLE_LINK6"/>
      <w:bookmarkStart w:id="4" w:name="OLE_LINK8"/>
      <w:bookmarkStart w:id="5" w:name="OLE_LINK2"/>
      <w:bookmarkStart w:id="6" w:name="OLE_LINK7"/>
      <w:bookmarkStart w:id="7" w:name="OLE_LINK1"/>
      <w:bookmarkStart w:id="8" w:name="OLE_LINK14"/>
      <w:bookmarkStart w:id="9" w:name="OLE_LINK9"/>
      <w:bookmarkStart w:id="10" w:name="OLE_LINK15"/>
      <w:bookmarkStart w:id="11" w:name="OLE_LINK4"/>
      <w:bookmarkStart w:id="12" w:name="OLE_LINK13"/>
      <w:bookmarkStart w:id="13" w:name="OLE_LINK12"/>
      <w:r>
        <w:rPr>
          <w:rFonts w:hint="eastAsia"/>
          <w:b/>
          <w:color w:val="000000"/>
          <w:sz w:val="72"/>
          <w:szCs w:val="72"/>
          <w:highlight w:val="none"/>
        </w:rPr>
        <w:t>建设工程施工</w:t>
      </w:r>
      <w:r>
        <w:rPr>
          <w:rFonts w:hint="eastAsia"/>
          <w:b/>
          <w:color w:val="000000"/>
          <w:sz w:val="72"/>
          <w:szCs w:val="72"/>
          <w:highlight w:val="none"/>
          <w:lang w:val="en-US" w:eastAsia="zh-CN"/>
        </w:rPr>
        <w:t>交易</w:t>
      </w:r>
      <w:r>
        <w:rPr>
          <w:rFonts w:hint="eastAsia"/>
          <w:b/>
          <w:color w:val="000000"/>
          <w:sz w:val="72"/>
          <w:szCs w:val="72"/>
          <w:highlight w:val="none"/>
        </w:rPr>
        <w:t>文件</w:t>
      </w:r>
    </w:p>
    <w:p w14:paraId="37B97520">
      <w:pPr>
        <w:pStyle w:val="8"/>
        <w:spacing w:line="360" w:lineRule="auto"/>
        <w:jc w:val="center"/>
        <w:rPr>
          <w:rFonts w:hint="eastAsia"/>
          <w:b/>
          <w:color w:val="000000"/>
          <w:sz w:val="24"/>
          <w:szCs w:val="24"/>
          <w:highlight w:val="none"/>
        </w:rPr>
      </w:pPr>
    </w:p>
    <w:p w14:paraId="7CDCC6DB">
      <w:pPr>
        <w:pStyle w:val="8"/>
        <w:spacing w:line="360" w:lineRule="auto"/>
        <w:ind w:firstLine="2409" w:firstLineChars="1000"/>
        <w:jc w:val="both"/>
        <w:rPr>
          <w:rFonts w:hint="eastAsia" w:hAnsi="宋体" w:cs="宋体"/>
          <w:b/>
          <w:bCs w:val="0"/>
          <w:color w:val="auto"/>
          <w:sz w:val="24"/>
          <w:szCs w:val="24"/>
          <w:highlight w:val="none"/>
          <w:lang w:val="en-US" w:eastAsia="zh-CN"/>
        </w:rPr>
      </w:pPr>
      <w:r>
        <w:rPr>
          <w:rFonts w:hint="eastAsia" w:hAnsi="宋体" w:cs="宋体"/>
          <w:b/>
          <w:bCs w:val="0"/>
          <w:color w:val="000000"/>
          <w:sz w:val="24"/>
          <w:szCs w:val="24"/>
          <w:highlight w:val="none"/>
          <w:lang w:val="en-US" w:eastAsia="zh-CN"/>
        </w:rPr>
        <w:t>交易</w:t>
      </w:r>
      <w:r>
        <w:rPr>
          <w:rFonts w:hint="eastAsia" w:ascii="宋体" w:hAnsi="宋体" w:eastAsia="宋体" w:cs="宋体"/>
          <w:b/>
          <w:bCs w:val="0"/>
          <w:color w:val="auto"/>
          <w:sz w:val="24"/>
          <w:szCs w:val="24"/>
          <w:highlight w:val="none"/>
        </w:rPr>
        <w:t>编号</w:t>
      </w:r>
      <w:r>
        <w:rPr>
          <w:rFonts w:hint="eastAsia" w:hAnsi="宋体" w:cs="宋体"/>
          <w:b/>
          <w:bCs w:val="0"/>
          <w:color w:val="auto"/>
          <w:sz w:val="24"/>
          <w:szCs w:val="24"/>
          <w:highlight w:val="none"/>
          <w:lang w:eastAsia="zh-CN"/>
        </w:rPr>
        <w:t>：</w:t>
      </w:r>
      <w:r>
        <w:rPr>
          <w:rFonts w:hint="eastAsia" w:hAnsi="宋体" w:cs="宋体"/>
          <w:b/>
          <w:bCs w:val="0"/>
          <w:color w:val="auto"/>
          <w:sz w:val="24"/>
          <w:szCs w:val="24"/>
          <w:highlight w:val="none"/>
          <w:lang w:val="en-US" w:eastAsia="zh-CN"/>
        </w:rPr>
        <w:t>A3205820001004352</w:t>
      </w:r>
      <w:bookmarkStart w:id="337" w:name="_GoBack"/>
      <w:bookmarkEnd w:id="337"/>
    </w:p>
    <w:p w14:paraId="0665E3AA">
      <w:pPr>
        <w:pStyle w:val="8"/>
        <w:spacing w:line="480" w:lineRule="auto"/>
        <w:ind w:left="1446" w:hanging="1446" w:hangingChars="400"/>
        <w:jc w:val="both"/>
        <w:rPr>
          <w:rFonts w:hint="default" w:cs="Courier New"/>
          <w:b/>
          <w:color w:val="000000"/>
          <w:kern w:val="2"/>
          <w:sz w:val="36"/>
          <w:szCs w:val="36"/>
          <w:highlight w:val="none"/>
          <w:u w:val="single"/>
          <w:lang w:val="en-US" w:eastAsia="zh-CN" w:bidi="ar-SA"/>
        </w:rPr>
      </w:pPr>
      <w:r>
        <w:rPr>
          <w:rFonts w:hint="eastAsia"/>
          <w:b/>
          <w:color w:val="000000"/>
          <w:sz w:val="36"/>
          <w:szCs w:val="36"/>
          <w:highlight w:val="none"/>
        </w:rPr>
        <w:t>工程名称</w:t>
      </w:r>
      <w:r>
        <w:rPr>
          <w:b/>
          <w:color w:val="000000"/>
          <w:sz w:val="36"/>
          <w:szCs w:val="36"/>
          <w:highlight w:val="none"/>
        </w:rPr>
        <w:t>:</w:t>
      </w:r>
      <w:r>
        <w:rPr>
          <w:rFonts w:hint="eastAsia" w:eastAsia="宋体" w:cs="Times New Roman"/>
          <w:b/>
          <w:color w:val="000000"/>
          <w:sz w:val="36"/>
          <w:szCs w:val="36"/>
          <w:highlight w:val="none"/>
          <w:u w:val="single"/>
          <w:lang w:val="en-US" w:eastAsia="zh-CN"/>
        </w:rPr>
        <w:t xml:space="preserve"> 淳安县枫树岭镇黄泥岭山塘综合整治工程</w:t>
      </w:r>
    </w:p>
    <w:p w14:paraId="3EBFB1DC">
      <w:pPr>
        <w:pStyle w:val="8"/>
        <w:spacing w:line="480" w:lineRule="auto"/>
        <w:jc w:val="both"/>
        <w:rPr>
          <w:rFonts w:hint="eastAsia"/>
          <w:b/>
          <w:color w:val="000000"/>
          <w:sz w:val="36"/>
          <w:szCs w:val="36"/>
          <w:highlight w:val="none"/>
          <w:lang w:val="en-US" w:eastAsia="zh-CN"/>
        </w:rPr>
      </w:pPr>
    </w:p>
    <w:p w14:paraId="0A99B345">
      <w:pPr>
        <w:pStyle w:val="8"/>
        <w:spacing w:line="480" w:lineRule="auto"/>
        <w:jc w:val="both"/>
        <w:rPr>
          <w:rFonts w:hint="default" w:eastAsia="宋体"/>
          <w:b/>
          <w:color w:val="000000"/>
          <w:sz w:val="32"/>
          <w:szCs w:val="32"/>
          <w:highlight w:val="none"/>
          <w:u w:val="single"/>
          <w:lang w:val="en-US" w:eastAsia="zh-CN"/>
        </w:rPr>
      </w:pPr>
      <w:r>
        <w:rPr>
          <w:rFonts w:hint="eastAsia"/>
          <w:b/>
          <w:color w:val="000000"/>
          <w:sz w:val="36"/>
          <w:szCs w:val="36"/>
          <w:highlight w:val="none"/>
          <w:lang w:val="en-US" w:eastAsia="zh-CN"/>
        </w:rPr>
        <w:t>交易发起</w:t>
      </w:r>
      <w:r>
        <w:rPr>
          <w:rFonts w:hint="eastAsia"/>
          <w:b/>
          <w:color w:val="000000"/>
          <w:sz w:val="36"/>
          <w:szCs w:val="36"/>
          <w:highlight w:val="none"/>
        </w:rPr>
        <w:t>人:</w:t>
      </w:r>
      <w:r>
        <w:rPr>
          <w:rFonts w:hint="eastAsia"/>
          <w:b/>
          <w:color w:val="000000"/>
          <w:sz w:val="36"/>
          <w:szCs w:val="36"/>
          <w:highlight w:val="none"/>
          <w:u w:val="single"/>
        </w:rPr>
        <w:t xml:space="preserve"> </w:t>
      </w:r>
      <w:r>
        <w:rPr>
          <w:rFonts w:hint="eastAsia"/>
          <w:b/>
          <w:color w:val="000000"/>
          <w:sz w:val="36"/>
          <w:szCs w:val="36"/>
          <w:highlight w:val="none"/>
          <w:u w:val="single"/>
          <w:lang w:val="en-US" w:eastAsia="zh-CN"/>
        </w:rPr>
        <w:t xml:space="preserve">     淳安县枫树岭镇政府  </w:t>
      </w:r>
      <w:r>
        <w:rPr>
          <w:rFonts w:hint="eastAsia" w:hAnsi="Courier New" w:eastAsia="宋体" w:cs="Courier New"/>
          <w:b/>
          <w:bCs/>
          <w:sz w:val="36"/>
          <w:szCs w:val="36"/>
          <w:highlight w:val="none"/>
          <w:u w:val="single"/>
          <w:lang w:eastAsia="zh-CN"/>
        </w:rPr>
        <w:t xml:space="preserve"> </w:t>
      </w:r>
      <w:r>
        <w:rPr>
          <w:rFonts w:hint="eastAsia"/>
          <w:b/>
          <w:color w:val="000000"/>
          <w:sz w:val="32"/>
          <w:szCs w:val="32"/>
          <w:highlight w:val="none"/>
          <w:u w:val="single"/>
        </w:rPr>
        <w:t>(盖章)</w:t>
      </w:r>
      <w:r>
        <w:rPr>
          <w:rFonts w:hint="eastAsia"/>
          <w:b/>
          <w:color w:val="000000"/>
          <w:sz w:val="32"/>
          <w:szCs w:val="32"/>
          <w:highlight w:val="none"/>
          <w:u w:val="single"/>
          <w:lang w:val="en-US" w:eastAsia="zh-CN"/>
        </w:rPr>
        <w:t xml:space="preserve">  </w:t>
      </w:r>
    </w:p>
    <w:p w14:paraId="04118863">
      <w:pPr>
        <w:pStyle w:val="8"/>
        <w:spacing w:line="480" w:lineRule="auto"/>
        <w:jc w:val="both"/>
        <w:rPr>
          <w:rFonts w:hint="eastAsia"/>
          <w:b/>
          <w:color w:val="000000"/>
          <w:sz w:val="36"/>
          <w:szCs w:val="36"/>
          <w:highlight w:val="none"/>
          <w:u w:val="single"/>
        </w:rPr>
      </w:pPr>
    </w:p>
    <w:p w14:paraId="0F9185F2">
      <w:pPr>
        <w:pStyle w:val="8"/>
        <w:spacing w:line="480" w:lineRule="auto"/>
        <w:jc w:val="both"/>
        <w:rPr>
          <w:rFonts w:hint="eastAsia"/>
          <w:b/>
          <w:color w:val="000000"/>
          <w:sz w:val="36"/>
          <w:szCs w:val="36"/>
          <w:highlight w:val="none"/>
        </w:rPr>
      </w:pPr>
      <w:r>
        <w:rPr>
          <w:rFonts w:hint="eastAsia"/>
          <w:b/>
          <w:color w:val="000000"/>
          <w:sz w:val="36"/>
          <w:szCs w:val="36"/>
          <w:highlight w:val="none"/>
        </w:rPr>
        <w:t>法定代表人或其委托代理人:</w:t>
      </w:r>
      <w:r>
        <w:rPr>
          <w:rFonts w:hint="eastAsia"/>
          <w:b/>
          <w:color w:val="000000"/>
          <w:sz w:val="36"/>
          <w:szCs w:val="36"/>
          <w:highlight w:val="none"/>
          <w:u w:val="single"/>
        </w:rPr>
        <w:t xml:space="preserve"> </w:t>
      </w:r>
      <w:r>
        <w:rPr>
          <w:rFonts w:hint="eastAsia" w:hAnsi="宋体"/>
          <w:b/>
          <w:color w:val="000000"/>
          <w:sz w:val="32"/>
          <w:szCs w:val="32"/>
          <w:highlight w:val="none"/>
          <w:u w:val="single"/>
        </w:rPr>
        <w:t xml:space="preserve">       </w:t>
      </w:r>
      <w:r>
        <w:rPr>
          <w:rFonts w:hint="eastAsia" w:hAnsi="宋体"/>
          <w:b/>
          <w:color w:val="000000"/>
          <w:sz w:val="36"/>
          <w:szCs w:val="36"/>
          <w:highlight w:val="none"/>
          <w:u w:val="single"/>
        </w:rPr>
        <w:t xml:space="preserve">  </w:t>
      </w:r>
      <w:r>
        <w:rPr>
          <w:rFonts w:hint="eastAsia"/>
          <w:b/>
          <w:color w:val="000000"/>
          <w:sz w:val="32"/>
          <w:highlight w:val="none"/>
          <w:u w:val="single"/>
        </w:rPr>
        <w:t>(签字或盖章)</w:t>
      </w:r>
    </w:p>
    <w:p w14:paraId="6FF2C56A">
      <w:pPr>
        <w:pStyle w:val="8"/>
        <w:spacing w:line="480" w:lineRule="auto"/>
        <w:jc w:val="both"/>
        <w:rPr>
          <w:rFonts w:hint="eastAsia" w:eastAsia="宋体"/>
          <w:b/>
          <w:color w:val="000000"/>
          <w:sz w:val="36"/>
          <w:szCs w:val="36"/>
          <w:highlight w:val="none"/>
          <w:lang w:val="en-US" w:eastAsia="zh-CN"/>
        </w:rPr>
      </w:pPr>
      <w:r>
        <w:rPr>
          <w:rFonts w:hint="eastAsia"/>
          <w:b/>
          <w:color w:val="000000"/>
          <w:sz w:val="36"/>
          <w:szCs w:val="36"/>
          <w:highlight w:val="none"/>
          <w:lang w:val="en-US" w:eastAsia="zh-CN"/>
        </w:rPr>
        <w:t xml:space="preserve"> </w:t>
      </w:r>
    </w:p>
    <w:p w14:paraId="763C8C61">
      <w:pPr>
        <w:pStyle w:val="8"/>
        <w:spacing w:line="480" w:lineRule="auto"/>
        <w:jc w:val="both"/>
        <w:rPr>
          <w:rFonts w:hint="eastAsia"/>
          <w:b/>
          <w:color w:val="000000"/>
          <w:sz w:val="32"/>
          <w:highlight w:val="none"/>
          <w:u w:val="single"/>
        </w:rPr>
      </w:pPr>
      <w:r>
        <w:rPr>
          <w:rFonts w:hint="eastAsia"/>
          <w:b/>
          <w:color w:val="000000"/>
          <w:sz w:val="36"/>
          <w:szCs w:val="36"/>
          <w:highlight w:val="none"/>
          <w:lang w:val="en-US" w:eastAsia="zh-CN"/>
        </w:rPr>
        <w:t>交易</w:t>
      </w:r>
      <w:r>
        <w:rPr>
          <w:rFonts w:hint="eastAsia"/>
          <w:b/>
          <w:color w:val="000000"/>
          <w:sz w:val="36"/>
          <w:szCs w:val="36"/>
          <w:highlight w:val="none"/>
        </w:rPr>
        <w:t xml:space="preserve">代理机构: </w:t>
      </w:r>
      <w:r>
        <w:rPr>
          <w:rFonts w:hint="eastAsia"/>
          <w:b/>
          <w:color w:val="000000"/>
          <w:sz w:val="32"/>
          <w:szCs w:val="32"/>
          <w:highlight w:val="none"/>
          <w:u w:val="single"/>
        </w:rPr>
        <w:t xml:space="preserve"> </w:t>
      </w:r>
      <w:r>
        <w:rPr>
          <w:rFonts w:hint="eastAsia"/>
          <w:b/>
          <w:color w:val="000000"/>
          <w:sz w:val="32"/>
          <w:szCs w:val="32"/>
          <w:highlight w:val="none"/>
          <w:u w:val="single"/>
          <w:lang w:val="en-US" w:eastAsia="zh-CN"/>
        </w:rPr>
        <w:t>枫树岭镇人民政府</w:t>
      </w:r>
      <w:r>
        <w:rPr>
          <w:rFonts w:hint="eastAsia"/>
          <w:b/>
          <w:color w:val="000000"/>
          <w:sz w:val="32"/>
          <w:szCs w:val="32"/>
          <w:highlight w:val="none"/>
          <w:u w:val="single"/>
        </w:rPr>
        <w:t xml:space="preserve">  </w:t>
      </w:r>
      <w:r>
        <w:rPr>
          <w:rFonts w:hint="eastAsia"/>
          <w:b/>
          <w:color w:val="000000"/>
          <w:sz w:val="32"/>
          <w:szCs w:val="32"/>
          <w:highlight w:val="none"/>
          <w:u w:val="single"/>
          <w:lang w:val="en-US" w:eastAsia="zh-CN"/>
        </w:rPr>
        <w:t xml:space="preserve">          </w:t>
      </w:r>
      <w:r>
        <w:rPr>
          <w:rFonts w:hint="eastAsia"/>
          <w:b/>
          <w:color w:val="000000"/>
          <w:sz w:val="32"/>
          <w:highlight w:val="none"/>
          <w:u w:val="single"/>
        </w:rPr>
        <w:t>(盖章)</w:t>
      </w:r>
    </w:p>
    <w:p w14:paraId="5942C005">
      <w:pPr>
        <w:pStyle w:val="8"/>
        <w:spacing w:line="480" w:lineRule="auto"/>
        <w:jc w:val="both"/>
        <w:rPr>
          <w:rFonts w:hint="eastAsia"/>
          <w:b/>
          <w:color w:val="000000"/>
          <w:sz w:val="36"/>
          <w:szCs w:val="36"/>
          <w:highlight w:val="none"/>
          <w:u w:val="single"/>
        </w:rPr>
      </w:pPr>
    </w:p>
    <w:p w14:paraId="4511B2D4">
      <w:pPr>
        <w:pStyle w:val="8"/>
        <w:spacing w:line="480" w:lineRule="auto"/>
        <w:jc w:val="both"/>
        <w:rPr>
          <w:rFonts w:hint="eastAsia"/>
          <w:b/>
          <w:color w:val="000000"/>
          <w:sz w:val="36"/>
          <w:szCs w:val="36"/>
          <w:highlight w:val="none"/>
        </w:rPr>
      </w:pPr>
      <w:r>
        <w:rPr>
          <w:rFonts w:hint="eastAsia"/>
          <w:b/>
          <w:color w:val="000000"/>
          <w:sz w:val="36"/>
          <w:szCs w:val="36"/>
          <w:highlight w:val="none"/>
        </w:rPr>
        <w:t>法定代表人或其委托代理人:</w:t>
      </w:r>
      <w:r>
        <w:rPr>
          <w:rFonts w:hint="eastAsia"/>
          <w:b/>
          <w:color w:val="000000"/>
          <w:sz w:val="32"/>
          <w:highlight w:val="none"/>
          <w:u w:val="single"/>
        </w:rPr>
        <w:t xml:space="preserve">  </w:t>
      </w:r>
      <w:r>
        <w:rPr>
          <w:rFonts w:hint="eastAsia"/>
          <w:b/>
          <w:color w:val="000000"/>
          <w:sz w:val="32"/>
          <w:highlight w:val="none"/>
          <w:u w:val="single"/>
          <w:lang w:val="en-US" w:eastAsia="zh-CN"/>
        </w:rPr>
        <w:t xml:space="preserve">       </w:t>
      </w:r>
      <w:r>
        <w:rPr>
          <w:rFonts w:hint="eastAsia"/>
          <w:b/>
          <w:color w:val="000000"/>
          <w:sz w:val="32"/>
          <w:highlight w:val="none"/>
          <w:u w:val="single"/>
        </w:rPr>
        <w:t xml:space="preserve"> (签字或盖章)</w:t>
      </w:r>
    </w:p>
    <w:p w14:paraId="715883C2">
      <w:pPr>
        <w:pStyle w:val="8"/>
        <w:spacing w:line="480" w:lineRule="auto"/>
        <w:jc w:val="both"/>
        <w:rPr>
          <w:rFonts w:hint="eastAsia"/>
          <w:b/>
          <w:color w:val="000000"/>
          <w:sz w:val="36"/>
          <w:szCs w:val="36"/>
          <w:highlight w:val="none"/>
        </w:rPr>
      </w:pPr>
    </w:p>
    <w:p w14:paraId="6228029E">
      <w:pPr>
        <w:pStyle w:val="8"/>
        <w:spacing w:line="480" w:lineRule="auto"/>
        <w:jc w:val="both"/>
        <w:rPr>
          <w:rFonts w:hint="eastAsia"/>
          <w:b/>
          <w:color w:val="000000"/>
          <w:sz w:val="36"/>
          <w:szCs w:val="36"/>
          <w:highlight w:val="none"/>
          <w:u w:val="single"/>
        </w:rPr>
      </w:pPr>
      <w:r>
        <w:rPr>
          <w:rFonts w:hint="eastAsia"/>
          <w:b/>
          <w:color w:val="000000"/>
          <w:sz w:val="36"/>
          <w:szCs w:val="36"/>
          <w:highlight w:val="none"/>
        </w:rPr>
        <w:t>备案单位：</w:t>
      </w:r>
      <w:r>
        <w:rPr>
          <w:rFonts w:hint="eastAsia"/>
          <w:b/>
          <w:color w:val="000000"/>
          <w:sz w:val="32"/>
          <w:szCs w:val="32"/>
          <w:highlight w:val="none"/>
          <w:u w:val="single"/>
          <w:lang w:val="en-US" w:eastAsia="zh-CN"/>
        </w:rPr>
        <w:t>淳安县枫树岭镇小额公共资源交易中心</w:t>
      </w:r>
      <w:r>
        <w:rPr>
          <w:rFonts w:hint="eastAsia"/>
          <w:b/>
          <w:color w:val="000000"/>
          <w:sz w:val="32"/>
          <w:szCs w:val="32"/>
          <w:highlight w:val="none"/>
          <w:u w:val="single"/>
        </w:rPr>
        <w:t>（盖章）</w:t>
      </w:r>
    </w:p>
    <w:p w14:paraId="6EDE002F">
      <w:pPr>
        <w:pStyle w:val="8"/>
        <w:spacing w:line="480" w:lineRule="auto"/>
        <w:jc w:val="both"/>
        <w:rPr>
          <w:rFonts w:hint="eastAsia"/>
          <w:b/>
          <w:color w:val="000000"/>
          <w:sz w:val="36"/>
          <w:szCs w:val="36"/>
          <w:highlight w:val="none"/>
        </w:rPr>
      </w:pPr>
    </w:p>
    <w:p w14:paraId="1D1114FC">
      <w:pPr>
        <w:pStyle w:val="8"/>
        <w:spacing w:line="480" w:lineRule="auto"/>
        <w:ind w:firstLine="1988" w:firstLineChars="550"/>
        <w:jc w:val="both"/>
        <w:rPr>
          <w:highlight w:val="none"/>
        </w:rPr>
      </w:pPr>
      <w:r>
        <w:rPr>
          <w:rFonts w:hint="eastAsia"/>
          <w:b/>
          <w:color w:val="000000"/>
          <w:sz w:val="36"/>
          <w:szCs w:val="36"/>
          <w:highlight w:val="none"/>
        </w:rPr>
        <w:t>日期:</w:t>
      </w:r>
      <w:r>
        <w:rPr>
          <w:rFonts w:hint="eastAsia"/>
          <w:b/>
          <w:color w:val="000000"/>
          <w:sz w:val="36"/>
          <w:szCs w:val="36"/>
          <w:highlight w:val="none"/>
          <w:u w:val="single"/>
        </w:rPr>
        <w:t xml:space="preserve"> </w:t>
      </w:r>
      <w:r>
        <w:rPr>
          <w:rFonts w:hint="eastAsia"/>
          <w:b/>
          <w:color w:val="000000"/>
          <w:sz w:val="36"/>
          <w:szCs w:val="36"/>
          <w:highlight w:val="none"/>
          <w:u w:val="single"/>
          <w:lang w:val="en-US" w:eastAsia="zh-CN"/>
        </w:rPr>
        <w:t xml:space="preserve">2024 </w:t>
      </w:r>
      <w:r>
        <w:rPr>
          <w:rFonts w:hint="eastAsia"/>
          <w:b/>
          <w:color w:val="auto"/>
          <w:sz w:val="36"/>
          <w:szCs w:val="36"/>
          <w:highlight w:val="none"/>
        </w:rPr>
        <w:t>年</w:t>
      </w:r>
      <w:r>
        <w:rPr>
          <w:rFonts w:hint="eastAsia"/>
          <w:b/>
          <w:color w:val="auto"/>
          <w:sz w:val="36"/>
          <w:szCs w:val="36"/>
          <w:highlight w:val="none"/>
          <w:u w:val="single"/>
        </w:rPr>
        <w:t xml:space="preserve"> </w:t>
      </w:r>
      <w:r>
        <w:rPr>
          <w:rFonts w:hint="eastAsia"/>
          <w:b/>
          <w:color w:val="auto"/>
          <w:sz w:val="36"/>
          <w:szCs w:val="36"/>
          <w:highlight w:val="none"/>
          <w:u w:val="single"/>
          <w:lang w:val="en-US" w:eastAsia="zh-CN"/>
        </w:rPr>
        <w:t xml:space="preserve">9 </w:t>
      </w:r>
      <w:r>
        <w:rPr>
          <w:rFonts w:hint="eastAsia"/>
          <w:b/>
          <w:color w:val="auto"/>
          <w:sz w:val="36"/>
          <w:szCs w:val="36"/>
          <w:highlight w:val="none"/>
        </w:rPr>
        <w:t>月</w:t>
      </w:r>
      <w:r>
        <w:rPr>
          <w:rFonts w:hint="eastAsia"/>
          <w:b/>
          <w:color w:val="auto"/>
          <w:sz w:val="36"/>
          <w:szCs w:val="36"/>
          <w:highlight w:val="none"/>
          <w:u w:val="single"/>
        </w:rPr>
        <w:t xml:space="preserve"> </w:t>
      </w:r>
      <w:r>
        <w:rPr>
          <w:rFonts w:hint="eastAsia"/>
          <w:b/>
          <w:color w:val="auto"/>
          <w:sz w:val="36"/>
          <w:szCs w:val="36"/>
          <w:highlight w:val="none"/>
          <w:u w:val="single"/>
          <w:lang w:val="en-US" w:eastAsia="zh-CN"/>
        </w:rPr>
        <w:t xml:space="preserve">12 </w:t>
      </w:r>
      <w:r>
        <w:rPr>
          <w:rFonts w:hint="eastAsia"/>
          <w:b/>
          <w:color w:val="auto"/>
          <w:sz w:val="36"/>
          <w:szCs w:val="36"/>
          <w:highlight w:val="none"/>
        </w:rPr>
        <w:t>日</w:t>
      </w:r>
    </w:p>
    <w:p w14:paraId="51254A28">
      <w:pPr>
        <w:jc w:val="center"/>
        <w:rPr>
          <w:rFonts w:ascii="宋体" w:hAnsi="宋体"/>
          <w:sz w:val="32"/>
          <w:szCs w:val="32"/>
          <w:lang w:eastAsia="zh-CN"/>
        </w:rPr>
      </w:pPr>
      <w:r>
        <w:rPr>
          <w:rFonts w:hint="eastAsia" w:ascii="宋体" w:hAnsi="宋体"/>
          <w:b/>
          <w:bCs/>
          <w:sz w:val="32"/>
          <w:szCs w:val="32"/>
          <w:highlight w:val="none"/>
          <w:u w:val="none"/>
          <w:lang w:eastAsia="zh-CN"/>
        </w:rPr>
        <w:t>淳安县枫树岭镇黄泥岭山塘综合整治工程</w:t>
      </w:r>
      <w:r>
        <w:rPr>
          <w:rFonts w:hint="eastAsia" w:ascii="宋体" w:hAnsi="宋体"/>
          <w:sz w:val="32"/>
          <w:szCs w:val="32"/>
          <w:lang w:eastAsia="zh-CN"/>
        </w:rPr>
        <w:t>交易文件补充说明</w:t>
      </w:r>
    </w:p>
    <w:p w14:paraId="39619B32">
      <w:pPr>
        <w:numPr>
          <w:ilvl w:val="0"/>
          <w:numId w:val="1"/>
        </w:numPr>
        <w:spacing w:line="360" w:lineRule="auto"/>
        <w:ind w:firstLine="480" w:firstLineChars="200"/>
        <w:rPr>
          <w:rFonts w:ascii="宋体" w:hAnsi="宋体"/>
          <w:sz w:val="24"/>
          <w:lang w:eastAsia="zh-CN"/>
        </w:rPr>
      </w:pPr>
      <w:r>
        <w:rPr>
          <w:rFonts w:hint="eastAsia" w:ascii="宋体" w:hAnsi="宋体"/>
          <w:sz w:val="24"/>
          <w:lang w:eastAsia="zh-CN"/>
        </w:rPr>
        <w:t>本项目实行全流程电子评审系统，为保证项目顺利进行，交易响应文件制作适用新点交易响应文件制作软件8.0.0.03以上版本——联系人：王工    联系电话：13957174841；</w:t>
      </w:r>
      <w:r>
        <w:rPr>
          <w:rFonts w:hint="eastAsia" w:ascii="宋体" w:hAnsi="宋体"/>
          <w:sz w:val="24"/>
          <w:lang w:val="en-US" w:eastAsia="zh-CN"/>
        </w:rPr>
        <w:t xml:space="preserve">                    </w:t>
      </w:r>
    </w:p>
    <w:p w14:paraId="1BD1A086">
      <w:pPr>
        <w:numPr>
          <w:ilvl w:val="0"/>
          <w:numId w:val="0"/>
        </w:numPr>
        <w:spacing w:line="360" w:lineRule="auto"/>
        <w:ind w:firstLine="720" w:firstLineChars="300"/>
        <w:rPr>
          <w:rFonts w:hint="eastAsia" w:ascii="宋体" w:hAnsi="宋体"/>
          <w:sz w:val="24"/>
          <w:lang w:eastAsia="zh-CN"/>
        </w:rPr>
      </w:pPr>
      <w:r>
        <w:rPr>
          <w:rFonts w:hint="eastAsia" w:ascii="宋体" w:hAnsi="宋体"/>
          <w:sz w:val="24"/>
          <w:lang w:eastAsia="zh-CN"/>
        </w:rPr>
        <w:t>交易响应企业仅需上传电子加密交易响应文件壹份。本交易中有关纸质文件、交易会议委托人人员身份核查不作要求。</w:t>
      </w:r>
    </w:p>
    <w:p w14:paraId="51BCACFF">
      <w:pPr>
        <w:numPr>
          <w:ilvl w:val="0"/>
          <w:numId w:val="1"/>
        </w:numPr>
        <w:spacing w:line="360" w:lineRule="auto"/>
        <w:ind w:left="0" w:leftChars="0" w:firstLine="482"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b/>
          <w:bCs/>
          <w:color w:val="auto"/>
          <w:sz w:val="24"/>
          <w:szCs w:val="24"/>
          <w:highlight w:val="none"/>
          <w:u w:val="single"/>
          <w:lang w:eastAsia="zh-CN"/>
        </w:rPr>
        <w:t>交易响应</w:t>
      </w:r>
      <w:r>
        <w:rPr>
          <w:rFonts w:hint="eastAsia" w:asciiTheme="minorEastAsia" w:hAnsiTheme="minorEastAsia" w:eastAsiaTheme="minorEastAsia" w:cstheme="minorEastAsia"/>
          <w:b/>
          <w:bCs/>
          <w:color w:val="auto"/>
          <w:sz w:val="24"/>
          <w:szCs w:val="24"/>
          <w:highlight w:val="none"/>
          <w:u w:val="single"/>
        </w:rPr>
        <w:t>担保</w:t>
      </w:r>
      <w:r>
        <w:rPr>
          <w:rFonts w:hint="eastAsia" w:asciiTheme="minorEastAsia" w:hAnsiTheme="minorEastAsia" w:eastAsiaTheme="minorEastAsia" w:cstheme="minorEastAsia"/>
          <w:b/>
          <w:bCs/>
          <w:color w:val="auto"/>
          <w:sz w:val="24"/>
          <w:szCs w:val="24"/>
          <w:highlight w:val="none"/>
          <w:u w:val="single"/>
          <w:lang w:eastAsia="zh-CN"/>
        </w:rPr>
        <w:t>：</w:t>
      </w:r>
      <w:r>
        <w:rPr>
          <w:rFonts w:hint="eastAsia" w:asciiTheme="minorEastAsia" w:hAnsiTheme="minorEastAsia" w:eastAsiaTheme="minorEastAsia" w:cstheme="minorEastAsia"/>
          <w:color w:val="auto"/>
          <w:sz w:val="24"/>
          <w:szCs w:val="24"/>
          <w:lang w:val="en-US" w:eastAsia="zh-CN"/>
        </w:rPr>
        <w:t>(本项目无需缴纳</w:t>
      </w:r>
      <w:r>
        <w:rPr>
          <w:rFonts w:hint="eastAsia" w:asciiTheme="minorEastAsia" w:hAnsiTheme="minorEastAsia" w:cstheme="minorEastAsia"/>
          <w:color w:val="auto"/>
          <w:sz w:val="24"/>
          <w:szCs w:val="24"/>
          <w:lang w:val="en-US" w:eastAsia="zh-CN"/>
        </w:rPr>
        <w:t>交易响应</w:t>
      </w:r>
      <w:r>
        <w:rPr>
          <w:rFonts w:hint="eastAsia" w:asciiTheme="minorEastAsia" w:hAnsiTheme="minorEastAsia" w:eastAsiaTheme="minorEastAsia" w:cstheme="minorEastAsia"/>
          <w:color w:val="auto"/>
          <w:sz w:val="24"/>
          <w:szCs w:val="24"/>
          <w:lang w:val="en-US" w:eastAsia="zh-CN"/>
        </w:rPr>
        <w:t>保证金）</w:t>
      </w:r>
    </w:p>
    <w:p w14:paraId="632BEDC4">
      <w:pPr>
        <w:numPr>
          <w:ilvl w:val="0"/>
          <w:numId w:val="1"/>
        </w:numPr>
        <w:spacing w:line="360" w:lineRule="auto"/>
        <w:ind w:left="0" w:leftChars="0" w:firstLine="480" w:firstLineChars="200"/>
        <w:rPr>
          <w:rFonts w:ascii="宋体" w:hAnsi="宋体"/>
          <w:sz w:val="24"/>
          <w:lang w:eastAsia="zh-CN"/>
        </w:rPr>
      </w:pPr>
      <w:r>
        <w:rPr>
          <w:rFonts w:hint="eastAsia" w:ascii="宋体" w:hAnsi="宋体"/>
          <w:sz w:val="24"/>
          <w:lang w:eastAsia="zh-CN"/>
        </w:rPr>
        <w:t>评审标准及方法：</w:t>
      </w:r>
    </w:p>
    <w:p w14:paraId="36EB7142">
      <w:pPr>
        <w:spacing w:line="360" w:lineRule="auto"/>
        <w:ind w:firstLine="540" w:firstLineChars="225"/>
        <w:rPr>
          <w:rFonts w:ascii="宋体" w:hAnsi="宋体"/>
          <w:sz w:val="24"/>
          <w:lang w:eastAsia="zh-CN"/>
        </w:rPr>
      </w:pPr>
      <w:r>
        <w:rPr>
          <w:rFonts w:hint="eastAsia" w:ascii="宋体" w:hAnsi="宋体"/>
          <w:sz w:val="24"/>
          <w:lang w:eastAsia="zh-CN"/>
        </w:rPr>
        <w:t>本工程为</w:t>
      </w:r>
      <w:r>
        <w:rPr>
          <w:rFonts w:hint="eastAsia" w:ascii="宋体" w:hAnsi="宋体"/>
          <w:sz w:val="24"/>
          <w:highlight w:val="none"/>
          <w:u w:val="single"/>
          <w:lang w:eastAsia="zh-CN"/>
        </w:rPr>
        <w:t>【水利】</w:t>
      </w:r>
      <w:r>
        <w:rPr>
          <w:rFonts w:hint="eastAsia" w:ascii="宋体" w:hAnsi="宋体"/>
          <w:sz w:val="24"/>
          <w:lang w:eastAsia="zh-CN"/>
        </w:rPr>
        <w:t>工程，执行《淳安县限额以下公共资源交易管理暂行办法》（淳招管委〔2020〕2号），采用</w:t>
      </w:r>
      <w:r>
        <w:rPr>
          <w:rFonts w:hint="eastAsia" w:ascii="宋体" w:hAnsi="宋体"/>
          <w:sz w:val="24"/>
          <w:u w:val="single"/>
          <w:lang w:eastAsia="zh-CN"/>
        </w:rPr>
        <w:t>简易评标法</w:t>
      </w:r>
      <w:r>
        <w:rPr>
          <w:rFonts w:hint="eastAsia" w:ascii="宋体" w:hAnsi="宋体"/>
          <w:sz w:val="24"/>
          <w:lang w:eastAsia="zh-CN"/>
        </w:rPr>
        <w:t>，总分100分，商务标占100%，技术标不计分。交易响应有效优惠幅度为业主预算价的</w:t>
      </w:r>
      <w:r>
        <w:rPr>
          <w:rFonts w:hint="eastAsia" w:ascii="宋体" w:hAnsi="宋体"/>
          <w:b/>
          <w:bCs/>
          <w:color w:val="auto"/>
          <w:sz w:val="24"/>
          <w:highlight w:val="none"/>
          <w:u w:val="single"/>
          <w:lang w:eastAsia="zh-CN"/>
        </w:rPr>
        <w:t>5</w:t>
      </w:r>
      <w:r>
        <w:rPr>
          <w:rFonts w:hint="eastAsia" w:ascii="宋体" w:hAnsi="宋体"/>
          <w:b/>
          <w:bCs/>
          <w:color w:val="auto"/>
          <w:sz w:val="24"/>
          <w:highlight w:val="none"/>
          <w:lang w:eastAsia="zh-CN"/>
        </w:rPr>
        <w:t>～</w:t>
      </w:r>
      <w:r>
        <w:rPr>
          <w:rFonts w:hint="eastAsia" w:ascii="宋体" w:hAnsi="宋体"/>
          <w:b/>
          <w:bCs/>
          <w:color w:val="auto"/>
          <w:sz w:val="24"/>
          <w:highlight w:val="none"/>
          <w:u w:val="single"/>
          <w:lang w:eastAsia="zh-CN"/>
        </w:rPr>
        <w:t xml:space="preserve"> 12</w:t>
      </w:r>
      <w:r>
        <w:rPr>
          <w:rFonts w:hint="eastAsia" w:ascii="宋体" w:hAnsi="宋体"/>
          <w:b/>
          <w:bCs/>
          <w:color w:val="auto"/>
          <w:sz w:val="24"/>
          <w:highlight w:val="none"/>
          <w:lang w:eastAsia="zh-CN"/>
        </w:rPr>
        <w:t>%【每0.20一个球，共36个球】，业主预算总价为</w:t>
      </w:r>
      <w:r>
        <w:rPr>
          <w:rFonts w:hint="eastAsia" w:ascii="宋体" w:hAnsi="宋体"/>
          <w:b/>
          <w:bCs/>
          <w:color w:val="auto"/>
          <w:sz w:val="24"/>
          <w:highlight w:val="none"/>
          <w:u w:val="single"/>
          <w:lang w:val="en-US" w:eastAsia="zh-CN"/>
        </w:rPr>
        <w:t>435904.46</w:t>
      </w:r>
      <w:r>
        <w:rPr>
          <w:rFonts w:hint="eastAsia" w:ascii="宋体" w:hAnsi="宋体"/>
          <w:b/>
          <w:bCs/>
          <w:color w:val="auto"/>
          <w:sz w:val="24"/>
          <w:highlight w:val="none"/>
          <w:lang w:eastAsia="zh-CN"/>
        </w:rPr>
        <w:t>元（其中：暂列金，专业工程暂估价，材料暂估价不优惠；暂列金为</w:t>
      </w:r>
      <w:r>
        <w:rPr>
          <w:rFonts w:hint="eastAsia" w:ascii="宋体" w:hAnsi="宋体"/>
          <w:b/>
          <w:bCs/>
          <w:color w:val="auto"/>
          <w:sz w:val="24"/>
          <w:highlight w:val="none"/>
          <w:u w:val="single"/>
          <w:lang w:eastAsia="zh-CN"/>
        </w:rPr>
        <w:t xml:space="preserve"> </w:t>
      </w:r>
      <w:r>
        <w:rPr>
          <w:rFonts w:hint="eastAsia" w:ascii="宋体" w:hAnsi="宋体"/>
          <w:b/>
          <w:bCs/>
          <w:color w:val="auto"/>
          <w:sz w:val="24"/>
          <w:highlight w:val="none"/>
          <w:u w:val="single"/>
          <w:lang w:val="en-US" w:eastAsia="zh-CN"/>
        </w:rPr>
        <w:t>0.00</w:t>
      </w:r>
      <w:r>
        <w:rPr>
          <w:rFonts w:hint="eastAsia" w:ascii="宋体" w:hAnsi="宋体"/>
          <w:b/>
          <w:bCs/>
          <w:color w:val="auto"/>
          <w:sz w:val="24"/>
          <w:highlight w:val="none"/>
          <w:lang w:eastAsia="zh-CN"/>
        </w:rPr>
        <w:t>元，专业工程暂估价为</w:t>
      </w:r>
      <w:r>
        <w:rPr>
          <w:rFonts w:hint="eastAsia" w:ascii="宋体" w:hAnsi="宋体"/>
          <w:b/>
          <w:bCs/>
          <w:color w:val="auto"/>
          <w:sz w:val="24"/>
          <w:highlight w:val="none"/>
          <w:u w:val="single"/>
          <w:lang w:eastAsia="zh-CN"/>
        </w:rPr>
        <w:t xml:space="preserve"> </w:t>
      </w:r>
      <w:r>
        <w:rPr>
          <w:rFonts w:hint="eastAsia" w:ascii="宋体" w:hAnsi="宋体"/>
          <w:b/>
          <w:bCs/>
          <w:color w:val="auto"/>
          <w:sz w:val="24"/>
          <w:highlight w:val="none"/>
          <w:u w:val="single"/>
          <w:lang w:val="en-US" w:eastAsia="zh-CN"/>
        </w:rPr>
        <w:t>0.00</w:t>
      </w:r>
      <w:r>
        <w:rPr>
          <w:rFonts w:hint="eastAsia" w:ascii="宋体" w:hAnsi="宋体"/>
          <w:b/>
          <w:bCs/>
          <w:color w:val="auto"/>
          <w:sz w:val="24"/>
          <w:highlight w:val="none"/>
          <w:lang w:eastAsia="zh-CN"/>
        </w:rPr>
        <w:t>元，材料暂估价为</w:t>
      </w:r>
      <w:r>
        <w:rPr>
          <w:rFonts w:hint="eastAsia" w:ascii="宋体" w:hAnsi="宋体"/>
          <w:b/>
          <w:bCs/>
          <w:color w:val="auto"/>
          <w:sz w:val="24"/>
          <w:highlight w:val="none"/>
          <w:u w:val="single"/>
          <w:lang w:eastAsia="zh-CN"/>
        </w:rPr>
        <w:t xml:space="preserve"> </w:t>
      </w:r>
      <w:r>
        <w:rPr>
          <w:rFonts w:hint="eastAsia" w:ascii="宋体" w:hAnsi="宋体"/>
          <w:b/>
          <w:bCs/>
          <w:color w:val="auto"/>
          <w:sz w:val="24"/>
          <w:highlight w:val="none"/>
          <w:u w:val="single"/>
          <w:lang w:val="en-US" w:eastAsia="zh-CN"/>
        </w:rPr>
        <w:t>0.00</w:t>
      </w:r>
      <w:r>
        <w:rPr>
          <w:rFonts w:hint="eastAsia" w:ascii="宋体" w:hAnsi="宋体"/>
          <w:b/>
          <w:bCs/>
          <w:color w:val="auto"/>
          <w:sz w:val="24"/>
          <w:highlight w:val="none"/>
          <w:lang w:eastAsia="zh-CN"/>
        </w:rPr>
        <w:t>元），交易响应报价必须在</w:t>
      </w:r>
      <w:r>
        <w:rPr>
          <w:rFonts w:hint="eastAsia" w:ascii="宋体" w:hAnsi="宋体"/>
          <w:b/>
          <w:bCs/>
          <w:color w:val="auto"/>
          <w:sz w:val="24"/>
          <w:highlight w:val="none"/>
          <w:u w:val="single"/>
          <w:lang w:eastAsia="zh-CN"/>
        </w:rPr>
        <w:t xml:space="preserve"> </w:t>
      </w:r>
      <w:r>
        <w:rPr>
          <w:rFonts w:hint="eastAsia" w:ascii="宋体" w:hAnsi="宋体"/>
          <w:b/>
          <w:bCs/>
          <w:color w:val="auto"/>
          <w:sz w:val="24"/>
          <w:highlight w:val="none"/>
          <w:u w:val="single"/>
          <w:lang w:val="en-US" w:eastAsia="zh-CN"/>
        </w:rPr>
        <w:t>383595.92</w:t>
      </w:r>
      <w:r>
        <w:rPr>
          <w:rFonts w:hint="eastAsia" w:ascii="宋体" w:hAnsi="宋体"/>
          <w:b/>
          <w:bCs/>
          <w:color w:val="auto"/>
          <w:sz w:val="24"/>
          <w:highlight w:val="none"/>
          <w:u w:val="single"/>
          <w:lang w:eastAsia="zh-CN"/>
        </w:rPr>
        <w:t xml:space="preserve">       </w:t>
      </w:r>
      <w:r>
        <w:rPr>
          <w:rFonts w:hint="eastAsia" w:ascii="宋体" w:hAnsi="宋体"/>
          <w:b/>
          <w:bCs/>
          <w:color w:val="auto"/>
          <w:sz w:val="24"/>
          <w:highlight w:val="none"/>
          <w:lang w:eastAsia="zh-CN"/>
        </w:rPr>
        <w:t>元～</w:t>
      </w:r>
      <w:r>
        <w:rPr>
          <w:rFonts w:hint="eastAsia" w:ascii="宋体" w:hAnsi="宋体"/>
          <w:b/>
          <w:bCs/>
          <w:color w:val="auto"/>
          <w:sz w:val="24"/>
          <w:highlight w:val="none"/>
          <w:u w:val="single"/>
          <w:lang w:val="en-US" w:eastAsia="zh-CN"/>
        </w:rPr>
        <w:t>414109.24</w:t>
      </w:r>
      <w:r>
        <w:rPr>
          <w:rFonts w:hint="eastAsia" w:ascii="宋体" w:hAnsi="宋体"/>
          <w:b/>
          <w:bCs/>
          <w:color w:val="auto"/>
          <w:sz w:val="24"/>
          <w:highlight w:val="none"/>
          <w:lang w:eastAsia="zh-CN"/>
        </w:rPr>
        <w:t>元范围，</w:t>
      </w:r>
      <w:r>
        <w:rPr>
          <w:rFonts w:hint="eastAsia" w:ascii="黑体" w:hAnsi="宋体" w:eastAsia="黑体"/>
          <w:b/>
          <w:bCs/>
          <w:color w:val="auto"/>
          <w:sz w:val="24"/>
          <w:highlight w:val="none"/>
          <w:lang w:eastAsia="zh-CN"/>
        </w:rPr>
        <w:t>否则将取消其交易响应资格</w:t>
      </w:r>
      <w:r>
        <w:rPr>
          <w:rFonts w:hint="eastAsia" w:ascii="宋体" w:hAnsi="宋体"/>
          <w:b/>
          <w:bCs/>
          <w:color w:val="auto"/>
          <w:sz w:val="24"/>
          <w:highlight w:val="none"/>
          <w:lang w:eastAsia="zh-CN"/>
        </w:rPr>
        <w:t>。</w:t>
      </w:r>
      <w:r>
        <w:rPr>
          <w:rFonts w:hint="eastAsia" w:ascii="宋体" w:hAnsi="宋体"/>
          <w:sz w:val="24"/>
          <w:lang w:eastAsia="zh-CN"/>
        </w:rPr>
        <w:t>【评审基准价保留两位小数】。</w:t>
      </w:r>
    </w:p>
    <w:p w14:paraId="44907A01">
      <w:pPr>
        <w:spacing w:line="360" w:lineRule="auto"/>
        <w:ind w:firstLine="540" w:firstLineChars="225"/>
        <w:rPr>
          <w:rFonts w:ascii="黑体" w:hAnsi="宋体" w:eastAsia="黑体"/>
          <w:sz w:val="24"/>
          <w:lang w:eastAsia="zh-CN"/>
        </w:rPr>
      </w:pPr>
      <w:r>
        <w:rPr>
          <w:rFonts w:hint="eastAsia" w:ascii="黑体" w:hAnsi="宋体" w:eastAsia="黑体"/>
          <w:sz w:val="24"/>
          <w:lang w:eastAsia="zh-CN"/>
        </w:rPr>
        <w:t>四、交易会议前交易响应企业应自行在淳安县公共资源交易网—会员业务系统申报注册诚信信息</w:t>
      </w:r>
      <w:r>
        <w:rPr>
          <w:rFonts w:hint="eastAsia" w:ascii="黑体" w:hAnsi="宋体" w:eastAsia="黑体"/>
          <w:b/>
          <w:bCs/>
          <w:sz w:val="24"/>
          <w:lang w:eastAsia="zh-CN"/>
        </w:rPr>
        <w:t>（</w:t>
      </w:r>
      <w:r>
        <w:rPr>
          <w:rFonts w:hint="eastAsia" w:ascii="宋体" w:hAnsi="宋体"/>
          <w:b/>
          <w:bCs/>
          <w:sz w:val="24"/>
        </w:rPr>
        <w:t>http://caggzyjy.qdh.gov.cn:81/TPBidder/memberLogin</w:t>
      </w:r>
      <w:r>
        <w:rPr>
          <w:rFonts w:hint="eastAsia" w:ascii="黑体" w:hAnsi="宋体" w:eastAsia="黑体"/>
          <w:b/>
          <w:bCs/>
          <w:sz w:val="24"/>
          <w:lang w:eastAsia="zh-CN"/>
        </w:rPr>
        <w:t xml:space="preserve"> ）</w:t>
      </w:r>
      <w:r>
        <w:rPr>
          <w:rFonts w:hint="eastAsia" w:ascii="黑体" w:hAnsi="宋体" w:eastAsia="黑体"/>
          <w:sz w:val="24"/>
          <w:lang w:eastAsia="zh-CN"/>
        </w:rPr>
        <w:t>，并确认拟派项目经理。交易发起人在交易响应截止时间（交易会议时间）和规定的地点公开交易会议。</w:t>
      </w:r>
    </w:p>
    <w:p w14:paraId="17954CE2">
      <w:pPr>
        <w:spacing w:line="360" w:lineRule="auto"/>
        <w:ind w:firstLine="540" w:firstLineChars="225"/>
        <w:rPr>
          <w:rFonts w:ascii="黑体" w:hAnsi="宋体" w:eastAsia="黑体"/>
          <w:sz w:val="24"/>
          <w:lang w:eastAsia="zh-CN"/>
        </w:rPr>
      </w:pPr>
      <w:r>
        <w:rPr>
          <w:rFonts w:hint="eastAsia" w:ascii="黑体" w:hAnsi="宋体" w:eastAsia="黑体"/>
          <w:sz w:val="24"/>
          <w:lang w:eastAsia="zh-CN"/>
        </w:rPr>
        <w:t>五、交易响应人资格要求</w:t>
      </w:r>
    </w:p>
    <w:p w14:paraId="773F5A94">
      <w:pPr>
        <w:pStyle w:val="6"/>
        <w:spacing w:line="360" w:lineRule="auto"/>
        <w:ind w:firstLine="480" w:firstLineChars="200"/>
        <w:rPr>
          <w:rFonts w:ascii="黑体" w:hAnsi="宋体" w:eastAsia="黑体"/>
          <w:szCs w:val="22"/>
          <w:lang w:eastAsia="zh-CN"/>
        </w:rPr>
      </w:pPr>
      <w:r>
        <w:rPr>
          <w:rFonts w:hint="eastAsia" w:ascii="黑体" w:hAnsi="宋体" w:eastAsia="黑体"/>
          <w:lang w:eastAsia="zh-CN"/>
        </w:rPr>
        <w:t>1、本次交易要求交易响应人须具备</w:t>
      </w:r>
      <w:r>
        <w:rPr>
          <w:rFonts w:hint="eastAsia" w:ascii="黑体" w:hAnsi="黑体" w:eastAsia="黑体" w:cs="黑体"/>
          <w:b w:val="0"/>
          <w:bCs w:val="0"/>
          <w:sz w:val="24"/>
          <w:szCs w:val="24"/>
          <w:u w:val="single"/>
        </w:rPr>
        <w:t>注册在</w:t>
      </w:r>
      <w:r>
        <w:rPr>
          <w:rFonts w:hint="eastAsia" w:ascii="黑体" w:hAnsi="黑体" w:eastAsia="黑体" w:cs="黑体"/>
          <w:b w:val="0"/>
          <w:bCs w:val="0"/>
          <w:sz w:val="24"/>
          <w:szCs w:val="24"/>
          <w:u w:val="single"/>
          <w:lang w:eastAsia="zh-CN"/>
        </w:rPr>
        <w:t>淳安县或注册在“飞地”税收缴纳在淳安的</w:t>
      </w:r>
      <w:r>
        <w:rPr>
          <w:rFonts w:hint="eastAsia" w:ascii="黑体" w:hAnsi="黑体" w:eastAsia="黑体" w:cs="黑体"/>
          <w:b w:val="0"/>
          <w:bCs w:val="0"/>
          <w:color w:val="000000"/>
          <w:sz w:val="24"/>
          <w:szCs w:val="24"/>
          <w:u w:val="single"/>
        </w:rPr>
        <w:t>水利水电工程施工总承包企业资质叁级及以上</w:t>
      </w:r>
      <w:r>
        <w:rPr>
          <w:rFonts w:hint="eastAsia" w:ascii="黑体" w:hAnsi="宋体" w:eastAsia="黑体"/>
          <w:szCs w:val="22"/>
          <w:lang w:eastAsia="zh-CN"/>
        </w:rPr>
        <w:t xml:space="preserve">独立法人资质，具有有效营业执照和安全生产许可证，且在人员、设备、资金等方面具有相应的施工能力； </w:t>
      </w:r>
    </w:p>
    <w:p w14:paraId="3CABF2BF">
      <w:pPr>
        <w:spacing w:line="360" w:lineRule="auto"/>
        <w:ind w:firstLine="540" w:firstLineChars="225"/>
        <w:rPr>
          <w:rFonts w:ascii="黑体" w:hAnsi="宋体" w:eastAsia="黑体"/>
          <w:sz w:val="24"/>
          <w:u w:val="single"/>
          <w:lang w:eastAsia="zh-CN"/>
        </w:rPr>
      </w:pPr>
      <w:r>
        <w:rPr>
          <w:rFonts w:hint="eastAsia" w:ascii="黑体" w:hAnsi="宋体" w:eastAsia="黑体"/>
          <w:sz w:val="24"/>
          <w:lang w:eastAsia="zh-CN"/>
        </w:rPr>
        <w:t>2、本次交易要求交易响应人的项目经理须具备</w:t>
      </w:r>
      <w:r>
        <w:rPr>
          <w:rFonts w:hint="eastAsia" w:ascii="黑体" w:hAnsi="黑体" w:eastAsia="黑体" w:cs="黑体"/>
          <w:b w:val="0"/>
          <w:bCs w:val="0"/>
          <w:color w:val="000000"/>
          <w:kern w:val="0"/>
          <w:sz w:val="24"/>
          <w:szCs w:val="24"/>
          <w:u w:val="single"/>
          <w:lang w:val="en-US" w:eastAsia="zh-CN" w:bidi="ar"/>
        </w:rPr>
        <w:t>二级及以上水利水电工程</w:t>
      </w:r>
      <w:r>
        <w:rPr>
          <w:rFonts w:hint="eastAsia" w:ascii="黑体" w:hAnsi="宋体" w:eastAsia="黑体"/>
          <w:sz w:val="24"/>
          <w:u w:val="single"/>
          <w:lang w:eastAsia="zh-CN"/>
        </w:rPr>
        <w:t>建造师</w:t>
      </w:r>
      <w:r>
        <w:rPr>
          <w:rFonts w:hint="eastAsia" w:ascii="黑体" w:hAnsi="黑体" w:eastAsia="黑体" w:cs="黑体"/>
          <w:b w:val="0"/>
          <w:bCs w:val="0"/>
          <w:sz w:val="24"/>
          <w:szCs w:val="24"/>
          <w:u w:val="single"/>
          <w:lang w:eastAsia="zh-CN"/>
        </w:rPr>
        <w:t>（</w:t>
      </w:r>
      <w:r>
        <w:rPr>
          <w:rFonts w:hint="eastAsia" w:ascii="黑体" w:hAnsi="黑体" w:eastAsia="黑体" w:cs="黑体"/>
          <w:b w:val="0"/>
          <w:bCs w:val="0"/>
          <w:sz w:val="24"/>
          <w:szCs w:val="24"/>
          <w:u w:val="single"/>
        </w:rPr>
        <w:t>须同时提供</w:t>
      </w:r>
      <w:r>
        <w:rPr>
          <w:rFonts w:hint="eastAsia" w:ascii="黑体" w:hAnsi="黑体" w:eastAsia="黑体" w:cs="黑体"/>
          <w:b w:val="0"/>
          <w:bCs w:val="0"/>
          <w:sz w:val="24"/>
          <w:szCs w:val="24"/>
          <w:u w:val="single"/>
          <w:lang w:val="en-US" w:eastAsia="zh-CN"/>
        </w:rPr>
        <w:t>2024年6</w:t>
      </w:r>
      <w:r>
        <w:rPr>
          <w:rFonts w:hint="eastAsia" w:ascii="黑体" w:hAnsi="黑体" w:eastAsia="黑体" w:cs="黑体"/>
          <w:b w:val="0"/>
          <w:bCs w:val="0"/>
          <w:sz w:val="24"/>
          <w:szCs w:val="24"/>
          <w:u w:val="single"/>
        </w:rPr>
        <w:t>月</w:t>
      </w:r>
      <w:r>
        <w:rPr>
          <w:rFonts w:hint="eastAsia" w:ascii="黑体" w:hAnsi="黑体" w:eastAsia="黑体" w:cs="黑体"/>
          <w:b w:val="0"/>
          <w:bCs w:val="0"/>
          <w:sz w:val="24"/>
          <w:szCs w:val="24"/>
          <w:u w:val="single"/>
          <w:lang w:eastAsia="zh-CN"/>
        </w:rPr>
        <w:t>、</w:t>
      </w:r>
      <w:r>
        <w:rPr>
          <w:rFonts w:hint="eastAsia" w:ascii="黑体" w:hAnsi="黑体" w:eastAsia="黑体" w:cs="黑体"/>
          <w:b w:val="0"/>
          <w:bCs w:val="0"/>
          <w:sz w:val="24"/>
          <w:szCs w:val="24"/>
          <w:u w:val="single"/>
          <w:lang w:val="en-US" w:eastAsia="zh-CN"/>
        </w:rPr>
        <w:t>7月、8月</w:t>
      </w:r>
      <w:r>
        <w:rPr>
          <w:rFonts w:hint="eastAsia" w:ascii="黑体" w:hAnsi="黑体" w:eastAsia="黑体" w:cs="黑体"/>
          <w:b w:val="0"/>
          <w:bCs w:val="0"/>
          <w:sz w:val="24"/>
          <w:szCs w:val="24"/>
          <w:u w:val="single"/>
        </w:rPr>
        <w:t>在本公司缴纳的社会保险证明</w:t>
      </w:r>
      <w:r>
        <w:rPr>
          <w:rFonts w:hint="eastAsia" w:ascii="黑体" w:hAnsi="黑体" w:eastAsia="黑体" w:cs="黑体"/>
          <w:b w:val="0"/>
          <w:bCs w:val="0"/>
          <w:sz w:val="24"/>
          <w:szCs w:val="24"/>
          <w:u w:val="single"/>
          <w:lang w:eastAsia="zh-CN"/>
        </w:rPr>
        <w:t>）</w:t>
      </w:r>
      <w:r>
        <w:rPr>
          <w:rFonts w:hint="eastAsia" w:ascii="黑体" w:hAnsi="宋体" w:eastAsia="黑体"/>
          <w:sz w:val="24"/>
          <w:u w:val="single"/>
          <w:lang w:eastAsia="zh-CN"/>
        </w:rPr>
        <w:t>，并取得项目经理安全生产考核合格证书（B类证书）。</w:t>
      </w:r>
    </w:p>
    <w:p w14:paraId="719C1A94">
      <w:pPr>
        <w:spacing w:line="360" w:lineRule="auto"/>
        <w:ind w:firstLine="540" w:firstLineChars="225"/>
        <w:rPr>
          <w:rFonts w:hint="eastAsia" w:ascii="黑体" w:hAnsi="宋体" w:eastAsia="黑体"/>
          <w:sz w:val="24"/>
          <w:lang w:eastAsia="zh-CN"/>
        </w:rPr>
      </w:pPr>
      <w:r>
        <w:rPr>
          <w:rFonts w:hint="eastAsia" w:ascii="黑体" w:hAnsi="宋体" w:eastAsia="黑体"/>
          <w:sz w:val="24"/>
          <w:lang w:val="en-US" w:eastAsia="zh-CN"/>
        </w:rPr>
        <w:t>3.</w:t>
      </w:r>
      <w:r>
        <w:rPr>
          <w:rFonts w:hint="eastAsia" w:ascii="黑体" w:hAnsi="黑体" w:eastAsia="黑体" w:cs="黑体"/>
          <w:sz w:val="24"/>
          <w:lang w:val="en-US" w:eastAsia="zh-CN"/>
        </w:rPr>
        <w:t>本次交易要求</w:t>
      </w:r>
      <w:r>
        <w:rPr>
          <w:rFonts w:hint="eastAsia" w:ascii="黑体" w:hAnsi="黑体" w:eastAsia="黑体" w:cs="黑体"/>
          <w:b w:val="0"/>
          <w:bCs/>
          <w:sz w:val="24"/>
        </w:rPr>
        <w:t>委托人需为本单位在职人员并提供</w:t>
      </w:r>
      <w:r>
        <w:rPr>
          <w:rFonts w:hint="eastAsia" w:ascii="黑体" w:hAnsi="黑体" w:eastAsia="黑体" w:cs="黑体"/>
          <w:b w:val="0"/>
          <w:bCs/>
          <w:sz w:val="24"/>
          <w:u w:val="single"/>
          <w:lang w:val="en-US" w:eastAsia="zh-CN"/>
        </w:rPr>
        <w:t>2024年6</w:t>
      </w:r>
      <w:r>
        <w:rPr>
          <w:rFonts w:hint="eastAsia" w:ascii="黑体" w:hAnsi="黑体" w:eastAsia="黑体" w:cs="黑体"/>
          <w:b w:val="0"/>
          <w:bCs/>
          <w:sz w:val="24"/>
          <w:u w:val="single"/>
        </w:rPr>
        <w:t>月</w:t>
      </w:r>
      <w:r>
        <w:rPr>
          <w:rFonts w:hint="eastAsia" w:ascii="黑体" w:hAnsi="黑体" w:eastAsia="黑体" w:cs="黑体"/>
          <w:b w:val="0"/>
          <w:bCs/>
          <w:sz w:val="24"/>
          <w:u w:val="single"/>
          <w:lang w:eastAsia="zh-CN"/>
        </w:rPr>
        <w:t>、</w:t>
      </w:r>
      <w:r>
        <w:rPr>
          <w:rFonts w:hint="eastAsia" w:ascii="黑体" w:hAnsi="黑体" w:eastAsia="黑体" w:cs="黑体"/>
          <w:b w:val="0"/>
          <w:bCs/>
          <w:sz w:val="24"/>
          <w:u w:val="single"/>
          <w:lang w:val="en-US" w:eastAsia="zh-CN"/>
        </w:rPr>
        <w:t>7月、8月</w:t>
      </w:r>
      <w:r>
        <w:rPr>
          <w:rFonts w:hint="eastAsia" w:ascii="黑体" w:hAnsi="黑体" w:eastAsia="黑体" w:cs="黑体"/>
          <w:b w:val="0"/>
          <w:bCs/>
          <w:sz w:val="24"/>
        </w:rPr>
        <w:t>在本公司缴纳的社会保险证明</w:t>
      </w:r>
      <w:r>
        <w:rPr>
          <w:rFonts w:hint="eastAsia" w:ascii="黑体" w:hAnsi="黑体" w:eastAsia="黑体" w:cs="黑体"/>
          <w:b w:val="0"/>
          <w:bCs/>
          <w:sz w:val="24"/>
          <w:lang w:eastAsia="zh-CN"/>
        </w:rPr>
        <w:t>，</w:t>
      </w:r>
      <w:r>
        <w:rPr>
          <w:rFonts w:hint="eastAsia" w:ascii="黑体" w:hAnsi="黑体" w:eastAsia="黑体" w:cs="黑体"/>
          <w:b w:val="0"/>
          <w:bCs/>
          <w:color w:val="auto"/>
          <w:sz w:val="24"/>
          <w:szCs w:val="24"/>
          <w:lang w:eastAsia="zh-CN"/>
        </w:rPr>
        <w:t>委托人不得同时在两家及以上用人单位缴纳社会保险或多地参保，否则一经查实，取消其成交资格。</w:t>
      </w:r>
    </w:p>
    <w:p w14:paraId="56882FEA">
      <w:pPr>
        <w:spacing w:line="360" w:lineRule="auto"/>
        <w:ind w:firstLine="540" w:firstLineChars="225"/>
        <w:rPr>
          <w:rFonts w:ascii="黑体" w:hAnsi="宋体" w:eastAsia="黑体"/>
          <w:sz w:val="24"/>
          <w:highlight w:val="none"/>
          <w:lang w:eastAsia="zh-CN"/>
        </w:rPr>
      </w:pPr>
      <w:r>
        <w:rPr>
          <w:rFonts w:hint="eastAsia" w:ascii="黑体" w:hAnsi="宋体" w:eastAsia="黑体"/>
          <w:sz w:val="24"/>
          <w:lang w:val="en-US" w:eastAsia="zh-CN"/>
        </w:rPr>
        <w:t>4</w:t>
      </w:r>
      <w:r>
        <w:rPr>
          <w:rFonts w:hint="eastAsia" w:ascii="黑体" w:hAnsi="宋体" w:eastAsia="黑体"/>
          <w:sz w:val="24"/>
          <w:lang w:eastAsia="zh-CN"/>
        </w:rPr>
        <w:t>、交易响应人如在交易响应截止日存在在其他任何在建合同工程上担任项目负责人的，不得以拟派项目负责人的身份参加本次交易响应。在建合同的开始时间为合同工程成交通知书发出之日（不通过交易方式的，开始时间为合同签订之日），结束时间为该合同工程通过验收或合同解除之日</w:t>
      </w:r>
      <w:r>
        <w:rPr>
          <w:rFonts w:hint="eastAsia" w:ascii="黑体" w:hAnsi="宋体" w:eastAsia="黑体" w:cs="Times New Roman"/>
          <w:sz w:val="24"/>
          <w:szCs w:val="24"/>
          <w:highlight w:val="none"/>
          <w:lang w:eastAsia="zh-CN"/>
        </w:rPr>
        <w:t>（有效证明材料：竣工验收报告、建设单位出具的完工证明、审计报告等有效证明材料）。须提供无在建工程承诺书，格式附后，未提供的或提供虚假承诺的，一经查实，取消其成交资格；责任自负。</w:t>
      </w:r>
    </w:p>
    <w:p w14:paraId="04756125">
      <w:pPr>
        <w:spacing w:line="360" w:lineRule="auto"/>
        <w:ind w:firstLine="540" w:firstLineChars="225"/>
        <w:rPr>
          <w:rFonts w:ascii="黑体" w:hAnsi="宋体" w:eastAsia="黑体"/>
          <w:sz w:val="24"/>
          <w:lang w:eastAsia="zh-CN"/>
        </w:rPr>
      </w:pPr>
      <w:r>
        <w:rPr>
          <w:rFonts w:hint="eastAsia" w:ascii="黑体" w:hAnsi="宋体" w:eastAsia="黑体"/>
          <w:sz w:val="24"/>
          <w:lang w:eastAsia="zh-CN"/>
        </w:rPr>
        <w:t>六、企业交易响应文件中须提供营业执照、资质证书、安全生产许可证、项目经理注册证书及安全生产考核合格证书（B类证书）、项目经理社会保险证明复印件及其他资格后审资料复印件，否则该企业交易响应文件无效。</w:t>
      </w:r>
    </w:p>
    <w:p w14:paraId="4464AF1C">
      <w:pPr>
        <w:spacing w:line="360" w:lineRule="auto"/>
        <w:ind w:firstLine="540" w:firstLineChars="225"/>
        <w:rPr>
          <w:rFonts w:ascii="黑体" w:hAnsi="宋体" w:eastAsia="黑体"/>
          <w:sz w:val="24"/>
          <w:highlight w:val="none"/>
          <w:lang w:eastAsia="zh-CN"/>
        </w:rPr>
      </w:pPr>
      <w:r>
        <w:rPr>
          <w:rFonts w:hint="eastAsia" w:ascii="黑体" w:hAnsi="宋体" w:eastAsia="黑体"/>
          <w:sz w:val="24"/>
          <w:lang w:eastAsia="zh-CN"/>
        </w:rPr>
        <w:t>七、交易响应人拟派本工程项目经理不得同时在两家及以上用人单位缴纳社会保险或多地参保，否则一经查实，</w:t>
      </w:r>
      <w:r>
        <w:rPr>
          <w:rFonts w:hint="eastAsia" w:ascii="黑体" w:hAnsi="宋体" w:eastAsia="黑体"/>
          <w:sz w:val="24"/>
          <w:highlight w:val="none"/>
          <w:lang w:eastAsia="zh-CN"/>
        </w:rPr>
        <w:t>取消其成交资格。</w:t>
      </w:r>
    </w:p>
    <w:p w14:paraId="3E46C2F4">
      <w:pPr>
        <w:tabs>
          <w:tab w:val="left" w:pos="360"/>
        </w:tabs>
        <w:spacing w:line="360" w:lineRule="auto"/>
        <w:ind w:firstLine="540" w:firstLineChars="225"/>
        <w:rPr>
          <w:rFonts w:ascii="黑体" w:hAnsi="宋体" w:eastAsia="黑体"/>
          <w:sz w:val="24"/>
          <w:highlight w:val="none"/>
          <w:lang w:eastAsia="zh-CN"/>
        </w:rPr>
      </w:pPr>
      <w:r>
        <w:rPr>
          <w:rFonts w:hint="eastAsia" w:ascii="黑体" w:hAnsi="宋体" w:eastAsia="黑体"/>
          <w:sz w:val="24"/>
          <w:lang w:eastAsia="zh-CN"/>
        </w:rPr>
        <w:t>八、交易响应人在交易响应书内必须提供交易响应承诺书（具体格式附后）</w:t>
      </w:r>
      <w:r>
        <w:rPr>
          <w:rFonts w:hint="eastAsia" w:ascii="黑体" w:hAnsi="宋体" w:eastAsia="黑体"/>
          <w:sz w:val="24"/>
          <w:highlight w:val="none"/>
          <w:lang w:eastAsia="zh-CN"/>
        </w:rPr>
        <w:t>，否则该企业交易响应书无效。</w:t>
      </w:r>
    </w:p>
    <w:p w14:paraId="6B1D6353">
      <w:pPr>
        <w:tabs>
          <w:tab w:val="left" w:pos="360"/>
        </w:tabs>
        <w:spacing w:line="360" w:lineRule="auto"/>
        <w:ind w:firstLine="540" w:firstLineChars="225"/>
        <w:rPr>
          <w:rFonts w:ascii="黑体" w:eastAsia="黑体"/>
          <w:sz w:val="24"/>
          <w:lang w:eastAsia="zh-CN"/>
        </w:rPr>
      </w:pPr>
      <w:r>
        <w:rPr>
          <w:rFonts w:hint="eastAsia" w:ascii="黑体" w:hAnsi="宋体" w:eastAsia="黑体"/>
          <w:sz w:val="24"/>
          <w:lang w:eastAsia="zh-CN"/>
        </w:rPr>
        <w:t>九、</w:t>
      </w:r>
      <w:r>
        <w:rPr>
          <w:rFonts w:hint="eastAsia" w:ascii="黑体" w:eastAsia="黑体"/>
          <w:sz w:val="24"/>
          <w:lang w:eastAsia="zh-CN"/>
        </w:rPr>
        <w:t>建造师临时执业证书与建造师注册证书等同使用。</w:t>
      </w:r>
    </w:p>
    <w:p w14:paraId="6AB413A4">
      <w:pPr>
        <w:tabs>
          <w:tab w:val="left" w:pos="360"/>
        </w:tabs>
        <w:spacing w:line="360" w:lineRule="auto"/>
        <w:ind w:firstLine="540" w:firstLineChars="225"/>
        <w:rPr>
          <w:rFonts w:ascii="黑体" w:hAnsi="宋体" w:eastAsia="黑体"/>
          <w:i/>
          <w:sz w:val="24"/>
          <w:lang w:eastAsia="zh-CN"/>
        </w:rPr>
      </w:pPr>
      <w:r>
        <w:rPr>
          <w:rFonts w:hint="eastAsia" w:ascii="黑体" w:hAnsi="宋体" w:eastAsia="黑体"/>
          <w:i/>
          <w:sz w:val="24"/>
          <w:lang w:eastAsia="zh-CN"/>
        </w:rPr>
        <w:t>十、项目实施过程中，若出现非正常因素造成工程价款变动，按淳监【2015】25号《淳安县政府投资项目工程违规变更责任追究暂行办法（试行）》予以追责。</w:t>
      </w:r>
    </w:p>
    <w:p w14:paraId="4497534A">
      <w:pPr>
        <w:tabs>
          <w:tab w:val="left" w:pos="360"/>
        </w:tabs>
        <w:spacing w:line="360" w:lineRule="auto"/>
        <w:ind w:firstLine="480" w:firstLineChars="200"/>
        <w:rPr>
          <w:rFonts w:ascii="黑体" w:hAnsi="宋体" w:eastAsia="黑体"/>
          <w:i/>
          <w:sz w:val="24"/>
          <w:lang w:eastAsia="zh-CN"/>
        </w:rPr>
      </w:pPr>
      <w:r>
        <w:rPr>
          <w:rFonts w:hint="eastAsia" w:ascii="黑体" w:hAnsi="宋体" w:eastAsia="黑体"/>
          <w:i/>
          <w:sz w:val="24"/>
          <w:lang w:eastAsia="zh-CN"/>
        </w:rPr>
        <w:t>十一、根据《淳安县人民政府关于砂石资源管理的实施意见》（淳政发〔2021〕10号）和《关于印发淳安县砂石资源管理实施细则（试行）的通知》（淳砂管办〔2021〕1号）文件精神，①本项目开挖产生的砂石非经允许，任何组织个人不得私自占有、转移、隐匿、出售等处置，否则将追究相关人员法律责任。②开挖产生的砂石除本项目自用外不得私自处置，如需自用提前向财政局（国资办）报使用计划，工程项目自用砂石是指用本项目基础开挖产生的砂石进行项目现场填方、挡墙施工所用砂石，超出工程项目红线范围进行砂石转运、将工程项目开挖产生砂石装运出去进行加工的，不属于工程项目自用砂石。除项目自用外，多余砂石严禁违规处置、加工、销售。③对认定为不可综合利用的砂石，由建设主体督促施工单位运至指定弃渣点，不得擅自供给给任何单位、个人进行加工、销售、利用。</w:t>
      </w:r>
    </w:p>
    <w:p w14:paraId="68985E76">
      <w:pPr>
        <w:tabs>
          <w:tab w:val="left" w:pos="360"/>
        </w:tabs>
        <w:spacing w:line="360" w:lineRule="auto"/>
        <w:ind w:firstLine="480" w:firstLineChars="200"/>
        <w:rPr>
          <w:rFonts w:ascii="黑体" w:hAnsi="宋体" w:eastAsia="黑体"/>
          <w:i/>
          <w:sz w:val="24"/>
          <w:lang w:eastAsia="zh-CN"/>
        </w:rPr>
      </w:pPr>
      <w:r>
        <w:rPr>
          <w:rFonts w:hint="eastAsia" w:ascii="黑体" w:hAnsi="宋体" w:eastAsia="黑体"/>
          <w:i/>
          <w:sz w:val="24"/>
          <w:lang w:eastAsia="zh-CN"/>
        </w:rPr>
        <w:t>十二、依据《关于工程建设领域推行应用“真薪”平台的实施意见》（淳治薪发〔2021〕1号）文件要求，成交企业须通过“真薪”平台进行电子劳动合同签订和每日三方记工考勤确认，切实强化实名制用工管理。</w:t>
      </w:r>
    </w:p>
    <w:p w14:paraId="073B69AF">
      <w:pPr>
        <w:spacing w:line="360" w:lineRule="auto"/>
        <w:ind w:firstLine="480" w:firstLineChars="200"/>
        <w:rPr>
          <w:rFonts w:ascii="宋体" w:hAnsi="宋体"/>
          <w:sz w:val="24"/>
          <w:lang w:eastAsia="zh-CN"/>
        </w:rPr>
      </w:pPr>
      <w:r>
        <w:rPr>
          <w:rFonts w:hint="eastAsia" w:ascii="宋体" w:hAnsi="宋体"/>
          <w:sz w:val="24"/>
          <w:lang w:eastAsia="zh-CN"/>
        </w:rPr>
        <w:t>十三、交易响应人或其他利害关系人可以依法向交易发起人提出异议，因对异议处理结果不满可依法向</w:t>
      </w:r>
      <w:r>
        <w:rPr>
          <w:rFonts w:hint="eastAsia" w:asciiTheme="minorEastAsia" w:hAnsiTheme="minorEastAsia" w:eastAsiaTheme="minorEastAsia" w:cstheme="minorEastAsia"/>
          <w:b w:val="0"/>
          <w:bCs w:val="0"/>
          <w:sz w:val="24"/>
          <w:szCs w:val="24"/>
          <w:lang w:eastAsia="zh-CN"/>
        </w:rPr>
        <w:t>枫树岭镇</w:t>
      </w:r>
      <w:r>
        <w:rPr>
          <w:rFonts w:hint="eastAsia" w:asciiTheme="minorEastAsia" w:hAnsiTheme="minorEastAsia" w:eastAsiaTheme="minorEastAsia" w:cstheme="minorEastAsia"/>
          <w:b w:val="0"/>
          <w:bCs w:val="0"/>
          <w:sz w:val="24"/>
          <w:szCs w:val="24"/>
        </w:rPr>
        <w:t>小额公共资源交易中心</w:t>
      </w:r>
      <w:r>
        <w:rPr>
          <w:rFonts w:hint="eastAsia" w:ascii="宋体" w:hAnsi="宋体"/>
          <w:sz w:val="24"/>
          <w:lang w:eastAsia="zh-CN"/>
        </w:rPr>
        <w:t>提出投诉。投诉（异议）咨询电话</w:t>
      </w:r>
      <w:r>
        <w:rPr>
          <w:rFonts w:hint="eastAsia" w:ascii="宋体" w:hAnsi="宋体"/>
          <w:b w:val="0"/>
          <w:bCs w:val="0"/>
          <w:sz w:val="24"/>
          <w:u w:val="none"/>
          <w:lang w:eastAsia="zh-CN"/>
        </w:rPr>
        <w:t>：</w:t>
      </w:r>
      <w:r>
        <w:rPr>
          <w:rFonts w:hint="eastAsia" w:asciiTheme="minorEastAsia" w:hAnsiTheme="minorEastAsia" w:eastAsiaTheme="minorEastAsia" w:cstheme="minorEastAsia"/>
          <w:b w:val="0"/>
          <w:bCs w:val="0"/>
          <w:sz w:val="24"/>
          <w:szCs w:val="24"/>
        </w:rPr>
        <w:t>13516871320</w:t>
      </w:r>
      <w:r>
        <w:rPr>
          <w:rFonts w:hint="eastAsia" w:ascii="宋体" w:hAnsi="宋体"/>
          <w:b w:val="0"/>
          <w:bCs w:val="0"/>
          <w:sz w:val="24"/>
          <w:lang w:eastAsia="zh-CN"/>
        </w:rPr>
        <w:t>，</w:t>
      </w:r>
      <w:r>
        <w:rPr>
          <w:rFonts w:hint="eastAsia" w:ascii="宋体" w:hAnsi="宋体"/>
          <w:sz w:val="24"/>
          <w:lang w:eastAsia="zh-CN"/>
        </w:rPr>
        <w:t>有下列情形之一的异议（投诉），不予受理：</w:t>
      </w:r>
    </w:p>
    <w:p w14:paraId="00B4939C">
      <w:pPr>
        <w:spacing w:line="360" w:lineRule="auto"/>
        <w:ind w:firstLine="480" w:firstLineChars="200"/>
        <w:rPr>
          <w:rFonts w:ascii="宋体" w:hAnsi="宋体"/>
          <w:sz w:val="24"/>
          <w:lang w:eastAsia="zh-CN"/>
        </w:rPr>
      </w:pPr>
      <w:r>
        <w:rPr>
          <w:rFonts w:hint="eastAsia" w:ascii="宋体" w:hAnsi="宋体"/>
          <w:sz w:val="24"/>
          <w:lang w:eastAsia="zh-CN"/>
        </w:rPr>
        <w:t>（1）异议、投诉人不是所涉及交易交易响应活动的参与者，或者与该项目无任何利害关系；</w:t>
      </w:r>
    </w:p>
    <w:p w14:paraId="670E45E8">
      <w:pPr>
        <w:spacing w:line="360" w:lineRule="auto"/>
        <w:ind w:firstLine="480" w:firstLineChars="200"/>
        <w:rPr>
          <w:rFonts w:ascii="宋体" w:hAnsi="宋体"/>
          <w:sz w:val="24"/>
          <w:lang w:eastAsia="zh-CN"/>
        </w:rPr>
      </w:pPr>
      <w:r>
        <w:rPr>
          <w:rFonts w:hint="eastAsia" w:ascii="宋体" w:hAnsi="宋体"/>
          <w:sz w:val="24"/>
          <w:lang w:eastAsia="zh-CN"/>
        </w:rPr>
        <w:t>（2）异议、投诉书未署具投诉人真实姓名、签字和有效联系方式的；以法人名义投诉的，投诉书未经法定代表人签字并加盖公章的；</w:t>
      </w:r>
    </w:p>
    <w:p w14:paraId="2473332C">
      <w:pPr>
        <w:spacing w:line="360" w:lineRule="auto"/>
        <w:ind w:firstLine="480" w:firstLineChars="200"/>
        <w:rPr>
          <w:rFonts w:ascii="宋体" w:hAnsi="宋体"/>
          <w:sz w:val="24"/>
          <w:lang w:eastAsia="zh-CN"/>
        </w:rPr>
      </w:pPr>
      <w:r>
        <w:rPr>
          <w:rFonts w:hint="eastAsia" w:ascii="宋体" w:hAnsi="宋体"/>
          <w:sz w:val="24"/>
          <w:lang w:eastAsia="zh-CN"/>
        </w:rPr>
        <w:t>（3）异议、投诉事项不具体，相关要求及主张不明确，没有必要的证明材料且未提供有效线索，难以查证的；</w:t>
      </w:r>
    </w:p>
    <w:p w14:paraId="5FAFD195">
      <w:pPr>
        <w:spacing w:line="360" w:lineRule="auto"/>
        <w:ind w:firstLine="480" w:firstLineChars="200"/>
        <w:rPr>
          <w:rFonts w:ascii="宋体" w:hAnsi="宋体"/>
          <w:sz w:val="24"/>
          <w:lang w:eastAsia="zh-CN"/>
        </w:rPr>
      </w:pPr>
      <w:r>
        <w:rPr>
          <w:rFonts w:hint="eastAsia" w:ascii="宋体" w:hAnsi="宋体"/>
          <w:sz w:val="24"/>
          <w:lang w:eastAsia="zh-CN"/>
        </w:rPr>
        <w:t>（4）在成交公示期结束后对评审结果提出异议的；</w:t>
      </w:r>
    </w:p>
    <w:p w14:paraId="3021906C">
      <w:pPr>
        <w:spacing w:line="360" w:lineRule="auto"/>
        <w:ind w:firstLine="480" w:firstLineChars="200"/>
        <w:rPr>
          <w:rFonts w:ascii="宋体" w:hAnsi="宋体"/>
          <w:sz w:val="24"/>
          <w:lang w:eastAsia="zh-CN"/>
        </w:rPr>
      </w:pPr>
      <w:r>
        <w:rPr>
          <w:rFonts w:hint="eastAsia" w:ascii="宋体" w:hAnsi="宋体"/>
          <w:sz w:val="24"/>
          <w:lang w:eastAsia="zh-CN"/>
        </w:rPr>
        <w:t>（5）在知道或者应当知道其权益受到侵害之日起10日后提出投诉的；</w:t>
      </w:r>
    </w:p>
    <w:p w14:paraId="598D7117">
      <w:pPr>
        <w:spacing w:line="360" w:lineRule="auto"/>
        <w:ind w:firstLine="480" w:firstLineChars="200"/>
        <w:rPr>
          <w:rFonts w:ascii="宋体" w:hAnsi="宋体"/>
          <w:sz w:val="24"/>
          <w:lang w:eastAsia="zh-CN"/>
        </w:rPr>
      </w:pPr>
      <w:r>
        <w:rPr>
          <w:rFonts w:hint="eastAsia" w:ascii="宋体" w:hAnsi="宋体"/>
          <w:sz w:val="24"/>
          <w:lang w:eastAsia="zh-CN"/>
        </w:rPr>
        <w:t>（6）未先向交易发起人提出异议（投诉的前置条件）而对资格预审文件、交易文件、交易会议、评审结果进行投诉的；</w:t>
      </w:r>
    </w:p>
    <w:p w14:paraId="1DC7D984">
      <w:pPr>
        <w:spacing w:line="360" w:lineRule="auto"/>
        <w:ind w:firstLine="480" w:firstLineChars="200"/>
        <w:rPr>
          <w:rFonts w:ascii="宋体" w:hAnsi="宋体"/>
          <w:sz w:val="24"/>
          <w:lang w:eastAsia="zh-CN"/>
        </w:rPr>
      </w:pPr>
      <w:r>
        <w:rPr>
          <w:rFonts w:hint="eastAsia" w:ascii="宋体" w:hAnsi="宋体"/>
          <w:sz w:val="24"/>
          <w:lang w:eastAsia="zh-CN"/>
        </w:rPr>
        <w:t>（7）已经作出处理决定，并且异议（投诉）人没有提出新的证据的；</w:t>
      </w:r>
    </w:p>
    <w:p w14:paraId="6185FDD7">
      <w:pPr>
        <w:spacing w:line="360" w:lineRule="auto"/>
        <w:ind w:firstLine="480" w:firstLineChars="200"/>
        <w:rPr>
          <w:rFonts w:ascii="宋体" w:hAnsi="宋体"/>
          <w:sz w:val="24"/>
          <w:lang w:eastAsia="zh-CN"/>
        </w:rPr>
      </w:pPr>
      <w:r>
        <w:rPr>
          <w:rFonts w:hint="eastAsia" w:ascii="宋体" w:hAnsi="宋体"/>
          <w:sz w:val="24"/>
          <w:lang w:eastAsia="zh-CN"/>
        </w:rPr>
        <w:t>（8）投诉事项已进入行政复议或者行政诉讼程序的；</w:t>
      </w:r>
    </w:p>
    <w:p w14:paraId="555B93C8">
      <w:pPr>
        <w:spacing w:line="360" w:lineRule="auto"/>
        <w:rPr>
          <w:rFonts w:ascii="宋体" w:hAnsi="宋体"/>
          <w:sz w:val="24"/>
          <w:lang w:eastAsia="zh-CN"/>
        </w:rPr>
      </w:pPr>
      <w:r>
        <w:rPr>
          <w:rFonts w:hint="eastAsia" w:ascii="宋体" w:hAnsi="宋体"/>
          <w:sz w:val="24"/>
          <w:lang w:eastAsia="zh-CN"/>
        </w:rPr>
        <w:t>注：异议（投诉）人须携带法人委托书或法人资格证明、本人身份证原件及书面（异议）投诉原件。</w:t>
      </w:r>
    </w:p>
    <w:p w14:paraId="70F43EAB">
      <w:pPr>
        <w:tabs>
          <w:tab w:val="left" w:pos="360"/>
        </w:tabs>
        <w:wordWrap w:val="0"/>
        <w:spacing w:line="360" w:lineRule="auto"/>
        <w:ind w:firstLine="6000" w:firstLineChars="2500"/>
        <w:jc w:val="both"/>
        <w:rPr>
          <w:rFonts w:ascii="宋体" w:hAnsi="宋体"/>
          <w:sz w:val="24"/>
          <w:lang w:eastAsia="zh-CN"/>
        </w:rPr>
      </w:pPr>
      <w:r>
        <w:rPr>
          <w:rFonts w:hint="eastAsia" w:ascii="宋体" w:hAnsi="宋体"/>
          <w:sz w:val="24"/>
          <w:lang w:eastAsia="zh-CN"/>
        </w:rPr>
        <w:t>202</w:t>
      </w:r>
      <w:r>
        <w:rPr>
          <w:rFonts w:hint="eastAsia" w:ascii="宋体" w:hAnsi="宋体"/>
          <w:sz w:val="24"/>
          <w:lang w:val="en-US" w:eastAsia="zh-CN"/>
        </w:rPr>
        <w:t>4</w:t>
      </w:r>
      <w:r>
        <w:rPr>
          <w:rFonts w:hint="eastAsia" w:ascii="宋体" w:hAnsi="宋体"/>
          <w:sz w:val="24"/>
          <w:lang w:eastAsia="zh-CN"/>
        </w:rPr>
        <w:t>年</w:t>
      </w:r>
      <w:r>
        <w:rPr>
          <w:rFonts w:hint="eastAsia" w:ascii="宋体" w:hAnsi="宋体"/>
          <w:sz w:val="24"/>
          <w:lang w:val="en-US" w:eastAsia="zh-CN"/>
        </w:rPr>
        <w:t>9</w:t>
      </w:r>
      <w:r>
        <w:rPr>
          <w:rFonts w:hint="eastAsia" w:ascii="宋体" w:hAnsi="宋体"/>
          <w:sz w:val="24"/>
          <w:lang w:eastAsia="zh-CN"/>
        </w:rPr>
        <w:t>月</w:t>
      </w:r>
      <w:r>
        <w:rPr>
          <w:rFonts w:hint="eastAsia" w:ascii="宋体" w:hAnsi="宋体"/>
          <w:sz w:val="24"/>
          <w:lang w:val="en-US" w:eastAsia="zh-CN"/>
        </w:rPr>
        <w:t>12</w:t>
      </w:r>
      <w:r>
        <w:rPr>
          <w:rFonts w:hint="eastAsia" w:ascii="宋体" w:hAnsi="宋体"/>
          <w:sz w:val="24"/>
          <w:lang w:eastAsia="zh-CN"/>
        </w:rPr>
        <w:t>日</w:t>
      </w:r>
    </w:p>
    <w:p w14:paraId="7EEEE004">
      <w:pPr>
        <w:spacing w:line="360" w:lineRule="auto"/>
        <w:ind w:firstLine="3213" w:firstLineChars="1000"/>
        <w:jc w:val="both"/>
        <w:rPr>
          <w:rFonts w:hint="eastAsia" w:ascii="宋体" w:hAnsi="宋体" w:cs="宋体"/>
          <w:b/>
          <w:sz w:val="32"/>
          <w:szCs w:val="32"/>
          <w:lang w:eastAsia="zh-CN"/>
        </w:rPr>
      </w:pPr>
    </w:p>
    <w:p w14:paraId="6302BA1F">
      <w:pPr>
        <w:spacing w:line="360" w:lineRule="auto"/>
        <w:ind w:firstLine="3213" w:firstLineChars="1000"/>
        <w:jc w:val="both"/>
        <w:rPr>
          <w:rFonts w:hint="eastAsia" w:ascii="宋体" w:hAnsi="宋体" w:cs="宋体"/>
          <w:b/>
          <w:sz w:val="32"/>
          <w:szCs w:val="32"/>
          <w:lang w:eastAsia="zh-CN"/>
        </w:rPr>
      </w:pPr>
    </w:p>
    <w:p w14:paraId="787D67D9">
      <w:pPr>
        <w:spacing w:line="360" w:lineRule="auto"/>
        <w:ind w:firstLine="3213" w:firstLineChars="1000"/>
        <w:jc w:val="both"/>
        <w:rPr>
          <w:rFonts w:hint="eastAsia" w:ascii="宋体" w:hAnsi="宋体" w:cs="宋体"/>
          <w:b/>
          <w:sz w:val="32"/>
          <w:szCs w:val="32"/>
          <w:lang w:eastAsia="zh-CN"/>
        </w:rPr>
      </w:pPr>
    </w:p>
    <w:p w14:paraId="1E7DC502">
      <w:pPr>
        <w:spacing w:line="360" w:lineRule="auto"/>
        <w:ind w:firstLine="3213" w:firstLineChars="1000"/>
        <w:jc w:val="both"/>
        <w:rPr>
          <w:rFonts w:hint="eastAsia" w:ascii="宋体" w:hAnsi="宋体" w:cs="宋体"/>
          <w:b/>
          <w:sz w:val="32"/>
          <w:szCs w:val="32"/>
          <w:lang w:eastAsia="zh-CN"/>
        </w:rPr>
      </w:pPr>
    </w:p>
    <w:p w14:paraId="0D8E025B">
      <w:pPr>
        <w:spacing w:line="360" w:lineRule="auto"/>
        <w:ind w:firstLine="3213" w:firstLineChars="1000"/>
        <w:jc w:val="both"/>
        <w:rPr>
          <w:rFonts w:hint="eastAsia" w:ascii="宋体" w:hAnsi="宋体" w:cs="宋体"/>
          <w:b/>
          <w:sz w:val="32"/>
          <w:szCs w:val="32"/>
          <w:lang w:eastAsia="zh-CN"/>
        </w:rPr>
      </w:pPr>
    </w:p>
    <w:p w14:paraId="767E305C">
      <w:pPr>
        <w:spacing w:line="360" w:lineRule="auto"/>
        <w:ind w:firstLine="3213" w:firstLineChars="1000"/>
        <w:jc w:val="both"/>
        <w:rPr>
          <w:rFonts w:hint="eastAsia" w:ascii="宋体" w:hAnsi="宋体" w:cs="宋体"/>
          <w:b/>
          <w:sz w:val="32"/>
          <w:szCs w:val="32"/>
          <w:lang w:eastAsia="zh-CN"/>
        </w:rPr>
      </w:pPr>
    </w:p>
    <w:p w14:paraId="3AC9D7E1">
      <w:pPr>
        <w:spacing w:line="360" w:lineRule="auto"/>
        <w:ind w:firstLine="3213" w:firstLineChars="1000"/>
        <w:jc w:val="both"/>
        <w:rPr>
          <w:rFonts w:hint="eastAsia" w:ascii="宋体" w:hAnsi="宋体" w:cs="宋体"/>
          <w:b/>
          <w:sz w:val="32"/>
          <w:szCs w:val="32"/>
          <w:lang w:eastAsia="zh-CN"/>
        </w:rPr>
      </w:pPr>
    </w:p>
    <w:p w14:paraId="608F6A70">
      <w:pPr>
        <w:spacing w:line="360" w:lineRule="auto"/>
        <w:ind w:firstLine="3213" w:firstLineChars="1000"/>
        <w:jc w:val="both"/>
        <w:rPr>
          <w:rFonts w:hint="eastAsia" w:ascii="宋体" w:hAnsi="宋体" w:cs="宋体"/>
          <w:b/>
          <w:sz w:val="32"/>
          <w:szCs w:val="32"/>
          <w:lang w:eastAsia="zh-CN"/>
        </w:rPr>
      </w:pPr>
    </w:p>
    <w:p w14:paraId="1F9F30C5">
      <w:pPr>
        <w:spacing w:line="360" w:lineRule="auto"/>
        <w:ind w:firstLine="3213" w:firstLineChars="1000"/>
        <w:jc w:val="both"/>
        <w:rPr>
          <w:rFonts w:hint="eastAsia" w:ascii="宋体" w:hAnsi="宋体" w:cs="宋体"/>
          <w:b/>
          <w:sz w:val="32"/>
          <w:szCs w:val="32"/>
          <w:lang w:eastAsia="zh-CN"/>
        </w:rPr>
      </w:pPr>
    </w:p>
    <w:p w14:paraId="3BD4039F">
      <w:pPr>
        <w:spacing w:line="360" w:lineRule="auto"/>
        <w:ind w:firstLine="3213" w:firstLineChars="1000"/>
        <w:jc w:val="both"/>
        <w:rPr>
          <w:rFonts w:hint="eastAsia" w:ascii="宋体" w:hAnsi="宋体" w:cs="宋体"/>
          <w:b/>
          <w:sz w:val="32"/>
          <w:szCs w:val="32"/>
          <w:lang w:eastAsia="zh-CN"/>
        </w:rPr>
      </w:pPr>
    </w:p>
    <w:p w14:paraId="123DA9D5">
      <w:pPr>
        <w:spacing w:line="360" w:lineRule="auto"/>
        <w:ind w:firstLine="3213" w:firstLineChars="1000"/>
        <w:jc w:val="both"/>
        <w:rPr>
          <w:rFonts w:hint="eastAsia" w:ascii="宋体" w:hAnsi="宋体" w:cs="宋体"/>
          <w:b/>
          <w:sz w:val="32"/>
          <w:szCs w:val="32"/>
          <w:lang w:eastAsia="zh-CN"/>
        </w:rPr>
      </w:pPr>
    </w:p>
    <w:p w14:paraId="1D9B86CD">
      <w:pPr>
        <w:spacing w:line="360" w:lineRule="auto"/>
        <w:ind w:firstLine="3213" w:firstLineChars="1000"/>
        <w:jc w:val="both"/>
        <w:rPr>
          <w:rFonts w:hint="eastAsia" w:ascii="宋体" w:hAnsi="宋体" w:cs="宋体"/>
          <w:b/>
          <w:sz w:val="32"/>
          <w:szCs w:val="32"/>
          <w:lang w:eastAsia="zh-CN"/>
        </w:rPr>
      </w:pPr>
    </w:p>
    <w:p w14:paraId="3F242B68">
      <w:pPr>
        <w:spacing w:line="360" w:lineRule="auto"/>
        <w:ind w:firstLine="3213" w:firstLineChars="1000"/>
        <w:jc w:val="both"/>
        <w:rPr>
          <w:rFonts w:hint="eastAsia" w:ascii="宋体" w:hAnsi="宋体" w:cs="宋体"/>
          <w:b/>
          <w:sz w:val="32"/>
          <w:szCs w:val="32"/>
          <w:lang w:eastAsia="zh-CN"/>
        </w:rPr>
      </w:pPr>
    </w:p>
    <w:p w14:paraId="443FD021">
      <w:pPr>
        <w:spacing w:line="360" w:lineRule="auto"/>
        <w:ind w:firstLine="3213" w:firstLineChars="1000"/>
        <w:jc w:val="both"/>
        <w:rPr>
          <w:rFonts w:hint="eastAsia" w:ascii="宋体" w:hAnsi="宋体" w:cs="宋体"/>
          <w:b/>
          <w:sz w:val="32"/>
          <w:szCs w:val="32"/>
          <w:lang w:eastAsia="zh-CN"/>
        </w:rPr>
      </w:pPr>
    </w:p>
    <w:p w14:paraId="224E10C6">
      <w:pPr>
        <w:spacing w:line="360" w:lineRule="auto"/>
        <w:ind w:firstLine="3213" w:firstLineChars="1000"/>
        <w:jc w:val="both"/>
        <w:rPr>
          <w:rFonts w:hint="eastAsia" w:ascii="宋体" w:hAnsi="宋体" w:cs="宋体"/>
          <w:b/>
          <w:sz w:val="32"/>
          <w:szCs w:val="32"/>
          <w:lang w:eastAsia="zh-CN"/>
        </w:rPr>
      </w:pPr>
    </w:p>
    <w:p w14:paraId="2F11F857">
      <w:pPr>
        <w:spacing w:line="360" w:lineRule="auto"/>
        <w:ind w:firstLine="3213" w:firstLineChars="1000"/>
        <w:jc w:val="both"/>
        <w:rPr>
          <w:rFonts w:ascii="宋体" w:hAnsi="宋体" w:cs="宋体"/>
          <w:b/>
          <w:sz w:val="32"/>
          <w:szCs w:val="32"/>
          <w:u w:val="single"/>
          <w:lang w:eastAsia="zh-CN"/>
        </w:rPr>
      </w:pPr>
      <w:r>
        <w:rPr>
          <w:rFonts w:hint="eastAsia" w:ascii="宋体" w:hAnsi="宋体" w:cs="宋体"/>
          <w:b/>
          <w:sz w:val="32"/>
          <w:szCs w:val="32"/>
          <w:lang w:eastAsia="zh-CN"/>
        </w:rPr>
        <w:t>交 易 承 诺 书</w:t>
      </w:r>
    </w:p>
    <w:p w14:paraId="0501DE08">
      <w:pPr>
        <w:spacing w:line="360" w:lineRule="auto"/>
        <w:ind w:firstLine="240" w:firstLineChars="100"/>
        <w:rPr>
          <w:rFonts w:ascii="宋体" w:hAnsi="宋体" w:cs="宋体"/>
          <w:sz w:val="24"/>
          <w:lang w:eastAsia="zh-CN"/>
        </w:rPr>
      </w:pPr>
      <w:r>
        <w:rPr>
          <w:rFonts w:hint="eastAsia" w:ascii="宋体" w:hAnsi="宋体" w:cs="宋体"/>
          <w:sz w:val="24"/>
          <w:u w:val="single"/>
          <w:lang w:eastAsia="zh-CN"/>
        </w:rPr>
        <w:t xml:space="preserve">（交易发起人名称）                    </w:t>
      </w:r>
      <w:r>
        <w:rPr>
          <w:rFonts w:hint="eastAsia" w:ascii="宋体" w:hAnsi="宋体" w:cs="宋体"/>
          <w:sz w:val="24"/>
          <w:lang w:eastAsia="zh-CN"/>
        </w:rPr>
        <w:t>：</w:t>
      </w:r>
    </w:p>
    <w:p w14:paraId="08ED8B8D">
      <w:pPr>
        <w:spacing w:line="240" w:lineRule="auto"/>
        <w:ind w:firstLine="480" w:firstLineChars="200"/>
        <w:rPr>
          <w:rFonts w:ascii="宋体" w:hAnsi="宋体" w:cs="宋体"/>
          <w:sz w:val="24"/>
          <w:lang w:eastAsia="zh-CN"/>
        </w:rPr>
      </w:pPr>
      <w:r>
        <w:rPr>
          <w:rFonts w:hint="eastAsia" w:ascii="宋体" w:hAnsi="宋体" w:cs="宋体"/>
          <w:sz w:val="24"/>
          <w:lang w:eastAsia="zh-CN"/>
        </w:rPr>
        <w:t>本公司已详细阅读</w:t>
      </w:r>
      <w:r>
        <w:rPr>
          <w:rFonts w:hint="eastAsia" w:ascii="宋体" w:hAnsi="宋体" w:cs="宋体"/>
          <w:sz w:val="24"/>
          <w:u w:val="single"/>
          <w:lang w:eastAsia="zh-CN"/>
        </w:rPr>
        <w:t xml:space="preserve">（工程名称及交易编号）                </w:t>
      </w:r>
      <w:r>
        <w:rPr>
          <w:rFonts w:hint="eastAsia" w:ascii="宋体" w:hAnsi="宋体" w:cs="宋体"/>
          <w:sz w:val="24"/>
          <w:lang w:eastAsia="zh-CN"/>
        </w:rPr>
        <w:t>之交易文件，现自愿就参加该工程交易响应有关事项向交易单位郑重承诺如下：</w:t>
      </w:r>
    </w:p>
    <w:p w14:paraId="53F2F1C1">
      <w:pPr>
        <w:spacing w:line="240" w:lineRule="auto"/>
        <w:ind w:firstLine="480" w:firstLineChars="200"/>
        <w:rPr>
          <w:rFonts w:ascii="宋体" w:hAnsi="宋体" w:cs="宋体"/>
          <w:sz w:val="24"/>
          <w:lang w:eastAsia="zh-CN"/>
        </w:rPr>
      </w:pPr>
      <w:r>
        <w:rPr>
          <w:rFonts w:hint="eastAsia" w:ascii="宋体" w:hAnsi="宋体" w:cs="宋体"/>
          <w:sz w:val="24"/>
          <w:lang w:eastAsia="zh-CN"/>
        </w:rPr>
        <w:t>1.遵守中华人民共和国、浙江省、杭州市、淳安县有关交易交易响应的法律法规规定，自觉维护建筑市场正常秩序。</w:t>
      </w:r>
    </w:p>
    <w:p w14:paraId="75F6E180">
      <w:pPr>
        <w:spacing w:line="240" w:lineRule="auto"/>
        <w:ind w:firstLine="480" w:firstLineChars="200"/>
        <w:rPr>
          <w:rFonts w:ascii="宋体" w:hAnsi="宋体" w:cs="宋体"/>
          <w:sz w:val="24"/>
          <w:highlight w:val="none"/>
          <w:lang w:eastAsia="zh-CN"/>
        </w:rPr>
      </w:pPr>
      <w:r>
        <w:rPr>
          <w:rFonts w:hint="eastAsia" w:ascii="宋体" w:hAnsi="宋体" w:cs="宋体"/>
          <w:sz w:val="24"/>
          <w:lang w:eastAsia="zh-CN"/>
        </w:rPr>
        <w:t>2.交易响应文件无虚假不实的内容。若评审过程中查有虚假</w:t>
      </w:r>
      <w:r>
        <w:rPr>
          <w:rFonts w:hint="eastAsia" w:ascii="宋体" w:hAnsi="宋体" w:cs="宋体"/>
          <w:sz w:val="24"/>
          <w:highlight w:val="none"/>
          <w:lang w:eastAsia="zh-CN"/>
        </w:rPr>
        <w:t>，同意作无效交易响应文件处理并不予退还交易响应保证金，若成交之后查有虚假，同意被否决授标并不予退还交易响应保证金。</w:t>
      </w:r>
    </w:p>
    <w:p w14:paraId="0A038351">
      <w:pPr>
        <w:spacing w:line="240" w:lineRule="auto"/>
        <w:ind w:firstLine="480" w:firstLineChars="200"/>
        <w:rPr>
          <w:rFonts w:ascii="宋体" w:hAnsi="宋体" w:cs="宋体"/>
          <w:sz w:val="24"/>
          <w:lang w:eastAsia="zh-CN"/>
        </w:rPr>
      </w:pPr>
      <w:r>
        <w:rPr>
          <w:rFonts w:hint="eastAsia" w:ascii="宋体" w:hAnsi="宋体" w:cs="宋体"/>
          <w:sz w:val="24"/>
          <w:lang w:eastAsia="zh-CN"/>
        </w:rPr>
        <w:t>3.保证本公司交易响应项目经理</w:t>
      </w:r>
      <w:r>
        <w:rPr>
          <w:rFonts w:hint="eastAsia" w:ascii="宋体" w:hAnsi="宋体" w:cs="宋体"/>
          <w:sz w:val="24"/>
          <w:u w:val="single"/>
          <w:lang w:eastAsia="zh-CN"/>
        </w:rPr>
        <w:t xml:space="preserve">（姓名及身份证号码）              </w:t>
      </w:r>
      <w:r>
        <w:rPr>
          <w:rFonts w:hint="eastAsia" w:ascii="宋体" w:hAnsi="宋体" w:cs="宋体"/>
          <w:sz w:val="24"/>
          <w:lang w:eastAsia="zh-CN"/>
        </w:rPr>
        <w:t>无在建施工工程项目（有在建工程已经业主同意调离并在当地行业主管部门备案）。工程实施过程中，保证按照交易响应文件承诺派驻管理人员及投入机械设备。</w:t>
      </w:r>
    </w:p>
    <w:p w14:paraId="13311645">
      <w:pPr>
        <w:spacing w:line="240" w:lineRule="auto"/>
        <w:ind w:firstLine="480" w:firstLineChars="200"/>
        <w:rPr>
          <w:rFonts w:ascii="宋体" w:hAnsi="宋体" w:cs="宋体"/>
          <w:iCs/>
          <w:sz w:val="24"/>
          <w:lang w:eastAsia="zh-CN"/>
        </w:rPr>
      </w:pPr>
      <w:r>
        <w:rPr>
          <w:rFonts w:hint="eastAsia" w:ascii="宋体" w:hAnsi="宋体" w:cs="宋体"/>
          <w:iCs/>
          <w:sz w:val="24"/>
          <w:lang w:eastAsia="zh-CN"/>
        </w:rPr>
        <w:t>4、交易响应项目经理社会保险在本公司缴纳，且不存在同时在两家及以上用人单位参保或多地参保现象。</w:t>
      </w:r>
    </w:p>
    <w:p w14:paraId="54787408">
      <w:pPr>
        <w:spacing w:line="240" w:lineRule="auto"/>
        <w:ind w:firstLine="480" w:firstLineChars="200"/>
        <w:rPr>
          <w:rFonts w:ascii="宋体" w:hAnsi="宋体" w:cs="宋体"/>
          <w:iCs/>
          <w:sz w:val="24"/>
          <w:lang w:eastAsia="zh-CN"/>
        </w:rPr>
      </w:pPr>
      <w:r>
        <w:rPr>
          <w:rFonts w:hint="eastAsia" w:ascii="宋体" w:hAnsi="宋体" w:cs="宋体"/>
          <w:iCs/>
          <w:sz w:val="24"/>
          <w:lang w:eastAsia="zh-CN"/>
        </w:rPr>
        <w:t>5、保证本公司没有处于安全生产许可证暂扣或者吊销，交易响应资格没有被暂停或者受限制；在最近一年内没有骗取成交和严重违约以及重大工程质量、安全问题。</w:t>
      </w:r>
    </w:p>
    <w:p w14:paraId="2B63A4FC">
      <w:pPr>
        <w:spacing w:line="240" w:lineRule="auto"/>
        <w:ind w:firstLine="480" w:firstLineChars="200"/>
        <w:rPr>
          <w:rFonts w:ascii="宋体" w:hAnsi="宋体"/>
          <w:iCs/>
          <w:sz w:val="24"/>
          <w:lang w:eastAsia="zh-CN"/>
        </w:rPr>
      </w:pPr>
      <w:r>
        <w:rPr>
          <w:rFonts w:hint="eastAsia" w:ascii="宋体" w:hAnsi="宋体" w:cs="宋体"/>
          <w:iCs/>
          <w:sz w:val="24"/>
          <w:lang w:eastAsia="zh-CN"/>
        </w:rPr>
        <w:t>6、</w:t>
      </w:r>
      <w:r>
        <w:rPr>
          <w:rFonts w:hint="eastAsia" w:ascii="宋体" w:hAnsi="宋体"/>
          <w:iCs/>
          <w:sz w:val="24"/>
          <w:lang w:eastAsia="zh-CN"/>
        </w:rPr>
        <w:t>保证本公司未处在不良行为公示期（公示范围以相关行政部门公布的受限地域范围为准）。</w:t>
      </w:r>
    </w:p>
    <w:p w14:paraId="411676D6">
      <w:pPr>
        <w:spacing w:line="240" w:lineRule="auto"/>
        <w:ind w:firstLine="480" w:firstLineChars="200"/>
        <w:rPr>
          <w:rFonts w:ascii="宋体" w:hAnsi="宋体"/>
          <w:iCs/>
          <w:sz w:val="24"/>
          <w:lang w:eastAsia="zh-CN"/>
        </w:rPr>
      </w:pPr>
      <w:r>
        <w:rPr>
          <w:rFonts w:hint="eastAsia" w:ascii="宋体" w:hAnsi="宋体"/>
          <w:iCs/>
          <w:sz w:val="24"/>
          <w:lang w:eastAsia="zh-CN"/>
        </w:rPr>
        <w:t>7、保证本公司未处在财产被接管、冻结、破产状态。</w:t>
      </w:r>
    </w:p>
    <w:p w14:paraId="609E7CB6">
      <w:pPr>
        <w:spacing w:line="240" w:lineRule="auto"/>
        <w:ind w:firstLine="480" w:firstLineChars="200"/>
        <w:rPr>
          <w:rFonts w:ascii="宋体" w:hAnsi="宋体"/>
          <w:iCs/>
          <w:sz w:val="24"/>
          <w:lang w:eastAsia="zh-CN"/>
        </w:rPr>
      </w:pPr>
      <w:r>
        <w:rPr>
          <w:rFonts w:hint="eastAsia" w:ascii="宋体" w:hAnsi="宋体"/>
          <w:iCs/>
          <w:sz w:val="24"/>
          <w:lang w:eastAsia="zh-CN"/>
        </w:rPr>
        <w:t>8、交易响应人对《淳安县政府投资项目工程违规变更责任追究暂行办法》条款作了充分的理解，自愿响应和完全接受《淳安县政府投资项目工程违规变更责任追究暂行办法》的追责条款对交易响应人予以追责和处罚。</w:t>
      </w:r>
    </w:p>
    <w:p w14:paraId="79639B4A">
      <w:pPr>
        <w:spacing w:line="240" w:lineRule="auto"/>
        <w:ind w:firstLine="480" w:firstLineChars="200"/>
        <w:rPr>
          <w:rFonts w:ascii="宋体" w:hAnsi="宋体" w:cs="宋体"/>
          <w:sz w:val="24"/>
          <w:lang w:eastAsia="zh-CN"/>
        </w:rPr>
      </w:pPr>
      <w:r>
        <w:rPr>
          <w:rFonts w:hint="eastAsia" w:ascii="宋体" w:hAnsi="宋体" w:cs="宋体"/>
          <w:sz w:val="24"/>
          <w:lang w:eastAsia="zh-CN"/>
        </w:rPr>
        <w:t>本公司若违反以上承诺，将无条件接受有关监督管理部门的调查、处理，并愿意承担取消本次成交资格、没收交易响应保证金等法律责任。</w:t>
      </w:r>
    </w:p>
    <w:p w14:paraId="73F3B3B5">
      <w:pPr>
        <w:spacing w:line="360" w:lineRule="auto"/>
        <w:ind w:firstLine="240" w:firstLineChars="100"/>
        <w:rPr>
          <w:rFonts w:ascii="宋体" w:hAnsi="宋体" w:cs="宋体"/>
          <w:sz w:val="24"/>
          <w:lang w:eastAsia="zh-CN"/>
        </w:rPr>
      </w:pPr>
      <w:r>
        <w:rPr>
          <w:rFonts w:hint="eastAsia" w:ascii="宋体" w:hAnsi="宋体" w:cs="宋体"/>
          <w:sz w:val="24"/>
          <w:lang w:eastAsia="zh-CN"/>
        </w:rPr>
        <w:t>交易响应人（盖章）：</w:t>
      </w:r>
    </w:p>
    <w:p w14:paraId="35DD94F6">
      <w:pPr>
        <w:spacing w:line="360" w:lineRule="auto"/>
        <w:ind w:firstLine="240" w:firstLineChars="100"/>
        <w:rPr>
          <w:rFonts w:ascii="宋体" w:hAnsi="宋体" w:cs="宋体"/>
          <w:sz w:val="24"/>
          <w:lang w:eastAsia="zh-CN"/>
        </w:rPr>
      </w:pPr>
      <w:r>
        <w:rPr>
          <w:rFonts w:hint="eastAsia" w:ascii="宋体" w:hAnsi="宋体" w:cs="宋体"/>
          <w:sz w:val="24"/>
          <w:lang w:eastAsia="zh-CN"/>
        </w:rPr>
        <w:t>法定代表人（盖章或签字）：          项目经理（签字）：</w:t>
      </w:r>
    </w:p>
    <w:p w14:paraId="5DF799EB">
      <w:pPr>
        <w:spacing w:line="360" w:lineRule="auto"/>
        <w:ind w:firstLine="4560" w:firstLineChars="1900"/>
        <w:rPr>
          <w:rFonts w:ascii="宋体" w:hAnsi="宋体" w:cs="宋体"/>
          <w:sz w:val="24"/>
          <w:highlight w:val="none"/>
          <w:lang w:eastAsia="zh-CN"/>
        </w:rPr>
      </w:pPr>
      <w:r>
        <w:rPr>
          <w:rFonts w:hint="eastAsia" w:ascii="宋体" w:hAnsi="宋体" w:cs="宋体"/>
          <w:sz w:val="24"/>
          <w:highlight w:val="none"/>
          <w:lang w:eastAsia="zh-CN"/>
        </w:rPr>
        <w:t>项目经理电话：</w:t>
      </w:r>
    </w:p>
    <w:p w14:paraId="01C06F8C">
      <w:pPr>
        <w:spacing w:line="360" w:lineRule="auto"/>
        <w:jc w:val="right"/>
        <w:rPr>
          <w:rFonts w:hint="eastAsia" w:ascii="宋体" w:hAnsi="宋体" w:cs="宋体"/>
          <w:sz w:val="24"/>
          <w:lang w:eastAsia="zh-CN"/>
        </w:rPr>
      </w:pPr>
      <w:r>
        <w:rPr>
          <w:rFonts w:hint="eastAsia" w:ascii="宋体" w:hAnsi="宋体" w:cs="宋体"/>
          <w:sz w:val="24"/>
          <w:lang w:eastAsia="zh-CN"/>
        </w:rPr>
        <w:t>年    月    日</w:t>
      </w:r>
    </w:p>
    <w:p w14:paraId="65961B9D">
      <w:pPr>
        <w:spacing w:line="360" w:lineRule="auto"/>
        <w:jc w:val="both"/>
        <w:rPr>
          <w:highlight w:val="none"/>
          <w:lang w:eastAsia="zh-CN"/>
        </w:rPr>
        <w:sectPr>
          <w:footerReference r:id="rId3" w:type="default"/>
          <w:pgSz w:w="11906" w:h="16838"/>
          <w:pgMar w:top="1304" w:right="1134" w:bottom="1134" w:left="1191" w:header="851" w:footer="992" w:gutter="0"/>
          <w:pgNumType w:fmt="numberInDash" w:start="1"/>
          <w:cols w:space="720" w:num="1"/>
          <w:docGrid w:linePitch="312" w:charSpace="0"/>
        </w:sectPr>
      </w:pPr>
      <w:r>
        <w:rPr>
          <w:rFonts w:hint="eastAsia" w:ascii="宋体" w:hAnsi="宋体"/>
          <w:b/>
          <w:sz w:val="24"/>
          <w:lang w:eastAsia="zh-CN"/>
        </w:rPr>
        <w:t>注：交易响应人必须对交易响应承诺书作出承诺，项目经理必须本人签字</w:t>
      </w:r>
      <w:r>
        <w:rPr>
          <w:rFonts w:hint="eastAsia" w:ascii="宋体" w:hAnsi="宋体"/>
          <w:b/>
          <w:sz w:val="24"/>
          <w:highlight w:val="none"/>
          <w:lang w:eastAsia="zh-CN"/>
        </w:rPr>
        <w:t>，否则将取消其交易响应资格。</w:t>
      </w:r>
    </w:p>
    <w:p w14:paraId="2FBF3E1D">
      <w:pPr>
        <w:jc w:val="center"/>
        <w:rPr>
          <w:sz w:val="44"/>
          <w:szCs w:val="44"/>
        </w:rPr>
      </w:pPr>
      <w:r>
        <w:rPr>
          <w:rFonts w:hint="eastAsia"/>
          <w:sz w:val="44"/>
          <w:szCs w:val="44"/>
        </w:rPr>
        <w:t>目  录</w:t>
      </w:r>
    </w:p>
    <w:p w14:paraId="7012FABD">
      <w:pPr>
        <w:rPr>
          <w:szCs w:val="21"/>
        </w:rPr>
      </w:pPr>
    </w:p>
    <w:p w14:paraId="552338C3">
      <w:pPr>
        <w:pStyle w:val="2"/>
        <w:tabs>
          <w:tab w:val="right" w:leader="dot" w:pos="9571"/>
        </w:tabs>
        <w:rPr>
          <w:szCs w:val="21"/>
        </w:rPr>
        <w:sectPr>
          <w:pgSz w:w="11906" w:h="16838"/>
          <w:pgMar w:top="1304" w:right="1134" w:bottom="1134" w:left="1191" w:header="851" w:footer="992" w:gutter="0"/>
          <w:pgNumType w:fmt="numberInDash"/>
          <w:cols w:space="720" w:num="1"/>
          <w:docGrid w:linePitch="312" w:charSpace="0"/>
        </w:sectPr>
      </w:pPr>
    </w:p>
    <w:p w14:paraId="00424098">
      <w:pPr>
        <w:pStyle w:val="2"/>
        <w:tabs>
          <w:tab w:val="right" w:leader="hyphen" w:pos="4578"/>
        </w:tabs>
        <w:spacing w:line="240" w:lineRule="auto"/>
      </w:pPr>
      <w:r>
        <w:rPr>
          <w:rFonts w:ascii="宋体" w:hAnsi="宋体"/>
          <w:szCs w:val="21"/>
        </w:rPr>
        <w:fldChar w:fldCharType="begin"/>
      </w:r>
      <w:r>
        <w:rPr>
          <w:rFonts w:hint="eastAsia" w:ascii="宋体" w:hAnsi="宋体"/>
          <w:szCs w:val="21"/>
        </w:rPr>
        <w:instrText xml:space="preserve">TOC \o "1-3" \n \h \z \u</w:instrText>
      </w:r>
      <w:r>
        <w:rPr>
          <w:rFonts w:ascii="宋体" w:hAnsi="宋体"/>
          <w:szCs w:val="21"/>
        </w:rPr>
        <w:fldChar w:fldCharType="separate"/>
      </w:r>
      <w:r>
        <w:fldChar w:fldCharType="begin"/>
      </w:r>
      <w:r>
        <w:instrText xml:space="preserve"> HYPERLINK \l "_Toc26937" </w:instrText>
      </w:r>
      <w:r>
        <w:fldChar w:fldCharType="separate"/>
      </w:r>
      <w:r>
        <w:rPr>
          <w:rFonts w:hint="eastAsia" w:ascii="宋体" w:hAnsi="宋体"/>
          <w:szCs w:val="36"/>
        </w:rPr>
        <w:t>一、前附表</w:t>
      </w:r>
      <w:r>
        <w:rPr>
          <w:rFonts w:hint="eastAsia" w:ascii="宋体" w:hAnsi="宋体"/>
          <w:szCs w:val="36"/>
        </w:rPr>
        <w:fldChar w:fldCharType="end"/>
      </w:r>
    </w:p>
    <w:p w14:paraId="190C4412">
      <w:pPr>
        <w:pStyle w:val="2"/>
        <w:tabs>
          <w:tab w:val="right" w:leader="hyphen" w:pos="4578"/>
        </w:tabs>
        <w:spacing w:line="240" w:lineRule="auto"/>
      </w:pPr>
      <w:r>
        <w:fldChar w:fldCharType="begin"/>
      </w:r>
      <w:r>
        <w:instrText xml:space="preserve"> HYPERLINK \l "_Toc23504" </w:instrText>
      </w:r>
      <w:r>
        <w:fldChar w:fldCharType="separate"/>
      </w:r>
      <w:r>
        <w:rPr>
          <w:rFonts w:hint="eastAsia"/>
          <w:bCs/>
        </w:rPr>
        <w:t>二、</w:t>
      </w:r>
      <w:r>
        <w:rPr>
          <w:rFonts w:hint="eastAsia"/>
          <w:bCs/>
          <w:lang w:eastAsia="zh-CN"/>
        </w:rPr>
        <w:t>交易响应</w:t>
      </w:r>
      <w:r>
        <w:rPr>
          <w:rFonts w:hint="eastAsia"/>
          <w:bCs/>
        </w:rPr>
        <w:t>须知</w:t>
      </w:r>
      <w:r>
        <w:rPr>
          <w:rFonts w:hint="eastAsia"/>
          <w:bCs/>
        </w:rPr>
        <w:fldChar w:fldCharType="end"/>
      </w:r>
    </w:p>
    <w:p w14:paraId="6DB0C726">
      <w:pPr>
        <w:pStyle w:val="10"/>
        <w:tabs>
          <w:tab w:val="right" w:leader="hyphen" w:pos="4578"/>
        </w:tabs>
        <w:spacing w:line="240" w:lineRule="auto"/>
        <w:ind w:left="440"/>
      </w:pPr>
      <w:r>
        <w:fldChar w:fldCharType="begin"/>
      </w:r>
      <w:r>
        <w:instrText xml:space="preserve"> HYPERLINK \l "_Toc23539" </w:instrText>
      </w:r>
      <w:r>
        <w:fldChar w:fldCharType="separate"/>
      </w:r>
      <w:r>
        <w:rPr>
          <w:rFonts w:hint="eastAsia"/>
        </w:rPr>
        <w:t>(一)总则</w:t>
      </w:r>
      <w:r>
        <w:rPr>
          <w:rFonts w:hint="eastAsia"/>
        </w:rPr>
        <w:fldChar w:fldCharType="end"/>
      </w:r>
    </w:p>
    <w:p w14:paraId="177FC1B8">
      <w:pPr>
        <w:pStyle w:val="7"/>
        <w:tabs>
          <w:tab w:val="right" w:leader="hyphen" w:pos="4578"/>
        </w:tabs>
        <w:spacing w:line="240" w:lineRule="auto"/>
        <w:ind w:left="880"/>
      </w:pPr>
      <w:r>
        <w:fldChar w:fldCharType="begin"/>
      </w:r>
      <w:r>
        <w:instrText xml:space="preserve"> HYPERLINK \l "_Toc8900" </w:instrText>
      </w:r>
      <w:r>
        <w:fldChar w:fldCharType="separate"/>
      </w:r>
      <w:r>
        <w:rPr>
          <w:rFonts w:hint="eastAsia"/>
        </w:rPr>
        <w:t>1、工程说明</w:t>
      </w:r>
      <w:r>
        <w:rPr>
          <w:rFonts w:hint="eastAsia"/>
        </w:rPr>
        <w:fldChar w:fldCharType="end"/>
      </w:r>
    </w:p>
    <w:p w14:paraId="15A73AF5">
      <w:pPr>
        <w:pStyle w:val="7"/>
        <w:tabs>
          <w:tab w:val="right" w:leader="hyphen" w:pos="4578"/>
        </w:tabs>
        <w:spacing w:line="240" w:lineRule="auto"/>
        <w:ind w:left="880"/>
      </w:pPr>
      <w:r>
        <w:fldChar w:fldCharType="begin"/>
      </w:r>
      <w:r>
        <w:instrText xml:space="preserve"> HYPERLINK \l "_Toc19410" </w:instrText>
      </w:r>
      <w:r>
        <w:fldChar w:fldCharType="separate"/>
      </w:r>
      <w:r>
        <w:rPr>
          <w:rFonts w:hint="eastAsia"/>
        </w:rPr>
        <w:t>2、</w:t>
      </w:r>
      <w:r>
        <w:rPr>
          <w:rFonts w:hint="eastAsia"/>
          <w:lang w:eastAsia="zh-CN"/>
        </w:rPr>
        <w:t>交易</w:t>
      </w:r>
      <w:r>
        <w:rPr>
          <w:rFonts w:hint="eastAsia"/>
        </w:rPr>
        <w:t>方式、范围及工期</w:t>
      </w:r>
      <w:r>
        <w:rPr>
          <w:rFonts w:hint="eastAsia"/>
        </w:rPr>
        <w:fldChar w:fldCharType="end"/>
      </w:r>
    </w:p>
    <w:p w14:paraId="4390773F">
      <w:pPr>
        <w:pStyle w:val="7"/>
        <w:tabs>
          <w:tab w:val="right" w:leader="hyphen" w:pos="4578"/>
        </w:tabs>
        <w:spacing w:line="240" w:lineRule="auto"/>
        <w:ind w:left="880"/>
      </w:pPr>
      <w:r>
        <w:fldChar w:fldCharType="begin"/>
      </w:r>
      <w:r>
        <w:instrText xml:space="preserve"> HYPERLINK \l "_Toc7835" </w:instrText>
      </w:r>
      <w:r>
        <w:fldChar w:fldCharType="separate"/>
      </w:r>
      <w:r>
        <w:rPr>
          <w:rFonts w:hint="eastAsia"/>
        </w:rPr>
        <w:t>3、资金来源</w:t>
      </w:r>
      <w:r>
        <w:rPr>
          <w:rFonts w:hint="eastAsia"/>
        </w:rPr>
        <w:fldChar w:fldCharType="end"/>
      </w:r>
    </w:p>
    <w:p w14:paraId="3EBEB02E">
      <w:pPr>
        <w:pStyle w:val="7"/>
        <w:tabs>
          <w:tab w:val="right" w:leader="hyphen" w:pos="4578"/>
        </w:tabs>
        <w:spacing w:line="240" w:lineRule="auto"/>
        <w:ind w:left="880"/>
      </w:pPr>
      <w:r>
        <w:fldChar w:fldCharType="begin"/>
      </w:r>
      <w:r>
        <w:instrText xml:space="preserve"> HYPERLINK \l "_Toc10518" </w:instrText>
      </w:r>
      <w:r>
        <w:fldChar w:fldCharType="separate"/>
      </w:r>
      <w:r>
        <w:rPr>
          <w:rFonts w:hint="eastAsia"/>
        </w:rPr>
        <w:t>4、合格的</w:t>
      </w:r>
      <w:r>
        <w:rPr>
          <w:rFonts w:hint="eastAsia"/>
          <w:lang w:eastAsia="zh-CN"/>
        </w:rPr>
        <w:t>交易响应</w:t>
      </w:r>
      <w:r>
        <w:rPr>
          <w:rFonts w:hint="eastAsia"/>
        </w:rPr>
        <w:t>人</w:t>
      </w:r>
      <w:r>
        <w:rPr>
          <w:rFonts w:hint="eastAsia"/>
        </w:rPr>
        <w:fldChar w:fldCharType="end"/>
      </w:r>
    </w:p>
    <w:p w14:paraId="7595F519">
      <w:pPr>
        <w:pStyle w:val="7"/>
        <w:tabs>
          <w:tab w:val="right" w:leader="hyphen" w:pos="4578"/>
        </w:tabs>
        <w:spacing w:line="240" w:lineRule="auto"/>
        <w:ind w:left="880"/>
      </w:pPr>
      <w:r>
        <w:fldChar w:fldCharType="begin"/>
      </w:r>
      <w:r>
        <w:instrText xml:space="preserve"> HYPERLINK \l "_Toc31507" </w:instrText>
      </w:r>
      <w:r>
        <w:fldChar w:fldCharType="separate"/>
      </w:r>
      <w:r>
        <w:rPr>
          <w:rFonts w:hint="eastAsia"/>
        </w:rPr>
        <w:t>5、</w:t>
      </w:r>
      <w:r>
        <w:rPr>
          <w:rFonts w:hint="eastAsia"/>
          <w:lang w:eastAsia="zh-CN"/>
        </w:rPr>
        <w:t>交易响应</w:t>
      </w:r>
      <w:r>
        <w:rPr>
          <w:rFonts w:hint="eastAsia"/>
        </w:rPr>
        <w:t>费用</w:t>
      </w:r>
      <w:r>
        <w:rPr>
          <w:rFonts w:hint="eastAsia"/>
        </w:rPr>
        <w:fldChar w:fldCharType="end"/>
      </w:r>
    </w:p>
    <w:p w14:paraId="71F15B9E">
      <w:pPr>
        <w:pStyle w:val="7"/>
        <w:tabs>
          <w:tab w:val="right" w:leader="hyphen" w:pos="4578"/>
        </w:tabs>
        <w:spacing w:line="240" w:lineRule="auto"/>
        <w:ind w:left="880"/>
      </w:pPr>
      <w:r>
        <w:fldChar w:fldCharType="begin"/>
      </w:r>
      <w:r>
        <w:instrText xml:space="preserve"> HYPERLINK \l "_Toc766" </w:instrText>
      </w:r>
      <w:r>
        <w:fldChar w:fldCharType="separate"/>
      </w:r>
      <w:r>
        <w:rPr>
          <w:rFonts w:hint="eastAsia"/>
        </w:rPr>
        <w:t>6、踏勘现场</w:t>
      </w:r>
      <w:r>
        <w:rPr>
          <w:rFonts w:hint="eastAsia"/>
        </w:rPr>
        <w:fldChar w:fldCharType="end"/>
      </w:r>
    </w:p>
    <w:p w14:paraId="1F79B795">
      <w:pPr>
        <w:pStyle w:val="10"/>
        <w:tabs>
          <w:tab w:val="right" w:leader="hyphen" w:pos="4578"/>
        </w:tabs>
        <w:spacing w:line="240" w:lineRule="auto"/>
        <w:ind w:left="440"/>
      </w:pPr>
      <w:r>
        <w:fldChar w:fldCharType="begin"/>
      </w:r>
      <w:r>
        <w:instrText xml:space="preserve"> HYPERLINK \l "_Toc15107" </w:instrText>
      </w:r>
      <w:r>
        <w:fldChar w:fldCharType="separate"/>
      </w:r>
      <w:r>
        <w:rPr>
          <w:rFonts w:hint="eastAsia"/>
        </w:rPr>
        <w:t>(二)</w:t>
      </w:r>
      <w:r>
        <w:rPr>
          <w:rFonts w:hint="eastAsia"/>
          <w:lang w:eastAsia="zh-CN"/>
        </w:rPr>
        <w:t>交易</w:t>
      </w:r>
      <w:r>
        <w:rPr>
          <w:rFonts w:hint="eastAsia"/>
        </w:rPr>
        <w:t>文件</w:t>
      </w:r>
      <w:r>
        <w:rPr>
          <w:rFonts w:hint="eastAsia"/>
        </w:rPr>
        <w:fldChar w:fldCharType="end"/>
      </w:r>
    </w:p>
    <w:p w14:paraId="44AFD9B6">
      <w:pPr>
        <w:pStyle w:val="7"/>
        <w:tabs>
          <w:tab w:val="right" w:leader="hyphen" w:pos="4578"/>
        </w:tabs>
        <w:spacing w:line="240" w:lineRule="auto"/>
        <w:ind w:left="880"/>
      </w:pPr>
      <w:r>
        <w:fldChar w:fldCharType="begin"/>
      </w:r>
      <w:r>
        <w:instrText xml:space="preserve"> HYPERLINK \l "_Toc1878" </w:instrText>
      </w:r>
      <w:r>
        <w:fldChar w:fldCharType="separate"/>
      </w:r>
      <w:r>
        <w:rPr>
          <w:rFonts w:hint="eastAsia"/>
        </w:rPr>
        <w:t>7、</w:t>
      </w:r>
      <w:r>
        <w:rPr>
          <w:rFonts w:hint="eastAsia"/>
          <w:lang w:eastAsia="zh-CN"/>
        </w:rPr>
        <w:t>交易</w:t>
      </w:r>
      <w:r>
        <w:rPr>
          <w:rFonts w:hint="eastAsia"/>
        </w:rPr>
        <w:t>文件的组成</w:t>
      </w:r>
      <w:r>
        <w:rPr>
          <w:rFonts w:hint="eastAsia"/>
        </w:rPr>
        <w:fldChar w:fldCharType="end"/>
      </w:r>
    </w:p>
    <w:p w14:paraId="76AD491F">
      <w:pPr>
        <w:pStyle w:val="7"/>
        <w:tabs>
          <w:tab w:val="right" w:leader="hyphen" w:pos="4578"/>
        </w:tabs>
        <w:spacing w:line="240" w:lineRule="auto"/>
        <w:ind w:left="880"/>
      </w:pPr>
      <w:r>
        <w:fldChar w:fldCharType="begin"/>
      </w:r>
      <w:r>
        <w:instrText xml:space="preserve"> HYPERLINK \l "_Toc23082" </w:instrText>
      </w:r>
      <w:r>
        <w:fldChar w:fldCharType="separate"/>
      </w:r>
      <w:r>
        <w:rPr>
          <w:rFonts w:hint="eastAsia"/>
        </w:rPr>
        <w:t>8、</w:t>
      </w:r>
      <w:r>
        <w:rPr>
          <w:rFonts w:hint="eastAsia"/>
          <w:lang w:eastAsia="zh-CN"/>
        </w:rPr>
        <w:t>交易</w:t>
      </w:r>
      <w:r>
        <w:rPr>
          <w:rFonts w:hint="eastAsia"/>
        </w:rPr>
        <w:t>文件的澄清</w:t>
      </w:r>
      <w:r>
        <w:rPr>
          <w:rFonts w:hint="eastAsia"/>
        </w:rPr>
        <w:fldChar w:fldCharType="end"/>
      </w:r>
    </w:p>
    <w:p w14:paraId="26DEBF39">
      <w:pPr>
        <w:pStyle w:val="7"/>
        <w:tabs>
          <w:tab w:val="right" w:leader="hyphen" w:pos="4578"/>
        </w:tabs>
        <w:spacing w:line="240" w:lineRule="auto"/>
        <w:ind w:left="880"/>
      </w:pPr>
      <w:r>
        <w:fldChar w:fldCharType="begin"/>
      </w:r>
      <w:r>
        <w:instrText xml:space="preserve"> HYPERLINK \l "_Toc15220" </w:instrText>
      </w:r>
      <w:r>
        <w:fldChar w:fldCharType="separate"/>
      </w:r>
      <w:r>
        <w:rPr>
          <w:rFonts w:hint="eastAsia"/>
        </w:rPr>
        <w:t>9、</w:t>
      </w:r>
      <w:r>
        <w:rPr>
          <w:rFonts w:hint="eastAsia"/>
          <w:lang w:eastAsia="zh-CN"/>
        </w:rPr>
        <w:t>交易</w:t>
      </w:r>
      <w:r>
        <w:rPr>
          <w:rFonts w:hint="eastAsia"/>
        </w:rPr>
        <w:t>文件的修改</w:t>
      </w:r>
      <w:r>
        <w:rPr>
          <w:rFonts w:hint="eastAsia"/>
        </w:rPr>
        <w:fldChar w:fldCharType="end"/>
      </w:r>
    </w:p>
    <w:p w14:paraId="797E8484">
      <w:pPr>
        <w:pStyle w:val="10"/>
        <w:tabs>
          <w:tab w:val="right" w:leader="hyphen" w:pos="4578"/>
        </w:tabs>
        <w:spacing w:line="240" w:lineRule="auto"/>
        <w:ind w:left="440"/>
      </w:pPr>
      <w:r>
        <w:fldChar w:fldCharType="begin"/>
      </w:r>
      <w:r>
        <w:instrText xml:space="preserve"> HYPERLINK \l "_Toc18105" </w:instrText>
      </w:r>
      <w:r>
        <w:fldChar w:fldCharType="separate"/>
      </w:r>
      <w:r>
        <w:rPr>
          <w:rFonts w:hint="eastAsia"/>
          <w:bCs/>
        </w:rPr>
        <w:t>(三)</w:t>
      </w:r>
      <w:r>
        <w:rPr>
          <w:rFonts w:hint="eastAsia"/>
          <w:bCs/>
          <w:lang w:eastAsia="zh-CN"/>
        </w:rPr>
        <w:t>交易响应</w:t>
      </w:r>
      <w:r>
        <w:rPr>
          <w:rFonts w:hint="eastAsia"/>
          <w:bCs/>
        </w:rPr>
        <w:t>文件的编制</w:t>
      </w:r>
      <w:r>
        <w:rPr>
          <w:rFonts w:hint="eastAsia"/>
          <w:bCs/>
        </w:rPr>
        <w:fldChar w:fldCharType="end"/>
      </w:r>
    </w:p>
    <w:p w14:paraId="456BF97A">
      <w:pPr>
        <w:pStyle w:val="7"/>
        <w:tabs>
          <w:tab w:val="right" w:leader="hyphen" w:pos="4578"/>
        </w:tabs>
        <w:spacing w:line="240" w:lineRule="auto"/>
        <w:ind w:left="880"/>
      </w:pPr>
      <w:r>
        <w:fldChar w:fldCharType="begin"/>
      </w:r>
      <w:r>
        <w:instrText xml:space="preserve"> HYPERLINK \l "_Toc8751" </w:instrText>
      </w:r>
      <w:r>
        <w:fldChar w:fldCharType="separate"/>
      </w:r>
      <w:r>
        <w:rPr>
          <w:rFonts w:hint="eastAsia"/>
        </w:rPr>
        <w:t>10、</w:t>
      </w:r>
      <w:r>
        <w:rPr>
          <w:rFonts w:hint="eastAsia"/>
          <w:lang w:eastAsia="zh-CN"/>
        </w:rPr>
        <w:t>交易响应</w:t>
      </w:r>
      <w:r>
        <w:rPr>
          <w:rFonts w:hint="eastAsia"/>
        </w:rPr>
        <w:t>文件的语言及度量衡单位</w:t>
      </w:r>
      <w:r>
        <w:rPr>
          <w:rFonts w:hint="eastAsia"/>
        </w:rPr>
        <w:fldChar w:fldCharType="end"/>
      </w:r>
    </w:p>
    <w:p w14:paraId="5B7C97FF">
      <w:pPr>
        <w:pStyle w:val="7"/>
        <w:tabs>
          <w:tab w:val="right" w:leader="hyphen" w:pos="4578"/>
        </w:tabs>
        <w:spacing w:line="240" w:lineRule="auto"/>
        <w:ind w:left="880"/>
      </w:pPr>
      <w:r>
        <w:fldChar w:fldCharType="begin"/>
      </w:r>
      <w:r>
        <w:instrText xml:space="preserve"> HYPERLINK \l "_Toc14312" </w:instrText>
      </w:r>
      <w:r>
        <w:fldChar w:fldCharType="separate"/>
      </w:r>
      <w:r>
        <w:rPr>
          <w:rFonts w:hint="eastAsia"/>
        </w:rPr>
        <w:t>11、</w:t>
      </w:r>
      <w:r>
        <w:rPr>
          <w:rFonts w:hint="eastAsia"/>
          <w:lang w:eastAsia="zh-CN"/>
        </w:rPr>
        <w:t>交易响应</w:t>
      </w:r>
      <w:r>
        <w:rPr>
          <w:rFonts w:hint="eastAsia"/>
        </w:rPr>
        <w:t>文件的组成</w:t>
      </w:r>
      <w:r>
        <w:rPr>
          <w:rFonts w:hint="eastAsia"/>
        </w:rPr>
        <w:fldChar w:fldCharType="end"/>
      </w:r>
    </w:p>
    <w:p w14:paraId="2D480ACF">
      <w:pPr>
        <w:pStyle w:val="7"/>
        <w:tabs>
          <w:tab w:val="right" w:leader="hyphen" w:pos="4578"/>
        </w:tabs>
        <w:spacing w:line="240" w:lineRule="auto"/>
        <w:ind w:left="880"/>
      </w:pPr>
      <w:r>
        <w:fldChar w:fldCharType="begin"/>
      </w:r>
      <w:r>
        <w:instrText xml:space="preserve"> HYPERLINK \l "_Toc24222" </w:instrText>
      </w:r>
      <w:r>
        <w:fldChar w:fldCharType="separate"/>
      </w:r>
      <w:r>
        <w:rPr>
          <w:rFonts w:hint="eastAsia"/>
        </w:rPr>
        <w:t>12、</w:t>
      </w:r>
      <w:r>
        <w:rPr>
          <w:rFonts w:hint="eastAsia"/>
          <w:lang w:eastAsia="zh-CN"/>
        </w:rPr>
        <w:t>交易响应</w:t>
      </w:r>
      <w:r>
        <w:rPr>
          <w:rFonts w:hint="eastAsia"/>
        </w:rPr>
        <w:t>文件格式</w:t>
      </w:r>
      <w:r>
        <w:rPr>
          <w:rFonts w:hint="eastAsia"/>
        </w:rPr>
        <w:fldChar w:fldCharType="end"/>
      </w:r>
    </w:p>
    <w:p w14:paraId="57D85E8A">
      <w:pPr>
        <w:pStyle w:val="7"/>
        <w:tabs>
          <w:tab w:val="right" w:leader="hyphen" w:pos="4578"/>
        </w:tabs>
        <w:spacing w:line="240" w:lineRule="auto"/>
        <w:ind w:left="880"/>
      </w:pPr>
      <w:r>
        <w:fldChar w:fldCharType="begin"/>
      </w:r>
      <w:r>
        <w:instrText xml:space="preserve"> HYPERLINK \l "_Toc21064" </w:instrText>
      </w:r>
      <w:r>
        <w:fldChar w:fldCharType="separate"/>
      </w:r>
      <w:r>
        <w:rPr>
          <w:rFonts w:hint="eastAsia"/>
        </w:rPr>
        <w:t>13、</w:t>
      </w:r>
      <w:r>
        <w:rPr>
          <w:rFonts w:hint="eastAsia"/>
          <w:lang w:eastAsia="zh-CN"/>
        </w:rPr>
        <w:t>交易响应</w:t>
      </w:r>
      <w:r>
        <w:rPr>
          <w:rFonts w:hint="eastAsia"/>
        </w:rPr>
        <w:t>报价</w:t>
      </w:r>
      <w:r>
        <w:rPr>
          <w:rFonts w:hint="eastAsia"/>
        </w:rPr>
        <w:fldChar w:fldCharType="end"/>
      </w:r>
    </w:p>
    <w:p w14:paraId="4EA6E698">
      <w:pPr>
        <w:pStyle w:val="7"/>
        <w:tabs>
          <w:tab w:val="right" w:leader="hyphen" w:pos="4578"/>
        </w:tabs>
        <w:spacing w:line="240" w:lineRule="auto"/>
        <w:ind w:left="880"/>
      </w:pPr>
      <w:r>
        <w:fldChar w:fldCharType="begin"/>
      </w:r>
      <w:r>
        <w:instrText xml:space="preserve"> HYPERLINK \l "_Toc8597" </w:instrText>
      </w:r>
      <w:r>
        <w:fldChar w:fldCharType="separate"/>
      </w:r>
      <w:r>
        <w:rPr>
          <w:rFonts w:hint="eastAsia" w:ascii="宋体" w:hAnsi="宋体" w:cs="Courier New"/>
          <w:szCs w:val="21"/>
        </w:rPr>
        <w:t>14、</w:t>
      </w:r>
      <w:r>
        <w:rPr>
          <w:rFonts w:hint="eastAsia" w:ascii="宋体" w:hAnsi="宋体" w:cs="Courier New"/>
          <w:szCs w:val="21"/>
          <w:lang w:eastAsia="zh-CN"/>
        </w:rPr>
        <w:t>交易响应</w:t>
      </w:r>
      <w:r>
        <w:rPr>
          <w:rFonts w:hint="eastAsia" w:ascii="宋体" w:hAnsi="宋体" w:cs="Courier New"/>
          <w:szCs w:val="21"/>
        </w:rPr>
        <w:t>货币</w:t>
      </w:r>
      <w:r>
        <w:rPr>
          <w:rFonts w:hint="eastAsia" w:ascii="宋体" w:hAnsi="宋体" w:cs="Courier New"/>
          <w:szCs w:val="21"/>
        </w:rPr>
        <w:fldChar w:fldCharType="end"/>
      </w:r>
    </w:p>
    <w:p w14:paraId="282F9E53">
      <w:pPr>
        <w:pStyle w:val="7"/>
        <w:tabs>
          <w:tab w:val="right" w:leader="hyphen" w:pos="4578"/>
        </w:tabs>
        <w:spacing w:line="240" w:lineRule="auto"/>
        <w:ind w:left="880"/>
      </w:pPr>
      <w:r>
        <w:fldChar w:fldCharType="begin"/>
      </w:r>
      <w:r>
        <w:instrText xml:space="preserve"> HYPERLINK \l "_Toc20416" </w:instrText>
      </w:r>
      <w:r>
        <w:fldChar w:fldCharType="separate"/>
      </w:r>
      <w:r>
        <w:rPr>
          <w:rFonts w:hint="eastAsia" w:hAnsi="宋体"/>
        </w:rPr>
        <w:t>15、</w:t>
      </w:r>
      <w:r>
        <w:rPr>
          <w:rFonts w:hint="eastAsia" w:hAnsi="宋体"/>
          <w:lang w:eastAsia="zh-CN"/>
        </w:rPr>
        <w:t>交易响应</w:t>
      </w:r>
      <w:r>
        <w:rPr>
          <w:rFonts w:hint="eastAsia" w:hAnsi="宋体"/>
        </w:rPr>
        <w:t>有效期</w:t>
      </w:r>
      <w:r>
        <w:rPr>
          <w:rFonts w:hint="eastAsia" w:hAnsi="宋体"/>
        </w:rPr>
        <w:fldChar w:fldCharType="end"/>
      </w:r>
    </w:p>
    <w:p w14:paraId="5D83AD16">
      <w:pPr>
        <w:pStyle w:val="7"/>
        <w:tabs>
          <w:tab w:val="right" w:leader="hyphen" w:pos="4578"/>
        </w:tabs>
        <w:spacing w:line="240" w:lineRule="auto"/>
        <w:ind w:left="880"/>
      </w:pPr>
      <w:r>
        <w:fldChar w:fldCharType="begin"/>
      </w:r>
      <w:r>
        <w:instrText xml:space="preserve"> HYPERLINK \l "_Toc24632" </w:instrText>
      </w:r>
      <w:r>
        <w:fldChar w:fldCharType="separate"/>
      </w:r>
      <w:r>
        <w:rPr>
          <w:rFonts w:hint="eastAsia"/>
        </w:rPr>
        <w:t>16、</w:t>
      </w:r>
      <w:r>
        <w:rPr>
          <w:rFonts w:hint="eastAsia"/>
          <w:lang w:eastAsia="zh-CN"/>
        </w:rPr>
        <w:t>交易响应</w:t>
      </w:r>
      <w:r>
        <w:rPr>
          <w:rFonts w:hint="eastAsia"/>
        </w:rPr>
        <w:t>担保</w:t>
      </w:r>
      <w:r>
        <w:rPr>
          <w:rFonts w:hint="eastAsia"/>
        </w:rPr>
        <w:fldChar w:fldCharType="end"/>
      </w:r>
    </w:p>
    <w:p w14:paraId="1BD00338">
      <w:pPr>
        <w:pStyle w:val="7"/>
        <w:tabs>
          <w:tab w:val="right" w:leader="hyphen" w:pos="4578"/>
        </w:tabs>
        <w:spacing w:line="240" w:lineRule="auto"/>
        <w:ind w:left="880"/>
      </w:pPr>
      <w:r>
        <w:fldChar w:fldCharType="begin"/>
      </w:r>
      <w:r>
        <w:instrText xml:space="preserve"> HYPERLINK \l "_Toc20563" </w:instrText>
      </w:r>
      <w:r>
        <w:fldChar w:fldCharType="separate"/>
      </w:r>
      <w:r>
        <w:rPr>
          <w:rFonts w:hint="eastAsia"/>
        </w:rPr>
        <w:t>17、</w:t>
      </w:r>
      <w:r>
        <w:rPr>
          <w:rFonts w:hint="eastAsia"/>
          <w:lang w:eastAsia="zh-CN"/>
        </w:rPr>
        <w:t>交易响应</w:t>
      </w:r>
      <w:r>
        <w:rPr>
          <w:rFonts w:hint="eastAsia"/>
        </w:rPr>
        <w:t>预备会（如有）</w:t>
      </w:r>
      <w:r>
        <w:rPr>
          <w:rFonts w:hint="eastAsia"/>
        </w:rPr>
        <w:fldChar w:fldCharType="end"/>
      </w:r>
    </w:p>
    <w:p w14:paraId="711F719A">
      <w:pPr>
        <w:pStyle w:val="7"/>
        <w:tabs>
          <w:tab w:val="right" w:leader="hyphen" w:pos="4578"/>
        </w:tabs>
        <w:spacing w:line="240" w:lineRule="auto"/>
        <w:ind w:left="880"/>
      </w:pPr>
      <w:r>
        <w:fldChar w:fldCharType="begin"/>
      </w:r>
      <w:r>
        <w:instrText xml:space="preserve"> HYPERLINK \l "_Toc1067" </w:instrText>
      </w:r>
      <w:r>
        <w:fldChar w:fldCharType="separate"/>
      </w:r>
      <w:r>
        <w:rPr>
          <w:rFonts w:hint="eastAsia"/>
        </w:rPr>
        <w:t>18、</w:t>
      </w:r>
      <w:r>
        <w:rPr>
          <w:rFonts w:hint="eastAsia"/>
          <w:lang w:eastAsia="zh-CN"/>
        </w:rPr>
        <w:t>交易响应</w:t>
      </w:r>
      <w:r>
        <w:rPr>
          <w:rFonts w:hint="eastAsia"/>
        </w:rPr>
        <w:t>人的替代方案</w:t>
      </w:r>
      <w:r>
        <w:rPr>
          <w:rFonts w:hint="eastAsia"/>
        </w:rPr>
        <w:fldChar w:fldCharType="end"/>
      </w:r>
    </w:p>
    <w:p w14:paraId="2063A745">
      <w:pPr>
        <w:pStyle w:val="7"/>
        <w:tabs>
          <w:tab w:val="right" w:leader="hyphen" w:pos="4578"/>
        </w:tabs>
        <w:spacing w:line="240" w:lineRule="auto"/>
        <w:ind w:left="880"/>
      </w:pPr>
      <w:r>
        <w:fldChar w:fldCharType="begin"/>
      </w:r>
      <w:r>
        <w:instrText xml:space="preserve"> HYPERLINK \l "_Toc25114" </w:instrText>
      </w:r>
      <w:r>
        <w:fldChar w:fldCharType="separate"/>
      </w:r>
      <w:r>
        <w:rPr>
          <w:rFonts w:hint="eastAsia"/>
        </w:rPr>
        <w:t>19、</w:t>
      </w:r>
      <w:r>
        <w:rPr>
          <w:rFonts w:hint="eastAsia"/>
          <w:lang w:eastAsia="zh-CN"/>
        </w:rPr>
        <w:t>交易响应</w:t>
      </w:r>
      <w:r>
        <w:rPr>
          <w:rFonts w:hint="eastAsia"/>
        </w:rPr>
        <w:t>文件的份数和签署</w:t>
      </w:r>
      <w:r>
        <w:rPr>
          <w:rFonts w:hint="eastAsia"/>
        </w:rPr>
        <w:fldChar w:fldCharType="end"/>
      </w:r>
    </w:p>
    <w:p w14:paraId="2E4EFCC6">
      <w:pPr>
        <w:pStyle w:val="10"/>
        <w:tabs>
          <w:tab w:val="right" w:leader="hyphen" w:pos="4578"/>
        </w:tabs>
        <w:spacing w:line="240" w:lineRule="auto"/>
        <w:ind w:left="440"/>
      </w:pPr>
      <w:r>
        <w:fldChar w:fldCharType="begin"/>
      </w:r>
      <w:r>
        <w:instrText xml:space="preserve"> HYPERLINK \l "_Toc2586" </w:instrText>
      </w:r>
      <w:r>
        <w:fldChar w:fldCharType="separate"/>
      </w:r>
      <w:r>
        <w:rPr>
          <w:rFonts w:hint="eastAsia"/>
        </w:rPr>
        <w:t>(四)</w:t>
      </w:r>
      <w:r>
        <w:rPr>
          <w:rFonts w:hint="eastAsia"/>
          <w:lang w:eastAsia="zh-CN"/>
        </w:rPr>
        <w:t>交易响应</w:t>
      </w:r>
      <w:r>
        <w:rPr>
          <w:rFonts w:hint="eastAsia"/>
        </w:rPr>
        <w:t>文件的递交</w:t>
      </w:r>
      <w:r>
        <w:rPr>
          <w:rFonts w:hint="eastAsia"/>
        </w:rPr>
        <w:fldChar w:fldCharType="end"/>
      </w:r>
    </w:p>
    <w:p w14:paraId="15109A27">
      <w:pPr>
        <w:pStyle w:val="7"/>
        <w:tabs>
          <w:tab w:val="right" w:leader="hyphen" w:pos="4578"/>
        </w:tabs>
        <w:spacing w:line="240" w:lineRule="auto"/>
        <w:ind w:left="880"/>
      </w:pPr>
      <w:r>
        <w:fldChar w:fldCharType="begin"/>
      </w:r>
      <w:r>
        <w:instrText xml:space="preserve"> HYPERLINK \l "_Toc542" </w:instrText>
      </w:r>
      <w:r>
        <w:fldChar w:fldCharType="separate"/>
      </w:r>
      <w:r>
        <w:rPr>
          <w:rFonts w:hint="eastAsia"/>
        </w:rPr>
        <w:t>20</w:t>
      </w:r>
      <w:r>
        <w:rPr>
          <w:rFonts w:hint="eastAsia" w:hAnsi="宋体"/>
          <w:bCs/>
        </w:rPr>
        <w:t>、</w:t>
      </w:r>
      <w:r>
        <w:rPr>
          <w:rFonts w:hint="eastAsia"/>
          <w:lang w:eastAsia="zh-CN"/>
        </w:rPr>
        <w:t>交易响应</w:t>
      </w:r>
      <w:r>
        <w:rPr>
          <w:rFonts w:hint="eastAsia"/>
        </w:rPr>
        <w:t>文件的密封和标记</w:t>
      </w:r>
      <w:r>
        <w:rPr>
          <w:rFonts w:hint="eastAsia"/>
        </w:rPr>
        <w:fldChar w:fldCharType="end"/>
      </w:r>
    </w:p>
    <w:p w14:paraId="68637496">
      <w:pPr>
        <w:pStyle w:val="7"/>
        <w:tabs>
          <w:tab w:val="right" w:leader="hyphen" w:pos="4578"/>
        </w:tabs>
        <w:spacing w:line="240" w:lineRule="auto"/>
        <w:ind w:left="880"/>
      </w:pPr>
      <w:r>
        <w:fldChar w:fldCharType="begin"/>
      </w:r>
      <w:r>
        <w:instrText xml:space="preserve"> HYPERLINK \l "_Toc27061" </w:instrText>
      </w:r>
      <w:r>
        <w:fldChar w:fldCharType="separate"/>
      </w:r>
      <w:r>
        <w:rPr>
          <w:rFonts w:hint="eastAsia"/>
        </w:rPr>
        <w:t>21、</w:t>
      </w:r>
      <w:r>
        <w:rPr>
          <w:rFonts w:hint="eastAsia"/>
          <w:lang w:eastAsia="zh-CN"/>
        </w:rPr>
        <w:t>交易响应</w:t>
      </w:r>
      <w:r>
        <w:rPr>
          <w:rFonts w:hint="eastAsia"/>
        </w:rPr>
        <w:t>截止日期</w:t>
      </w:r>
      <w:r>
        <w:rPr>
          <w:rFonts w:hint="eastAsia"/>
        </w:rPr>
        <w:fldChar w:fldCharType="end"/>
      </w:r>
    </w:p>
    <w:p w14:paraId="14D675F6">
      <w:pPr>
        <w:pStyle w:val="7"/>
        <w:tabs>
          <w:tab w:val="right" w:leader="hyphen" w:pos="4578"/>
        </w:tabs>
        <w:spacing w:line="240" w:lineRule="auto"/>
        <w:ind w:left="880"/>
      </w:pPr>
      <w:r>
        <w:fldChar w:fldCharType="begin"/>
      </w:r>
      <w:r>
        <w:instrText xml:space="preserve"> HYPERLINK \l "_Toc9462" </w:instrText>
      </w:r>
      <w:r>
        <w:fldChar w:fldCharType="separate"/>
      </w:r>
      <w:r>
        <w:rPr>
          <w:rFonts w:hint="eastAsia"/>
        </w:rPr>
        <w:t>22、迟交的</w:t>
      </w:r>
      <w:r>
        <w:rPr>
          <w:rFonts w:hint="eastAsia"/>
          <w:lang w:eastAsia="zh-CN"/>
        </w:rPr>
        <w:t>交易响应</w:t>
      </w:r>
      <w:r>
        <w:rPr>
          <w:rFonts w:hint="eastAsia"/>
        </w:rPr>
        <w:t>文件</w:t>
      </w:r>
      <w:r>
        <w:rPr>
          <w:rFonts w:hint="eastAsia"/>
        </w:rPr>
        <w:fldChar w:fldCharType="end"/>
      </w:r>
    </w:p>
    <w:p w14:paraId="7B26BA04">
      <w:pPr>
        <w:pStyle w:val="7"/>
        <w:tabs>
          <w:tab w:val="right" w:leader="hyphen" w:pos="4578"/>
        </w:tabs>
        <w:spacing w:line="240" w:lineRule="auto"/>
        <w:ind w:left="880"/>
      </w:pPr>
      <w:r>
        <w:fldChar w:fldCharType="begin"/>
      </w:r>
      <w:r>
        <w:instrText xml:space="preserve"> HYPERLINK \l "_Toc14930" </w:instrText>
      </w:r>
      <w:r>
        <w:fldChar w:fldCharType="separate"/>
      </w:r>
      <w:r>
        <w:rPr>
          <w:rFonts w:hint="eastAsia"/>
        </w:rPr>
        <w:t>23、</w:t>
      </w:r>
      <w:r>
        <w:rPr>
          <w:rFonts w:hint="eastAsia"/>
          <w:lang w:eastAsia="zh-CN"/>
        </w:rPr>
        <w:t>交易响应</w:t>
      </w:r>
      <w:r>
        <w:rPr>
          <w:rFonts w:hint="eastAsia"/>
        </w:rPr>
        <w:t>文件的补充、修改与撤回</w:t>
      </w:r>
      <w:r>
        <w:rPr>
          <w:rFonts w:hint="eastAsia"/>
        </w:rPr>
        <w:fldChar w:fldCharType="end"/>
      </w:r>
    </w:p>
    <w:p w14:paraId="77918608">
      <w:pPr>
        <w:pStyle w:val="7"/>
        <w:tabs>
          <w:tab w:val="right" w:leader="hyphen" w:pos="4578"/>
        </w:tabs>
        <w:spacing w:line="240" w:lineRule="auto"/>
        <w:ind w:left="880"/>
      </w:pPr>
      <w:r>
        <w:fldChar w:fldCharType="begin"/>
      </w:r>
      <w:r>
        <w:instrText xml:space="preserve"> HYPERLINK \l "_Toc3409" </w:instrText>
      </w:r>
      <w:r>
        <w:fldChar w:fldCharType="separate"/>
      </w:r>
      <w:r>
        <w:rPr>
          <w:rFonts w:hint="eastAsia"/>
        </w:rPr>
        <w:t>24、资格预审材料的更新</w:t>
      </w:r>
      <w:r>
        <w:rPr>
          <w:rFonts w:hint="eastAsia"/>
        </w:rPr>
        <w:fldChar w:fldCharType="end"/>
      </w:r>
    </w:p>
    <w:p w14:paraId="36704B33">
      <w:pPr>
        <w:pStyle w:val="10"/>
        <w:tabs>
          <w:tab w:val="right" w:leader="hyphen" w:pos="4578"/>
        </w:tabs>
        <w:spacing w:line="240" w:lineRule="auto"/>
        <w:ind w:left="440"/>
      </w:pPr>
      <w:r>
        <w:fldChar w:fldCharType="begin"/>
      </w:r>
      <w:r>
        <w:instrText xml:space="preserve"> HYPERLINK \l "_Toc25040" </w:instrText>
      </w:r>
      <w:r>
        <w:fldChar w:fldCharType="separate"/>
      </w:r>
      <w:r>
        <w:rPr>
          <w:rFonts w:hint="eastAsia"/>
          <w:bCs/>
        </w:rPr>
        <w:t>(五)</w:t>
      </w:r>
      <w:r>
        <w:rPr>
          <w:rFonts w:hint="eastAsia"/>
          <w:bCs/>
          <w:lang w:eastAsia="zh-CN"/>
        </w:rPr>
        <w:t>交易会议</w:t>
      </w:r>
      <w:r>
        <w:rPr>
          <w:rFonts w:hint="eastAsia"/>
          <w:bCs/>
          <w:lang w:eastAsia="zh-CN"/>
        </w:rPr>
        <w:fldChar w:fldCharType="end"/>
      </w:r>
    </w:p>
    <w:p w14:paraId="2F3C8C5E">
      <w:pPr>
        <w:pStyle w:val="7"/>
        <w:tabs>
          <w:tab w:val="right" w:leader="hyphen" w:pos="4578"/>
        </w:tabs>
        <w:spacing w:line="240" w:lineRule="auto"/>
        <w:ind w:left="880"/>
      </w:pPr>
      <w:r>
        <w:fldChar w:fldCharType="begin"/>
      </w:r>
      <w:r>
        <w:instrText xml:space="preserve"> HYPERLINK \l "_Toc10195" </w:instrText>
      </w:r>
      <w:r>
        <w:fldChar w:fldCharType="separate"/>
      </w:r>
      <w:r>
        <w:rPr>
          <w:rFonts w:hint="eastAsia"/>
        </w:rPr>
        <w:t>25、</w:t>
      </w:r>
      <w:r>
        <w:rPr>
          <w:rFonts w:hint="eastAsia"/>
          <w:lang w:eastAsia="zh-CN"/>
        </w:rPr>
        <w:t>交易会议</w:t>
      </w:r>
      <w:r>
        <w:rPr>
          <w:rFonts w:hint="eastAsia"/>
          <w:lang w:eastAsia="zh-CN"/>
        </w:rPr>
        <w:fldChar w:fldCharType="end"/>
      </w:r>
    </w:p>
    <w:p w14:paraId="685EF626">
      <w:pPr>
        <w:pStyle w:val="7"/>
        <w:tabs>
          <w:tab w:val="right" w:leader="hyphen" w:pos="4578"/>
        </w:tabs>
        <w:spacing w:line="240" w:lineRule="auto"/>
        <w:ind w:left="880"/>
      </w:pPr>
      <w:r>
        <w:fldChar w:fldCharType="begin"/>
      </w:r>
      <w:r>
        <w:instrText xml:space="preserve"> HYPERLINK \l "_Toc18294" </w:instrText>
      </w:r>
      <w:r>
        <w:fldChar w:fldCharType="separate"/>
      </w:r>
      <w:r>
        <w:rPr>
          <w:rFonts w:hint="eastAsia"/>
        </w:rPr>
        <w:t>26、</w:t>
      </w:r>
      <w:r>
        <w:rPr>
          <w:rFonts w:hint="eastAsia"/>
          <w:lang w:eastAsia="zh-CN"/>
        </w:rPr>
        <w:t>交易响应</w:t>
      </w:r>
      <w:r>
        <w:rPr>
          <w:rFonts w:hint="eastAsia"/>
        </w:rPr>
        <w:t>文件的</w:t>
      </w:r>
      <w:r>
        <w:rPr>
          <w:rFonts w:hint="eastAsia"/>
          <w:lang w:eastAsia="zh-CN"/>
        </w:rPr>
        <w:t>交易会议</w:t>
      </w:r>
      <w:r>
        <w:rPr>
          <w:rFonts w:hint="eastAsia"/>
        </w:rPr>
        <w:t>阶段审查</w:t>
      </w:r>
      <w:r>
        <w:rPr>
          <w:rFonts w:hint="eastAsia"/>
        </w:rPr>
        <w:fldChar w:fldCharType="end"/>
      </w:r>
    </w:p>
    <w:p w14:paraId="1D0659C6">
      <w:pPr>
        <w:pStyle w:val="10"/>
        <w:tabs>
          <w:tab w:val="right" w:leader="hyphen" w:pos="4578"/>
        </w:tabs>
        <w:spacing w:line="240" w:lineRule="auto"/>
        <w:ind w:left="440"/>
      </w:pPr>
      <w:r>
        <w:fldChar w:fldCharType="begin"/>
      </w:r>
      <w:r>
        <w:instrText xml:space="preserve"> HYPERLINK \l "_Toc7928" </w:instrText>
      </w:r>
      <w:r>
        <w:fldChar w:fldCharType="separate"/>
      </w:r>
      <w:r>
        <w:rPr>
          <w:rFonts w:hint="eastAsia"/>
          <w:bCs/>
        </w:rPr>
        <w:t>(六)</w:t>
      </w:r>
      <w:r>
        <w:rPr>
          <w:rFonts w:hint="eastAsia"/>
          <w:bCs/>
          <w:lang w:eastAsia="zh-CN"/>
        </w:rPr>
        <w:t>评审</w:t>
      </w:r>
      <w:r>
        <w:rPr>
          <w:rFonts w:hint="eastAsia"/>
          <w:bCs/>
          <w:lang w:eastAsia="zh-CN"/>
        </w:rPr>
        <w:fldChar w:fldCharType="end"/>
      </w:r>
    </w:p>
    <w:p w14:paraId="0A429A88">
      <w:pPr>
        <w:pStyle w:val="7"/>
        <w:tabs>
          <w:tab w:val="right" w:leader="hyphen" w:pos="4578"/>
        </w:tabs>
        <w:spacing w:line="240" w:lineRule="auto"/>
        <w:ind w:left="880"/>
      </w:pPr>
      <w:r>
        <w:fldChar w:fldCharType="begin"/>
      </w:r>
      <w:r>
        <w:instrText xml:space="preserve"> HYPERLINK \l "_Toc4833" </w:instrText>
      </w:r>
      <w:r>
        <w:fldChar w:fldCharType="separate"/>
      </w:r>
      <w:r>
        <w:rPr>
          <w:rFonts w:hint="eastAsia" w:hAnsi="宋体"/>
          <w:bCs/>
        </w:rPr>
        <w:t>27、</w:t>
      </w:r>
      <w:r>
        <w:rPr>
          <w:rFonts w:hint="eastAsia" w:hAnsi="宋体"/>
          <w:bCs/>
          <w:lang w:eastAsia="zh-CN"/>
        </w:rPr>
        <w:t>评审</w:t>
      </w:r>
      <w:r>
        <w:rPr>
          <w:rFonts w:hint="eastAsia" w:hAnsi="宋体"/>
          <w:bCs/>
        </w:rPr>
        <w:t>会议</w:t>
      </w:r>
      <w:r>
        <w:rPr>
          <w:rFonts w:hint="eastAsia" w:hAnsi="宋体"/>
          <w:bCs/>
        </w:rPr>
        <w:fldChar w:fldCharType="end"/>
      </w:r>
    </w:p>
    <w:p w14:paraId="5024A250">
      <w:pPr>
        <w:pStyle w:val="7"/>
        <w:tabs>
          <w:tab w:val="right" w:leader="hyphen" w:pos="4578"/>
        </w:tabs>
        <w:spacing w:line="240" w:lineRule="auto"/>
        <w:ind w:left="880"/>
      </w:pPr>
      <w:r>
        <w:fldChar w:fldCharType="begin"/>
      </w:r>
      <w:r>
        <w:instrText xml:space="preserve"> HYPERLINK \l "_Toc11983" </w:instrText>
      </w:r>
      <w:r>
        <w:fldChar w:fldCharType="separate"/>
      </w:r>
      <w:r>
        <w:rPr>
          <w:rFonts w:hint="eastAsia" w:hAnsi="宋体"/>
          <w:bCs/>
        </w:rPr>
        <w:t>28、</w:t>
      </w:r>
      <w:r>
        <w:rPr>
          <w:rFonts w:hint="eastAsia" w:hAnsi="宋体"/>
          <w:bCs/>
          <w:lang w:eastAsia="zh-CN"/>
        </w:rPr>
        <w:t>评审</w:t>
      </w:r>
      <w:r>
        <w:rPr>
          <w:rFonts w:hint="eastAsia" w:hAnsi="宋体"/>
          <w:bCs/>
        </w:rPr>
        <w:t>过程的保密</w:t>
      </w:r>
      <w:r>
        <w:rPr>
          <w:rFonts w:hint="eastAsia" w:hAnsi="宋体"/>
          <w:bCs/>
        </w:rPr>
        <w:fldChar w:fldCharType="end"/>
      </w:r>
    </w:p>
    <w:p w14:paraId="6CD24FE4">
      <w:pPr>
        <w:pStyle w:val="7"/>
        <w:tabs>
          <w:tab w:val="right" w:leader="hyphen" w:pos="4578"/>
        </w:tabs>
        <w:spacing w:line="240" w:lineRule="auto"/>
        <w:ind w:left="880"/>
      </w:pPr>
      <w:r>
        <w:fldChar w:fldCharType="begin"/>
      </w:r>
      <w:r>
        <w:instrText xml:space="preserve"> HYPERLINK \l "_Toc32569" </w:instrText>
      </w:r>
      <w:r>
        <w:fldChar w:fldCharType="separate"/>
      </w:r>
      <w:r>
        <w:rPr>
          <w:rFonts w:hint="eastAsia" w:hAnsi="宋体"/>
          <w:bCs/>
        </w:rPr>
        <w:t>29、资格后审</w:t>
      </w:r>
      <w:r>
        <w:rPr>
          <w:rFonts w:hint="eastAsia" w:hAnsi="宋体"/>
          <w:bCs/>
        </w:rPr>
        <w:fldChar w:fldCharType="end"/>
      </w:r>
    </w:p>
    <w:p w14:paraId="7FB85F71">
      <w:pPr>
        <w:pStyle w:val="7"/>
        <w:tabs>
          <w:tab w:val="right" w:leader="hyphen" w:pos="4578"/>
        </w:tabs>
        <w:spacing w:line="240" w:lineRule="auto"/>
        <w:ind w:left="880"/>
      </w:pPr>
      <w:r>
        <w:fldChar w:fldCharType="begin"/>
      </w:r>
      <w:r>
        <w:instrText xml:space="preserve"> HYPERLINK \l "_Toc16333" </w:instrText>
      </w:r>
      <w:r>
        <w:fldChar w:fldCharType="separate"/>
      </w:r>
      <w:r>
        <w:rPr>
          <w:rFonts w:hint="eastAsia" w:hAnsi="宋体"/>
          <w:bCs/>
        </w:rPr>
        <w:t>30、</w:t>
      </w:r>
      <w:r>
        <w:rPr>
          <w:rFonts w:hint="eastAsia" w:hAnsi="宋体"/>
          <w:bCs/>
          <w:lang w:eastAsia="zh-CN"/>
        </w:rPr>
        <w:t>交易响应</w:t>
      </w:r>
      <w:r>
        <w:rPr>
          <w:rFonts w:hint="eastAsia" w:hAnsi="宋体"/>
          <w:bCs/>
        </w:rPr>
        <w:t>文件的澄清</w:t>
      </w:r>
      <w:r>
        <w:rPr>
          <w:rFonts w:hint="eastAsia" w:hAnsi="宋体"/>
          <w:bCs/>
        </w:rPr>
        <w:fldChar w:fldCharType="end"/>
      </w:r>
    </w:p>
    <w:p w14:paraId="034ED1E7">
      <w:pPr>
        <w:pStyle w:val="7"/>
        <w:tabs>
          <w:tab w:val="right" w:leader="hyphen" w:pos="4578"/>
        </w:tabs>
        <w:spacing w:line="240" w:lineRule="auto"/>
        <w:ind w:left="880"/>
      </w:pPr>
      <w:r>
        <w:fldChar w:fldCharType="begin"/>
      </w:r>
      <w:r>
        <w:instrText xml:space="preserve"> HYPERLINK \l "_Toc19787" </w:instrText>
      </w:r>
      <w:r>
        <w:fldChar w:fldCharType="separate"/>
      </w:r>
      <w:r>
        <w:rPr>
          <w:rFonts w:hint="eastAsia" w:hAnsi="宋体"/>
          <w:bCs/>
        </w:rPr>
        <w:t>31、</w:t>
      </w:r>
      <w:r>
        <w:rPr>
          <w:rFonts w:hint="eastAsia" w:hAnsi="宋体"/>
          <w:bCs/>
          <w:lang w:eastAsia="zh-CN"/>
        </w:rPr>
        <w:t>交易响应</w:t>
      </w:r>
      <w:r>
        <w:rPr>
          <w:rFonts w:hint="eastAsia" w:hAnsi="宋体"/>
          <w:bCs/>
        </w:rPr>
        <w:t>文件的符合性鉴定</w:t>
      </w:r>
      <w:r>
        <w:rPr>
          <w:rFonts w:hint="eastAsia" w:hAnsi="宋体"/>
          <w:bCs/>
        </w:rPr>
        <w:fldChar w:fldCharType="end"/>
      </w:r>
    </w:p>
    <w:p w14:paraId="14619D46">
      <w:pPr>
        <w:pStyle w:val="7"/>
        <w:tabs>
          <w:tab w:val="right" w:leader="hyphen" w:pos="4578"/>
        </w:tabs>
        <w:spacing w:line="240" w:lineRule="auto"/>
        <w:ind w:left="880"/>
      </w:pPr>
      <w:r>
        <w:fldChar w:fldCharType="begin"/>
      </w:r>
      <w:r>
        <w:instrText xml:space="preserve"> HYPERLINK \l "_Toc18703" </w:instrText>
      </w:r>
      <w:r>
        <w:fldChar w:fldCharType="separate"/>
      </w:r>
      <w:r>
        <w:rPr>
          <w:rFonts w:hint="eastAsia" w:hAnsi="宋体"/>
          <w:bCs/>
        </w:rPr>
        <w:t>32、错误的修正</w:t>
      </w:r>
      <w:r>
        <w:rPr>
          <w:rFonts w:hint="eastAsia" w:hAnsi="宋体"/>
          <w:bCs/>
        </w:rPr>
        <w:fldChar w:fldCharType="end"/>
      </w:r>
    </w:p>
    <w:p w14:paraId="6FB7D6D1">
      <w:pPr>
        <w:pStyle w:val="7"/>
        <w:tabs>
          <w:tab w:val="right" w:leader="hyphen" w:pos="4578"/>
        </w:tabs>
        <w:spacing w:line="240" w:lineRule="auto"/>
        <w:ind w:left="880"/>
      </w:pPr>
      <w:r>
        <w:fldChar w:fldCharType="begin"/>
      </w:r>
      <w:r>
        <w:instrText xml:space="preserve"> HYPERLINK \l "_Toc29499" </w:instrText>
      </w:r>
      <w:r>
        <w:fldChar w:fldCharType="separate"/>
      </w:r>
      <w:r>
        <w:rPr>
          <w:rFonts w:hint="eastAsia" w:hAnsi="宋体"/>
          <w:bCs/>
        </w:rPr>
        <w:t>33、</w:t>
      </w:r>
      <w:r>
        <w:rPr>
          <w:rFonts w:hint="eastAsia" w:hAnsi="宋体"/>
          <w:bCs/>
          <w:lang w:eastAsia="zh-CN"/>
        </w:rPr>
        <w:t>交易响应</w:t>
      </w:r>
      <w:r>
        <w:rPr>
          <w:rFonts w:hint="eastAsia" w:hAnsi="宋体"/>
          <w:bCs/>
        </w:rPr>
        <w:t>文件的评估和比较</w:t>
      </w:r>
      <w:r>
        <w:rPr>
          <w:rFonts w:hint="eastAsia" w:hAnsi="宋体"/>
          <w:bCs/>
        </w:rPr>
        <w:fldChar w:fldCharType="end"/>
      </w:r>
    </w:p>
    <w:p w14:paraId="7BD266B1">
      <w:pPr>
        <w:pStyle w:val="10"/>
        <w:tabs>
          <w:tab w:val="right" w:leader="hyphen" w:pos="4578"/>
        </w:tabs>
        <w:spacing w:line="240" w:lineRule="auto"/>
        <w:ind w:left="440"/>
      </w:pPr>
      <w:r>
        <w:fldChar w:fldCharType="begin"/>
      </w:r>
      <w:r>
        <w:instrText xml:space="preserve"> HYPERLINK \l "_Toc15802" </w:instrText>
      </w:r>
      <w:r>
        <w:fldChar w:fldCharType="separate"/>
      </w:r>
      <w:r>
        <w:rPr>
          <w:rFonts w:hint="eastAsia"/>
          <w:bCs/>
        </w:rPr>
        <w:t>(七)合同的授予</w:t>
      </w:r>
      <w:r>
        <w:rPr>
          <w:rFonts w:hint="eastAsia"/>
          <w:bCs/>
        </w:rPr>
        <w:fldChar w:fldCharType="end"/>
      </w:r>
    </w:p>
    <w:p w14:paraId="542DF82F">
      <w:pPr>
        <w:pStyle w:val="7"/>
        <w:tabs>
          <w:tab w:val="right" w:leader="hyphen" w:pos="4578"/>
        </w:tabs>
        <w:spacing w:line="240" w:lineRule="auto"/>
        <w:ind w:left="880"/>
      </w:pPr>
      <w:r>
        <w:fldChar w:fldCharType="begin"/>
      </w:r>
      <w:r>
        <w:instrText xml:space="preserve"> HYPERLINK \l "_Toc24293" </w:instrText>
      </w:r>
      <w:r>
        <w:fldChar w:fldCharType="separate"/>
      </w:r>
      <w:r>
        <w:rPr>
          <w:rFonts w:hint="eastAsia" w:hAnsi="宋体"/>
          <w:bCs/>
        </w:rPr>
        <w:t>34、合同授予标准</w:t>
      </w:r>
      <w:r>
        <w:rPr>
          <w:rFonts w:hint="eastAsia" w:hAnsi="宋体"/>
          <w:bCs/>
        </w:rPr>
        <w:fldChar w:fldCharType="end"/>
      </w:r>
    </w:p>
    <w:p w14:paraId="5D380651">
      <w:pPr>
        <w:pStyle w:val="7"/>
        <w:tabs>
          <w:tab w:val="right" w:leader="hyphen" w:pos="4578"/>
        </w:tabs>
        <w:spacing w:line="240" w:lineRule="auto"/>
        <w:ind w:left="880"/>
      </w:pPr>
      <w:r>
        <w:fldChar w:fldCharType="begin"/>
      </w:r>
      <w:r>
        <w:instrText xml:space="preserve"> HYPERLINK \l "_Toc9825" </w:instrText>
      </w:r>
      <w:r>
        <w:fldChar w:fldCharType="separate"/>
      </w:r>
      <w:r>
        <w:rPr>
          <w:rFonts w:hint="eastAsia" w:hAnsi="宋体"/>
          <w:bCs/>
        </w:rPr>
        <w:t>35</w:t>
      </w:r>
      <w:r>
        <w:rPr>
          <w:rFonts w:hint="eastAsia" w:hAnsi="宋体"/>
        </w:rPr>
        <w:t>、</w:t>
      </w:r>
      <w:r>
        <w:rPr>
          <w:rFonts w:hint="eastAsia" w:hAnsi="宋体"/>
          <w:bCs/>
          <w:lang w:eastAsia="zh-CN"/>
        </w:rPr>
        <w:t>交易发起人</w:t>
      </w:r>
      <w:r>
        <w:rPr>
          <w:rFonts w:hint="eastAsia" w:hAnsi="宋体"/>
          <w:bCs/>
        </w:rPr>
        <w:t>拒绝任何或所有</w:t>
      </w:r>
      <w:r>
        <w:rPr>
          <w:rFonts w:hint="eastAsia" w:hAnsi="宋体"/>
          <w:bCs/>
          <w:lang w:eastAsia="zh-CN"/>
        </w:rPr>
        <w:t>交易响应</w:t>
      </w:r>
      <w:r>
        <w:rPr>
          <w:rFonts w:hint="eastAsia" w:hAnsi="宋体"/>
          <w:bCs/>
        </w:rPr>
        <w:t>的权力</w:t>
      </w:r>
      <w:r>
        <w:rPr>
          <w:rFonts w:hint="eastAsia" w:hAnsi="宋体"/>
          <w:bCs/>
        </w:rPr>
        <w:fldChar w:fldCharType="end"/>
      </w:r>
    </w:p>
    <w:p w14:paraId="01260F4A">
      <w:pPr>
        <w:pStyle w:val="7"/>
        <w:tabs>
          <w:tab w:val="right" w:leader="hyphen" w:pos="4578"/>
        </w:tabs>
        <w:spacing w:line="240" w:lineRule="auto"/>
        <w:ind w:left="880"/>
      </w:pPr>
      <w:r>
        <w:fldChar w:fldCharType="begin"/>
      </w:r>
      <w:r>
        <w:instrText xml:space="preserve"> HYPERLINK \l "_Toc2086" </w:instrText>
      </w:r>
      <w:r>
        <w:fldChar w:fldCharType="separate"/>
      </w:r>
      <w:r>
        <w:rPr>
          <w:rFonts w:hint="eastAsia" w:hAnsi="宋体"/>
          <w:bCs/>
        </w:rPr>
        <w:t>36、</w:t>
      </w:r>
      <w:r>
        <w:rPr>
          <w:rFonts w:hint="eastAsia" w:hAnsi="宋体"/>
          <w:bCs/>
          <w:lang w:eastAsia="zh-CN"/>
        </w:rPr>
        <w:t>成交</w:t>
      </w:r>
      <w:r>
        <w:rPr>
          <w:rFonts w:hint="eastAsia" w:hAnsi="宋体"/>
          <w:bCs/>
        </w:rPr>
        <w:t>通知书</w:t>
      </w:r>
      <w:r>
        <w:rPr>
          <w:rFonts w:hint="eastAsia" w:hAnsi="宋体"/>
          <w:bCs/>
        </w:rPr>
        <w:fldChar w:fldCharType="end"/>
      </w:r>
    </w:p>
    <w:p w14:paraId="46774F1D">
      <w:pPr>
        <w:pStyle w:val="7"/>
        <w:tabs>
          <w:tab w:val="right" w:leader="hyphen" w:pos="4578"/>
        </w:tabs>
        <w:spacing w:line="240" w:lineRule="auto"/>
        <w:ind w:left="880"/>
      </w:pPr>
      <w:r>
        <w:fldChar w:fldCharType="begin"/>
      </w:r>
      <w:r>
        <w:instrText xml:space="preserve"> HYPERLINK \l "_Toc20122" </w:instrText>
      </w:r>
      <w:r>
        <w:fldChar w:fldCharType="separate"/>
      </w:r>
      <w:r>
        <w:rPr>
          <w:rFonts w:hint="eastAsia" w:hAnsi="宋体"/>
          <w:bCs/>
        </w:rPr>
        <w:t>37、合同协议书的签订</w:t>
      </w:r>
      <w:r>
        <w:rPr>
          <w:rFonts w:hint="eastAsia" w:hAnsi="宋体"/>
          <w:bCs/>
        </w:rPr>
        <w:fldChar w:fldCharType="end"/>
      </w:r>
    </w:p>
    <w:p w14:paraId="4D93946A">
      <w:pPr>
        <w:pStyle w:val="7"/>
        <w:tabs>
          <w:tab w:val="right" w:leader="hyphen" w:pos="4578"/>
        </w:tabs>
        <w:spacing w:line="240" w:lineRule="auto"/>
        <w:ind w:left="880"/>
      </w:pPr>
      <w:r>
        <w:fldChar w:fldCharType="begin"/>
      </w:r>
      <w:r>
        <w:instrText xml:space="preserve"> HYPERLINK \l "_Toc15019" </w:instrText>
      </w:r>
      <w:r>
        <w:fldChar w:fldCharType="separate"/>
      </w:r>
      <w:r>
        <w:rPr>
          <w:rFonts w:hint="eastAsia" w:hAnsi="宋体"/>
        </w:rPr>
        <w:t>38、履约担保</w:t>
      </w:r>
      <w:r>
        <w:rPr>
          <w:rFonts w:hint="eastAsia" w:hAnsi="宋体"/>
        </w:rPr>
        <w:fldChar w:fldCharType="end"/>
      </w:r>
    </w:p>
    <w:p w14:paraId="44A3482F">
      <w:pPr>
        <w:pStyle w:val="2"/>
        <w:tabs>
          <w:tab w:val="right" w:leader="hyphen" w:pos="4578"/>
        </w:tabs>
        <w:spacing w:line="240" w:lineRule="auto"/>
      </w:pPr>
      <w:r>
        <w:fldChar w:fldCharType="begin"/>
      </w:r>
      <w:r>
        <w:instrText xml:space="preserve"> HYPERLINK \l "_Toc28704" </w:instrText>
      </w:r>
      <w:r>
        <w:fldChar w:fldCharType="separate"/>
      </w:r>
      <w:r>
        <w:rPr>
          <w:rFonts w:hint="eastAsia"/>
        </w:rPr>
        <w:t>三、</w:t>
      </w:r>
      <w:r>
        <w:rPr>
          <w:rFonts w:hint="eastAsia"/>
          <w:lang w:eastAsia="zh-CN"/>
        </w:rPr>
        <w:t>交易发起人</w:t>
      </w:r>
      <w:r>
        <w:rPr>
          <w:rFonts w:hint="eastAsia"/>
        </w:rPr>
        <w:t>针对本工程的特殊要求</w:t>
      </w:r>
      <w:r>
        <w:rPr>
          <w:rFonts w:hint="eastAsia"/>
        </w:rPr>
        <w:fldChar w:fldCharType="end"/>
      </w:r>
    </w:p>
    <w:p w14:paraId="772CB8C0">
      <w:pPr>
        <w:pStyle w:val="2"/>
        <w:tabs>
          <w:tab w:val="right" w:leader="hyphen" w:pos="4578"/>
        </w:tabs>
        <w:spacing w:line="240" w:lineRule="auto"/>
      </w:pPr>
      <w:r>
        <w:fldChar w:fldCharType="begin"/>
      </w:r>
      <w:r>
        <w:instrText xml:space="preserve"> HYPERLINK \l "_Toc31478" </w:instrText>
      </w:r>
      <w:r>
        <w:fldChar w:fldCharType="separate"/>
      </w:r>
      <w:r>
        <w:rPr>
          <w:rFonts w:hint="eastAsia"/>
        </w:rPr>
        <w:t>四、资格后审</w:t>
      </w:r>
      <w:r>
        <w:rPr>
          <w:rFonts w:hint="eastAsia"/>
          <w:lang w:eastAsia="zh-CN"/>
        </w:rPr>
        <w:t>评审</w:t>
      </w:r>
      <w:r>
        <w:rPr>
          <w:rFonts w:hint="eastAsia"/>
        </w:rPr>
        <w:t>方法</w:t>
      </w:r>
      <w:r>
        <w:rPr>
          <w:rFonts w:hint="eastAsia"/>
        </w:rPr>
        <w:fldChar w:fldCharType="end"/>
      </w:r>
    </w:p>
    <w:p w14:paraId="2F4BD8A4">
      <w:pPr>
        <w:pStyle w:val="2"/>
        <w:tabs>
          <w:tab w:val="right" w:leader="hyphen" w:pos="4578"/>
        </w:tabs>
        <w:spacing w:line="240" w:lineRule="auto"/>
      </w:pPr>
      <w:r>
        <w:fldChar w:fldCharType="begin"/>
      </w:r>
      <w:r>
        <w:instrText xml:space="preserve"> HYPERLINK \l "_Toc20544" </w:instrText>
      </w:r>
      <w:r>
        <w:fldChar w:fldCharType="separate"/>
      </w:r>
      <w:r>
        <w:rPr>
          <w:rFonts w:hint="eastAsia" w:ascii="宋体" w:hAnsi="宋体" w:cs="Courier New"/>
          <w:szCs w:val="30"/>
        </w:rPr>
        <w:t>五、合同条款</w:t>
      </w:r>
      <w:r>
        <w:rPr>
          <w:rFonts w:hint="eastAsia" w:ascii="宋体" w:hAnsi="宋体" w:cs="Courier New"/>
          <w:szCs w:val="30"/>
        </w:rPr>
        <w:fldChar w:fldCharType="end"/>
      </w:r>
    </w:p>
    <w:p w14:paraId="12BF3917">
      <w:pPr>
        <w:pStyle w:val="2"/>
        <w:tabs>
          <w:tab w:val="right" w:leader="hyphen" w:pos="4578"/>
        </w:tabs>
        <w:spacing w:line="240" w:lineRule="auto"/>
      </w:pPr>
      <w:r>
        <w:fldChar w:fldCharType="begin"/>
      </w:r>
      <w:r>
        <w:instrText xml:space="preserve"> HYPERLINK \l "_Toc18611" </w:instrText>
      </w:r>
      <w:r>
        <w:fldChar w:fldCharType="separate"/>
      </w:r>
      <w:r>
        <w:rPr>
          <w:rFonts w:hint="eastAsia"/>
          <w:szCs w:val="32"/>
        </w:rPr>
        <w:t>六、</w:t>
      </w:r>
      <w:r>
        <w:rPr>
          <w:rFonts w:hint="eastAsia"/>
          <w:szCs w:val="32"/>
          <w:lang w:eastAsia="zh-CN"/>
        </w:rPr>
        <w:t>交易响应</w:t>
      </w:r>
      <w:r>
        <w:rPr>
          <w:rFonts w:hint="eastAsia"/>
          <w:szCs w:val="32"/>
        </w:rPr>
        <w:t>文件格式</w:t>
      </w:r>
      <w:r>
        <w:rPr>
          <w:rFonts w:hint="eastAsia"/>
          <w:szCs w:val="32"/>
        </w:rPr>
        <w:fldChar w:fldCharType="end"/>
      </w:r>
    </w:p>
    <w:p w14:paraId="75AA483D">
      <w:pPr>
        <w:spacing w:line="420" w:lineRule="auto"/>
        <w:rPr>
          <w:szCs w:val="21"/>
        </w:rPr>
        <w:sectPr>
          <w:type w:val="continuous"/>
          <w:pgSz w:w="11906" w:h="16838"/>
          <w:pgMar w:top="1304" w:right="1134" w:bottom="1134" w:left="1191" w:header="851" w:footer="992" w:gutter="0"/>
          <w:pgNumType w:fmt="numberInDash"/>
          <w:cols w:space="425" w:num="2"/>
          <w:docGrid w:linePitch="312" w:charSpace="0"/>
        </w:sectPr>
      </w:pPr>
      <w:r>
        <w:rPr>
          <w:rFonts w:ascii="宋体" w:hAnsi="宋体"/>
          <w:szCs w:val="21"/>
        </w:rPr>
        <w:fldChar w:fldCharType="end"/>
      </w:r>
    </w:p>
    <w:p w14:paraId="4E88ADBC">
      <w:pPr>
        <w:rPr>
          <w:szCs w:val="21"/>
        </w:rPr>
        <w:sectPr>
          <w:type w:val="continuous"/>
          <w:pgSz w:w="11906" w:h="16838"/>
          <w:pgMar w:top="1304" w:right="1134" w:bottom="1134" w:left="1191" w:header="851" w:footer="992" w:gutter="0"/>
          <w:pgNumType w:fmt="numberInDash"/>
          <w:cols w:space="720" w:num="1"/>
          <w:docGrid w:linePitch="312" w:charSpace="0"/>
        </w:sectPr>
      </w:pPr>
    </w:p>
    <w:p w14:paraId="34A0A5D9">
      <w:pPr>
        <w:jc w:val="center"/>
        <w:outlineLvl w:val="0"/>
        <w:rPr>
          <w:rFonts w:ascii="宋体" w:hAnsi="宋体"/>
          <w:sz w:val="36"/>
          <w:szCs w:val="36"/>
        </w:rPr>
      </w:pPr>
      <w:bookmarkStart w:id="14" w:name="_Toc26937"/>
      <w:bookmarkStart w:id="15" w:name="_Toc365884060"/>
      <w:r>
        <w:rPr>
          <w:rFonts w:hint="eastAsia" w:ascii="宋体" w:hAnsi="宋体"/>
          <w:sz w:val="36"/>
          <w:szCs w:val="36"/>
        </w:rPr>
        <w:t>一、前附表</w:t>
      </w:r>
      <w:bookmarkEnd w:id="14"/>
      <w:bookmarkEnd w:id="15"/>
    </w:p>
    <w:p w14:paraId="1C901E54">
      <w:pPr>
        <w:jc w:val="center"/>
        <w:rPr>
          <w:rFonts w:ascii="宋体" w:hAnsi="宋体"/>
          <w:b/>
          <w:sz w:val="32"/>
          <w:szCs w:val="32"/>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988"/>
        <w:gridCol w:w="1792"/>
        <w:gridCol w:w="6366"/>
      </w:tblGrid>
      <w:tr w14:paraId="06831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blHeader/>
        </w:trPr>
        <w:tc>
          <w:tcPr>
            <w:tcW w:w="878" w:type="dxa"/>
            <w:vAlign w:val="center"/>
          </w:tcPr>
          <w:p w14:paraId="5178A5A3">
            <w:pPr>
              <w:pStyle w:val="8"/>
              <w:jc w:val="center"/>
              <w:rPr>
                <w:rFonts w:hAnsi="宋体"/>
                <w:b/>
                <w:bCs/>
              </w:rPr>
            </w:pPr>
            <w:r>
              <w:rPr>
                <w:rFonts w:hint="eastAsia" w:hAnsi="宋体"/>
                <w:b/>
                <w:bCs/>
              </w:rPr>
              <w:t>项号</w:t>
            </w:r>
          </w:p>
        </w:tc>
        <w:tc>
          <w:tcPr>
            <w:tcW w:w="988" w:type="dxa"/>
            <w:vAlign w:val="center"/>
          </w:tcPr>
          <w:p w14:paraId="187FD462">
            <w:pPr>
              <w:pStyle w:val="8"/>
              <w:jc w:val="center"/>
              <w:rPr>
                <w:rFonts w:hAnsi="宋体"/>
                <w:b/>
                <w:bCs/>
              </w:rPr>
            </w:pPr>
            <w:r>
              <w:rPr>
                <w:rFonts w:hint="eastAsia" w:hAnsi="宋体"/>
                <w:b/>
                <w:bCs/>
              </w:rPr>
              <w:t>条款号</w:t>
            </w:r>
          </w:p>
        </w:tc>
        <w:tc>
          <w:tcPr>
            <w:tcW w:w="1792" w:type="dxa"/>
            <w:vAlign w:val="center"/>
          </w:tcPr>
          <w:p w14:paraId="70F33E36">
            <w:pPr>
              <w:pStyle w:val="8"/>
              <w:jc w:val="center"/>
              <w:rPr>
                <w:rFonts w:hAnsi="宋体"/>
                <w:b/>
                <w:bCs/>
              </w:rPr>
            </w:pPr>
            <w:r>
              <w:rPr>
                <w:rFonts w:hint="eastAsia" w:hAnsi="宋体"/>
                <w:b/>
                <w:bCs/>
              </w:rPr>
              <w:t>内容</w:t>
            </w:r>
          </w:p>
        </w:tc>
        <w:tc>
          <w:tcPr>
            <w:tcW w:w="6366" w:type="dxa"/>
            <w:vAlign w:val="center"/>
          </w:tcPr>
          <w:p w14:paraId="4C42DA9F">
            <w:pPr>
              <w:pStyle w:val="8"/>
              <w:jc w:val="center"/>
              <w:rPr>
                <w:rFonts w:hAnsi="宋体"/>
                <w:b/>
                <w:bCs/>
              </w:rPr>
            </w:pPr>
            <w:r>
              <w:rPr>
                <w:rFonts w:hint="eastAsia" w:hAnsi="宋体"/>
                <w:b/>
                <w:bCs/>
              </w:rPr>
              <w:t>说明与要求</w:t>
            </w:r>
          </w:p>
        </w:tc>
      </w:tr>
      <w:tr w14:paraId="4C362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78" w:type="dxa"/>
            <w:vAlign w:val="center"/>
          </w:tcPr>
          <w:p w14:paraId="7FE3F1E1">
            <w:pPr>
              <w:pStyle w:val="8"/>
              <w:jc w:val="center"/>
              <w:rPr>
                <w:rFonts w:hAnsi="宋体"/>
                <w:b/>
                <w:bCs/>
              </w:rPr>
            </w:pPr>
            <w:r>
              <w:rPr>
                <w:rFonts w:hint="eastAsia" w:hAnsi="宋体"/>
                <w:b/>
                <w:bCs/>
              </w:rPr>
              <w:t>1</w:t>
            </w:r>
          </w:p>
        </w:tc>
        <w:tc>
          <w:tcPr>
            <w:tcW w:w="988" w:type="dxa"/>
            <w:vAlign w:val="center"/>
          </w:tcPr>
          <w:p w14:paraId="6E6DECBC">
            <w:pPr>
              <w:pStyle w:val="8"/>
              <w:jc w:val="center"/>
              <w:rPr>
                <w:rFonts w:hAnsi="宋体"/>
                <w:b/>
                <w:bCs/>
              </w:rPr>
            </w:pPr>
            <w:r>
              <w:rPr>
                <w:rFonts w:hint="eastAsia" w:hAnsi="宋体"/>
                <w:b/>
                <w:bCs/>
              </w:rPr>
              <w:t>1．1</w:t>
            </w:r>
          </w:p>
        </w:tc>
        <w:tc>
          <w:tcPr>
            <w:tcW w:w="1792" w:type="dxa"/>
            <w:vAlign w:val="center"/>
          </w:tcPr>
          <w:p w14:paraId="66AC4FA3">
            <w:pPr>
              <w:pStyle w:val="8"/>
              <w:jc w:val="center"/>
              <w:rPr>
                <w:rFonts w:hAnsi="宋体"/>
                <w:b/>
                <w:bCs/>
              </w:rPr>
            </w:pPr>
            <w:r>
              <w:rPr>
                <w:rFonts w:hint="eastAsia" w:hAnsi="宋体"/>
                <w:b/>
                <w:bCs/>
              </w:rPr>
              <w:t>工程名称</w:t>
            </w:r>
          </w:p>
        </w:tc>
        <w:tc>
          <w:tcPr>
            <w:tcW w:w="6366" w:type="dxa"/>
            <w:vAlign w:val="center"/>
          </w:tcPr>
          <w:p w14:paraId="0CB4F785">
            <w:pPr>
              <w:rPr>
                <w:rFonts w:ascii="宋体" w:hAnsi="宋体"/>
                <w:b/>
                <w:bCs/>
                <w:lang w:eastAsia="zh-CN"/>
              </w:rPr>
            </w:pPr>
            <w:r>
              <w:rPr>
                <w:rFonts w:hint="eastAsia" w:ascii="宋体" w:hAnsi="宋体"/>
                <w:b/>
                <w:bCs/>
                <w:u w:val="single"/>
                <w:lang w:eastAsia="zh-CN"/>
              </w:rPr>
              <w:t>淳安县枫树岭镇黄泥岭山塘综合整治工程</w:t>
            </w:r>
          </w:p>
        </w:tc>
      </w:tr>
      <w:tr w14:paraId="096FF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78" w:type="dxa"/>
            <w:vAlign w:val="center"/>
          </w:tcPr>
          <w:p w14:paraId="01A7CF2A">
            <w:pPr>
              <w:pStyle w:val="8"/>
              <w:jc w:val="center"/>
              <w:rPr>
                <w:rFonts w:hAnsi="宋体"/>
                <w:b/>
                <w:bCs/>
              </w:rPr>
            </w:pPr>
            <w:r>
              <w:rPr>
                <w:rFonts w:hint="eastAsia" w:hAnsi="宋体"/>
                <w:b/>
                <w:bCs/>
              </w:rPr>
              <w:t>2</w:t>
            </w:r>
          </w:p>
        </w:tc>
        <w:tc>
          <w:tcPr>
            <w:tcW w:w="988" w:type="dxa"/>
            <w:vAlign w:val="center"/>
          </w:tcPr>
          <w:p w14:paraId="09CEA008">
            <w:pPr>
              <w:pStyle w:val="8"/>
              <w:jc w:val="center"/>
              <w:rPr>
                <w:rFonts w:hAnsi="宋体"/>
                <w:b/>
                <w:bCs/>
              </w:rPr>
            </w:pPr>
            <w:r>
              <w:rPr>
                <w:rFonts w:hint="eastAsia" w:hAnsi="宋体"/>
                <w:b/>
                <w:bCs/>
              </w:rPr>
              <w:t>1．1</w:t>
            </w:r>
          </w:p>
        </w:tc>
        <w:tc>
          <w:tcPr>
            <w:tcW w:w="1792" w:type="dxa"/>
            <w:vAlign w:val="center"/>
          </w:tcPr>
          <w:p w14:paraId="0E7CCE1A">
            <w:pPr>
              <w:pStyle w:val="8"/>
              <w:jc w:val="center"/>
              <w:rPr>
                <w:rFonts w:hAnsi="宋体"/>
                <w:b/>
                <w:bCs/>
              </w:rPr>
            </w:pPr>
            <w:r>
              <w:rPr>
                <w:rFonts w:hint="eastAsia" w:hAnsi="宋体"/>
                <w:b/>
                <w:bCs/>
              </w:rPr>
              <w:t>建设地点</w:t>
            </w:r>
          </w:p>
        </w:tc>
        <w:tc>
          <w:tcPr>
            <w:tcW w:w="6366" w:type="dxa"/>
            <w:vAlign w:val="center"/>
          </w:tcPr>
          <w:p w14:paraId="2ADA29BC">
            <w:pPr>
              <w:pStyle w:val="8"/>
              <w:rPr>
                <w:rFonts w:hint="eastAsia" w:hAnsi="宋体" w:eastAsiaTheme="minorEastAsia"/>
                <w:b/>
                <w:bCs/>
                <w:lang w:eastAsia="zh-CN"/>
              </w:rPr>
            </w:pPr>
            <w:r>
              <w:rPr>
                <w:rFonts w:hint="eastAsia" w:hAnsi="宋体"/>
                <w:b/>
                <w:bCs/>
                <w:sz w:val="24"/>
                <w:highlight w:val="none"/>
                <w:u w:val="single"/>
                <w:lang w:eastAsia="zh-CN"/>
              </w:rPr>
              <w:t>枫树岭镇</w:t>
            </w:r>
            <w:r>
              <w:rPr>
                <w:rFonts w:hint="eastAsia" w:hAnsi="宋体"/>
                <w:b/>
                <w:bCs/>
                <w:sz w:val="24"/>
                <w:highlight w:val="none"/>
                <w:lang w:val="en-US" w:eastAsia="zh-CN"/>
              </w:rPr>
              <w:t xml:space="preserve"> </w:t>
            </w:r>
          </w:p>
        </w:tc>
      </w:tr>
      <w:tr w14:paraId="51C67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878" w:type="dxa"/>
            <w:vAlign w:val="center"/>
          </w:tcPr>
          <w:p w14:paraId="4002F9E3">
            <w:pPr>
              <w:pStyle w:val="8"/>
              <w:jc w:val="center"/>
              <w:rPr>
                <w:rFonts w:hAnsi="宋体"/>
                <w:b/>
                <w:bCs/>
              </w:rPr>
            </w:pPr>
            <w:r>
              <w:rPr>
                <w:rFonts w:hint="eastAsia" w:hAnsi="宋体"/>
                <w:b/>
                <w:bCs/>
              </w:rPr>
              <w:t>3</w:t>
            </w:r>
          </w:p>
        </w:tc>
        <w:tc>
          <w:tcPr>
            <w:tcW w:w="988" w:type="dxa"/>
            <w:vAlign w:val="center"/>
          </w:tcPr>
          <w:p w14:paraId="10FF3562">
            <w:pPr>
              <w:pStyle w:val="8"/>
              <w:jc w:val="center"/>
              <w:rPr>
                <w:rFonts w:hAnsi="宋体"/>
                <w:b/>
                <w:bCs/>
              </w:rPr>
            </w:pPr>
            <w:r>
              <w:rPr>
                <w:rFonts w:hint="eastAsia" w:hAnsi="宋体"/>
                <w:b/>
                <w:bCs/>
              </w:rPr>
              <w:t>1．1</w:t>
            </w:r>
          </w:p>
        </w:tc>
        <w:tc>
          <w:tcPr>
            <w:tcW w:w="1792" w:type="dxa"/>
            <w:vAlign w:val="center"/>
          </w:tcPr>
          <w:p w14:paraId="5DA3D29D">
            <w:pPr>
              <w:pStyle w:val="8"/>
              <w:jc w:val="center"/>
              <w:rPr>
                <w:rFonts w:hAnsi="宋体"/>
                <w:b/>
                <w:bCs/>
              </w:rPr>
            </w:pPr>
            <w:r>
              <w:rPr>
                <w:rFonts w:hint="eastAsia" w:hAnsi="宋体"/>
                <w:b/>
                <w:bCs/>
              </w:rPr>
              <w:t>建设规模</w:t>
            </w:r>
          </w:p>
          <w:p w14:paraId="69C47D74">
            <w:pPr>
              <w:pStyle w:val="8"/>
              <w:jc w:val="center"/>
              <w:rPr>
                <w:rFonts w:hAnsi="宋体"/>
                <w:b/>
                <w:bCs/>
              </w:rPr>
            </w:pPr>
            <w:r>
              <w:rPr>
                <w:rFonts w:hint="eastAsia" w:hAnsi="宋体"/>
                <w:b/>
                <w:bCs/>
              </w:rPr>
              <w:t>及工程类别</w:t>
            </w:r>
          </w:p>
        </w:tc>
        <w:tc>
          <w:tcPr>
            <w:tcW w:w="6366" w:type="dxa"/>
            <w:vAlign w:val="center"/>
          </w:tcPr>
          <w:p w14:paraId="17583AD1">
            <w:pPr>
              <w:rPr>
                <w:rFonts w:ascii="宋体" w:hAnsi="宋体"/>
                <w:b/>
                <w:bCs/>
                <w:szCs w:val="21"/>
                <w:highlight w:val="yellow"/>
                <w:u w:val="single"/>
                <w:lang w:eastAsia="zh-CN"/>
              </w:rPr>
            </w:pPr>
            <w:r>
              <w:rPr>
                <w:rFonts w:hint="eastAsia" w:ascii="宋体" w:hAnsi="宋体"/>
                <w:b/>
                <w:bCs/>
                <w:szCs w:val="21"/>
                <w:lang w:eastAsia="zh-CN"/>
              </w:rPr>
              <w:t>建筑规模：</w:t>
            </w:r>
            <w:r>
              <w:rPr>
                <w:rFonts w:hint="eastAsia" w:ascii="宋体" w:hAnsi="宋体"/>
                <w:b/>
                <w:bCs/>
                <w:szCs w:val="21"/>
                <w:highlight w:val="none"/>
                <w:u w:val="single"/>
                <w:lang w:eastAsia="zh-CN"/>
              </w:rPr>
              <w:t>详见预算图纸</w:t>
            </w:r>
          </w:p>
          <w:p w14:paraId="49847BA2">
            <w:pPr>
              <w:rPr>
                <w:rFonts w:ascii="宋体" w:hAnsi="宋体"/>
                <w:b/>
                <w:bCs/>
                <w:sz w:val="24"/>
                <w:lang w:eastAsia="zh-CN"/>
              </w:rPr>
            </w:pPr>
            <w:r>
              <w:rPr>
                <w:rFonts w:hint="eastAsia" w:ascii="宋体" w:hAnsi="宋体"/>
                <w:b/>
                <w:bCs/>
                <w:szCs w:val="21"/>
                <w:lang w:eastAsia="zh-CN"/>
              </w:rPr>
              <w:t>工程类别：</w:t>
            </w:r>
            <w:r>
              <w:rPr>
                <w:rFonts w:hint="eastAsia" w:ascii="宋体" w:hAnsi="宋体"/>
                <w:b/>
                <w:bCs/>
                <w:szCs w:val="21"/>
                <w:highlight w:val="none"/>
                <w:u w:val="single"/>
                <w:lang w:eastAsia="zh-CN"/>
              </w:rPr>
              <w:t>水利工程</w:t>
            </w:r>
          </w:p>
        </w:tc>
      </w:tr>
      <w:tr w14:paraId="63622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78" w:type="dxa"/>
            <w:vAlign w:val="center"/>
          </w:tcPr>
          <w:p w14:paraId="0E5C8281">
            <w:pPr>
              <w:pStyle w:val="8"/>
              <w:rPr>
                <w:rFonts w:hAnsi="宋体"/>
                <w:b/>
                <w:bCs/>
              </w:rPr>
            </w:pPr>
            <w:r>
              <w:rPr>
                <w:rFonts w:hint="eastAsia" w:hAnsi="宋体"/>
                <w:b/>
                <w:bCs/>
              </w:rPr>
              <w:t>4</w:t>
            </w:r>
          </w:p>
        </w:tc>
        <w:tc>
          <w:tcPr>
            <w:tcW w:w="988" w:type="dxa"/>
            <w:vAlign w:val="center"/>
          </w:tcPr>
          <w:p w14:paraId="21460303">
            <w:pPr>
              <w:pStyle w:val="8"/>
              <w:rPr>
                <w:rFonts w:hAnsi="宋体"/>
                <w:b/>
                <w:bCs/>
              </w:rPr>
            </w:pPr>
            <w:r>
              <w:rPr>
                <w:rFonts w:hint="eastAsia" w:hAnsi="宋体"/>
                <w:b/>
                <w:bCs/>
              </w:rPr>
              <w:t>1．1</w:t>
            </w:r>
          </w:p>
        </w:tc>
        <w:tc>
          <w:tcPr>
            <w:tcW w:w="1792" w:type="dxa"/>
            <w:vAlign w:val="center"/>
          </w:tcPr>
          <w:p w14:paraId="09198A9A">
            <w:pPr>
              <w:pStyle w:val="8"/>
              <w:jc w:val="center"/>
              <w:rPr>
                <w:rFonts w:hAnsi="宋体"/>
                <w:b/>
                <w:bCs/>
              </w:rPr>
            </w:pPr>
            <w:r>
              <w:rPr>
                <w:rFonts w:hint="eastAsia" w:hAnsi="宋体"/>
                <w:b/>
                <w:bCs/>
              </w:rPr>
              <w:t>承包方式</w:t>
            </w:r>
          </w:p>
        </w:tc>
        <w:tc>
          <w:tcPr>
            <w:tcW w:w="6366" w:type="dxa"/>
            <w:vAlign w:val="center"/>
          </w:tcPr>
          <w:p w14:paraId="6E6ABCDC">
            <w:pPr>
              <w:pStyle w:val="8"/>
              <w:rPr>
                <w:rFonts w:hAnsi="宋体"/>
                <w:b/>
                <w:bCs/>
                <w:u w:val="single"/>
              </w:rPr>
            </w:pPr>
            <w:r>
              <w:rPr>
                <w:rFonts w:hint="eastAsia" w:hAnsi="宋体"/>
                <w:b/>
                <w:bCs/>
                <w:u w:val="single"/>
              </w:rPr>
              <w:t>包工包料</w:t>
            </w:r>
          </w:p>
        </w:tc>
      </w:tr>
      <w:tr w14:paraId="45782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78" w:type="dxa"/>
            <w:vAlign w:val="center"/>
          </w:tcPr>
          <w:p w14:paraId="58F11C9D">
            <w:pPr>
              <w:pStyle w:val="8"/>
              <w:rPr>
                <w:rFonts w:hAnsi="宋体"/>
                <w:b/>
                <w:bCs/>
              </w:rPr>
            </w:pPr>
            <w:r>
              <w:rPr>
                <w:rFonts w:hint="eastAsia" w:hAnsi="宋体"/>
                <w:b/>
                <w:bCs/>
              </w:rPr>
              <w:t>5</w:t>
            </w:r>
          </w:p>
        </w:tc>
        <w:tc>
          <w:tcPr>
            <w:tcW w:w="988" w:type="dxa"/>
            <w:vAlign w:val="center"/>
          </w:tcPr>
          <w:p w14:paraId="246E4D4C">
            <w:pPr>
              <w:pStyle w:val="8"/>
              <w:rPr>
                <w:rFonts w:hAnsi="宋体"/>
                <w:b/>
                <w:bCs/>
              </w:rPr>
            </w:pPr>
            <w:r>
              <w:rPr>
                <w:rFonts w:hint="eastAsia" w:hAnsi="宋体"/>
                <w:b/>
                <w:bCs/>
              </w:rPr>
              <w:t>1．1</w:t>
            </w:r>
          </w:p>
        </w:tc>
        <w:tc>
          <w:tcPr>
            <w:tcW w:w="1792" w:type="dxa"/>
            <w:vAlign w:val="center"/>
          </w:tcPr>
          <w:p w14:paraId="6A689EF0">
            <w:pPr>
              <w:pStyle w:val="8"/>
              <w:jc w:val="center"/>
              <w:rPr>
                <w:rFonts w:hAnsi="宋体"/>
                <w:b/>
                <w:bCs/>
              </w:rPr>
            </w:pPr>
            <w:r>
              <w:rPr>
                <w:rFonts w:hint="eastAsia" w:hAnsi="宋体"/>
                <w:b/>
                <w:bCs/>
              </w:rPr>
              <w:t>质量要求</w:t>
            </w:r>
          </w:p>
        </w:tc>
        <w:tc>
          <w:tcPr>
            <w:tcW w:w="6366" w:type="dxa"/>
            <w:vAlign w:val="center"/>
          </w:tcPr>
          <w:p w14:paraId="732F6DE6">
            <w:pPr>
              <w:pStyle w:val="8"/>
              <w:rPr>
                <w:rFonts w:hAnsi="宋体"/>
                <w:b/>
                <w:bCs/>
                <w:u w:val="single"/>
              </w:rPr>
            </w:pPr>
            <w:r>
              <w:rPr>
                <w:rFonts w:hint="eastAsia" w:hAnsi="宋体"/>
                <w:b/>
                <w:bCs/>
              </w:rPr>
              <w:t>质量标准：</w:t>
            </w:r>
            <w:r>
              <w:rPr>
                <w:rFonts w:hint="eastAsia" w:hAnsi="宋体"/>
                <w:b/>
                <w:bCs/>
                <w:u w:val="single"/>
              </w:rPr>
              <w:t>合格</w:t>
            </w:r>
          </w:p>
        </w:tc>
      </w:tr>
      <w:tr w14:paraId="585A0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878" w:type="dxa"/>
            <w:vMerge w:val="restart"/>
            <w:vAlign w:val="center"/>
          </w:tcPr>
          <w:p w14:paraId="62856C52">
            <w:pPr>
              <w:pStyle w:val="8"/>
              <w:jc w:val="center"/>
              <w:rPr>
                <w:rFonts w:hAnsi="宋体"/>
                <w:b/>
                <w:bCs/>
              </w:rPr>
            </w:pPr>
            <w:r>
              <w:rPr>
                <w:rFonts w:hint="eastAsia" w:hAnsi="宋体"/>
                <w:b/>
                <w:bCs/>
              </w:rPr>
              <w:t>6</w:t>
            </w:r>
          </w:p>
        </w:tc>
        <w:tc>
          <w:tcPr>
            <w:tcW w:w="988" w:type="dxa"/>
            <w:vAlign w:val="center"/>
          </w:tcPr>
          <w:p w14:paraId="5031FF9F">
            <w:pPr>
              <w:pStyle w:val="8"/>
              <w:jc w:val="center"/>
              <w:rPr>
                <w:rFonts w:hAnsi="宋体"/>
                <w:b/>
                <w:bCs/>
              </w:rPr>
            </w:pPr>
            <w:r>
              <w:rPr>
                <w:rFonts w:hint="eastAsia" w:hAnsi="宋体"/>
                <w:b/>
                <w:bCs/>
              </w:rPr>
              <w:t>2．1</w:t>
            </w:r>
          </w:p>
        </w:tc>
        <w:tc>
          <w:tcPr>
            <w:tcW w:w="1792" w:type="dxa"/>
            <w:vAlign w:val="center"/>
          </w:tcPr>
          <w:p w14:paraId="607084B3">
            <w:pPr>
              <w:pStyle w:val="8"/>
              <w:jc w:val="center"/>
              <w:rPr>
                <w:rFonts w:hAnsi="宋体"/>
                <w:b/>
                <w:bCs/>
              </w:rPr>
            </w:pPr>
            <w:r>
              <w:rPr>
                <w:rFonts w:hint="eastAsia" w:hAnsi="宋体"/>
                <w:b/>
                <w:bCs/>
                <w:lang w:eastAsia="zh-CN"/>
              </w:rPr>
              <w:t>交易</w:t>
            </w:r>
            <w:r>
              <w:rPr>
                <w:rFonts w:hint="eastAsia" w:hAnsi="宋体"/>
                <w:b/>
                <w:bCs/>
              </w:rPr>
              <w:t>方式</w:t>
            </w:r>
          </w:p>
        </w:tc>
        <w:tc>
          <w:tcPr>
            <w:tcW w:w="6366" w:type="dxa"/>
            <w:vAlign w:val="center"/>
          </w:tcPr>
          <w:p w14:paraId="341746B0">
            <w:pPr>
              <w:pStyle w:val="8"/>
              <w:rPr>
                <w:rFonts w:hAnsi="宋体"/>
                <w:b/>
                <w:bCs/>
                <w:u w:val="single"/>
                <w:lang w:eastAsia="zh-CN"/>
              </w:rPr>
            </w:pPr>
            <w:r>
              <w:rPr>
                <w:rFonts w:hint="eastAsia" w:hAnsi="宋体"/>
                <w:b/>
                <w:bCs/>
                <w:u w:val="single"/>
              </w:rPr>
              <w:t xml:space="preserve">公 开 </w:t>
            </w:r>
            <w:r>
              <w:rPr>
                <w:rFonts w:hint="eastAsia" w:hAnsi="宋体"/>
                <w:b/>
                <w:bCs/>
                <w:u w:val="single"/>
                <w:lang w:eastAsia="zh-CN"/>
              </w:rPr>
              <w:t>交 易</w:t>
            </w:r>
          </w:p>
        </w:tc>
      </w:tr>
      <w:tr w14:paraId="5A82C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878" w:type="dxa"/>
            <w:vMerge w:val="continue"/>
            <w:vAlign w:val="center"/>
          </w:tcPr>
          <w:p w14:paraId="77F55C6F">
            <w:pPr>
              <w:pStyle w:val="8"/>
              <w:jc w:val="center"/>
              <w:rPr>
                <w:rFonts w:hAnsi="宋体"/>
                <w:b/>
                <w:bCs/>
              </w:rPr>
            </w:pPr>
          </w:p>
        </w:tc>
        <w:tc>
          <w:tcPr>
            <w:tcW w:w="988" w:type="dxa"/>
            <w:vAlign w:val="center"/>
          </w:tcPr>
          <w:p w14:paraId="19FCDD1E">
            <w:pPr>
              <w:pStyle w:val="8"/>
              <w:jc w:val="center"/>
              <w:rPr>
                <w:rFonts w:hAnsi="宋体"/>
                <w:b/>
                <w:bCs/>
              </w:rPr>
            </w:pPr>
            <w:r>
              <w:rPr>
                <w:rFonts w:hint="eastAsia" w:hAnsi="宋体"/>
                <w:b/>
                <w:bCs/>
              </w:rPr>
              <w:t>2. 2</w:t>
            </w:r>
          </w:p>
        </w:tc>
        <w:tc>
          <w:tcPr>
            <w:tcW w:w="1792" w:type="dxa"/>
            <w:vAlign w:val="center"/>
          </w:tcPr>
          <w:p w14:paraId="27CAE4B3">
            <w:pPr>
              <w:pStyle w:val="8"/>
              <w:jc w:val="center"/>
              <w:rPr>
                <w:rFonts w:hAnsi="宋体"/>
                <w:b/>
                <w:bCs/>
              </w:rPr>
            </w:pPr>
            <w:r>
              <w:rPr>
                <w:rFonts w:hint="eastAsia" w:hAnsi="宋体"/>
                <w:b/>
                <w:bCs/>
                <w:lang w:eastAsia="zh-CN"/>
              </w:rPr>
              <w:t>交易</w:t>
            </w:r>
            <w:r>
              <w:rPr>
                <w:rFonts w:hint="eastAsia" w:hAnsi="宋体"/>
                <w:b/>
                <w:bCs/>
              </w:rPr>
              <w:t>范围</w:t>
            </w:r>
          </w:p>
        </w:tc>
        <w:tc>
          <w:tcPr>
            <w:tcW w:w="6366" w:type="dxa"/>
            <w:vAlign w:val="center"/>
          </w:tcPr>
          <w:p w14:paraId="2B58D9F2">
            <w:pPr>
              <w:pStyle w:val="8"/>
              <w:rPr>
                <w:rFonts w:hAnsi="宋体"/>
                <w:b/>
                <w:bCs/>
              </w:rPr>
            </w:pPr>
            <w:r>
              <w:rPr>
                <w:rFonts w:hint="eastAsia" w:hAnsi="宋体"/>
                <w:b/>
                <w:bCs/>
                <w:u w:val="single"/>
              </w:rPr>
              <w:t>设计图纸所示内容</w:t>
            </w:r>
          </w:p>
        </w:tc>
      </w:tr>
      <w:tr w14:paraId="75C02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78" w:type="dxa"/>
            <w:vAlign w:val="center"/>
          </w:tcPr>
          <w:p w14:paraId="1AAEC601">
            <w:pPr>
              <w:pStyle w:val="8"/>
              <w:jc w:val="center"/>
              <w:rPr>
                <w:rFonts w:hAnsi="宋体"/>
                <w:b/>
                <w:bCs/>
              </w:rPr>
            </w:pPr>
            <w:r>
              <w:rPr>
                <w:rFonts w:hint="eastAsia" w:hAnsi="宋体"/>
                <w:b/>
                <w:bCs/>
              </w:rPr>
              <w:t>7</w:t>
            </w:r>
          </w:p>
        </w:tc>
        <w:tc>
          <w:tcPr>
            <w:tcW w:w="988" w:type="dxa"/>
            <w:vAlign w:val="center"/>
          </w:tcPr>
          <w:p w14:paraId="11018A84">
            <w:pPr>
              <w:pStyle w:val="8"/>
              <w:jc w:val="center"/>
              <w:rPr>
                <w:rFonts w:hAnsi="宋体"/>
                <w:b/>
                <w:bCs/>
              </w:rPr>
            </w:pPr>
            <w:r>
              <w:rPr>
                <w:rFonts w:hint="eastAsia" w:hAnsi="宋体"/>
                <w:b/>
                <w:bCs/>
              </w:rPr>
              <w:t>2．3</w:t>
            </w:r>
          </w:p>
        </w:tc>
        <w:tc>
          <w:tcPr>
            <w:tcW w:w="1792" w:type="dxa"/>
            <w:vAlign w:val="center"/>
          </w:tcPr>
          <w:p w14:paraId="121DCC6B">
            <w:pPr>
              <w:pStyle w:val="8"/>
              <w:jc w:val="center"/>
              <w:rPr>
                <w:rFonts w:hAnsi="宋体"/>
                <w:b/>
                <w:bCs/>
              </w:rPr>
            </w:pPr>
            <w:r>
              <w:rPr>
                <w:rFonts w:hint="eastAsia" w:hAnsi="宋体"/>
                <w:b/>
                <w:bCs/>
              </w:rPr>
              <w:t>工期要求</w:t>
            </w:r>
          </w:p>
        </w:tc>
        <w:tc>
          <w:tcPr>
            <w:tcW w:w="6366" w:type="dxa"/>
            <w:vAlign w:val="center"/>
          </w:tcPr>
          <w:p w14:paraId="6E4C5BD2">
            <w:pPr>
              <w:pStyle w:val="8"/>
              <w:rPr>
                <w:rFonts w:hAnsi="宋体"/>
                <w:b/>
                <w:bCs/>
              </w:rPr>
            </w:pPr>
            <w:r>
              <w:rPr>
                <w:rFonts w:hint="eastAsia" w:hAnsi="宋体"/>
                <w:b/>
                <w:bCs/>
                <w:highlight w:val="none"/>
                <w:u w:val="single"/>
                <w:lang w:val="en-US" w:eastAsia="zh-CN"/>
              </w:rPr>
              <w:t>180天</w:t>
            </w:r>
            <w:r>
              <w:rPr>
                <w:rFonts w:hint="eastAsia" w:hAnsi="宋体"/>
                <w:b/>
                <w:bCs/>
                <w:u w:val="single"/>
              </w:rPr>
              <w:t>（</w:t>
            </w:r>
            <w:r>
              <w:rPr>
                <w:rFonts w:hint="eastAsia" w:hAnsi="宋体"/>
                <w:b/>
                <w:bCs/>
              </w:rPr>
              <w:t>日历天）</w:t>
            </w:r>
          </w:p>
        </w:tc>
      </w:tr>
      <w:tr w14:paraId="6A0DE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78" w:type="dxa"/>
            <w:vAlign w:val="center"/>
          </w:tcPr>
          <w:p w14:paraId="34947665">
            <w:pPr>
              <w:pStyle w:val="8"/>
              <w:jc w:val="center"/>
              <w:rPr>
                <w:rFonts w:hAnsi="宋体"/>
                <w:b/>
                <w:bCs/>
              </w:rPr>
            </w:pPr>
            <w:r>
              <w:rPr>
                <w:rFonts w:hint="eastAsia" w:hAnsi="宋体"/>
                <w:b/>
                <w:bCs/>
              </w:rPr>
              <w:t>8</w:t>
            </w:r>
          </w:p>
        </w:tc>
        <w:tc>
          <w:tcPr>
            <w:tcW w:w="988" w:type="dxa"/>
            <w:vAlign w:val="center"/>
          </w:tcPr>
          <w:p w14:paraId="53BB9399">
            <w:pPr>
              <w:pStyle w:val="8"/>
              <w:jc w:val="center"/>
              <w:rPr>
                <w:rFonts w:hAnsi="宋体"/>
                <w:b/>
                <w:bCs/>
              </w:rPr>
            </w:pPr>
            <w:r>
              <w:rPr>
                <w:rFonts w:hint="eastAsia" w:hAnsi="宋体"/>
                <w:b/>
                <w:bCs/>
              </w:rPr>
              <w:t>3．1</w:t>
            </w:r>
          </w:p>
        </w:tc>
        <w:tc>
          <w:tcPr>
            <w:tcW w:w="1792" w:type="dxa"/>
            <w:vAlign w:val="center"/>
          </w:tcPr>
          <w:p w14:paraId="558A7BE1">
            <w:pPr>
              <w:pStyle w:val="8"/>
              <w:jc w:val="center"/>
              <w:rPr>
                <w:rFonts w:hAnsi="宋体"/>
                <w:b/>
                <w:bCs/>
              </w:rPr>
            </w:pPr>
            <w:r>
              <w:rPr>
                <w:rFonts w:hint="eastAsia" w:hAnsi="宋体"/>
                <w:b/>
                <w:bCs/>
              </w:rPr>
              <w:t>资金来源</w:t>
            </w:r>
          </w:p>
        </w:tc>
        <w:tc>
          <w:tcPr>
            <w:tcW w:w="6366" w:type="dxa"/>
            <w:vAlign w:val="center"/>
          </w:tcPr>
          <w:p w14:paraId="0FC1F18B">
            <w:pPr>
              <w:pStyle w:val="8"/>
              <w:rPr>
                <w:rFonts w:hint="eastAsia" w:hAnsi="宋体" w:eastAsiaTheme="minorEastAsia"/>
                <w:b/>
                <w:bCs/>
                <w:u w:val="single"/>
                <w:lang w:eastAsia="zh-CN"/>
              </w:rPr>
            </w:pPr>
            <w:r>
              <w:rPr>
                <w:rFonts w:hint="eastAsia" w:hAnsi="宋体"/>
                <w:b/>
                <w:bCs/>
                <w:highlight w:val="none"/>
                <w:u w:val="single"/>
                <w:lang w:eastAsia="zh-CN"/>
              </w:rPr>
              <w:t>上级补助</w:t>
            </w:r>
          </w:p>
        </w:tc>
      </w:tr>
      <w:tr w14:paraId="7D8B1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878" w:type="dxa"/>
            <w:vMerge w:val="restart"/>
            <w:vAlign w:val="center"/>
          </w:tcPr>
          <w:p w14:paraId="01A65DC3">
            <w:pPr>
              <w:pStyle w:val="8"/>
              <w:jc w:val="center"/>
              <w:rPr>
                <w:rFonts w:hAnsi="宋体"/>
                <w:b/>
                <w:bCs/>
              </w:rPr>
            </w:pPr>
            <w:r>
              <w:rPr>
                <w:rFonts w:hint="eastAsia" w:hAnsi="宋体"/>
                <w:b/>
                <w:bCs/>
              </w:rPr>
              <w:t>9</w:t>
            </w:r>
          </w:p>
        </w:tc>
        <w:tc>
          <w:tcPr>
            <w:tcW w:w="988" w:type="dxa"/>
            <w:vAlign w:val="center"/>
          </w:tcPr>
          <w:p w14:paraId="1DDADADA">
            <w:pPr>
              <w:pStyle w:val="8"/>
              <w:jc w:val="center"/>
              <w:rPr>
                <w:rFonts w:hAnsi="宋体"/>
                <w:b/>
                <w:bCs/>
              </w:rPr>
            </w:pPr>
            <w:r>
              <w:rPr>
                <w:rFonts w:hint="eastAsia" w:hAnsi="宋体"/>
                <w:b/>
                <w:bCs/>
              </w:rPr>
              <w:t>4．1</w:t>
            </w:r>
          </w:p>
        </w:tc>
        <w:tc>
          <w:tcPr>
            <w:tcW w:w="1792" w:type="dxa"/>
            <w:vAlign w:val="center"/>
          </w:tcPr>
          <w:p w14:paraId="5F3F9E98">
            <w:pPr>
              <w:pStyle w:val="8"/>
              <w:jc w:val="center"/>
              <w:rPr>
                <w:rFonts w:hAnsi="宋体"/>
                <w:b/>
                <w:bCs/>
              </w:rPr>
            </w:pPr>
            <w:r>
              <w:rPr>
                <w:rFonts w:hint="eastAsia" w:hAnsi="宋体"/>
                <w:b/>
                <w:bCs/>
                <w:lang w:eastAsia="zh-CN"/>
              </w:rPr>
              <w:t>交易响应</w:t>
            </w:r>
            <w:r>
              <w:rPr>
                <w:rFonts w:hint="eastAsia" w:hAnsi="宋体"/>
                <w:b/>
                <w:bCs/>
              </w:rPr>
              <w:t>人资质等级</w:t>
            </w:r>
          </w:p>
        </w:tc>
        <w:tc>
          <w:tcPr>
            <w:tcW w:w="6366" w:type="dxa"/>
            <w:vAlign w:val="center"/>
          </w:tcPr>
          <w:p w14:paraId="021B1545">
            <w:pPr>
              <w:pStyle w:val="8"/>
              <w:ind w:left="67" w:hanging="67" w:hangingChars="32"/>
              <w:rPr>
                <w:rFonts w:hint="eastAsia" w:ascii="宋体" w:hAnsi="宋体"/>
                <w:b/>
                <w:bCs/>
                <w:sz w:val="21"/>
                <w:szCs w:val="21"/>
                <w:u w:val="single"/>
                <w:lang w:val="en-US" w:eastAsia="zh-CN"/>
              </w:rPr>
            </w:pPr>
            <w:r>
              <w:rPr>
                <w:rFonts w:hint="eastAsia" w:ascii="宋体" w:hAnsi="宋体" w:eastAsia="宋体" w:cs="宋体"/>
                <w:b/>
                <w:bCs/>
                <w:color w:val="000000"/>
                <w:sz w:val="21"/>
                <w:szCs w:val="21"/>
              </w:rPr>
              <w:t>企业资质：</w:t>
            </w:r>
            <w:r>
              <w:rPr>
                <w:rFonts w:hint="eastAsia" w:ascii="宋体" w:hAnsi="宋体" w:eastAsia="宋体" w:cs="宋体"/>
                <w:b/>
                <w:bCs/>
                <w:sz w:val="21"/>
                <w:szCs w:val="21"/>
                <w:u w:val="single"/>
              </w:rPr>
              <w:t>注册在</w:t>
            </w:r>
            <w:r>
              <w:rPr>
                <w:rFonts w:hint="eastAsia" w:ascii="宋体" w:hAnsi="宋体" w:eastAsia="宋体" w:cs="宋体"/>
                <w:b/>
                <w:bCs/>
                <w:sz w:val="21"/>
                <w:szCs w:val="21"/>
                <w:u w:val="single"/>
                <w:lang w:eastAsia="zh-CN"/>
              </w:rPr>
              <w:t>淳安县或注册在“飞地”税收缴纳在淳安的</w:t>
            </w:r>
            <w:r>
              <w:rPr>
                <w:rFonts w:hint="eastAsia" w:ascii="宋体" w:hAnsi="宋体"/>
                <w:b/>
                <w:bCs/>
                <w:sz w:val="21"/>
                <w:szCs w:val="21"/>
                <w:u w:val="single"/>
                <w:lang w:val="en-US" w:eastAsia="zh-CN"/>
              </w:rPr>
              <w:t>水利水电工程施工总承包企业资质叁级及以上</w:t>
            </w:r>
          </w:p>
          <w:p w14:paraId="0D42BFE4">
            <w:pPr>
              <w:pStyle w:val="8"/>
              <w:ind w:left="67" w:hanging="67" w:hangingChars="32"/>
              <w:rPr>
                <w:rFonts w:hAnsi="宋体"/>
                <w:b/>
                <w:bCs/>
                <w:lang w:eastAsia="zh-CN"/>
              </w:rPr>
            </w:pPr>
            <w:r>
              <w:rPr>
                <w:rFonts w:hint="eastAsia" w:ascii="宋体" w:hAnsi="宋体" w:eastAsia="宋体" w:cs="宋体"/>
                <w:b/>
                <w:bCs/>
                <w:color w:val="000000"/>
                <w:sz w:val="21"/>
                <w:szCs w:val="21"/>
              </w:rPr>
              <w:t>建造师（项目经理）：</w:t>
            </w:r>
            <w:r>
              <w:rPr>
                <w:rFonts w:hint="eastAsia" w:ascii="宋体" w:hAnsi="宋体" w:eastAsia="宋体" w:cs="宋体"/>
                <w:b/>
                <w:bCs/>
                <w:color w:val="000000"/>
                <w:kern w:val="0"/>
                <w:sz w:val="21"/>
                <w:szCs w:val="21"/>
                <w:u w:val="single"/>
                <w:lang w:val="en-US" w:eastAsia="zh-CN" w:bidi="ar"/>
              </w:rPr>
              <w:t>二级及以上水利水电工程建造师</w:t>
            </w:r>
          </w:p>
        </w:tc>
      </w:tr>
      <w:tr w14:paraId="6D510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878" w:type="dxa"/>
            <w:vMerge w:val="continue"/>
            <w:vAlign w:val="center"/>
          </w:tcPr>
          <w:p w14:paraId="492FA208">
            <w:pPr>
              <w:pStyle w:val="8"/>
              <w:jc w:val="center"/>
              <w:rPr>
                <w:rFonts w:hAnsi="宋体"/>
                <w:b/>
                <w:bCs/>
                <w:lang w:eastAsia="zh-CN"/>
              </w:rPr>
            </w:pPr>
          </w:p>
        </w:tc>
        <w:tc>
          <w:tcPr>
            <w:tcW w:w="988" w:type="dxa"/>
            <w:vAlign w:val="center"/>
          </w:tcPr>
          <w:p w14:paraId="24130596">
            <w:pPr>
              <w:pStyle w:val="8"/>
              <w:jc w:val="center"/>
              <w:rPr>
                <w:rFonts w:hAnsi="宋体"/>
                <w:b/>
                <w:bCs/>
              </w:rPr>
            </w:pPr>
            <w:r>
              <w:rPr>
                <w:rFonts w:hint="eastAsia" w:hAnsi="宋体"/>
                <w:b/>
                <w:bCs/>
              </w:rPr>
              <w:t>4．5</w:t>
            </w:r>
          </w:p>
        </w:tc>
        <w:tc>
          <w:tcPr>
            <w:tcW w:w="1792" w:type="dxa"/>
            <w:vAlign w:val="center"/>
          </w:tcPr>
          <w:p w14:paraId="3DD8D644">
            <w:pPr>
              <w:pStyle w:val="8"/>
              <w:jc w:val="center"/>
              <w:rPr>
                <w:rFonts w:hAnsi="宋体"/>
                <w:b/>
                <w:bCs/>
              </w:rPr>
            </w:pPr>
            <w:r>
              <w:rPr>
                <w:rFonts w:hint="eastAsia" w:hAnsi="宋体"/>
                <w:b/>
                <w:bCs/>
              </w:rPr>
              <w:t>联合体</w:t>
            </w:r>
          </w:p>
        </w:tc>
        <w:tc>
          <w:tcPr>
            <w:tcW w:w="6366" w:type="dxa"/>
            <w:vAlign w:val="center"/>
          </w:tcPr>
          <w:p w14:paraId="6E7E21EF">
            <w:pPr>
              <w:pStyle w:val="8"/>
              <w:rPr>
                <w:rFonts w:hAnsi="宋体"/>
                <w:b/>
                <w:bCs/>
                <w:u w:val="single"/>
              </w:rPr>
            </w:pPr>
            <w:r>
              <w:rPr>
                <w:rFonts w:hint="eastAsia" w:hAnsi="宋体"/>
                <w:b/>
                <w:bCs/>
                <w:u w:val="single"/>
              </w:rPr>
              <w:t>不允许</w:t>
            </w:r>
          </w:p>
        </w:tc>
      </w:tr>
      <w:tr w14:paraId="1F435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878" w:type="dxa"/>
            <w:vAlign w:val="center"/>
          </w:tcPr>
          <w:p w14:paraId="482959D6">
            <w:pPr>
              <w:pStyle w:val="8"/>
              <w:jc w:val="center"/>
              <w:rPr>
                <w:rFonts w:hAnsi="宋体"/>
                <w:b/>
                <w:bCs/>
              </w:rPr>
            </w:pPr>
            <w:r>
              <w:rPr>
                <w:rFonts w:hint="eastAsia" w:hAnsi="宋体"/>
                <w:b/>
                <w:bCs/>
              </w:rPr>
              <w:t>10</w:t>
            </w:r>
          </w:p>
        </w:tc>
        <w:tc>
          <w:tcPr>
            <w:tcW w:w="988" w:type="dxa"/>
            <w:vAlign w:val="center"/>
          </w:tcPr>
          <w:p w14:paraId="3CC7FCB4">
            <w:pPr>
              <w:pStyle w:val="8"/>
              <w:jc w:val="center"/>
              <w:rPr>
                <w:rFonts w:hAnsi="宋体"/>
                <w:b/>
                <w:bCs/>
              </w:rPr>
            </w:pPr>
            <w:r>
              <w:rPr>
                <w:rFonts w:hint="eastAsia" w:hAnsi="宋体"/>
                <w:b/>
                <w:bCs/>
              </w:rPr>
              <w:t>4．3</w:t>
            </w:r>
          </w:p>
        </w:tc>
        <w:tc>
          <w:tcPr>
            <w:tcW w:w="1792" w:type="dxa"/>
            <w:vAlign w:val="center"/>
          </w:tcPr>
          <w:p w14:paraId="6A0B6E25">
            <w:pPr>
              <w:pStyle w:val="8"/>
              <w:jc w:val="center"/>
              <w:rPr>
                <w:rFonts w:hAnsi="宋体"/>
                <w:b/>
                <w:bCs/>
              </w:rPr>
            </w:pPr>
            <w:r>
              <w:rPr>
                <w:rFonts w:hint="eastAsia" w:hAnsi="宋体"/>
                <w:b/>
                <w:bCs/>
              </w:rPr>
              <w:t>资格审查方法</w:t>
            </w:r>
          </w:p>
        </w:tc>
        <w:tc>
          <w:tcPr>
            <w:tcW w:w="6366" w:type="dxa"/>
            <w:vAlign w:val="center"/>
          </w:tcPr>
          <w:p w14:paraId="5E420EE5">
            <w:pPr>
              <w:pStyle w:val="8"/>
              <w:rPr>
                <w:rFonts w:hAnsi="宋体"/>
                <w:b/>
                <w:bCs/>
                <w:u w:val="single"/>
              </w:rPr>
            </w:pPr>
            <w:r>
              <w:rPr>
                <w:rFonts w:hint="eastAsia" w:hAnsi="宋体"/>
                <w:b/>
                <w:bCs/>
                <w:u w:val="single"/>
              </w:rPr>
              <w:t xml:space="preserve">采用资格后审 </w:t>
            </w:r>
          </w:p>
        </w:tc>
      </w:tr>
      <w:tr w14:paraId="023E4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878" w:type="dxa"/>
            <w:vAlign w:val="center"/>
          </w:tcPr>
          <w:p w14:paraId="45BB14BD">
            <w:pPr>
              <w:pStyle w:val="8"/>
              <w:jc w:val="center"/>
              <w:rPr>
                <w:rFonts w:hAnsi="宋体"/>
                <w:b/>
                <w:bCs/>
              </w:rPr>
            </w:pPr>
            <w:r>
              <w:rPr>
                <w:rFonts w:hint="eastAsia" w:hAnsi="宋体"/>
                <w:b/>
                <w:bCs/>
              </w:rPr>
              <w:t>11</w:t>
            </w:r>
          </w:p>
        </w:tc>
        <w:tc>
          <w:tcPr>
            <w:tcW w:w="988" w:type="dxa"/>
            <w:vAlign w:val="center"/>
          </w:tcPr>
          <w:p w14:paraId="31F864AF">
            <w:pPr>
              <w:pStyle w:val="8"/>
              <w:jc w:val="center"/>
              <w:rPr>
                <w:rFonts w:hAnsi="宋体"/>
                <w:b/>
                <w:bCs/>
              </w:rPr>
            </w:pPr>
            <w:r>
              <w:rPr>
                <w:rFonts w:hint="eastAsia" w:hAnsi="宋体"/>
                <w:b/>
                <w:bCs/>
              </w:rPr>
              <w:t>13．1</w:t>
            </w:r>
          </w:p>
        </w:tc>
        <w:tc>
          <w:tcPr>
            <w:tcW w:w="1792" w:type="dxa"/>
            <w:vAlign w:val="center"/>
          </w:tcPr>
          <w:p w14:paraId="17860D03">
            <w:pPr>
              <w:pStyle w:val="8"/>
              <w:jc w:val="center"/>
              <w:rPr>
                <w:rFonts w:hAnsi="宋体"/>
                <w:b/>
                <w:bCs/>
              </w:rPr>
            </w:pPr>
            <w:r>
              <w:rPr>
                <w:rFonts w:hint="eastAsia" w:hAnsi="宋体"/>
                <w:b/>
                <w:bCs/>
              </w:rPr>
              <w:t>工程量清单计价</w:t>
            </w:r>
          </w:p>
          <w:p w14:paraId="0AB981DD">
            <w:pPr>
              <w:pStyle w:val="8"/>
              <w:jc w:val="both"/>
              <w:rPr>
                <w:rFonts w:hAnsi="宋体"/>
                <w:b/>
                <w:bCs/>
              </w:rPr>
            </w:pPr>
            <w:r>
              <w:rPr>
                <w:rFonts w:hint="eastAsia" w:hAnsi="宋体"/>
                <w:b/>
                <w:bCs/>
              </w:rPr>
              <w:t>方式</w:t>
            </w:r>
          </w:p>
        </w:tc>
        <w:tc>
          <w:tcPr>
            <w:tcW w:w="6366" w:type="dxa"/>
            <w:vAlign w:val="center"/>
          </w:tcPr>
          <w:p w14:paraId="769DE7A4">
            <w:pPr>
              <w:pStyle w:val="8"/>
              <w:rPr>
                <w:rFonts w:hint="default" w:hAnsi="宋体" w:eastAsiaTheme="minorEastAsia"/>
                <w:b/>
                <w:bCs/>
                <w:u w:val="single"/>
                <w:lang w:val="en-US" w:eastAsia="zh-CN"/>
              </w:rPr>
            </w:pPr>
            <w:r>
              <w:rPr>
                <w:rFonts w:hint="eastAsia" w:hAnsi="宋体"/>
                <w:b/>
                <w:bCs/>
                <w:u w:val="single"/>
                <w:lang w:val="en-US" w:eastAsia="zh-CN"/>
              </w:rPr>
              <w:t xml:space="preserve">/ </w:t>
            </w:r>
          </w:p>
        </w:tc>
      </w:tr>
      <w:tr w14:paraId="7AD17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78" w:type="dxa"/>
            <w:vAlign w:val="center"/>
          </w:tcPr>
          <w:p w14:paraId="16F359D5">
            <w:pPr>
              <w:pStyle w:val="8"/>
              <w:jc w:val="center"/>
              <w:rPr>
                <w:rFonts w:hAnsi="宋体"/>
                <w:b/>
                <w:bCs/>
              </w:rPr>
            </w:pPr>
            <w:r>
              <w:rPr>
                <w:rFonts w:hint="eastAsia" w:hAnsi="宋体"/>
                <w:b/>
                <w:bCs/>
              </w:rPr>
              <w:t>12</w:t>
            </w:r>
          </w:p>
        </w:tc>
        <w:tc>
          <w:tcPr>
            <w:tcW w:w="988" w:type="dxa"/>
            <w:vAlign w:val="center"/>
          </w:tcPr>
          <w:p w14:paraId="66F804E7">
            <w:pPr>
              <w:pStyle w:val="8"/>
              <w:jc w:val="center"/>
              <w:rPr>
                <w:rFonts w:hAnsi="宋体"/>
                <w:b/>
                <w:bCs/>
              </w:rPr>
            </w:pPr>
            <w:r>
              <w:rPr>
                <w:rFonts w:hint="eastAsia" w:hAnsi="宋体"/>
                <w:b/>
                <w:bCs/>
              </w:rPr>
              <w:t>15．1</w:t>
            </w:r>
          </w:p>
        </w:tc>
        <w:tc>
          <w:tcPr>
            <w:tcW w:w="1792" w:type="dxa"/>
            <w:vAlign w:val="center"/>
          </w:tcPr>
          <w:p w14:paraId="3E40CBB6">
            <w:pPr>
              <w:pStyle w:val="8"/>
              <w:jc w:val="center"/>
              <w:rPr>
                <w:rFonts w:hAnsi="宋体"/>
                <w:b/>
                <w:bCs/>
              </w:rPr>
            </w:pPr>
            <w:r>
              <w:rPr>
                <w:rFonts w:hint="eastAsia" w:hAnsi="宋体"/>
                <w:b/>
                <w:bCs/>
                <w:lang w:eastAsia="zh-CN"/>
              </w:rPr>
              <w:t>交易响应</w:t>
            </w:r>
            <w:r>
              <w:rPr>
                <w:rFonts w:hint="eastAsia" w:hAnsi="宋体"/>
                <w:b/>
                <w:bCs/>
              </w:rPr>
              <w:t>有效期</w:t>
            </w:r>
          </w:p>
        </w:tc>
        <w:tc>
          <w:tcPr>
            <w:tcW w:w="6366" w:type="dxa"/>
            <w:vAlign w:val="center"/>
          </w:tcPr>
          <w:p w14:paraId="3D98B2A4">
            <w:pPr>
              <w:pStyle w:val="8"/>
              <w:rPr>
                <w:rFonts w:hAnsi="宋体"/>
                <w:b/>
                <w:bCs/>
                <w:lang w:eastAsia="zh-CN"/>
              </w:rPr>
            </w:pPr>
            <w:r>
              <w:rPr>
                <w:rFonts w:hint="eastAsia" w:hAnsi="宋体"/>
                <w:b/>
                <w:bCs/>
                <w:lang w:eastAsia="zh-CN"/>
              </w:rPr>
              <w:t>为：</w:t>
            </w:r>
            <w:r>
              <w:rPr>
                <w:rFonts w:hint="eastAsia" w:hAnsi="宋体"/>
                <w:b/>
                <w:bCs/>
                <w:lang w:val="en-US" w:eastAsia="zh-CN"/>
              </w:rPr>
              <w:t>30</w:t>
            </w:r>
            <w:r>
              <w:rPr>
                <w:rFonts w:hint="eastAsia" w:hAnsi="宋体"/>
                <w:b/>
                <w:bCs/>
                <w:lang w:eastAsia="zh-CN"/>
              </w:rPr>
              <w:t>日历天（从交易响应截止之日算起）</w:t>
            </w:r>
          </w:p>
        </w:tc>
      </w:tr>
      <w:tr w14:paraId="676AF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878" w:type="dxa"/>
            <w:vAlign w:val="center"/>
          </w:tcPr>
          <w:p w14:paraId="62AA7173">
            <w:pPr>
              <w:pStyle w:val="8"/>
              <w:jc w:val="center"/>
              <w:rPr>
                <w:rFonts w:hAnsi="宋体"/>
                <w:b/>
                <w:bCs/>
              </w:rPr>
            </w:pPr>
            <w:r>
              <w:rPr>
                <w:rFonts w:hint="eastAsia" w:hAnsi="宋体"/>
                <w:b/>
                <w:bCs/>
              </w:rPr>
              <w:t>13</w:t>
            </w:r>
          </w:p>
        </w:tc>
        <w:tc>
          <w:tcPr>
            <w:tcW w:w="988" w:type="dxa"/>
            <w:vAlign w:val="center"/>
          </w:tcPr>
          <w:p w14:paraId="1EC946A3">
            <w:pPr>
              <w:pStyle w:val="8"/>
              <w:jc w:val="center"/>
              <w:rPr>
                <w:rFonts w:hAnsi="宋体"/>
                <w:b/>
                <w:bCs/>
              </w:rPr>
            </w:pPr>
            <w:r>
              <w:rPr>
                <w:rFonts w:hint="eastAsia" w:hAnsi="宋体"/>
                <w:b/>
                <w:bCs/>
              </w:rPr>
              <w:t>16．1</w:t>
            </w:r>
          </w:p>
        </w:tc>
        <w:tc>
          <w:tcPr>
            <w:tcW w:w="1792" w:type="dxa"/>
            <w:vAlign w:val="center"/>
          </w:tcPr>
          <w:p w14:paraId="7CEFB7E5">
            <w:pPr>
              <w:pStyle w:val="8"/>
              <w:jc w:val="center"/>
              <w:rPr>
                <w:rFonts w:hAnsi="宋体"/>
                <w:b/>
                <w:bCs/>
              </w:rPr>
            </w:pPr>
            <w:r>
              <w:rPr>
                <w:rFonts w:hint="eastAsia" w:hAnsi="宋体"/>
                <w:b/>
                <w:bCs/>
                <w:lang w:eastAsia="zh-CN"/>
              </w:rPr>
              <w:t>交易响应</w:t>
            </w:r>
            <w:r>
              <w:rPr>
                <w:rFonts w:hint="eastAsia" w:hAnsi="宋体"/>
                <w:b/>
                <w:bCs/>
              </w:rPr>
              <w:t>担保金额</w:t>
            </w:r>
          </w:p>
        </w:tc>
        <w:tc>
          <w:tcPr>
            <w:tcW w:w="6366" w:type="dxa"/>
            <w:vAlign w:val="center"/>
          </w:tcPr>
          <w:p w14:paraId="127BE4B4">
            <w:pPr>
              <w:pStyle w:val="8"/>
              <w:rPr>
                <w:rFonts w:hAnsi="宋体"/>
                <w:b/>
                <w:bCs/>
                <w:lang w:eastAsia="zh-CN"/>
              </w:rPr>
            </w:pPr>
            <w:r>
              <w:rPr>
                <w:rFonts w:hint="eastAsia" w:ascii="宋体" w:hAnsi="宋体" w:eastAsia="宋体" w:cs="宋体"/>
                <w:b/>
                <w:bCs/>
                <w:color w:val="auto"/>
                <w:kern w:val="2"/>
                <w:sz w:val="21"/>
                <w:szCs w:val="21"/>
                <w:lang w:val="en-US" w:eastAsia="zh-CN" w:bidi="ar-SA"/>
              </w:rPr>
              <w:t>本项目无需缴纳</w:t>
            </w:r>
            <w:r>
              <w:rPr>
                <w:rFonts w:hint="eastAsia" w:hAnsi="宋体" w:eastAsia="宋体" w:cs="宋体"/>
                <w:b/>
                <w:bCs/>
                <w:color w:val="auto"/>
                <w:kern w:val="2"/>
                <w:sz w:val="21"/>
                <w:szCs w:val="21"/>
                <w:lang w:val="en-US" w:eastAsia="zh-CN" w:bidi="ar-SA"/>
              </w:rPr>
              <w:t>交易响应</w:t>
            </w:r>
            <w:r>
              <w:rPr>
                <w:rFonts w:hint="eastAsia" w:ascii="宋体" w:hAnsi="宋体" w:eastAsia="宋体" w:cs="宋体"/>
                <w:b/>
                <w:bCs/>
                <w:color w:val="auto"/>
                <w:kern w:val="2"/>
                <w:sz w:val="21"/>
                <w:szCs w:val="21"/>
                <w:lang w:val="en-US" w:eastAsia="zh-CN" w:bidi="ar-SA"/>
              </w:rPr>
              <w:t>保证金</w:t>
            </w:r>
          </w:p>
        </w:tc>
      </w:tr>
      <w:tr w14:paraId="7F8FE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78" w:type="dxa"/>
            <w:vAlign w:val="center"/>
          </w:tcPr>
          <w:p w14:paraId="5416D0BD">
            <w:pPr>
              <w:pStyle w:val="8"/>
              <w:jc w:val="center"/>
              <w:rPr>
                <w:rFonts w:hAnsi="宋体"/>
                <w:b/>
                <w:bCs/>
              </w:rPr>
            </w:pPr>
            <w:r>
              <w:rPr>
                <w:rFonts w:hint="eastAsia" w:hAnsi="宋体"/>
                <w:b/>
                <w:bCs/>
              </w:rPr>
              <w:t>14</w:t>
            </w:r>
          </w:p>
        </w:tc>
        <w:tc>
          <w:tcPr>
            <w:tcW w:w="988" w:type="dxa"/>
            <w:vAlign w:val="center"/>
          </w:tcPr>
          <w:p w14:paraId="41111070">
            <w:pPr>
              <w:pStyle w:val="8"/>
              <w:jc w:val="center"/>
              <w:rPr>
                <w:rFonts w:hAnsi="宋体"/>
                <w:b/>
                <w:bCs/>
              </w:rPr>
            </w:pPr>
            <w:r>
              <w:rPr>
                <w:rFonts w:hint="eastAsia" w:hAnsi="宋体"/>
                <w:b/>
                <w:bCs/>
              </w:rPr>
              <w:t>6．1</w:t>
            </w:r>
          </w:p>
        </w:tc>
        <w:tc>
          <w:tcPr>
            <w:tcW w:w="1792" w:type="dxa"/>
            <w:vAlign w:val="center"/>
          </w:tcPr>
          <w:p w14:paraId="45427525">
            <w:pPr>
              <w:pStyle w:val="8"/>
              <w:jc w:val="center"/>
              <w:rPr>
                <w:rFonts w:hAnsi="宋体"/>
                <w:b/>
                <w:bCs/>
              </w:rPr>
            </w:pPr>
            <w:r>
              <w:rPr>
                <w:rFonts w:hint="eastAsia" w:hAnsi="宋体"/>
                <w:b/>
                <w:bCs/>
              </w:rPr>
              <w:t>踏勘现场</w:t>
            </w:r>
          </w:p>
        </w:tc>
        <w:tc>
          <w:tcPr>
            <w:tcW w:w="6366" w:type="dxa"/>
            <w:vAlign w:val="center"/>
          </w:tcPr>
          <w:p w14:paraId="706190AF">
            <w:pPr>
              <w:pStyle w:val="8"/>
              <w:rPr>
                <w:rFonts w:hAnsi="宋体"/>
                <w:b/>
                <w:bCs/>
                <w:u w:val="single"/>
              </w:rPr>
            </w:pPr>
            <w:r>
              <w:rPr>
                <w:rFonts w:hint="eastAsia" w:hAnsi="宋体"/>
                <w:b/>
                <w:bCs/>
              </w:rPr>
              <w:t>自行踏勘</w:t>
            </w:r>
          </w:p>
        </w:tc>
      </w:tr>
      <w:tr w14:paraId="5BD32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878" w:type="dxa"/>
            <w:vAlign w:val="center"/>
          </w:tcPr>
          <w:p w14:paraId="07486350">
            <w:pPr>
              <w:jc w:val="center"/>
              <w:rPr>
                <w:rFonts w:hAnsi="宋体"/>
                <w:b/>
                <w:bCs/>
              </w:rPr>
            </w:pPr>
            <w:r>
              <w:rPr>
                <w:rFonts w:hint="eastAsia" w:hAnsi="宋体"/>
                <w:b/>
                <w:bCs/>
              </w:rPr>
              <w:t>15</w:t>
            </w:r>
          </w:p>
        </w:tc>
        <w:tc>
          <w:tcPr>
            <w:tcW w:w="988" w:type="dxa"/>
            <w:vAlign w:val="center"/>
          </w:tcPr>
          <w:p w14:paraId="1E568BB4">
            <w:pPr>
              <w:jc w:val="center"/>
              <w:rPr>
                <w:rFonts w:hAnsi="宋体"/>
                <w:b/>
                <w:bCs/>
              </w:rPr>
            </w:pPr>
            <w:r>
              <w:rPr>
                <w:rFonts w:hint="eastAsia" w:hAnsi="宋体"/>
                <w:b/>
                <w:bCs/>
              </w:rPr>
              <w:t>17．1</w:t>
            </w:r>
          </w:p>
        </w:tc>
        <w:tc>
          <w:tcPr>
            <w:tcW w:w="1792" w:type="dxa"/>
            <w:vAlign w:val="center"/>
          </w:tcPr>
          <w:p w14:paraId="74A487B8">
            <w:pPr>
              <w:jc w:val="center"/>
              <w:rPr>
                <w:rFonts w:hAnsi="宋体"/>
                <w:b/>
                <w:bCs/>
                <w:lang w:eastAsia="zh-CN"/>
              </w:rPr>
            </w:pPr>
            <w:r>
              <w:rPr>
                <w:rFonts w:hint="eastAsia" w:hAnsi="宋体"/>
                <w:b/>
                <w:bCs/>
                <w:lang w:eastAsia="zh-CN"/>
              </w:rPr>
              <w:t>交易响应预备会或答疑</w:t>
            </w:r>
          </w:p>
        </w:tc>
        <w:tc>
          <w:tcPr>
            <w:tcW w:w="6366" w:type="dxa"/>
            <w:vAlign w:val="center"/>
          </w:tcPr>
          <w:p w14:paraId="19B21196">
            <w:pPr>
              <w:pStyle w:val="8"/>
              <w:rPr>
                <w:rFonts w:hAnsi="宋体"/>
                <w:b/>
                <w:bCs/>
                <w:u w:val="single"/>
                <w:lang w:eastAsia="zh-CN"/>
              </w:rPr>
            </w:pPr>
            <w:r>
              <w:rPr>
                <w:rFonts w:hint="eastAsia" w:ascii="宋体" w:hAnsi="宋体" w:eastAsia="宋体" w:cs="宋体"/>
                <w:b/>
                <w:color w:val="auto"/>
                <w:sz w:val="21"/>
                <w:szCs w:val="21"/>
                <w:highlight w:val="none"/>
              </w:rPr>
              <w:t>交易响应人需在</w:t>
            </w:r>
            <w:r>
              <w:rPr>
                <w:rFonts w:hint="eastAsia" w:hAnsi="宋体" w:eastAsia="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rPr>
              <w:t>年</w:t>
            </w:r>
            <w:r>
              <w:rPr>
                <w:rFonts w:hint="eastAsia" w:ascii="宋体" w:hAnsi="宋体" w:eastAsia="宋体" w:cs="宋体"/>
                <w:b/>
                <w:color w:val="auto"/>
                <w:sz w:val="21"/>
                <w:szCs w:val="21"/>
                <w:highlight w:val="none"/>
                <w:u w:val="single"/>
              </w:rPr>
              <w:t xml:space="preserve"> / </w:t>
            </w:r>
            <w:r>
              <w:rPr>
                <w:rFonts w:hint="eastAsia" w:ascii="宋体" w:hAnsi="宋体" w:eastAsia="宋体" w:cs="宋体"/>
                <w:b/>
                <w:color w:val="auto"/>
                <w:sz w:val="21"/>
                <w:szCs w:val="21"/>
                <w:highlight w:val="none"/>
              </w:rPr>
              <w:t>月</w:t>
            </w:r>
            <w:r>
              <w:rPr>
                <w:rFonts w:hint="eastAsia" w:ascii="宋体" w:hAnsi="宋体" w:eastAsia="宋体" w:cs="宋体"/>
                <w:b/>
                <w:color w:val="auto"/>
                <w:sz w:val="21"/>
                <w:szCs w:val="21"/>
                <w:highlight w:val="none"/>
                <w:u w:val="single"/>
              </w:rPr>
              <w:t xml:space="preserve"> / </w:t>
            </w:r>
            <w:r>
              <w:rPr>
                <w:rFonts w:hint="eastAsia" w:ascii="宋体" w:hAnsi="宋体" w:eastAsia="宋体" w:cs="宋体"/>
                <w:b/>
                <w:color w:val="auto"/>
                <w:sz w:val="21"/>
                <w:szCs w:val="21"/>
                <w:highlight w:val="none"/>
              </w:rPr>
              <w:t>日</w:t>
            </w:r>
            <w:r>
              <w:rPr>
                <w:rFonts w:hint="eastAsia" w:ascii="宋体" w:hAnsi="宋体" w:eastAsia="宋体" w:cs="宋体"/>
                <w:b/>
                <w:color w:val="auto"/>
                <w:sz w:val="21"/>
                <w:szCs w:val="21"/>
                <w:highlight w:val="none"/>
                <w:u w:val="single"/>
              </w:rPr>
              <w:t xml:space="preserve"> / </w:t>
            </w:r>
            <w:r>
              <w:rPr>
                <w:rFonts w:hint="eastAsia" w:ascii="宋体" w:hAnsi="宋体" w:eastAsia="宋体" w:cs="宋体"/>
                <w:b/>
                <w:color w:val="auto"/>
                <w:sz w:val="21"/>
                <w:szCs w:val="21"/>
                <w:highlight w:val="none"/>
              </w:rPr>
              <w:t>时前将疑问以传真的形式传真</w:t>
            </w:r>
            <w:r>
              <w:rPr>
                <w:rFonts w:hint="eastAsia" w:ascii="宋体" w:hAnsi="宋体" w:eastAsia="宋体" w:cs="宋体"/>
                <w:b/>
                <w:color w:val="auto"/>
                <w:sz w:val="21"/>
                <w:szCs w:val="21"/>
                <w:highlight w:val="none"/>
                <w:u w:val="single"/>
              </w:rPr>
              <w:t xml:space="preserve">     /   </w:t>
            </w:r>
            <w:r>
              <w:rPr>
                <w:rFonts w:hint="eastAsia" w:ascii="宋体" w:hAnsi="宋体" w:eastAsia="宋体" w:cs="宋体"/>
                <w:b/>
                <w:color w:val="auto"/>
                <w:sz w:val="21"/>
                <w:szCs w:val="21"/>
                <w:highlight w:val="none"/>
              </w:rPr>
              <w:t>，传真号码：</w:t>
            </w:r>
            <w:r>
              <w:rPr>
                <w:rFonts w:hint="eastAsia" w:ascii="宋体" w:hAnsi="宋体" w:eastAsia="宋体" w:cs="宋体"/>
                <w:b/>
                <w:color w:val="auto"/>
                <w:sz w:val="21"/>
                <w:szCs w:val="21"/>
                <w:highlight w:val="none"/>
                <w:u w:val="single"/>
              </w:rPr>
              <w:t xml:space="preserve">   /   </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u w:val="single"/>
              </w:rPr>
              <w:t xml:space="preserve">  /  </w:t>
            </w:r>
            <w:r>
              <w:rPr>
                <w:rFonts w:hint="eastAsia" w:ascii="宋体" w:hAnsi="宋体" w:eastAsia="宋体" w:cs="宋体"/>
                <w:b/>
                <w:color w:val="auto"/>
                <w:sz w:val="21"/>
                <w:szCs w:val="21"/>
                <w:highlight w:val="none"/>
              </w:rPr>
              <w:t>收   联系电话：</w:t>
            </w:r>
            <w:r>
              <w:rPr>
                <w:rFonts w:hint="eastAsia" w:ascii="宋体" w:hAnsi="宋体" w:eastAsia="宋体" w:cs="宋体"/>
                <w:b/>
                <w:color w:val="auto"/>
                <w:sz w:val="21"/>
                <w:szCs w:val="21"/>
                <w:highlight w:val="none"/>
                <w:u w:val="single"/>
              </w:rPr>
              <w:t xml:space="preserve">    /      </w:t>
            </w:r>
          </w:p>
        </w:tc>
      </w:tr>
      <w:tr w14:paraId="64247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78" w:type="dxa"/>
            <w:vAlign w:val="center"/>
          </w:tcPr>
          <w:p w14:paraId="569D4587">
            <w:pPr>
              <w:pStyle w:val="8"/>
              <w:jc w:val="center"/>
              <w:rPr>
                <w:rFonts w:hAnsi="宋体"/>
                <w:b/>
                <w:bCs/>
              </w:rPr>
            </w:pPr>
            <w:r>
              <w:rPr>
                <w:rFonts w:hint="eastAsia" w:hAnsi="宋体"/>
                <w:b/>
                <w:bCs/>
              </w:rPr>
              <w:t>16</w:t>
            </w:r>
          </w:p>
        </w:tc>
        <w:tc>
          <w:tcPr>
            <w:tcW w:w="988" w:type="dxa"/>
            <w:vAlign w:val="center"/>
          </w:tcPr>
          <w:p w14:paraId="3EB42011">
            <w:pPr>
              <w:pStyle w:val="8"/>
              <w:jc w:val="center"/>
              <w:rPr>
                <w:rFonts w:hAnsi="宋体"/>
                <w:b/>
                <w:bCs/>
              </w:rPr>
            </w:pPr>
            <w:r>
              <w:rPr>
                <w:rFonts w:hint="eastAsia" w:hAnsi="宋体"/>
                <w:b/>
                <w:bCs/>
              </w:rPr>
              <w:t>18．1</w:t>
            </w:r>
          </w:p>
        </w:tc>
        <w:tc>
          <w:tcPr>
            <w:tcW w:w="1792" w:type="dxa"/>
            <w:vAlign w:val="center"/>
          </w:tcPr>
          <w:p w14:paraId="753439E9">
            <w:pPr>
              <w:pStyle w:val="8"/>
              <w:jc w:val="center"/>
              <w:rPr>
                <w:rFonts w:hAnsi="宋体"/>
                <w:b/>
                <w:bCs/>
                <w:lang w:eastAsia="zh-CN"/>
              </w:rPr>
            </w:pPr>
            <w:r>
              <w:rPr>
                <w:rFonts w:hint="eastAsia" w:hAnsi="宋体"/>
                <w:b/>
                <w:bCs/>
                <w:lang w:eastAsia="zh-CN"/>
              </w:rPr>
              <w:t>交易响应人的替代方案</w:t>
            </w:r>
          </w:p>
        </w:tc>
        <w:tc>
          <w:tcPr>
            <w:tcW w:w="6366" w:type="dxa"/>
            <w:vAlign w:val="center"/>
          </w:tcPr>
          <w:p w14:paraId="664B09F7">
            <w:pPr>
              <w:pStyle w:val="8"/>
              <w:rPr>
                <w:rFonts w:hAnsi="宋体"/>
                <w:b/>
                <w:bCs/>
                <w:u w:val="single"/>
              </w:rPr>
            </w:pPr>
            <w:r>
              <w:rPr>
                <w:rFonts w:hint="eastAsia" w:hAnsi="宋体"/>
                <w:b/>
                <w:bCs/>
                <w:u w:val="single"/>
              </w:rPr>
              <w:t>不允许</w:t>
            </w:r>
          </w:p>
        </w:tc>
      </w:tr>
      <w:tr w14:paraId="59A12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78" w:type="dxa"/>
            <w:vAlign w:val="center"/>
          </w:tcPr>
          <w:p w14:paraId="76369B61">
            <w:pPr>
              <w:pStyle w:val="8"/>
              <w:jc w:val="center"/>
              <w:rPr>
                <w:rFonts w:hAnsi="宋体"/>
                <w:b/>
                <w:bCs/>
              </w:rPr>
            </w:pPr>
            <w:r>
              <w:rPr>
                <w:rFonts w:hint="eastAsia" w:hAnsi="宋体"/>
                <w:b/>
                <w:bCs/>
              </w:rPr>
              <w:t>17</w:t>
            </w:r>
          </w:p>
        </w:tc>
        <w:tc>
          <w:tcPr>
            <w:tcW w:w="988" w:type="dxa"/>
            <w:vAlign w:val="center"/>
          </w:tcPr>
          <w:p w14:paraId="2599D1AE">
            <w:pPr>
              <w:pStyle w:val="8"/>
              <w:jc w:val="center"/>
              <w:rPr>
                <w:rFonts w:hAnsi="宋体"/>
                <w:b/>
                <w:bCs/>
              </w:rPr>
            </w:pPr>
            <w:r>
              <w:rPr>
                <w:rFonts w:hint="eastAsia" w:hAnsi="宋体"/>
                <w:b/>
                <w:bCs/>
              </w:rPr>
              <w:t>19．1</w:t>
            </w:r>
          </w:p>
        </w:tc>
        <w:tc>
          <w:tcPr>
            <w:tcW w:w="1792" w:type="dxa"/>
            <w:vAlign w:val="center"/>
          </w:tcPr>
          <w:p w14:paraId="126CD477">
            <w:pPr>
              <w:pStyle w:val="8"/>
              <w:jc w:val="center"/>
              <w:rPr>
                <w:rFonts w:hAnsi="宋体"/>
                <w:b/>
                <w:bCs/>
              </w:rPr>
            </w:pPr>
            <w:r>
              <w:rPr>
                <w:rFonts w:hint="eastAsia" w:hAnsi="宋体"/>
                <w:b/>
                <w:bCs/>
                <w:lang w:eastAsia="zh-CN"/>
              </w:rPr>
              <w:t>交易响应</w:t>
            </w:r>
            <w:r>
              <w:rPr>
                <w:rFonts w:hint="eastAsia" w:hAnsi="宋体"/>
                <w:b/>
                <w:bCs/>
              </w:rPr>
              <w:t>文件份数</w:t>
            </w:r>
          </w:p>
        </w:tc>
        <w:tc>
          <w:tcPr>
            <w:tcW w:w="6366" w:type="dxa"/>
            <w:vAlign w:val="center"/>
          </w:tcPr>
          <w:p w14:paraId="138FFABB">
            <w:pPr>
              <w:pStyle w:val="8"/>
              <w:rPr>
                <w:rFonts w:hAnsi="宋体"/>
                <w:b/>
                <w:bCs/>
                <w:lang w:eastAsia="zh-CN"/>
              </w:rPr>
            </w:pPr>
            <w:r>
              <w:rPr>
                <w:rFonts w:hint="eastAsia" w:hAnsi="宋体"/>
                <w:b/>
                <w:bCs/>
                <w:lang w:eastAsia="zh-CN"/>
              </w:rPr>
              <w:t>交易响应文件份数：</w:t>
            </w:r>
          </w:p>
          <w:p w14:paraId="00BB302E">
            <w:pPr>
              <w:pStyle w:val="8"/>
              <w:rPr>
                <w:rFonts w:hAnsi="宋体"/>
                <w:b/>
                <w:bCs/>
                <w:lang w:eastAsia="zh-CN"/>
              </w:rPr>
            </w:pPr>
            <w:r>
              <w:rPr>
                <w:rFonts w:hint="eastAsia" w:hAnsi="宋体"/>
                <w:b/>
                <w:bCs/>
                <w:lang w:eastAsia="zh-CN"/>
              </w:rPr>
              <w:t>（1）电子加密交易响应文件（.CATF）壹份（上传至交易平台会员系统）。</w:t>
            </w:r>
          </w:p>
          <w:p w14:paraId="55D760A0">
            <w:pPr>
              <w:pStyle w:val="8"/>
              <w:rPr>
                <w:rFonts w:hAnsi="宋体"/>
                <w:b/>
                <w:bCs/>
                <w:lang w:eastAsia="zh-CN"/>
              </w:rPr>
            </w:pPr>
            <w:r>
              <w:rPr>
                <w:rFonts w:hint="eastAsia" w:hAnsi="宋体"/>
                <w:b/>
                <w:bCs/>
                <w:lang w:eastAsia="zh-CN"/>
              </w:rPr>
              <w:t>（2）成交单位在领取成交通知书的同时还须另向交易发起人提供与电子交易响应文件内容完全一致的纸质交易响应文件副本</w:t>
            </w:r>
            <w:r>
              <w:rPr>
                <w:rFonts w:hint="eastAsia" w:hAnsi="宋体"/>
                <w:b/>
                <w:bCs/>
                <w:highlight w:val="none"/>
                <w:u w:val="single"/>
                <w:lang w:eastAsia="zh-CN"/>
              </w:rPr>
              <w:t>三</w:t>
            </w:r>
            <w:r>
              <w:rPr>
                <w:rFonts w:hint="eastAsia" w:hAnsi="宋体"/>
                <w:b/>
                <w:bCs/>
                <w:lang w:eastAsia="zh-CN"/>
              </w:rPr>
              <w:t>份。</w:t>
            </w:r>
          </w:p>
        </w:tc>
      </w:tr>
      <w:tr w14:paraId="38BED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878" w:type="dxa"/>
            <w:vAlign w:val="center"/>
          </w:tcPr>
          <w:p w14:paraId="303707E4">
            <w:pPr>
              <w:pStyle w:val="8"/>
              <w:jc w:val="center"/>
              <w:rPr>
                <w:rFonts w:hAnsi="宋体"/>
                <w:b/>
                <w:bCs/>
              </w:rPr>
            </w:pPr>
            <w:r>
              <w:rPr>
                <w:rFonts w:hint="eastAsia" w:hAnsi="宋体"/>
                <w:b/>
                <w:bCs/>
              </w:rPr>
              <w:t>18</w:t>
            </w:r>
          </w:p>
        </w:tc>
        <w:tc>
          <w:tcPr>
            <w:tcW w:w="988" w:type="dxa"/>
            <w:vAlign w:val="center"/>
          </w:tcPr>
          <w:p w14:paraId="2796B1C0">
            <w:pPr>
              <w:pStyle w:val="8"/>
              <w:jc w:val="center"/>
              <w:rPr>
                <w:rFonts w:hAnsi="宋体"/>
                <w:b/>
                <w:bCs/>
              </w:rPr>
            </w:pPr>
            <w:r>
              <w:rPr>
                <w:rFonts w:hint="eastAsia" w:hAnsi="宋体"/>
                <w:b/>
                <w:bCs/>
              </w:rPr>
              <w:t>21．1</w:t>
            </w:r>
          </w:p>
        </w:tc>
        <w:tc>
          <w:tcPr>
            <w:tcW w:w="1792" w:type="dxa"/>
            <w:vAlign w:val="center"/>
          </w:tcPr>
          <w:p w14:paraId="1015B3B2">
            <w:pPr>
              <w:pStyle w:val="8"/>
              <w:jc w:val="center"/>
              <w:rPr>
                <w:rFonts w:hAnsi="宋体"/>
                <w:b/>
                <w:bCs/>
                <w:lang w:eastAsia="zh-CN"/>
              </w:rPr>
            </w:pPr>
            <w:r>
              <w:rPr>
                <w:rFonts w:hint="eastAsia" w:hAnsi="宋体"/>
                <w:b/>
                <w:bCs/>
                <w:lang w:eastAsia="zh-CN"/>
              </w:rPr>
              <w:t>交易响应截止时间/电子交易响应上传截止时间</w:t>
            </w:r>
          </w:p>
        </w:tc>
        <w:tc>
          <w:tcPr>
            <w:tcW w:w="6366" w:type="dxa"/>
            <w:vAlign w:val="center"/>
          </w:tcPr>
          <w:p w14:paraId="00941833">
            <w:pPr>
              <w:pStyle w:val="8"/>
              <w:rPr>
                <w:rFonts w:hAnsi="宋体"/>
                <w:b/>
                <w:bCs/>
                <w:lang w:eastAsia="zh-CN"/>
              </w:rPr>
            </w:pPr>
            <w:r>
              <w:rPr>
                <w:rFonts w:hint="eastAsia" w:hAnsi="宋体"/>
                <w:b/>
                <w:bCs/>
                <w:lang w:eastAsia="zh-CN"/>
              </w:rPr>
              <w:t>截止时间：</w:t>
            </w:r>
            <w:r>
              <w:rPr>
                <w:rFonts w:hint="eastAsia" w:hAnsi="宋体"/>
                <w:b/>
                <w:bCs/>
                <w:u w:val="single"/>
                <w:lang w:eastAsia="zh-CN"/>
              </w:rPr>
              <w:t>202</w:t>
            </w:r>
            <w:r>
              <w:rPr>
                <w:rFonts w:hint="eastAsia" w:hAnsi="宋体"/>
                <w:b/>
                <w:bCs/>
                <w:u w:val="single"/>
                <w:lang w:val="en-US" w:eastAsia="zh-CN"/>
              </w:rPr>
              <w:t>4</w:t>
            </w:r>
            <w:r>
              <w:rPr>
                <w:rFonts w:hint="eastAsia" w:hAnsi="宋体"/>
                <w:b/>
                <w:bCs/>
                <w:lang w:eastAsia="zh-CN"/>
              </w:rPr>
              <w:t>年</w:t>
            </w:r>
            <w:r>
              <w:rPr>
                <w:rFonts w:hint="eastAsia" w:hAnsi="宋体"/>
                <w:b/>
                <w:bCs/>
                <w:u w:val="single"/>
                <w:lang w:val="en-US" w:eastAsia="zh-CN"/>
              </w:rPr>
              <w:t>9</w:t>
            </w:r>
            <w:r>
              <w:rPr>
                <w:rFonts w:hint="eastAsia" w:hAnsi="宋体"/>
                <w:b/>
                <w:bCs/>
                <w:lang w:eastAsia="zh-CN"/>
              </w:rPr>
              <w:t>月</w:t>
            </w:r>
            <w:r>
              <w:rPr>
                <w:rFonts w:hint="eastAsia" w:hAnsi="宋体"/>
                <w:b/>
                <w:bCs/>
                <w:u w:val="single"/>
                <w:lang w:val="en-US" w:eastAsia="zh-CN"/>
              </w:rPr>
              <w:t>19</w:t>
            </w:r>
            <w:r>
              <w:rPr>
                <w:rFonts w:hint="eastAsia" w:hAnsi="宋体"/>
                <w:b/>
                <w:bCs/>
                <w:lang w:eastAsia="zh-CN"/>
              </w:rPr>
              <w:t xml:space="preserve"> 日</w:t>
            </w:r>
            <w:r>
              <w:rPr>
                <w:rFonts w:hint="eastAsia" w:hAnsi="宋体"/>
                <w:b/>
                <w:bCs/>
                <w:u w:val="single"/>
                <w:lang w:val="en-US" w:eastAsia="zh-CN"/>
              </w:rPr>
              <w:t>10</w:t>
            </w:r>
            <w:r>
              <w:rPr>
                <w:rFonts w:hint="eastAsia" w:hAnsi="宋体"/>
                <w:b/>
                <w:bCs/>
                <w:lang w:eastAsia="zh-CN"/>
              </w:rPr>
              <w:t xml:space="preserve"> 时</w:t>
            </w:r>
            <w:r>
              <w:rPr>
                <w:rFonts w:hint="eastAsia" w:hAnsi="宋体"/>
                <w:b/>
                <w:bCs/>
                <w:u w:val="single"/>
                <w:lang w:val="en-US" w:eastAsia="zh-CN"/>
              </w:rPr>
              <w:t>30</w:t>
            </w:r>
            <w:r>
              <w:rPr>
                <w:rFonts w:hint="eastAsia" w:hAnsi="宋体"/>
                <w:b/>
                <w:bCs/>
                <w:lang w:eastAsia="zh-CN"/>
              </w:rPr>
              <w:t>分</w:t>
            </w:r>
          </w:p>
        </w:tc>
      </w:tr>
      <w:tr w14:paraId="568C9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878" w:type="dxa"/>
            <w:vAlign w:val="center"/>
          </w:tcPr>
          <w:p w14:paraId="7FD4314A">
            <w:pPr>
              <w:pStyle w:val="8"/>
              <w:jc w:val="center"/>
              <w:rPr>
                <w:rFonts w:hAnsi="宋体"/>
                <w:b/>
                <w:bCs/>
              </w:rPr>
            </w:pPr>
            <w:r>
              <w:rPr>
                <w:rFonts w:hint="eastAsia" w:hAnsi="宋体"/>
                <w:b/>
                <w:bCs/>
              </w:rPr>
              <w:t>19</w:t>
            </w:r>
          </w:p>
        </w:tc>
        <w:tc>
          <w:tcPr>
            <w:tcW w:w="988" w:type="dxa"/>
            <w:vAlign w:val="center"/>
          </w:tcPr>
          <w:p w14:paraId="1464D030">
            <w:pPr>
              <w:pStyle w:val="8"/>
              <w:jc w:val="center"/>
              <w:rPr>
                <w:rFonts w:hAnsi="宋体"/>
                <w:b/>
                <w:bCs/>
              </w:rPr>
            </w:pPr>
            <w:r>
              <w:rPr>
                <w:rFonts w:hint="eastAsia" w:hAnsi="宋体"/>
                <w:b/>
                <w:bCs/>
              </w:rPr>
              <w:t>25．1</w:t>
            </w:r>
          </w:p>
        </w:tc>
        <w:tc>
          <w:tcPr>
            <w:tcW w:w="1792" w:type="dxa"/>
            <w:vAlign w:val="center"/>
          </w:tcPr>
          <w:p w14:paraId="43FF85C9">
            <w:pPr>
              <w:pStyle w:val="8"/>
              <w:jc w:val="center"/>
              <w:rPr>
                <w:rFonts w:hAnsi="宋体"/>
                <w:b/>
                <w:bCs/>
              </w:rPr>
            </w:pPr>
            <w:r>
              <w:rPr>
                <w:rFonts w:hint="eastAsia" w:hAnsi="宋体"/>
                <w:b/>
                <w:bCs/>
                <w:lang w:eastAsia="zh-CN"/>
              </w:rPr>
              <w:t>交易会议</w:t>
            </w:r>
            <w:r>
              <w:rPr>
                <w:rFonts w:hint="eastAsia" w:hAnsi="宋体"/>
                <w:b/>
                <w:bCs/>
              </w:rPr>
              <w:t>会</w:t>
            </w:r>
          </w:p>
        </w:tc>
        <w:tc>
          <w:tcPr>
            <w:tcW w:w="6366" w:type="dxa"/>
            <w:vAlign w:val="center"/>
          </w:tcPr>
          <w:p w14:paraId="4B40DFD4">
            <w:pPr>
              <w:tabs>
                <w:tab w:val="left" w:pos="7020"/>
              </w:tabs>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地址：</w:t>
            </w:r>
            <w:r>
              <w:rPr>
                <w:rFonts w:hint="eastAsia" w:ascii="宋体" w:hAnsi="宋体" w:eastAsia="宋体" w:cs="宋体"/>
                <w:b/>
                <w:bCs w:val="0"/>
                <w:color w:val="auto"/>
                <w:kern w:val="2"/>
                <w:sz w:val="21"/>
                <w:szCs w:val="21"/>
                <w:highlight w:val="none"/>
                <w:lang w:val="en-US" w:eastAsia="zh-CN" w:bidi="ar-SA"/>
              </w:rPr>
              <w:t>淳安县</w:t>
            </w:r>
            <w:r>
              <w:rPr>
                <w:rFonts w:hint="eastAsia" w:ascii="宋体" w:hAnsi="宋体" w:cs="宋体"/>
                <w:b/>
                <w:bCs w:val="0"/>
                <w:color w:val="auto"/>
                <w:kern w:val="2"/>
                <w:sz w:val="21"/>
                <w:szCs w:val="21"/>
                <w:highlight w:val="none"/>
                <w:lang w:val="en-US" w:eastAsia="zh-CN" w:bidi="ar-SA"/>
              </w:rPr>
              <w:t>枫树岭镇</w:t>
            </w:r>
            <w:r>
              <w:rPr>
                <w:rFonts w:hint="eastAsia" w:ascii="宋体" w:hAnsi="宋体" w:eastAsia="宋体" w:cs="宋体"/>
                <w:b/>
                <w:bCs w:val="0"/>
                <w:color w:val="auto"/>
                <w:kern w:val="2"/>
                <w:sz w:val="21"/>
                <w:szCs w:val="21"/>
                <w:highlight w:val="none"/>
                <w:lang w:val="en-US" w:eastAsia="zh-CN" w:bidi="ar-SA"/>
              </w:rPr>
              <w:t>人民政府（</w:t>
            </w:r>
            <w:r>
              <w:rPr>
                <w:rFonts w:hint="eastAsia" w:ascii="宋体" w:hAnsi="宋体" w:cs="宋体"/>
                <w:b/>
                <w:bCs w:val="0"/>
                <w:color w:val="auto"/>
                <w:kern w:val="2"/>
                <w:sz w:val="21"/>
                <w:szCs w:val="21"/>
                <w:highlight w:val="none"/>
                <w:lang w:val="en-US" w:eastAsia="zh-CN" w:bidi="ar-SA"/>
              </w:rPr>
              <w:t>便民服务中心三楼招标室</w:t>
            </w:r>
            <w:r>
              <w:rPr>
                <w:rFonts w:hint="eastAsia" w:ascii="宋体" w:hAnsi="宋体" w:eastAsia="宋体" w:cs="Courier New"/>
                <w:b/>
                <w:color w:val="auto"/>
                <w:szCs w:val="21"/>
                <w:highlight w:val="none"/>
              </w:rPr>
              <w:t>）</w:t>
            </w:r>
            <w:r>
              <w:rPr>
                <w:rFonts w:hint="eastAsia" w:ascii="宋体" w:hAnsi="宋体" w:eastAsia="宋体" w:cs="Courier New"/>
                <w:b/>
                <w:color w:val="auto"/>
                <w:szCs w:val="21"/>
                <w:highlight w:val="none"/>
                <w:lang w:eastAsia="zh-CN"/>
              </w:rPr>
              <w:t>。</w:t>
            </w:r>
            <w:r>
              <w:rPr>
                <w:rFonts w:hint="eastAsia" w:ascii="宋体" w:hAnsi="宋体" w:eastAsia="宋体" w:cs="宋体"/>
                <w:b/>
                <w:bCs w:val="0"/>
                <w:color w:val="auto"/>
                <w:sz w:val="21"/>
                <w:szCs w:val="21"/>
                <w:highlight w:val="none"/>
              </w:rPr>
              <w:t xml:space="preserve"> </w:t>
            </w:r>
          </w:p>
          <w:p w14:paraId="4B36F734">
            <w:pPr>
              <w:pStyle w:val="8"/>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时间：同电子</w:t>
            </w:r>
            <w:r>
              <w:rPr>
                <w:rFonts w:hint="eastAsia" w:hAnsi="宋体" w:cs="宋体"/>
                <w:b/>
                <w:bCs w:val="0"/>
                <w:color w:val="auto"/>
                <w:sz w:val="21"/>
                <w:szCs w:val="21"/>
                <w:highlight w:val="none"/>
                <w:lang w:val="en-US" w:eastAsia="zh-CN"/>
              </w:rPr>
              <w:t>交易响应</w:t>
            </w:r>
            <w:r>
              <w:rPr>
                <w:rFonts w:hint="eastAsia" w:ascii="宋体" w:hAnsi="宋体" w:eastAsia="宋体" w:cs="宋体"/>
                <w:b/>
                <w:bCs w:val="0"/>
                <w:color w:val="auto"/>
                <w:sz w:val="21"/>
                <w:szCs w:val="21"/>
                <w:highlight w:val="none"/>
              </w:rPr>
              <w:t>文件上传截止时间</w:t>
            </w:r>
          </w:p>
          <w:p w14:paraId="60EACACA">
            <w:pPr>
              <w:pStyle w:val="8"/>
              <w:rPr>
                <w:rFonts w:hAnsi="宋体"/>
                <w:b/>
                <w:bCs/>
                <w:lang w:eastAsia="zh-CN"/>
              </w:rPr>
            </w:pPr>
            <w:r>
              <w:rPr>
                <w:rFonts w:hint="eastAsia" w:hAnsi="宋体" w:cs="宋体"/>
                <w:b/>
                <w:bCs w:val="0"/>
                <w:color w:val="auto"/>
                <w:sz w:val="21"/>
                <w:szCs w:val="21"/>
                <w:highlight w:val="none"/>
                <w:lang w:val="en-US" w:eastAsia="zh-CN"/>
              </w:rPr>
              <w:t>交易</w:t>
            </w:r>
            <w:r>
              <w:rPr>
                <w:rFonts w:hint="eastAsia" w:ascii="宋体" w:hAnsi="宋体" w:eastAsia="宋体" w:cs="宋体"/>
                <w:b/>
                <w:bCs w:val="0"/>
                <w:color w:val="auto"/>
                <w:sz w:val="21"/>
                <w:szCs w:val="21"/>
                <w:highlight w:val="none"/>
              </w:rPr>
              <w:t xml:space="preserve">平台：杭州市公共资源交易中心淳安分中心 </w:t>
            </w:r>
          </w:p>
        </w:tc>
      </w:tr>
      <w:tr w14:paraId="24B21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78" w:type="dxa"/>
            <w:vAlign w:val="center"/>
          </w:tcPr>
          <w:p w14:paraId="61AD67BE">
            <w:pPr>
              <w:pStyle w:val="8"/>
              <w:jc w:val="center"/>
              <w:rPr>
                <w:rFonts w:hAnsi="宋体"/>
                <w:b/>
                <w:bCs/>
              </w:rPr>
            </w:pPr>
            <w:r>
              <w:rPr>
                <w:rFonts w:hint="eastAsia" w:hAnsi="宋体"/>
                <w:b/>
                <w:bCs/>
              </w:rPr>
              <w:t>20</w:t>
            </w:r>
          </w:p>
        </w:tc>
        <w:tc>
          <w:tcPr>
            <w:tcW w:w="988" w:type="dxa"/>
            <w:vAlign w:val="center"/>
          </w:tcPr>
          <w:p w14:paraId="0145B6F7">
            <w:pPr>
              <w:pStyle w:val="8"/>
              <w:jc w:val="center"/>
              <w:rPr>
                <w:rFonts w:hAnsi="宋体"/>
                <w:b/>
                <w:bCs/>
              </w:rPr>
            </w:pPr>
            <w:r>
              <w:rPr>
                <w:rFonts w:hint="eastAsia" w:hAnsi="宋体"/>
                <w:b/>
                <w:bCs/>
              </w:rPr>
              <w:t>33．3</w:t>
            </w:r>
          </w:p>
        </w:tc>
        <w:tc>
          <w:tcPr>
            <w:tcW w:w="1792" w:type="dxa"/>
            <w:vAlign w:val="center"/>
          </w:tcPr>
          <w:p w14:paraId="16DADEA5">
            <w:pPr>
              <w:pStyle w:val="8"/>
              <w:jc w:val="center"/>
              <w:rPr>
                <w:rFonts w:hAnsi="宋体"/>
                <w:b/>
                <w:bCs/>
              </w:rPr>
            </w:pPr>
            <w:r>
              <w:rPr>
                <w:rFonts w:hint="eastAsia" w:hAnsi="宋体"/>
                <w:b/>
                <w:bCs/>
                <w:lang w:eastAsia="zh-CN"/>
              </w:rPr>
              <w:t>评审</w:t>
            </w:r>
            <w:r>
              <w:rPr>
                <w:rFonts w:hint="eastAsia" w:hAnsi="宋体"/>
                <w:b/>
                <w:bCs/>
              </w:rPr>
              <w:t>标准及方法</w:t>
            </w:r>
          </w:p>
        </w:tc>
        <w:tc>
          <w:tcPr>
            <w:tcW w:w="6366" w:type="dxa"/>
            <w:vAlign w:val="center"/>
          </w:tcPr>
          <w:p w14:paraId="2287B31A">
            <w:pPr>
              <w:pStyle w:val="8"/>
              <w:rPr>
                <w:rFonts w:hAnsi="宋体"/>
                <w:b/>
                <w:bCs/>
                <w:lang w:eastAsia="zh-CN"/>
              </w:rPr>
            </w:pPr>
            <w:r>
              <w:rPr>
                <w:rFonts w:hint="eastAsia" w:hAnsi="宋体"/>
                <w:b/>
                <w:bCs/>
                <w:lang w:eastAsia="zh-CN"/>
              </w:rPr>
              <w:t>按交易响应须知第</w:t>
            </w:r>
            <w:r>
              <w:rPr>
                <w:rFonts w:hint="eastAsia" w:hAnsi="宋体"/>
                <w:b/>
                <w:bCs/>
                <w:u w:val="single"/>
                <w:lang w:eastAsia="zh-CN"/>
              </w:rPr>
              <w:t>33.4</w:t>
            </w:r>
            <w:r>
              <w:rPr>
                <w:rFonts w:hint="eastAsia" w:hAnsi="宋体"/>
                <w:b/>
                <w:bCs/>
                <w:lang w:eastAsia="zh-CN"/>
              </w:rPr>
              <w:t>款选择</w:t>
            </w:r>
            <w:r>
              <w:rPr>
                <w:rFonts w:hint="eastAsia" w:hAnsi="宋体"/>
                <w:b/>
                <w:bCs/>
                <w:u w:val="single"/>
                <w:lang w:eastAsia="zh-CN"/>
              </w:rPr>
              <w:t>A</w:t>
            </w:r>
            <w:r>
              <w:rPr>
                <w:rFonts w:hint="eastAsia" w:hAnsi="宋体"/>
                <w:b/>
                <w:bCs/>
                <w:lang w:eastAsia="zh-CN"/>
              </w:rPr>
              <w:t>款</w:t>
            </w:r>
          </w:p>
        </w:tc>
      </w:tr>
      <w:tr w14:paraId="45ECE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78" w:type="dxa"/>
            <w:vAlign w:val="center"/>
          </w:tcPr>
          <w:p w14:paraId="0EB52AFB">
            <w:pPr>
              <w:pStyle w:val="8"/>
              <w:jc w:val="center"/>
              <w:rPr>
                <w:rFonts w:hAnsi="宋体"/>
                <w:b/>
                <w:bCs/>
              </w:rPr>
            </w:pPr>
            <w:r>
              <w:rPr>
                <w:rFonts w:hint="eastAsia" w:hAnsi="宋体"/>
                <w:b/>
                <w:bCs/>
              </w:rPr>
              <w:t>21</w:t>
            </w:r>
          </w:p>
        </w:tc>
        <w:tc>
          <w:tcPr>
            <w:tcW w:w="988" w:type="dxa"/>
            <w:vAlign w:val="center"/>
          </w:tcPr>
          <w:p w14:paraId="77C4B385">
            <w:pPr>
              <w:pStyle w:val="8"/>
              <w:jc w:val="center"/>
              <w:rPr>
                <w:rFonts w:hAnsi="宋体"/>
                <w:b/>
                <w:bCs/>
              </w:rPr>
            </w:pPr>
            <w:r>
              <w:rPr>
                <w:rFonts w:hint="eastAsia" w:hAnsi="宋体"/>
                <w:b/>
                <w:bCs/>
              </w:rPr>
              <w:t>38．2</w:t>
            </w:r>
          </w:p>
        </w:tc>
        <w:tc>
          <w:tcPr>
            <w:tcW w:w="1792" w:type="dxa"/>
            <w:vAlign w:val="center"/>
          </w:tcPr>
          <w:p w14:paraId="69246815">
            <w:pPr>
              <w:pStyle w:val="8"/>
              <w:jc w:val="center"/>
              <w:rPr>
                <w:rFonts w:hAnsi="宋体"/>
                <w:b/>
                <w:bCs/>
              </w:rPr>
            </w:pPr>
            <w:r>
              <w:rPr>
                <w:rFonts w:hint="eastAsia" w:hAnsi="宋体"/>
                <w:b/>
                <w:bCs/>
              </w:rPr>
              <w:t>履约担保金额</w:t>
            </w:r>
          </w:p>
        </w:tc>
        <w:tc>
          <w:tcPr>
            <w:tcW w:w="6366" w:type="dxa"/>
            <w:vAlign w:val="center"/>
          </w:tcPr>
          <w:p w14:paraId="5EB09ECA">
            <w:pPr>
              <w:pStyle w:val="8"/>
              <w:rPr>
                <w:rFonts w:hAnsi="宋体"/>
                <w:b/>
                <w:bCs/>
                <w:lang w:eastAsia="zh-CN"/>
              </w:rPr>
            </w:pPr>
            <w:r>
              <w:rPr>
                <w:rFonts w:hint="eastAsia" w:hAnsi="宋体"/>
                <w:b/>
                <w:bCs/>
                <w:highlight w:val="none"/>
              </w:rPr>
              <w:t>交易响应人提供的履约担保金额为合同总价的2%</w:t>
            </w:r>
          </w:p>
        </w:tc>
      </w:tr>
      <w:tr w14:paraId="24E01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78" w:type="dxa"/>
            <w:vAlign w:val="center"/>
          </w:tcPr>
          <w:p w14:paraId="28198E17">
            <w:pPr>
              <w:pStyle w:val="8"/>
              <w:jc w:val="center"/>
              <w:rPr>
                <w:rFonts w:hAnsi="宋体"/>
                <w:b/>
                <w:bCs/>
              </w:rPr>
            </w:pPr>
            <w:r>
              <w:rPr>
                <w:rFonts w:hint="eastAsia" w:hAnsi="宋体"/>
                <w:b/>
                <w:bCs/>
              </w:rPr>
              <w:t>22</w:t>
            </w:r>
          </w:p>
        </w:tc>
        <w:tc>
          <w:tcPr>
            <w:tcW w:w="988" w:type="dxa"/>
            <w:vAlign w:val="center"/>
          </w:tcPr>
          <w:p w14:paraId="770A0B74">
            <w:pPr>
              <w:pStyle w:val="8"/>
              <w:jc w:val="center"/>
              <w:rPr>
                <w:rFonts w:hAnsi="宋体"/>
                <w:b/>
                <w:bCs/>
              </w:rPr>
            </w:pPr>
          </w:p>
        </w:tc>
        <w:tc>
          <w:tcPr>
            <w:tcW w:w="1792" w:type="dxa"/>
            <w:vAlign w:val="center"/>
          </w:tcPr>
          <w:p w14:paraId="3FB1B948">
            <w:pPr>
              <w:pStyle w:val="8"/>
              <w:jc w:val="both"/>
              <w:rPr>
                <w:rFonts w:hAnsi="宋体"/>
                <w:b/>
                <w:bCs/>
                <w:lang w:eastAsia="zh-CN"/>
              </w:rPr>
            </w:pPr>
            <w:r>
              <w:rPr>
                <w:rFonts w:hint="eastAsia" w:hAnsi="宋体"/>
                <w:b/>
                <w:bCs/>
                <w:lang w:eastAsia="zh-CN"/>
              </w:rPr>
              <w:t>交易文件工本费及图纸押金</w:t>
            </w:r>
          </w:p>
        </w:tc>
        <w:tc>
          <w:tcPr>
            <w:tcW w:w="6366" w:type="dxa"/>
            <w:vAlign w:val="center"/>
          </w:tcPr>
          <w:p w14:paraId="2374D3DB">
            <w:pPr>
              <w:pStyle w:val="8"/>
              <w:rPr>
                <w:rFonts w:hAnsi="宋体"/>
                <w:b/>
                <w:bCs/>
                <w:lang w:eastAsia="zh-CN"/>
              </w:rPr>
            </w:pPr>
            <w:r>
              <w:rPr>
                <w:rFonts w:hint="eastAsia" w:hAnsi="宋体"/>
                <w:b/>
                <w:bCs/>
                <w:highlight w:val="none"/>
                <w:lang w:eastAsia="zh-CN"/>
              </w:rPr>
              <w:t>/</w:t>
            </w:r>
          </w:p>
        </w:tc>
      </w:tr>
      <w:tr w14:paraId="45A0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78" w:type="dxa"/>
            <w:vMerge w:val="restart"/>
            <w:vAlign w:val="center"/>
          </w:tcPr>
          <w:p w14:paraId="55B74F0B">
            <w:pPr>
              <w:pStyle w:val="8"/>
              <w:jc w:val="center"/>
              <w:rPr>
                <w:rFonts w:hAnsi="宋体"/>
                <w:b/>
                <w:bCs/>
              </w:rPr>
            </w:pPr>
            <w:r>
              <w:rPr>
                <w:rFonts w:hint="eastAsia" w:hAnsi="宋体"/>
                <w:b/>
                <w:bCs/>
              </w:rPr>
              <w:t>23</w:t>
            </w:r>
          </w:p>
        </w:tc>
        <w:tc>
          <w:tcPr>
            <w:tcW w:w="988" w:type="dxa"/>
            <w:vMerge w:val="restart"/>
            <w:vAlign w:val="center"/>
          </w:tcPr>
          <w:p w14:paraId="43207FEF">
            <w:pPr>
              <w:pStyle w:val="8"/>
              <w:jc w:val="center"/>
              <w:rPr>
                <w:rFonts w:hAnsi="宋体"/>
                <w:b/>
                <w:bCs/>
              </w:rPr>
            </w:pPr>
          </w:p>
        </w:tc>
        <w:tc>
          <w:tcPr>
            <w:tcW w:w="1792" w:type="dxa"/>
            <w:vAlign w:val="center"/>
          </w:tcPr>
          <w:p w14:paraId="797DC445">
            <w:pPr>
              <w:pStyle w:val="8"/>
              <w:jc w:val="center"/>
              <w:rPr>
                <w:rFonts w:hAnsi="宋体"/>
                <w:b/>
                <w:bCs/>
                <w:lang w:eastAsia="zh-CN"/>
              </w:rPr>
            </w:pPr>
            <w:r>
              <w:rPr>
                <w:rFonts w:hint="eastAsia" w:hAnsi="宋体"/>
                <w:b/>
                <w:bCs/>
                <w:lang w:eastAsia="zh-CN"/>
              </w:rPr>
              <w:t>交易单位联系人及电话</w:t>
            </w:r>
          </w:p>
        </w:tc>
        <w:tc>
          <w:tcPr>
            <w:tcW w:w="6366" w:type="dxa"/>
            <w:vAlign w:val="center"/>
          </w:tcPr>
          <w:p w14:paraId="242E87E4">
            <w:pPr>
              <w:pStyle w:val="8"/>
              <w:rPr>
                <w:rFonts w:hAnsi="宋体"/>
                <w:b/>
                <w:bCs/>
                <w:u w:val="single"/>
                <w:lang w:eastAsia="zh-CN"/>
              </w:rPr>
            </w:pPr>
            <w:r>
              <w:rPr>
                <w:rFonts w:hint="eastAsia" w:hAnsi="宋体"/>
                <w:b/>
                <w:bCs/>
                <w:lang w:eastAsia="zh-CN"/>
              </w:rPr>
              <w:t>联系人：</w:t>
            </w:r>
            <w:r>
              <w:rPr>
                <w:rFonts w:hint="eastAsia" w:ascii="宋体"/>
                <w:b/>
                <w:bCs/>
                <w:color w:val="auto"/>
                <w:sz w:val="21"/>
                <w:szCs w:val="21"/>
                <w:u w:val="single"/>
                <w:lang w:val="en-US" w:eastAsia="zh-CN"/>
              </w:rPr>
              <w:t>余昊钰</w:t>
            </w:r>
            <w:r>
              <w:rPr>
                <w:rFonts w:hint="eastAsia" w:hAnsi="宋体"/>
                <w:b/>
                <w:bCs/>
                <w:highlight w:val="none"/>
                <w:u w:val="single"/>
                <w:lang w:val="en-US" w:eastAsia="zh-CN"/>
              </w:rPr>
              <w:t xml:space="preserve">   </w:t>
            </w:r>
            <w:r>
              <w:rPr>
                <w:rFonts w:hint="eastAsia" w:hAnsi="宋体"/>
                <w:b/>
                <w:bCs/>
                <w:lang w:eastAsia="zh-CN"/>
              </w:rPr>
              <w:t xml:space="preserve"> </w:t>
            </w:r>
            <w:r>
              <w:rPr>
                <w:rFonts w:hint="eastAsia" w:hAnsi="宋体"/>
                <w:b/>
                <w:bCs/>
                <w:lang w:val="en-US" w:eastAsia="zh-CN"/>
              </w:rPr>
              <w:t xml:space="preserve">   </w:t>
            </w:r>
            <w:r>
              <w:rPr>
                <w:rFonts w:hint="eastAsia" w:hAnsi="宋体"/>
                <w:b/>
                <w:bCs/>
                <w:lang w:eastAsia="zh-CN"/>
              </w:rPr>
              <w:t xml:space="preserve"> </w:t>
            </w:r>
            <w:r>
              <w:rPr>
                <w:rFonts w:hint="eastAsia" w:hAnsi="宋体"/>
                <w:b/>
                <w:bCs/>
                <w:lang w:val="en-US" w:eastAsia="zh-CN"/>
              </w:rPr>
              <w:t xml:space="preserve">  </w:t>
            </w:r>
            <w:r>
              <w:rPr>
                <w:rFonts w:hint="eastAsia" w:hAnsi="宋体"/>
                <w:b/>
                <w:bCs/>
                <w:lang w:eastAsia="zh-CN"/>
              </w:rPr>
              <w:t>联系电话：</w:t>
            </w:r>
            <w:r>
              <w:rPr>
                <w:rFonts w:hint="eastAsia" w:hAnsi="宋体"/>
                <w:b/>
                <w:bCs/>
                <w:highlight w:val="none"/>
                <w:u w:val="single"/>
                <w:lang w:val="en-US" w:eastAsia="zh-CN"/>
              </w:rPr>
              <w:t xml:space="preserve">17826821360  </w:t>
            </w:r>
          </w:p>
        </w:tc>
      </w:tr>
      <w:tr w14:paraId="4A724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78" w:type="dxa"/>
            <w:vMerge w:val="continue"/>
            <w:vAlign w:val="center"/>
          </w:tcPr>
          <w:p w14:paraId="1FB5051C">
            <w:pPr>
              <w:pStyle w:val="8"/>
              <w:jc w:val="center"/>
              <w:rPr>
                <w:rFonts w:hAnsi="宋体"/>
                <w:b/>
                <w:bCs/>
                <w:lang w:eastAsia="zh-CN"/>
              </w:rPr>
            </w:pPr>
          </w:p>
        </w:tc>
        <w:tc>
          <w:tcPr>
            <w:tcW w:w="988" w:type="dxa"/>
            <w:vMerge w:val="continue"/>
            <w:vAlign w:val="center"/>
          </w:tcPr>
          <w:p w14:paraId="68024811">
            <w:pPr>
              <w:pStyle w:val="8"/>
              <w:jc w:val="center"/>
              <w:rPr>
                <w:rFonts w:hAnsi="宋体"/>
                <w:b/>
                <w:bCs/>
                <w:lang w:eastAsia="zh-CN"/>
              </w:rPr>
            </w:pPr>
          </w:p>
        </w:tc>
        <w:tc>
          <w:tcPr>
            <w:tcW w:w="1792" w:type="dxa"/>
            <w:vAlign w:val="center"/>
          </w:tcPr>
          <w:p w14:paraId="2CFF6A34">
            <w:pPr>
              <w:pStyle w:val="8"/>
              <w:jc w:val="center"/>
              <w:rPr>
                <w:rFonts w:hAnsi="宋体"/>
                <w:b/>
                <w:bCs/>
                <w:lang w:eastAsia="zh-CN"/>
              </w:rPr>
            </w:pPr>
            <w:r>
              <w:rPr>
                <w:rFonts w:hint="eastAsia" w:hAnsi="宋体"/>
                <w:b/>
                <w:bCs/>
                <w:lang w:eastAsia="zh-CN"/>
              </w:rPr>
              <w:t>代理机构联系人及电话</w:t>
            </w:r>
          </w:p>
        </w:tc>
        <w:tc>
          <w:tcPr>
            <w:tcW w:w="6366" w:type="dxa"/>
            <w:vAlign w:val="center"/>
          </w:tcPr>
          <w:p w14:paraId="6EAE9AD1">
            <w:pPr>
              <w:pStyle w:val="8"/>
              <w:rPr>
                <w:rFonts w:hAnsi="宋体"/>
                <w:b/>
                <w:bCs/>
                <w:lang w:eastAsia="zh-CN"/>
              </w:rPr>
            </w:pPr>
            <w:r>
              <w:rPr>
                <w:rFonts w:hint="eastAsia" w:hAnsi="宋体"/>
                <w:b/>
                <w:bCs/>
                <w:lang w:eastAsia="zh-CN"/>
              </w:rPr>
              <w:t>联联系人：</w:t>
            </w:r>
            <w:r>
              <w:rPr>
                <w:rFonts w:hint="eastAsia" w:hAnsi="宋体"/>
                <w:b/>
                <w:bCs/>
                <w:highlight w:val="none"/>
                <w:u w:val="single"/>
                <w:lang w:eastAsia="zh-CN"/>
              </w:rPr>
              <w:t>余宜镅</w:t>
            </w:r>
            <w:r>
              <w:rPr>
                <w:rFonts w:hint="eastAsia" w:hAnsi="宋体"/>
                <w:b/>
                <w:bCs/>
                <w:highlight w:val="none"/>
                <w:u w:val="single"/>
                <w:lang w:val="en-US" w:eastAsia="zh-CN"/>
              </w:rPr>
              <w:t xml:space="preserve">    </w:t>
            </w:r>
            <w:r>
              <w:rPr>
                <w:rFonts w:hint="eastAsia" w:hAnsi="宋体"/>
                <w:b/>
                <w:bCs/>
                <w:lang w:eastAsia="zh-CN"/>
              </w:rPr>
              <w:t xml:space="preserve"> </w:t>
            </w:r>
            <w:r>
              <w:rPr>
                <w:rFonts w:hint="eastAsia" w:hAnsi="宋体"/>
                <w:b/>
                <w:bCs/>
                <w:lang w:val="en-US" w:eastAsia="zh-CN"/>
              </w:rPr>
              <w:t xml:space="preserve">   </w:t>
            </w:r>
            <w:r>
              <w:rPr>
                <w:rFonts w:hint="eastAsia" w:hAnsi="宋体"/>
                <w:b/>
                <w:bCs/>
                <w:lang w:eastAsia="zh-CN"/>
              </w:rPr>
              <w:t xml:space="preserve"> </w:t>
            </w:r>
            <w:r>
              <w:rPr>
                <w:rFonts w:hint="eastAsia" w:hAnsi="宋体"/>
                <w:b/>
                <w:bCs/>
                <w:lang w:val="en-US" w:eastAsia="zh-CN"/>
              </w:rPr>
              <w:t xml:space="preserve">  </w:t>
            </w:r>
            <w:r>
              <w:rPr>
                <w:rFonts w:hint="eastAsia" w:hAnsi="宋体"/>
                <w:b/>
                <w:bCs/>
                <w:lang w:eastAsia="zh-CN"/>
              </w:rPr>
              <w:t>联系电话：</w:t>
            </w:r>
            <w:r>
              <w:rPr>
                <w:rFonts w:hint="eastAsia" w:hAnsi="宋体"/>
                <w:b/>
                <w:bCs/>
                <w:highlight w:val="none"/>
                <w:u w:val="single"/>
                <w:lang w:val="en-US" w:eastAsia="zh-CN"/>
              </w:rPr>
              <w:t xml:space="preserve">18767135121   </w:t>
            </w:r>
          </w:p>
        </w:tc>
      </w:tr>
      <w:tr w14:paraId="212D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878" w:type="dxa"/>
            <w:vAlign w:val="center"/>
          </w:tcPr>
          <w:p w14:paraId="04BBB551">
            <w:pPr>
              <w:pStyle w:val="8"/>
              <w:jc w:val="center"/>
              <w:rPr>
                <w:rFonts w:hAnsi="宋体"/>
                <w:b/>
                <w:bCs/>
              </w:rPr>
            </w:pPr>
            <w:r>
              <w:rPr>
                <w:rFonts w:hint="eastAsia" w:hAnsi="宋体"/>
                <w:b/>
                <w:bCs/>
              </w:rPr>
              <w:t>24</w:t>
            </w:r>
          </w:p>
        </w:tc>
        <w:tc>
          <w:tcPr>
            <w:tcW w:w="988" w:type="dxa"/>
            <w:vAlign w:val="center"/>
          </w:tcPr>
          <w:p w14:paraId="5A6A2CBA">
            <w:pPr>
              <w:pStyle w:val="8"/>
              <w:jc w:val="center"/>
              <w:rPr>
                <w:rFonts w:hAnsi="宋体"/>
                <w:b/>
                <w:bCs/>
              </w:rPr>
            </w:pPr>
          </w:p>
        </w:tc>
        <w:tc>
          <w:tcPr>
            <w:tcW w:w="1792" w:type="dxa"/>
            <w:vAlign w:val="center"/>
          </w:tcPr>
          <w:p w14:paraId="0EAB9A87">
            <w:pPr>
              <w:pStyle w:val="8"/>
              <w:jc w:val="center"/>
              <w:rPr>
                <w:rFonts w:hAnsi="宋体"/>
                <w:b/>
                <w:bCs/>
                <w:lang w:eastAsia="zh-CN"/>
              </w:rPr>
            </w:pPr>
            <w:r>
              <w:rPr>
                <w:rFonts w:hint="eastAsia" w:hAnsi="宋体"/>
                <w:b/>
                <w:bCs/>
                <w:lang w:eastAsia="zh-CN"/>
              </w:rPr>
              <w:t>交易响应人回答评审小组质询时间</w:t>
            </w:r>
          </w:p>
        </w:tc>
        <w:tc>
          <w:tcPr>
            <w:tcW w:w="6366" w:type="dxa"/>
            <w:vAlign w:val="center"/>
          </w:tcPr>
          <w:p w14:paraId="24831B98">
            <w:pPr>
              <w:pStyle w:val="8"/>
              <w:rPr>
                <w:rFonts w:hAnsi="宋体"/>
                <w:b/>
                <w:bCs/>
                <w:lang w:eastAsia="zh-CN"/>
              </w:rPr>
            </w:pPr>
            <w:r>
              <w:rPr>
                <w:rFonts w:hint="eastAsia" w:hAnsi="宋体"/>
                <w:b/>
                <w:bCs/>
                <w:lang w:eastAsia="zh-CN"/>
              </w:rPr>
              <w:t>时间：交易响应人（法人代表人）应在接到工作人员电话通知时起</w:t>
            </w:r>
            <w:r>
              <w:rPr>
                <w:rFonts w:hint="eastAsia" w:hAnsi="宋体"/>
                <w:b/>
                <w:bCs/>
                <w:u w:val="single"/>
                <w:lang w:eastAsia="zh-CN"/>
              </w:rPr>
              <w:t>30</w:t>
            </w:r>
            <w:r>
              <w:rPr>
                <w:rFonts w:hint="eastAsia" w:hAnsi="宋体"/>
                <w:b/>
                <w:bCs/>
                <w:lang w:eastAsia="zh-CN"/>
              </w:rPr>
              <w:t>分钟内予以书面回复或确认，否则视为不予回复或确认，评审小组有权拒绝该交易响应文件。交易响应人通讯不畅通，导致不能及时联系的，视作交易响应人不予回复或确认。</w:t>
            </w:r>
          </w:p>
        </w:tc>
      </w:tr>
      <w:tr w14:paraId="7247C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878" w:type="dxa"/>
            <w:vAlign w:val="center"/>
          </w:tcPr>
          <w:p w14:paraId="2CF9E6D0">
            <w:pPr>
              <w:pStyle w:val="8"/>
              <w:jc w:val="center"/>
              <w:rPr>
                <w:rFonts w:hAnsi="宋体"/>
                <w:b/>
                <w:bCs/>
              </w:rPr>
            </w:pPr>
            <w:r>
              <w:rPr>
                <w:rFonts w:hint="eastAsia" w:hAnsi="宋体"/>
                <w:b/>
                <w:bCs/>
              </w:rPr>
              <w:t>25</w:t>
            </w:r>
          </w:p>
        </w:tc>
        <w:tc>
          <w:tcPr>
            <w:tcW w:w="988" w:type="dxa"/>
            <w:vAlign w:val="center"/>
          </w:tcPr>
          <w:p w14:paraId="068EC33B">
            <w:pPr>
              <w:pStyle w:val="8"/>
              <w:jc w:val="center"/>
              <w:rPr>
                <w:rFonts w:hAnsi="宋体"/>
                <w:b/>
                <w:bCs/>
              </w:rPr>
            </w:pPr>
          </w:p>
        </w:tc>
        <w:tc>
          <w:tcPr>
            <w:tcW w:w="1792" w:type="dxa"/>
            <w:vAlign w:val="center"/>
          </w:tcPr>
          <w:p w14:paraId="00C0F15F">
            <w:pPr>
              <w:pStyle w:val="8"/>
              <w:jc w:val="center"/>
              <w:rPr>
                <w:rFonts w:hAnsi="宋体"/>
                <w:b/>
                <w:bCs/>
              </w:rPr>
            </w:pPr>
            <w:r>
              <w:rPr>
                <w:rFonts w:hint="eastAsia" w:hAnsi="宋体"/>
                <w:b/>
                <w:bCs/>
              </w:rPr>
              <w:t>电子</w:t>
            </w:r>
            <w:r>
              <w:rPr>
                <w:rFonts w:hint="eastAsia" w:hAnsi="宋体"/>
                <w:b/>
                <w:bCs/>
                <w:lang w:eastAsia="zh-CN"/>
              </w:rPr>
              <w:t>交易</w:t>
            </w:r>
            <w:r>
              <w:rPr>
                <w:rFonts w:hint="eastAsia" w:hAnsi="宋体"/>
                <w:b/>
                <w:bCs/>
              </w:rPr>
              <w:t>文件</w:t>
            </w:r>
          </w:p>
          <w:p w14:paraId="3B26D4A7">
            <w:pPr>
              <w:pStyle w:val="8"/>
              <w:jc w:val="center"/>
              <w:rPr>
                <w:rFonts w:hAnsi="宋体"/>
                <w:b/>
                <w:bCs/>
              </w:rPr>
            </w:pPr>
            <w:r>
              <w:rPr>
                <w:rFonts w:hint="eastAsia" w:hAnsi="宋体"/>
                <w:b/>
                <w:bCs/>
              </w:rPr>
              <w:t>发放</w:t>
            </w:r>
          </w:p>
        </w:tc>
        <w:tc>
          <w:tcPr>
            <w:tcW w:w="6366" w:type="dxa"/>
            <w:vAlign w:val="center"/>
          </w:tcPr>
          <w:p w14:paraId="3A2277F5">
            <w:pPr>
              <w:pStyle w:val="8"/>
              <w:rPr>
                <w:rFonts w:hAnsi="宋体"/>
                <w:b/>
                <w:bCs/>
                <w:lang w:eastAsia="zh-CN"/>
              </w:rPr>
            </w:pPr>
            <w:r>
              <w:rPr>
                <w:rFonts w:hint="eastAsia" w:hAnsi="宋体"/>
                <w:b/>
                <w:bCs/>
                <w:lang w:eastAsia="zh-CN"/>
              </w:rPr>
              <w:t>交易发起人的电子交易文件，将在“淳安县公共资源交易网”发布。电子文件内容与书面文件内容具有同等的效力，发生电子文件内容与书面文件内容不一致的情况时，交易响应人应书面形式向交易发起人提出，由交易发起人负责书面解释。</w:t>
            </w:r>
          </w:p>
        </w:tc>
      </w:tr>
      <w:tr w14:paraId="2D035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78" w:type="dxa"/>
            <w:vAlign w:val="center"/>
          </w:tcPr>
          <w:p w14:paraId="2367E210">
            <w:pPr>
              <w:pStyle w:val="8"/>
              <w:jc w:val="center"/>
              <w:rPr>
                <w:rFonts w:hAnsi="宋体"/>
                <w:b/>
                <w:bCs/>
              </w:rPr>
            </w:pPr>
            <w:r>
              <w:rPr>
                <w:rFonts w:hint="eastAsia" w:hAnsi="宋体"/>
                <w:b/>
                <w:bCs/>
              </w:rPr>
              <w:t>26</w:t>
            </w:r>
          </w:p>
        </w:tc>
        <w:tc>
          <w:tcPr>
            <w:tcW w:w="988" w:type="dxa"/>
            <w:vAlign w:val="center"/>
          </w:tcPr>
          <w:p w14:paraId="37B1962C">
            <w:pPr>
              <w:pStyle w:val="8"/>
              <w:jc w:val="center"/>
              <w:rPr>
                <w:rFonts w:hAnsi="宋体"/>
                <w:b/>
                <w:bCs/>
              </w:rPr>
            </w:pPr>
          </w:p>
        </w:tc>
        <w:tc>
          <w:tcPr>
            <w:tcW w:w="1792" w:type="dxa"/>
            <w:vAlign w:val="center"/>
          </w:tcPr>
          <w:p w14:paraId="77FB7794">
            <w:pPr>
              <w:pStyle w:val="8"/>
              <w:jc w:val="center"/>
              <w:rPr>
                <w:rFonts w:hint="eastAsia" w:hAnsi="宋体"/>
                <w:b/>
                <w:bCs/>
                <w:lang w:eastAsia="zh-CN"/>
              </w:rPr>
            </w:pPr>
            <w:r>
              <w:rPr>
                <w:rFonts w:hint="eastAsia" w:hAnsi="宋体"/>
                <w:b/>
                <w:bCs/>
                <w:lang w:eastAsia="zh-CN"/>
              </w:rPr>
              <w:t>电子交易响应</w:t>
            </w:r>
          </w:p>
          <w:p w14:paraId="38EAB47A">
            <w:pPr>
              <w:pStyle w:val="8"/>
              <w:jc w:val="center"/>
              <w:rPr>
                <w:rFonts w:hAnsi="宋体"/>
                <w:b/>
                <w:bCs/>
                <w:lang w:eastAsia="zh-CN"/>
              </w:rPr>
            </w:pPr>
            <w:r>
              <w:rPr>
                <w:rFonts w:hint="eastAsia" w:hAnsi="宋体"/>
                <w:b/>
                <w:bCs/>
                <w:lang w:eastAsia="zh-CN"/>
              </w:rPr>
              <w:t>文件编制</w:t>
            </w:r>
          </w:p>
        </w:tc>
        <w:tc>
          <w:tcPr>
            <w:tcW w:w="6366" w:type="dxa"/>
            <w:vAlign w:val="center"/>
          </w:tcPr>
          <w:p w14:paraId="3193CFBA">
            <w:pPr>
              <w:pStyle w:val="8"/>
              <w:rPr>
                <w:rFonts w:hAnsi="宋体"/>
                <w:b/>
                <w:bCs/>
                <w:lang w:eastAsia="zh-CN"/>
              </w:rPr>
            </w:pPr>
            <w:r>
              <w:rPr>
                <w:rFonts w:hint="eastAsia" w:hAnsi="宋体"/>
                <w:b/>
                <w:bCs/>
                <w:lang w:eastAsia="zh-CN"/>
              </w:rPr>
              <w:t>1、采用电子交易的项目，一般应当要求交易响应人提供电子加密交易响应文件壹份。</w:t>
            </w:r>
          </w:p>
          <w:p w14:paraId="50B78CA8">
            <w:pPr>
              <w:pStyle w:val="8"/>
              <w:rPr>
                <w:rFonts w:hAnsi="宋体"/>
                <w:b/>
                <w:bCs/>
                <w:lang w:eastAsia="zh-CN"/>
              </w:rPr>
            </w:pPr>
            <w:r>
              <w:rPr>
                <w:rFonts w:hint="eastAsia" w:hAnsi="宋体"/>
                <w:b/>
                <w:bCs/>
                <w:lang w:eastAsia="zh-CN"/>
              </w:rPr>
              <w:t>2、电子加密交易响应文件技术部分、商务部分、资信部分通过交易响应新点交易响应制作软件8.0.0.03以上版本。</w:t>
            </w:r>
          </w:p>
          <w:p w14:paraId="2B9E9B45">
            <w:pPr>
              <w:pStyle w:val="8"/>
              <w:rPr>
                <w:rFonts w:hAnsi="宋体"/>
                <w:b/>
                <w:bCs/>
                <w:lang w:eastAsia="zh-CN"/>
              </w:rPr>
            </w:pPr>
            <w:r>
              <w:rPr>
                <w:rFonts w:hint="eastAsia" w:hAnsi="宋体"/>
                <w:b/>
                <w:bCs/>
                <w:lang w:eastAsia="zh-CN"/>
              </w:rPr>
              <w:t>3、本项目的交易响应文件必须使用交易响应制作软件编制。交易响应文件的编制和递交，应依照交易文件的规定进行。如未按交易文件要求编制、递交电子加密交易响应文件，将可能导致无效交易响应，其后果由交易响应人自负。交易响应制作的开发商可根据交易响应人的要求，提供必要的培训和技术指导。</w:t>
            </w:r>
          </w:p>
          <w:p w14:paraId="476A8C82">
            <w:pPr>
              <w:pStyle w:val="8"/>
              <w:rPr>
                <w:rFonts w:hAnsi="宋体"/>
                <w:b/>
                <w:bCs/>
                <w:lang w:eastAsia="zh-CN"/>
              </w:rPr>
            </w:pPr>
            <w:r>
              <w:rPr>
                <w:rFonts w:hint="eastAsia" w:hAnsi="宋体"/>
                <w:b/>
                <w:bCs/>
                <w:lang w:eastAsia="zh-CN"/>
              </w:rPr>
              <w:t>4、交易响应文件所附证书证件、业绩证明文件、交易响应担保等证明材料用原件扫描件并加盖交易响应单位电子公章。</w:t>
            </w:r>
          </w:p>
        </w:tc>
      </w:tr>
      <w:tr w14:paraId="7E3F4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78" w:type="dxa"/>
            <w:vAlign w:val="center"/>
          </w:tcPr>
          <w:p w14:paraId="5F796D08">
            <w:pPr>
              <w:pStyle w:val="8"/>
              <w:jc w:val="center"/>
              <w:rPr>
                <w:rFonts w:hAnsi="宋体"/>
                <w:b/>
                <w:bCs/>
              </w:rPr>
            </w:pPr>
            <w:r>
              <w:rPr>
                <w:rFonts w:hint="eastAsia" w:hAnsi="宋体"/>
                <w:b/>
                <w:bCs/>
              </w:rPr>
              <w:t>27</w:t>
            </w:r>
          </w:p>
        </w:tc>
        <w:tc>
          <w:tcPr>
            <w:tcW w:w="988" w:type="dxa"/>
            <w:vAlign w:val="center"/>
          </w:tcPr>
          <w:p w14:paraId="475F6B5B">
            <w:pPr>
              <w:pStyle w:val="8"/>
              <w:jc w:val="center"/>
              <w:rPr>
                <w:rFonts w:hAnsi="宋体"/>
                <w:b/>
                <w:bCs/>
              </w:rPr>
            </w:pPr>
          </w:p>
        </w:tc>
        <w:tc>
          <w:tcPr>
            <w:tcW w:w="1792" w:type="dxa"/>
            <w:vAlign w:val="center"/>
          </w:tcPr>
          <w:p w14:paraId="2D782FEF">
            <w:pPr>
              <w:pStyle w:val="8"/>
              <w:jc w:val="center"/>
              <w:rPr>
                <w:rFonts w:hAnsi="宋体"/>
                <w:b/>
                <w:bCs/>
                <w:lang w:eastAsia="zh-CN"/>
              </w:rPr>
            </w:pPr>
            <w:r>
              <w:rPr>
                <w:rFonts w:hint="eastAsia" w:hAnsi="宋体"/>
                <w:b/>
                <w:bCs/>
                <w:lang w:eastAsia="zh-CN"/>
              </w:rPr>
              <w:t>电子交易响应文件递交</w:t>
            </w:r>
          </w:p>
        </w:tc>
        <w:tc>
          <w:tcPr>
            <w:tcW w:w="6366" w:type="dxa"/>
            <w:vAlign w:val="center"/>
          </w:tcPr>
          <w:p w14:paraId="1E62D783">
            <w:pPr>
              <w:pStyle w:val="8"/>
              <w:rPr>
                <w:rFonts w:hAnsi="宋体"/>
                <w:b/>
                <w:bCs/>
                <w:lang w:eastAsia="zh-CN"/>
              </w:rPr>
            </w:pPr>
            <w:r>
              <w:rPr>
                <w:rFonts w:hint="eastAsia" w:hAnsi="宋体"/>
                <w:b/>
                <w:bCs/>
                <w:lang w:eastAsia="zh-CN"/>
              </w:rPr>
              <w:t>将由交易响应文件制作软件制作生成的加密交易响应文件（.CATF）在交易响应截止时间前（以上传完成时间为准）上传至交易平台会员系统。</w:t>
            </w:r>
          </w:p>
        </w:tc>
      </w:tr>
      <w:tr w14:paraId="7B0D0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78" w:type="dxa"/>
            <w:vAlign w:val="center"/>
          </w:tcPr>
          <w:p w14:paraId="7CD9B0CA">
            <w:pPr>
              <w:pStyle w:val="8"/>
              <w:jc w:val="center"/>
              <w:rPr>
                <w:rFonts w:hAnsi="宋体"/>
                <w:b/>
                <w:bCs/>
              </w:rPr>
            </w:pPr>
            <w:r>
              <w:rPr>
                <w:rFonts w:hint="eastAsia" w:hAnsi="宋体"/>
                <w:b/>
                <w:bCs/>
              </w:rPr>
              <w:t>28</w:t>
            </w:r>
          </w:p>
        </w:tc>
        <w:tc>
          <w:tcPr>
            <w:tcW w:w="988" w:type="dxa"/>
            <w:vAlign w:val="center"/>
          </w:tcPr>
          <w:p w14:paraId="37CDE36B">
            <w:pPr>
              <w:pStyle w:val="8"/>
              <w:jc w:val="center"/>
              <w:rPr>
                <w:rFonts w:hAnsi="宋体"/>
                <w:b/>
                <w:bCs/>
              </w:rPr>
            </w:pPr>
          </w:p>
        </w:tc>
        <w:tc>
          <w:tcPr>
            <w:tcW w:w="1792" w:type="dxa"/>
            <w:vAlign w:val="center"/>
          </w:tcPr>
          <w:p w14:paraId="2500DBA5">
            <w:pPr>
              <w:pStyle w:val="8"/>
              <w:jc w:val="center"/>
              <w:rPr>
                <w:rFonts w:hAnsi="宋体"/>
                <w:b/>
                <w:bCs/>
                <w:lang w:eastAsia="zh-CN"/>
              </w:rPr>
            </w:pPr>
            <w:r>
              <w:rPr>
                <w:rFonts w:hint="eastAsia" w:hAnsi="宋体"/>
                <w:b/>
                <w:bCs/>
                <w:lang w:eastAsia="zh-CN"/>
              </w:rPr>
              <w:t>电子交易项目交易会议</w:t>
            </w:r>
          </w:p>
        </w:tc>
        <w:tc>
          <w:tcPr>
            <w:tcW w:w="6366" w:type="dxa"/>
            <w:vAlign w:val="center"/>
          </w:tcPr>
          <w:p w14:paraId="6B9D13FE">
            <w:pPr>
              <w:pStyle w:val="8"/>
              <w:jc w:val="left"/>
              <w:rPr>
                <w:rFonts w:hAnsi="宋体"/>
                <w:b/>
                <w:bCs/>
              </w:rPr>
            </w:pPr>
            <w:r>
              <w:rPr>
                <w:rFonts w:hint="eastAsia" w:hAnsi="宋体"/>
                <w:b/>
                <w:bCs/>
              </w:rPr>
              <w:t>交易会议特别说明：</w:t>
            </w:r>
          </w:p>
          <w:p w14:paraId="34F27E6F">
            <w:pPr>
              <w:pStyle w:val="8"/>
              <w:rPr>
                <w:rFonts w:hAnsi="宋体"/>
                <w:b/>
                <w:bCs/>
                <w:lang w:eastAsia="zh-CN"/>
              </w:rPr>
            </w:pPr>
            <w:r>
              <w:rPr>
                <w:rFonts w:hint="eastAsia" w:hAnsi="宋体"/>
                <w:b/>
                <w:bCs/>
              </w:rPr>
              <w:t>交易响应人必须使用生成电子交易响应文件的CA数字证书自行登录交易平台解密电子交易响应文件，</w:t>
            </w:r>
            <w:r>
              <w:rPr>
                <w:rFonts w:hint="eastAsia" w:hAnsi="宋体"/>
                <w:b/>
                <w:bCs/>
                <w:color w:val="auto"/>
                <w:u w:val="single"/>
              </w:rPr>
              <w:t>未在交易会议后</w:t>
            </w:r>
            <w:r>
              <w:rPr>
                <w:rFonts w:hAnsi="宋体"/>
                <w:b/>
                <w:bCs/>
                <w:color w:val="auto"/>
                <w:u w:val="single"/>
              </w:rPr>
              <w:t>2</w:t>
            </w:r>
            <w:r>
              <w:rPr>
                <w:rFonts w:hint="eastAsia" w:hAnsi="宋体"/>
                <w:b/>
                <w:bCs/>
                <w:color w:val="auto"/>
                <w:u w:val="single"/>
              </w:rPr>
              <w:t>0分钟内</w:t>
            </w:r>
            <w:r>
              <w:rPr>
                <w:rFonts w:hint="eastAsia" w:hAnsi="宋体"/>
                <w:b/>
                <w:bCs/>
              </w:rPr>
              <w:t>完成交易响应文件解密的，后果自负。</w:t>
            </w:r>
          </w:p>
        </w:tc>
      </w:tr>
      <w:tr w14:paraId="3C3C5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78" w:type="dxa"/>
            <w:vAlign w:val="center"/>
          </w:tcPr>
          <w:p w14:paraId="5A7F58B7">
            <w:pPr>
              <w:pStyle w:val="8"/>
              <w:jc w:val="center"/>
              <w:rPr>
                <w:rFonts w:hAnsi="宋体"/>
                <w:b/>
                <w:bCs/>
              </w:rPr>
            </w:pPr>
            <w:r>
              <w:rPr>
                <w:rFonts w:hint="eastAsia" w:hAnsi="宋体"/>
                <w:b/>
                <w:bCs/>
              </w:rPr>
              <w:t>29</w:t>
            </w:r>
          </w:p>
        </w:tc>
        <w:tc>
          <w:tcPr>
            <w:tcW w:w="988" w:type="dxa"/>
            <w:vAlign w:val="center"/>
          </w:tcPr>
          <w:p w14:paraId="7C07CD9B">
            <w:pPr>
              <w:pStyle w:val="8"/>
              <w:jc w:val="center"/>
              <w:rPr>
                <w:rFonts w:hAnsi="宋体"/>
                <w:b/>
                <w:bCs/>
              </w:rPr>
            </w:pPr>
          </w:p>
        </w:tc>
        <w:tc>
          <w:tcPr>
            <w:tcW w:w="1792" w:type="dxa"/>
            <w:vAlign w:val="center"/>
          </w:tcPr>
          <w:p w14:paraId="582B5383">
            <w:pPr>
              <w:pStyle w:val="8"/>
              <w:jc w:val="center"/>
              <w:rPr>
                <w:rFonts w:hAnsi="宋体"/>
                <w:b/>
                <w:bCs/>
                <w:lang w:eastAsia="zh-CN"/>
              </w:rPr>
            </w:pPr>
            <w:r>
              <w:rPr>
                <w:rFonts w:hint="eastAsia" w:hAnsi="宋体"/>
                <w:b/>
                <w:bCs/>
                <w:lang w:eastAsia="zh-CN"/>
              </w:rPr>
              <w:t>电子交易响应文件拒收情形</w:t>
            </w:r>
          </w:p>
        </w:tc>
        <w:tc>
          <w:tcPr>
            <w:tcW w:w="6366" w:type="dxa"/>
            <w:vAlign w:val="center"/>
          </w:tcPr>
          <w:p w14:paraId="5AF39784">
            <w:pPr>
              <w:pStyle w:val="8"/>
              <w:rPr>
                <w:rFonts w:hAnsi="宋体"/>
                <w:b/>
                <w:bCs/>
                <w:lang w:eastAsia="zh-CN"/>
              </w:rPr>
            </w:pPr>
            <w:r>
              <w:rPr>
                <w:rFonts w:hint="eastAsia" w:hAnsi="宋体"/>
                <w:b/>
                <w:bCs/>
                <w:lang w:eastAsia="zh-CN"/>
              </w:rPr>
              <w:t>1、逾期上传递交的、未按交易文件要求上传；</w:t>
            </w:r>
          </w:p>
          <w:p w14:paraId="13B1F841">
            <w:pPr>
              <w:pStyle w:val="8"/>
              <w:rPr>
                <w:rFonts w:hAnsi="宋体"/>
                <w:b/>
                <w:bCs/>
                <w:lang w:eastAsia="zh-CN"/>
              </w:rPr>
            </w:pPr>
            <w:r>
              <w:rPr>
                <w:rFonts w:hint="eastAsia" w:hAnsi="宋体"/>
                <w:b/>
                <w:bCs/>
                <w:lang w:eastAsia="zh-CN"/>
              </w:rPr>
              <w:t>2、未按交易文件加密；</w:t>
            </w:r>
          </w:p>
          <w:p w14:paraId="003D44A7">
            <w:pPr>
              <w:pStyle w:val="8"/>
              <w:rPr>
                <w:rFonts w:hAnsi="宋体"/>
                <w:b/>
                <w:bCs/>
                <w:lang w:eastAsia="zh-CN"/>
              </w:rPr>
            </w:pPr>
            <w:r>
              <w:rPr>
                <w:rFonts w:hint="eastAsia" w:hAnsi="宋体"/>
                <w:b/>
                <w:bCs/>
                <w:lang w:eastAsia="zh-CN"/>
              </w:rPr>
              <w:t>3、存在下列情形之一的视为拒收：</w:t>
            </w:r>
          </w:p>
          <w:p w14:paraId="3F099C0F">
            <w:pPr>
              <w:pStyle w:val="8"/>
              <w:rPr>
                <w:rFonts w:hAnsi="宋体"/>
                <w:b/>
                <w:bCs/>
                <w:lang w:eastAsia="zh-CN"/>
              </w:rPr>
            </w:pPr>
            <w:r>
              <w:rPr>
                <w:rFonts w:hint="eastAsia" w:hAnsi="宋体"/>
                <w:b/>
                <w:bCs/>
                <w:lang w:eastAsia="zh-CN"/>
              </w:rPr>
              <w:t>（1）电子交易响应文件无法解密的</w:t>
            </w:r>
          </w:p>
          <w:p w14:paraId="1059A22C">
            <w:pPr>
              <w:pStyle w:val="8"/>
              <w:rPr>
                <w:rFonts w:hAnsi="宋体"/>
                <w:b/>
                <w:bCs/>
                <w:lang w:eastAsia="zh-CN"/>
              </w:rPr>
            </w:pPr>
            <w:r>
              <w:rPr>
                <w:rFonts w:hint="eastAsia" w:hAnsi="宋体"/>
                <w:b/>
                <w:bCs/>
                <w:lang w:eastAsia="zh-CN"/>
              </w:rPr>
              <w:t>（2）电子交易响应文件解密后无法正常读取的</w:t>
            </w:r>
          </w:p>
          <w:p w14:paraId="4812D54E">
            <w:pPr>
              <w:pStyle w:val="8"/>
              <w:rPr>
                <w:rFonts w:hAnsi="宋体"/>
                <w:b/>
                <w:bCs/>
                <w:lang w:eastAsia="zh-CN"/>
              </w:rPr>
            </w:pPr>
            <w:r>
              <w:rPr>
                <w:rFonts w:hint="eastAsia" w:hAnsi="宋体"/>
                <w:b/>
                <w:bCs/>
                <w:lang w:eastAsia="zh-CN"/>
              </w:rPr>
              <w:t>（3）电子交易响应文件无法导入成功的</w:t>
            </w:r>
          </w:p>
        </w:tc>
      </w:tr>
      <w:tr w14:paraId="6D1B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78" w:type="dxa"/>
            <w:vAlign w:val="center"/>
          </w:tcPr>
          <w:p w14:paraId="4ECE9EDF">
            <w:pPr>
              <w:pStyle w:val="8"/>
              <w:jc w:val="center"/>
              <w:rPr>
                <w:rFonts w:hAnsi="宋体"/>
                <w:b/>
                <w:bCs/>
              </w:rPr>
            </w:pPr>
            <w:r>
              <w:rPr>
                <w:rFonts w:hint="eastAsia" w:hAnsi="宋体"/>
                <w:b/>
                <w:bCs/>
              </w:rPr>
              <w:t>30</w:t>
            </w:r>
          </w:p>
        </w:tc>
        <w:tc>
          <w:tcPr>
            <w:tcW w:w="988" w:type="dxa"/>
            <w:vAlign w:val="center"/>
          </w:tcPr>
          <w:p w14:paraId="2E662118">
            <w:pPr>
              <w:pStyle w:val="8"/>
              <w:jc w:val="center"/>
              <w:rPr>
                <w:rFonts w:hAnsi="宋体"/>
                <w:b/>
                <w:bCs/>
              </w:rPr>
            </w:pPr>
          </w:p>
        </w:tc>
        <w:tc>
          <w:tcPr>
            <w:tcW w:w="1792" w:type="dxa"/>
            <w:vAlign w:val="center"/>
          </w:tcPr>
          <w:p w14:paraId="50462153">
            <w:pPr>
              <w:pStyle w:val="8"/>
              <w:jc w:val="center"/>
              <w:rPr>
                <w:rFonts w:hAnsi="宋体"/>
                <w:b/>
                <w:bCs/>
              </w:rPr>
            </w:pPr>
            <w:r>
              <w:rPr>
                <w:rFonts w:hint="eastAsia" w:hAnsi="宋体"/>
                <w:b/>
                <w:bCs/>
              </w:rPr>
              <w:t>特殊情况处理</w:t>
            </w:r>
          </w:p>
        </w:tc>
        <w:tc>
          <w:tcPr>
            <w:tcW w:w="6366" w:type="dxa"/>
            <w:vAlign w:val="center"/>
          </w:tcPr>
          <w:p w14:paraId="21D1670E">
            <w:pPr>
              <w:pStyle w:val="8"/>
              <w:rPr>
                <w:rFonts w:hAnsi="宋体"/>
                <w:b/>
                <w:bCs/>
                <w:lang w:eastAsia="zh-CN"/>
              </w:rPr>
            </w:pPr>
            <w:r>
              <w:rPr>
                <w:rFonts w:hint="eastAsia" w:hAnsi="宋体"/>
                <w:b/>
                <w:bCs/>
                <w:lang w:eastAsia="zh-CN"/>
              </w:rPr>
              <w:t>因网络、系统、电力等不可抗力因素延期交易会议的，需更新制作交易响应文件并按交易文件要求重新递交。</w:t>
            </w:r>
          </w:p>
        </w:tc>
      </w:tr>
      <w:tr w14:paraId="74FC3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78" w:type="dxa"/>
            <w:vAlign w:val="center"/>
          </w:tcPr>
          <w:p w14:paraId="50E4EE79">
            <w:pPr>
              <w:pStyle w:val="8"/>
              <w:jc w:val="center"/>
              <w:rPr>
                <w:rFonts w:hAnsi="宋体"/>
                <w:b/>
                <w:bCs/>
              </w:rPr>
            </w:pPr>
            <w:r>
              <w:rPr>
                <w:rFonts w:hint="eastAsia" w:hAnsi="宋体"/>
                <w:b/>
                <w:bCs/>
              </w:rPr>
              <w:t>31</w:t>
            </w:r>
          </w:p>
        </w:tc>
        <w:tc>
          <w:tcPr>
            <w:tcW w:w="988" w:type="dxa"/>
            <w:vAlign w:val="center"/>
          </w:tcPr>
          <w:p w14:paraId="56665B44">
            <w:pPr>
              <w:pStyle w:val="8"/>
              <w:jc w:val="center"/>
              <w:rPr>
                <w:rFonts w:hAnsi="宋体"/>
                <w:b/>
                <w:bCs/>
              </w:rPr>
            </w:pPr>
          </w:p>
        </w:tc>
        <w:tc>
          <w:tcPr>
            <w:tcW w:w="1792" w:type="dxa"/>
            <w:vAlign w:val="center"/>
          </w:tcPr>
          <w:p w14:paraId="64486567">
            <w:pPr>
              <w:pStyle w:val="8"/>
              <w:jc w:val="center"/>
              <w:rPr>
                <w:rFonts w:hAnsi="宋体"/>
                <w:b/>
                <w:bCs/>
              </w:rPr>
            </w:pPr>
            <w:r>
              <w:rPr>
                <w:rFonts w:hint="eastAsia" w:hAnsi="宋体"/>
                <w:b/>
                <w:bCs/>
              </w:rPr>
              <w:t>电子</w:t>
            </w:r>
            <w:r>
              <w:rPr>
                <w:rFonts w:hint="eastAsia" w:hAnsi="宋体"/>
                <w:b/>
                <w:bCs/>
                <w:lang w:eastAsia="zh-CN"/>
              </w:rPr>
              <w:t>交易</w:t>
            </w:r>
            <w:r>
              <w:rPr>
                <w:rFonts w:hint="eastAsia" w:hAnsi="宋体"/>
                <w:b/>
                <w:bCs/>
              </w:rPr>
              <w:t>项目</w:t>
            </w:r>
          </w:p>
          <w:p w14:paraId="143E9A60">
            <w:pPr>
              <w:pStyle w:val="8"/>
              <w:jc w:val="center"/>
              <w:rPr>
                <w:rFonts w:hAnsi="宋体"/>
                <w:b/>
                <w:bCs/>
                <w:lang w:eastAsia="zh-CN"/>
              </w:rPr>
            </w:pPr>
            <w:r>
              <w:rPr>
                <w:rFonts w:hint="eastAsia" w:hAnsi="宋体"/>
                <w:b/>
                <w:bCs/>
                <w:lang w:eastAsia="zh-CN"/>
              </w:rPr>
              <w:t>评审</w:t>
            </w:r>
          </w:p>
        </w:tc>
        <w:tc>
          <w:tcPr>
            <w:tcW w:w="6366" w:type="dxa"/>
            <w:vAlign w:val="center"/>
          </w:tcPr>
          <w:p w14:paraId="7320D034">
            <w:pPr>
              <w:pStyle w:val="8"/>
              <w:rPr>
                <w:rFonts w:hAnsi="宋体"/>
                <w:b/>
                <w:bCs/>
                <w:lang w:eastAsia="zh-CN"/>
              </w:rPr>
            </w:pPr>
            <w:r>
              <w:rPr>
                <w:rFonts w:hint="eastAsia" w:hAnsi="宋体"/>
                <w:b/>
                <w:bCs/>
                <w:lang w:eastAsia="zh-CN"/>
              </w:rPr>
              <w:t>本项目的评审以交易响应人递交的电子交易响应文件为评审依据。除上述情况及评审小组在评审中需要交易响应人提供澄清材料以外，都不作为评审的依据。任何情况下未按交易文件要求提供电子交易响应文件的交易响应人的纸质交易响应文件均不被交易发起人接受。</w:t>
            </w:r>
          </w:p>
        </w:tc>
      </w:tr>
    </w:tbl>
    <w:p w14:paraId="7001C4D9">
      <w:pPr>
        <w:pStyle w:val="8"/>
        <w:jc w:val="center"/>
        <w:rPr>
          <w:rFonts w:hAnsi="宋体"/>
          <w:b/>
          <w:bCs/>
          <w:lang w:eastAsia="zh-CN"/>
        </w:rPr>
      </w:pPr>
    </w:p>
    <w:p w14:paraId="2BC5B426">
      <w:pPr>
        <w:pStyle w:val="8"/>
        <w:spacing w:line="360" w:lineRule="auto"/>
        <w:jc w:val="center"/>
        <w:outlineLvl w:val="0"/>
        <w:rPr>
          <w:bCs/>
          <w:sz w:val="36"/>
          <w:lang w:eastAsia="zh-CN"/>
        </w:rPr>
      </w:pPr>
      <w:r>
        <w:rPr>
          <w:lang w:eastAsia="zh-CN"/>
        </w:rPr>
        <w:br w:type="page"/>
      </w:r>
      <w:bookmarkStart w:id="16" w:name="_Toc330378459"/>
      <w:bookmarkStart w:id="17" w:name="_Toc23504"/>
      <w:bookmarkStart w:id="18" w:name="_Toc330288398"/>
      <w:r>
        <w:rPr>
          <w:rFonts w:hint="eastAsia"/>
          <w:bCs/>
          <w:sz w:val="36"/>
          <w:lang w:eastAsia="zh-CN"/>
        </w:rPr>
        <w:t>二、交易响应须知</w:t>
      </w:r>
      <w:bookmarkEnd w:id="16"/>
      <w:bookmarkEnd w:id="17"/>
      <w:bookmarkEnd w:id="18"/>
    </w:p>
    <w:p w14:paraId="23CD8C54">
      <w:pPr>
        <w:pStyle w:val="8"/>
        <w:spacing w:line="360" w:lineRule="auto"/>
        <w:jc w:val="center"/>
        <w:outlineLvl w:val="1"/>
        <w:rPr>
          <w:sz w:val="30"/>
          <w:lang w:eastAsia="zh-CN"/>
        </w:rPr>
      </w:pPr>
      <w:bookmarkStart w:id="19" w:name="_Toc330378460"/>
      <w:bookmarkStart w:id="20" w:name="_Toc330288399"/>
      <w:bookmarkStart w:id="21" w:name="_Toc23539"/>
      <w:r>
        <w:rPr>
          <w:rFonts w:hint="eastAsia"/>
          <w:sz w:val="30"/>
          <w:lang w:eastAsia="zh-CN"/>
        </w:rPr>
        <w:t>(一)总则</w:t>
      </w:r>
      <w:bookmarkEnd w:id="19"/>
      <w:bookmarkEnd w:id="20"/>
      <w:bookmarkEnd w:id="21"/>
    </w:p>
    <w:p w14:paraId="2DFC1FD5">
      <w:pPr>
        <w:pStyle w:val="8"/>
        <w:spacing w:line="360" w:lineRule="auto"/>
        <w:ind w:firstLine="540" w:firstLineChars="225"/>
        <w:outlineLvl w:val="2"/>
        <w:rPr>
          <w:sz w:val="24"/>
          <w:lang w:eastAsia="zh-CN"/>
        </w:rPr>
      </w:pPr>
      <w:bookmarkStart w:id="22" w:name="_Toc8900"/>
      <w:bookmarkStart w:id="23" w:name="_Toc330288400"/>
      <w:bookmarkStart w:id="24" w:name="_Toc330378461"/>
      <w:r>
        <w:rPr>
          <w:rFonts w:hint="eastAsia"/>
          <w:sz w:val="24"/>
          <w:lang w:eastAsia="zh-CN"/>
        </w:rPr>
        <w:t>1、工程说明</w:t>
      </w:r>
      <w:bookmarkEnd w:id="22"/>
      <w:bookmarkEnd w:id="23"/>
      <w:bookmarkEnd w:id="24"/>
    </w:p>
    <w:p w14:paraId="7243FC54">
      <w:pPr>
        <w:pStyle w:val="8"/>
        <w:spacing w:line="360" w:lineRule="auto"/>
        <w:ind w:firstLine="540" w:firstLineChars="225"/>
        <w:rPr>
          <w:sz w:val="24"/>
          <w:lang w:eastAsia="zh-CN"/>
        </w:rPr>
      </w:pPr>
      <w:r>
        <w:rPr>
          <w:rFonts w:hint="eastAsia"/>
          <w:sz w:val="24"/>
          <w:lang w:eastAsia="zh-CN"/>
        </w:rPr>
        <w:t>1．1工程说明见交易响应须知前附表(以下简称“前附表”)第1项—第5项所述。</w:t>
      </w:r>
    </w:p>
    <w:p w14:paraId="5D97D7DA">
      <w:pPr>
        <w:pStyle w:val="8"/>
        <w:spacing w:line="360" w:lineRule="auto"/>
        <w:ind w:firstLine="540" w:firstLineChars="225"/>
        <w:rPr>
          <w:sz w:val="24"/>
          <w:lang w:eastAsia="zh-CN"/>
        </w:rPr>
      </w:pPr>
      <w:r>
        <w:rPr>
          <w:rFonts w:hint="eastAsia"/>
          <w:sz w:val="24"/>
          <w:lang w:eastAsia="zh-CN"/>
        </w:rPr>
        <w:t>1．2上述工程按照《淳安县限额以下公共资源交易管理暂行办法》等有关法律、法规、规章规定通过交易来择优选定施工单位。</w:t>
      </w:r>
    </w:p>
    <w:p w14:paraId="1DC3CEAE">
      <w:pPr>
        <w:pStyle w:val="8"/>
        <w:spacing w:line="360" w:lineRule="auto"/>
        <w:ind w:firstLine="540" w:firstLineChars="225"/>
        <w:outlineLvl w:val="2"/>
        <w:rPr>
          <w:sz w:val="24"/>
          <w:lang w:eastAsia="zh-CN"/>
        </w:rPr>
      </w:pPr>
      <w:bookmarkStart w:id="25" w:name="_Toc330288401"/>
      <w:bookmarkStart w:id="26" w:name="_Toc19410"/>
      <w:bookmarkStart w:id="27" w:name="_Toc330378462"/>
      <w:r>
        <w:rPr>
          <w:rFonts w:hint="eastAsia"/>
          <w:sz w:val="24"/>
          <w:lang w:eastAsia="zh-CN"/>
        </w:rPr>
        <w:t>2、交易方式、范围及工期</w:t>
      </w:r>
      <w:bookmarkEnd w:id="25"/>
      <w:bookmarkEnd w:id="26"/>
      <w:bookmarkEnd w:id="27"/>
    </w:p>
    <w:p w14:paraId="5F14AC37">
      <w:pPr>
        <w:pStyle w:val="8"/>
        <w:spacing w:line="360" w:lineRule="auto"/>
        <w:ind w:firstLine="540" w:firstLineChars="225"/>
        <w:rPr>
          <w:sz w:val="24"/>
          <w:lang w:eastAsia="zh-CN"/>
        </w:rPr>
      </w:pPr>
      <w:r>
        <w:rPr>
          <w:rFonts w:hint="eastAsia"/>
          <w:sz w:val="24"/>
          <w:lang w:eastAsia="zh-CN"/>
        </w:rPr>
        <w:t>2. 1本工程的交易方式见前附表第6项所述。</w:t>
      </w:r>
    </w:p>
    <w:p w14:paraId="2E878E0A">
      <w:pPr>
        <w:pStyle w:val="8"/>
        <w:spacing w:line="360" w:lineRule="auto"/>
        <w:ind w:firstLine="540" w:firstLineChars="225"/>
        <w:rPr>
          <w:sz w:val="24"/>
          <w:lang w:eastAsia="zh-CN"/>
        </w:rPr>
      </w:pPr>
      <w:r>
        <w:rPr>
          <w:rFonts w:hint="eastAsia"/>
          <w:sz w:val="24"/>
          <w:lang w:eastAsia="zh-CN"/>
        </w:rPr>
        <w:t>2．2本次交易的工程范围见前附表第6项所述。</w:t>
      </w:r>
    </w:p>
    <w:p w14:paraId="6D4C49F9">
      <w:pPr>
        <w:pStyle w:val="8"/>
        <w:spacing w:line="360" w:lineRule="auto"/>
        <w:ind w:firstLine="540" w:firstLineChars="225"/>
        <w:rPr>
          <w:sz w:val="24"/>
          <w:lang w:eastAsia="zh-CN"/>
        </w:rPr>
      </w:pPr>
      <w:r>
        <w:rPr>
          <w:rFonts w:hint="eastAsia"/>
          <w:sz w:val="24"/>
          <w:lang w:eastAsia="zh-CN"/>
        </w:rPr>
        <w:t>2．3本工程的工期要求见前附表第7项所述。</w:t>
      </w:r>
    </w:p>
    <w:p w14:paraId="1EDDD449">
      <w:pPr>
        <w:pStyle w:val="8"/>
        <w:spacing w:line="360" w:lineRule="auto"/>
        <w:ind w:firstLine="540" w:firstLineChars="225"/>
        <w:outlineLvl w:val="2"/>
        <w:rPr>
          <w:sz w:val="24"/>
          <w:lang w:eastAsia="zh-CN"/>
        </w:rPr>
      </w:pPr>
      <w:bookmarkStart w:id="28" w:name="_Toc330378463"/>
      <w:bookmarkStart w:id="29" w:name="_Toc330288402"/>
      <w:bookmarkStart w:id="30" w:name="_Toc7835"/>
      <w:r>
        <w:rPr>
          <w:rFonts w:hint="eastAsia"/>
          <w:sz w:val="24"/>
          <w:lang w:eastAsia="zh-CN"/>
        </w:rPr>
        <w:t>3、资金来源</w:t>
      </w:r>
      <w:bookmarkEnd w:id="28"/>
      <w:bookmarkEnd w:id="29"/>
      <w:bookmarkEnd w:id="30"/>
    </w:p>
    <w:p w14:paraId="3378F467">
      <w:pPr>
        <w:pStyle w:val="8"/>
        <w:spacing w:line="360" w:lineRule="auto"/>
        <w:ind w:firstLine="540" w:firstLineChars="225"/>
        <w:rPr>
          <w:sz w:val="24"/>
          <w:lang w:eastAsia="zh-CN"/>
        </w:rPr>
      </w:pPr>
      <w:r>
        <w:rPr>
          <w:rFonts w:hint="eastAsia"/>
          <w:sz w:val="24"/>
          <w:lang w:eastAsia="zh-CN"/>
        </w:rPr>
        <w:t>3．1本工程立项计划已得到有关部门的批准，工程资金通过前附表第8项所述的方式获得，并将部分资金用于本工程施工合同项下的合格支付。</w:t>
      </w:r>
    </w:p>
    <w:p w14:paraId="341F99AA">
      <w:pPr>
        <w:pStyle w:val="8"/>
        <w:spacing w:line="360" w:lineRule="auto"/>
        <w:ind w:firstLine="540" w:firstLineChars="225"/>
        <w:outlineLvl w:val="2"/>
        <w:rPr>
          <w:sz w:val="24"/>
          <w:lang w:eastAsia="zh-CN"/>
        </w:rPr>
      </w:pPr>
      <w:bookmarkStart w:id="31" w:name="_Toc10518"/>
      <w:bookmarkStart w:id="32" w:name="_Toc330288403"/>
      <w:bookmarkStart w:id="33" w:name="_Toc330378464"/>
      <w:r>
        <w:rPr>
          <w:rFonts w:hint="eastAsia"/>
          <w:sz w:val="24"/>
          <w:lang w:eastAsia="zh-CN"/>
        </w:rPr>
        <w:t>4、合格的交易响应人</w:t>
      </w:r>
      <w:bookmarkEnd w:id="31"/>
      <w:bookmarkEnd w:id="32"/>
      <w:bookmarkEnd w:id="33"/>
    </w:p>
    <w:p w14:paraId="04225C9D">
      <w:pPr>
        <w:pStyle w:val="8"/>
        <w:spacing w:line="360" w:lineRule="auto"/>
        <w:ind w:firstLine="540" w:firstLineChars="225"/>
        <w:rPr>
          <w:sz w:val="24"/>
          <w:lang w:eastAsia="zh-CN"/>
        </w:rPr>
      </w:pPr>
      <w:r>
        <w:rPr>
          <w:rFonts w:hint="eastAsia"/>
          <w:sz w:val="24"/>
          <w:lang w:eastAsia="zh-CN"/>
        </w:rPr>
        <w:t>4．1交易响应人资质等级要求见前附表第9项所述。</w:t>
      </w:r>
    </w:p>
    <w:p w14:paraId="0AE1AD3A">
      <w:pPr>
        <w:pStyle w:val="8"/>
        <w:spacing w:line="360" w:lineRule="auto"/>
        <w:ind w:firstLine="540" w:firstLineChars="225"/>
        <w:rPr>
          <w:sz w:val="24"/>
          <w:lang w:eastAsia="zh-CN"/>
        </w:rPr>
      </w:pPr>
      <w:r>
        <w:rPr>
          <w:rFonts w:hint="eastAsia"/>
          <w:sz w:val="24"/>
          <w:lang w:eastAsia="zh-CN"/>
        </w:rPr>
        <w:t>4．2交易响应人合格条件见本工程施工交易公告或交易响应邀请书。</w:t>
      </w:r>
    </w:p>
    <w:p w14:paraId="3DF7C768">
      <w:pPr>
        <w:pStyle w:val="8"/>
        <w:spacing w:line="360" w:lineRule="auto"/>
        <w:ind w:firstLine="540" w:firstLineChars="225"/>
        <w:rPr>
          <w:sz w:val="24"/>
          <w:lang w:eastAsia="zh-CN"/>
        </w:rPr>
      </w:pPr>
      <w:r>
        <w:rPr>
          <w:rFonts w:hint="eastAsia"/>
          <w:sz w:val="24"/>
          <w:lang w:eastAsia="zh-CN"/>
        </w:rPr>
        <w:t>4．3本工程采用前附表第10项所述的资格审查方法确定合格交易响应人。</w:t>
      </w:r>
    </w:p>
    <w:p w14:paraId="6D566406">
      <w:pPr>
        <w:pStyle w:val="8"/>
        <w:spacing w:line="360" w:lineRule="auto"/>
        <w:ind w:firstLine="540" w:firstLineChars="225"/>
        <w:rPr>
          <w:sz w:val="24"/>
          <w:lang w:eastAsia="zh-CN"/>
        </w:rPr>
      </w:pPr>
      <w:r>
        <w:rPr>
          <w:rFonts w:hint="eastAsia"/>
          <w:sz w:val="24"/>
          <w:lang w:eastAsia="zh-CN"/>
        </w:rPr>
        <w:t>4．4当采用资格后审时，交易响应人必须按资格审查文件要求在递交交易响应文件时一同报送资格后审的资料。</w:t>
      </w:r>
    </w:p>
    <w:p w14:paraId="0442813E">
      <w:pPr>
        <w:pStyle w:val="8"/>
        <w:spacing w:line="360" w:lineRule="auto"/>
        <w:ind w:firstLine="540" w:firstLineChars="225"/>
        <w:rPr>
          <w:sz w:val="24"/>
          <w:lang w:eastAsia="zh-CN"/>
        </w:rPr>
      </w:pPr>
      <w:r>
        <w:rPr>
          <w:rFonts w:hint="eastAsia"/>
          <w:sz w:val="24"/>
          <w:lang w:eastAsia="zh-CN"/>
        </w:rPr>
        <w:t xml:space="preserve">4．5由两个或两个以上法人组成一个联合体以一个交易响应人的身份共同交易响应时，除符合第4.1、4.2款的要求外，还应符合以下要求： </w:t>
      </w:r>
    </w:p>
    <w:p w14:paraId="2DFA4109">
      <w:pPr>
        <w:pStyle w:val="8"/>
        <w:spacing w:line="360" w:lineRule="auto"/>
        <w:ind w:firstLine="540" w:firstLineChars="225"/>
        <w:rPr>
          <w:sz w:val="24"/>
          <w:lang w:eastAsia="zh-CN"/>
        </w:rPr>
      </w:pPr>
      <w:r>
        <w:rPr>
          <w:rFonts w:hint="eastAsia"/>
          <w:sz w:val="24"/>
          <w:lang w:eastAsia="zh-CN"/>
        </w:rPr>
        <w:t>(1)交易响应人的交易响应文件及成交后签署的合同协议书对联合体每一成员均具法律约束力；</w:t>
      </w:r>
    </w:p>
    <w:p w14:paraId="1628EED1">
      <w:pPr>
        <w:pStyle w:val="8"/>
        <w:spacing w:line="360" w:lineRule="auto"/>
        <w:ind w:firstLine="540" w:firstLineChars="225"/>
        <w:rPr>
          <w:sz w:val="24"/>
          <w:lang w:eastAsia="zh-CN"/>
        </w:rPr>
      </w:pPr>
      <w:r>
        <w:rPr>
          <w:rFonts w:hint="eastAsia"/>
          <w:sz w:val="24"/>
          <w:lang w:eastAsia="zh-CN"/>
        </w:rPr>
        <w:t>(2)联合体的各成员应当签订共同交易响应协议，明确约定各方拟承担的工作责任，并将该共同交易响应协议随交易响应文件一并递交给交易发起人；</w:t>
      </w:r>
    </w:p>
    <w:p w14:paraId="0EBFE648">
      <w:pPr>
        <w:pStyle w:val="8"/>
        <w:spacing w:line="360" w:lineRule="auto"/>
        <w:ind w:firstLine="540" w:firstLineChars="225"/>
        <w:rPr>
          <w:sz w:val="24"/>
          <w:lang w:eastAsia="zh-CN"/>
        </w:rPr>
      </w:pPr>
      <w:r>
        <w:rPr>
          <w:rFonts w:hint="eastAsia"/>
          <w:sz w:val="24"/>
          <w:lang w:eastAsia="zh-CN"/>
        </w:rPr>
        <w:t>(3)联合体成交后，联合体各成员应当共同与交易发起人签订合同，为履行合同向交易发起人承担连带责任；</w:t>
      </w:r>
    </w:p>
    <w:p w14:paraId="754F75A5">
      <w:pPr>
        <w:pStyle w:val="8"/>
        <w:spacing w:line="360" w:lineRule="auto"/>
        <w:ind w:firstLine="540" w:firstLineChars="225"/>
        <w:rPr>
          <w:sz w:val="24"/>
          <w:lang w:eastAsia="zh-CN"/>
        </w:rPr>
      </w:pPr>
      <w:r>
        <w:rPr>
          <w:rFonts w:hint="eastAsia"/>
          <w:sz w:val="24"/>
          <w:lang w:eastAsia="zh-CN"/>
        </w:rPr>
        <w:t>(4)联合体的各成员应当共同推荐一联合体代表人，证明其代表人资格，该授权书作为交易响应文件的组成部分一并提交给交易发起人；</w:t>
      </w:r>
    </w:p>
    <w:p w14:paraId="587F3C3E">
      <w:pPr>
        <w:pStyle w:val="8"/>
        <w:spacing w:line="360" w:lineRule="auto"/>
        <w:ind w:firstLine="540" w:firstLineChars="225"/>
        <w:rPr>
          <w:sz w:val="24"/>
          <w:lang w:eastAsia="zh-CN"/>
        </w:rPr>
      </w:pPr>
      <w:r>
        <w:rPr>
          <w:rFonts w:hint="eastAsia"/>
          <w:sz w:val="24"/>
          <w:lang w:eastAsia="zh-CN"/>
        </w:rPr>
        <w:t>(5)联合体代表人应被授权作为联合体所有成员的代表承担责任和接受指令，并负责整个合同的全面履行；</w:t>
      </w:r>
    </w:p>
    <w:p w14:paraId="4D50A479">
      <w:pPr>
        <w:pStyle w:val="8"/>
        <w:spacing w:line="360" w:lineRule="auto"/>
        <w:ind w:firstLine="540" w:firstLineChars="225"/>
        <w:rPr>
          <w:sz w:val="24"/>
          <w:lang w:eastAsia="zh-CN"/>
        </w:rPr>
      </w:pPr>
      <w:r>
        <w:rPr>
          <w:rFonts w:hint="eastAsia"/>
          <w:sz w:val="24"/>
          <w:lang w:eastAsia="zh-CN"/>
        </w:rPr>
        <w:t>(6)参加联合体的各成员不得再以自己的名义单独交易响应，也不得同时参加两个或两个以上的联合体交易响应。出现上述情况者，其交易响应和与此有关的联合体的交易响应将被拒绝；</w:t>
      </w:r>
    </w:p>
    <w:p w14:paraId="4F4975B7">
      <w:pPr>
        <w:pStyle w:val="8"/>
        <w:spacing w:line="360" w:lineRule="auto"/>
        <w:ind w:firstLine="540" w:firstLineChars="225"/>
        <w:rPr>
          <w:sz w:val="24"/>
          <w:lang w:eastAsia="zh-CN"/>
        </w:rPr>
      </w:pPr>
      <w:r>
        <w:rPr>
          <w:rFonts w:hint="eastAsia"/>
          <w:sz w:val="24"/>
          <w:lang w:eastAsia="zh-CN"/>
        </w:rPr>
        <w:t>(7)除非另有规定或说明，本须知中“交易响应人”一词亦指联合体各成员。</w:t>
      </w:r>
    </w:p>
    <w:p w14:paraId="4BFFD0E9">
      <w:pPr>
        <w:pStyle w:val="8"/>
        <w:spacing w:line="360" w:lineRule="auto"/>
        <w:ind w:firstLine="540" w:firstLineChars="225"/>
        <w:outlineLvl w:val="2"/>
        <w:rPr>
          <w:sz w:val="24"/>
          <w:lang w:eastAsia="zh-CN"/>
        </w:rPr>
      </w:pPr>
      <w:bookmarkStart w:id="34" w:name="_Toc330288404"/>
      <w:bookmarkStart w:id="35" w:name="_Toc330378465"/>
      <w:bookmarkStart w:id="36" w:name="_Toc31507"/>
      <w:r>
        <w:rPr>
          <w:rFonts w:hint="eastAsia"/>
          <w:sz w:val="24"/>
          <w:lang w:eastAsia="zh-CN"/>
        </w:rPr>
        <w:t>5、交易响应费用</w:t>
      </w:r>
      <w:bookmarkEnd w:id="34"/>
      <w:bookmarkEnd w:id="35"/>
      <w:bookmarkEnd w:id="36"/>
    </w:p>
    <w:p w14:paraId="331728E4">
      <w:pPr>
        <w:pStyle w:val="8"/>
        <w:spacing w:line="360" w:lineRule="auto"/>
        <w:ind w:firstLine="540" w:firstLineChars="225"/>
        <w:rPr>
          <w:sz w:val="24"/>
          <w:lang w:eastAsia="zh-CN"/>
        </w:rPr>
      </w:pPr>
      <w:r>
        <w:rPr>
          <w:rFonts w:hint="eastAsia"/>
          <w:sz w:val="24"/>
          <w:lang w:eastAsia="zh-CN"/>
        </w:rPr>
        <w:t>5．1交易响应人应承担其编制交易响应文件与递交交易响应文件所涉及的一切费用。不论交易响应结果如何，交易发起人在任何情况下无义务和无责任承担这些费用。</w:t>
      </w:r>
    </w:p>
    <w:p w14:paraId="545C94C7">
      <w:pPr>
        <w:pStyle w:val="8"/>
        <w:spacing w:line="360" w:lineRule="auto"/>
        <w:ind w:firstLine="540" w:firstLineChars="225"/>
        <w:outlineLvl w:val="2"/>
        <w:rPr>
          <w:sz w:val="24"/>
          <w:lang w:eastAsia="zh-CN"/>
        </w:rPr>
      </w:pPr>
      <w:bookmarkStart w:id="37" w:name="_Toc330378466"/>
      <w:bookmarkStart w:id="38" w:name="_Toc766"/>
      <w:bookmarkStart w:id="39" w:name="_Toc330288405"/>
      <w:r>
        <w:rPr>
          <w:rFonts w:hint="eastAsia"/>
          <w:sz w:val="24"/>
          <w:lang w:eastAsia="zh-CN"/>
        </w:rPr>
        <w:t>6、踏勘现场</w:t>
      </w:r>
      <w:bookmarkEnd w:id="37"/>
      <w:bookmarkEnd w:id="38"/>
      <w:bookmarkEnd w:id="39"/>
    </w:p>
    <w:p w14:paraId="6201638B">
      <w:pPr>
        <w:spacing w:line="360" w:lineRule="auto"/>
        <w:ind w:firstLine="540" w:firstLineChars="225"/>
        <w:rPr>
          <w:rFonts w:hAnsi="宋体"/>
          <w:spacing w:val="12"/>
          <w:sz w:val="24"/>
          <w:lang w:eastAsia="zh-CN"/>
        </w:rPr>
      </w:pPr>
      <w:r>
        <w:rPr>
          <w:rFonts w:hint="eastAsia" w:ascii="宋体" w:hAnsi="宋体"/>
          <w:sz w:val="24"/>
          <w:lang w:eastAsia="zh-CN"/>
        </w:rPr>
        <w:t>6．1</w:t>
      </w:r>
      <w:r>
        <w:rPr>
          <w:rFonts w:hint="eastAsia"/>
          <w:sz w:val="24"/>
          <w:lang w:eastAsia="zh-CN"/>
        </w:rPr>
        <w:t>交易响应人将按前附表第</w:t>
      </w:r>
      <w:r>
        <w:rPr>
          <w:rFonts w:hint="eastAsia" w:ascii="宋体" w:hAnsi="宋体"/>
          <w:sz w:val="24"/>
          <w:lang w:eastAsia="zh-CN"/>
        </w:rPr>
        <w:t>14项所述</w:t>
      </w:r>
      <w:r>
        <w:rPr>
          <w:rFonts w:hint="eastAsia"/>
          <w:sz w:val="24"/>
          <w:lang w:eastAsia="zh-CN"/>
        </w:rPr>
        <w:t>时间、方式对工程现场及周围环境进行踏勘，以便交易响应人获取须自己负责的有关编制交易响应文件和签署合同所需的所有资料。踏勘现场所发生的费用由交易响应人自己承担。</w:t>
      </w:r>
    </w:p>
    <w:p w14:paraId="1A13A05E">
      <w:pPr>
        <w:pStyle w:val="8"/>
        <w:spacing w:line="360" w:lineRule="auto"/>
        <w:ind w:firstLine="540" w:firstLineChars="225"/>
        <w:rPr>
          <w:sz w:val="24"/>
          <w:lang w:eastAsia="zh-CN"/>
        </w:rPr>
      </w:pPr>
      <w:r>
        <w:rPr>
          <w:rFonts w:hint="eastAsia"/>
          <w:sz w:val="24"/>
          <w:lang w:eastAsia="zh-CN"/>
        </w:rPr>
        <w:t>6．2交易发起人向交易响应人提供的有关现场的资料和数据，是交易发起人现有的能使交易响应人利用的资料。交易发起人对交易响应人由此而做出的推论、理解和结论概不负责。</w:t>
      </w:r>
    </w:p>
    <w:p w14:paraId="66707F0F">
      <w:pPr>
        <w:pStyle w:val="8"/>
        <w:spacing w:line="360" w:lineRule="auto"/>
        <w:ind w:firstLine="540" w:firstLineChars="225"/>
        <w:rPr>
          <w:sz w:val="24"/>
          <w:lang w:eastAsia="zh-CN"/>
        </w:rPr>
      </w:pPr>
      <w:r>
        <w:rPr>
          <w:rFonts w:hint="eastAsia"/>
          <w:sz w:val="24"/>
          <w:lang w:eastAsia="zh-CN"/>
        </w:rPr>
        <w:t>6．3交易响应人及其人员经过交易发起人的允许，可为踏勘目的进入交易发起人的工程现场，但交易响应人及其人员不得因此使交易发起人及其人员承担有关的责任和蒙受损失。交易响应人并应对由此次踏勘现场而造成的死亡、人身伤害、财产损失、损害以及任何其它损失、损害和引起的费用和开支承担责任。</w:t>
      </w:r>
    </w:p>
    <w:p w14:paraId="25579124">
      <w:pPr>
        <w:pStyle w:val="8"/>
        <w:spacing w:line="360" w:lineRule="auto"/>
        <w:ind w:firstLine="540" w:firstLineChars="225"/>
        <w:rPr>
          <w:sz w:val="24"/>
          <w:lang w:eastAsia="zh-CN"/>
        </w:rPr>
      </w:pPr>
      <w:r>
        <w:rPr>
          <w:rFonts w:hint="eastAsia"/>
          <w:sz w:val="24"/>
          <w:lang w:eastAsia="zh-CN"/>
        </w:rPr>
        <w:t>6．4如果交易响应人认为需要再次进行现场踏勘，交易发起人将予以支持，费用自理。</w:t>
      </w:r>
    </w:p>
    <w:p w14:paraId="50614C37">
      <w:pPr>
        <w:pStyle w:val="8"/>
        <w:spacing w:line="360" w:lineRule="auto"/>
        <w:ind w:firstLine="720" w:firstLineChars="225"/>
        <w:jc w:val="center"/>
        <w:outlineLvl w:val="1"/>
        <w:rPr>
          <w:sz w:val="32"/>
          <w:lang w:eastAsia="zh-CN"/>
        </w:rPr>
      </w:pPr>
      <w:bookmarkStart w:id="40" w:name="_Toc330288406"/>
      <w:bookmarkStart w:id="41" w:name="_Toc15107"/>
      <w:bookmarkStart w:id="42" w:name="_Toc330378467"/>
      <w:r>
        <w:rPr>
          <w:rFonts w:hint="eastAsia"/>
          <w:sz w:val="32"/>
          <w:lang w:eastAsia="zh-CN"/>
        </w:rPr>
        <w:t>(二)交易文件</w:t>
      </w:r>
      <w:bookmarkEnd w:id="40"/>
      <w:bookmarkEnd w:id="41"/>
      <w:bookmarkEnd w:id="42"/>
    </w:p>
    <w:p w14:paraId="2C3E5A2B">
      <w:pPr>
        <w:pStyle w:val="8"/>
        <w:spacing w:line="360" w:lineRule="auto"/>
        <w:ind w:firstLine="540" w:firstLineChars="225"/>
        <w:outlineLvl w:val="2"/>
        <w:rPr>
          <w:sz w:val="24"/>
          <w:lang w:eastAsia="zh-CN"/>
        </w:rPr>
      </w:pPr>
      <w:bookmarkStart w:id="43" w:name="_Toc1878"/>
      <w:bookmarkStart w:id="44" w:name="_Toc330288407"/>
      <w:bookmarkStart w:id="45" w:name="_Toc330378468"/>
      <w:r>
        <w:rPr>
          <w:rFonts w:hint="eastAsia"/>
          <w:sz w:val="24"/>
          <w:lang w:eastAsia="zh-CN"/>
        </w:rPr>
        <w:t>7、交易文件的组成</w:t>
      </w:r>
      <w:bookmarkEnd w:id="43"/>
      <w:bookmarkEnd w:id="44"/>
      <w:bookmarkEnd w:id="45"/>
    </w:p>
    <w:p w14:paraId="488A7BFF">
      <w:pPr>
        <w:pStyle w:val="8"/>
        <w:spacing w:line="360" w:lineRule="auto"/>
        <w:ind w:firstLine="540" w:firstLineChars="225"/>
        <w:rPr>
          <w:sz w:val="24"/>
          <w:lang w:eastAsia="zh-CN"/>
        </w:rPr>
      </w:pPr>
      <w:r>
        <w:rPr>
          <w:rFonts w:hint="eastAsia"/>
          <w:sz w:val="24"/>
          <w:lang w:eastAsia="zh-CN"/>
        </w:rPr>
        <w:t>7．1交易文件除以下内容外，交易发起人在交易期间发出的答疑纪要和其他补充修改函件，均是交易文件的组成部分，对交易响应人起约束作用。</w:t>
      </w:r>
    </w:p>
    <w:p w14:paraId="6A79C3EE">
      <w:pPr>
        <w:pStyle w:val="8"/>
        <w:spacing w:line="360" w:lineRule="auto"/>
        <w:ind w:firstLine="540" w:firstLineChars="225"/>
        <w:rPr>
          <w:sz w:val="24"/>
          <w:lang w:eastAsia="zh-CN"/>
        </w:rPr>
      </w:pPr>
      <w:r>
        <w:rPr>
          <w:rFonts w:hint="eastAsia"/>
          <w:sz w:val="24"/>
          <w:lang w:eastAsia="zh-CN"/>
        </w:rPr>
        <w:t>交易文件包括下列内容:</w:t>
      </w:r>
    </w:p>
    <w:p w14:paraId="397355C9">
      <w:pPr>
        <w:pStyle w:val="8"/>
        <w:spacing w:line="360" w:lineRule="auto"/>
        <w:ind w:firstLine="540" w:firstLineChars="225"/>
        <w:rPr>
          <w:sz w:val="24"/>
          <w:lang w:eastAsia="zh-CN"/>
        </w:rPr>
      </w:pPr>
      <w:r>
        <w:rPr>
          <w:rFonts w:hint="eastAsia"/>
          <w:sz w:val="24"/>
          <w:lang w:eastAsia="zh-CN"/>
        </w:rPr>
        <w:t>第一卷  交易响应须知、合同条款及合同格式</w:t>
      </w:r>
    </w:p>
    <w:p w14:paraId="3E5D31CD">
      <w:pPr>
        <w:pStyle w:val="8"/>
        <w:spacing w:line="360" w:lineRule="auto"/>
        <w:ind w:firstLine="540" w:firstLineChars="225"/>
        <w:rPr>
          <w:sz w:val="24"/>
          <w:lang w:eastAsia="zh-CN"/>
        </w:rPr>
      </w:pPr>
      <w:r>
        <w:rPr>
          <w:rFonts w:hint="eastAsia"/>
          <w:sz w:val="24"/>
          <w:lang w:eastAsia="zh-CN"/>
        </w:rPr>
        <w:t>一、前附表</w:t>
      </w:r>
    </w:p>
    <w:p w14:paraId="292CD76A">
      <w:pPr>
        <w:pStyle w:val="8"/>
        <w:spacing w:line="360" w:lineRule="auto"/>
        <w:ind w:firstLine="540" w:firstLineChars="225"/>
        <w:rPr>
          <w:sz w:val="24"/>
          <w:lang w:eastAsia="zh-CN"/>
        </w:rPr>
      </w:pPr>
      <w:r>
        <w:rPr>
          <w:rFonts w:hint="eastAsia"/>
          <w:sz w:val="24"/>
          <w:lang w:eastAsia="zh-CN"/>
        </w:rPr>
        <w:t>二、交易响应须知</w:t>
      </w:r>
    </w:p>
    <w:p w14:paraId="36C5AB64">
      <w:pPr>
        <w:pStyle w:val="8"/>
        <w:spacing w:line="360" w:lineRule="auto"/>
        <w:ind w:firstLine="540" w:firstLineChars="225"/>
        <w:rPr>
          <w:sz w:val="24"/>
          <w:lang w:eastAsia="zh-CN"/>
        </w:rPr>
      </w:pPr>
      <w:r>
        <w:rPr>
          <w:rFonts w:hint="eastAsia"/>
          <w:sz w:val="24"/>
          <w:lang w:eastAsia="zh-CN"/>
        </w:rPr>
        <w:t>三、交易发起人针对本工程的特殊要求</w:t>
      </w:r>
    </w:p>
    <w:p w14:paraId="7AAD7690">
      <w:pPr>
        <w:pStyle w:val="8"/>
        <w:spacing w:line="360" w:lineRule="auto"/>
        <w:ind w:firstLine="540" w:firstLineChars="225"/>
        <w:rPr>
          <w:sz w:val="24"/>
          <w:lang w:eastAsia="zh-CN"/>
        </w:rPr>
      </w:pPr>
      <w:r>
        <w:rPr>
          <w:rFonts w:hint="eastAsia"/>
          <w:sz w:val="24"/>
          <w:lang w:eastAsia="zh-CN"/>
        </w:rPr>
        <w:t>四、资格后审评审方法</w:t>
      </w:r>
    </w:p>
    <w:p w14:paraId="3FC439F3">
      <w:pPr>
        <w:pStyle w:val="8"/>
        <w:spacing w:line="360" w:lineRule="auto"/>
        <w:ind w:firstLine="540" w:firstLineChars="225"/>
        <w:rPr>
          <w:sz w:val="24"/>
          <w:lang w:eastAsia="zh-CN"/>
        </w:rPr>
      </w:pPr>
      <w:r>
        <w:rPr>
          <w:rFonts w:hint="eastAsia"/>
          <w:sz w:val="24"/>
          <w:lang w:eastAsia="zh-CN"/>
        </w:rPr>
        <w:t>五、合同条款</w:t>
      </w:r>
    </w:p>
    <w:p w14:paraId="4B2578DC">
      <w:pPr>
        <w:pStyle w:val="8"/>
        <w:spacing w:line="360" w:lineRule="auto"/>
        <w:ind w:firstLine="540" w:firstLineChars="225"/>
        <w:rPr>
          <w:sz w:val="24"/>
          <w:lang w:eastAsia="zh-CN"/>
        </w:rPr>
      </w:pPr>
      <w:r>
        <w:rPr>
          <w:rFonts w:hint="eastAsia"/>
          <w:sz w:val="24"/>
          <w:lang w:eastAsia="zh-CN"/>
        </w:rPr>
        <w:t>第二卷  工程技术要求及工程规范</w:t>
      </w:r>
    </w:p>
    <w:p w14:paraId="70A8A19A">
      <w:pPr>
        <w:pStyle w:val="8"/>
        <w:spacing w:line="360" w:lineRule="auto"/>
        <w:ind w:firstLine="540" w:firstLineChars="225"/>
        <w:rPr>
          <w:sz w:val="24"/>
          <w:lang w:eastAsia="zh-CN"/>
        </w:rPr>
      </w:pPr>
      <w:r>
        <w:rPr>
          <w:rFonts w:hint="eastAsia"/>
          <w:sz w:val="24"/>
          <w:lang w:eastAsia="zh-CN"/>
        </w:rPr>
        <w:t>六、工程规范（略）</w:t>
      </w:r>
    </w:p>
    <w:p w14:paraId="53D41750">
      <w:pPr>
        <w:pStyle w:val="8"/>
        <w:spacing w:line="360" w:lineRule="auto"/>
        <w:ind w:firstLine="540" w:firstLineChars="225"/>
        <w:rPr>
          <w:sz w:val="24"/>
          <w:lang w:eastAsia="zh-CN"/>
        </w:rPr>
      </w:pPr>
      <w:r>
        <w:rPr>
          <w:rFonts w:hint="eastAsia"/>
          <w:sz w:val="24"/>
          <w:lang w:eastAsia="zh-CN"/>
        </w:rPr>
        <w:t>七、工程量清单（略）</w:t>
      </w:r>
    </w:p>
    <w:p w14:paraId="71A8CD69">
      <w:pPr>
        <w:pStyle w:val="8"/>
        <w:spacing w:line="360" w:lineRule="auto"/>
        <w:ind w:firstLine="540" w:firstLineChars="225"/>
        <w:rPr>
          <w:sz w:val="24"/>
          <w:lang w:eastAsia="zh-CN"/>
        </w:rPr>
      </w:pPr>
      <w:r>
        <w:rPr>
          <w:rFonts w:hint="eastAsia"/>
          <w:sz w:val="24"/>
          <w:lang w:eastAsia="zh-CN"/>
        </w:rPr>
        <w:t>第三卷  图纸及其它资料</w:t>
      </w:r>
    </w:p>
    <w:p w14:paraId="68E585D0">
      <w:pPr>
        <w:pStyle w:val="8"/>
        <w:spacing w:line="360" w:lineRule="auto"/>
        <w:ind w:firstLine="540" w:firstLineChars="225"/>
        <w:rPr>
          <w:sz w:val="24"/>
          <w:lang w:eastAsia="zh-CN"/>
        </w:rPr>
      </w:pPr>
      <w:r>
        <w:rPr>
          <w:rFonts w:hint="eastAsia"/>
          <w:sz w:val="24"/>
          <w:lang w:eastAsia="zh-CN"/>
        </w:rPr>
        <w:t>八、图纸及其它资料（略）</w:t>
      </w:r>
    </w:p>
    <w:p w14:paraId="5B9DBAA2">
      <w:pPr>
        <w:pStyle w:val="8"/>
        <w:spacing w:line="360" w:lineRule="auto"/>
        <w:ind w:firstLine="540" w:firstLineChars="225"/>
        <w:rPr>
          <w:sz w:val="24"/>
          <w:lang w:eastAsia="zh-CN"/>
        </w:rPr>
      </w:pPr>
      <w:r>
        <w:rPr>
          <w:rFonts w:hint="eastAsia"/>
          <w:sz w:val="24"/>
          <w:lang w:eastAsia="zh-CN"/>
        </w:rPr>
        <w:t>第四卷  交易响应文件格式</w:t>
      </w:r>
    </w:p>
    <w:p w14:paraId="1ECE7E94">
      <w:pPr>
        <w:pStyle w:val="8"/>
        <w:spacing w:line="360" w:lineRule="auto"/>
        <w:ind w:firstLine="540" w:firstLineChars="225"/>
        <w:rPr>
          <w:sz w:val="24"/>
          <w:lang w:eastAsia="zh-CN"/>
        </w:rPr>
      </w:pPr>
      <w:r>
        <w:rPr>
          <w:rFonts w:hint="eastAsia"/>
          <w:sz w:val="24"/>
          <w:lang w:eastAsia="zh-CN"/>
        </w:rPr>
        <w:t>九、 交易响应函格式</w:t>
      </w:r>
    </w:p>
    <w:p w14:paraId="4E9DC85E">
      <w:pPr>
        <w:pStyle w:val="8"/>
        <w:spacing w:line="360" w:lineRule="auto"/>
        <w:ind w:firstLine="540" w:firstLineChars="225"/>
        <w:rPr>
          <w:sz w:val="24"/>
          <w:lang w:eastAsia="zh-CN"/>
        </w:rPr>
      </w:pPr>
      <w:r>
        <w:rPr>
          <w:rFonts w:hint="eastAsia"/>
          <w:sz w:val="24"/>
          <w:lang w:eastAsia="zh-CN"/>
        </w:rPr>
        <w:t>十、交易响应文件商务部分格式（略）</w:t>
      </w:r>
    </w:p>
    <w:p w14:paraId="50E091BE">
      <w:pPr>
        <w:pStyle w:val="8"/>
        <w:spacing w:line="360" w:lineRule="auto"/>
        <w:ind w:firstLine="540" w:firstLineChars="225"/>
        <w:rPr>
          <w:sz w:val="24"/>
          <w:lang w:eastAsia="zh-CN"/>
        </w:rPr>
      </w:pPr>
      <w:r>
        <w:rPr>
          <w:rFonts w:hint="eastAsia"/>
          <w:sz w:val="24"/>
          <w:lang w:eastAsia="zh-CN"/>
        </w:rPr>
        <w:t>十一、交易响应文件技术部分格式</w:t>
      </w:r>
    </w:p>
    <w:p w14:paraId="7D4A6A7F">
      <w:pPr>
        <w:pStyle w:val="8"/>
        <w:spacing w:line="360" w:lineRule="auto"/>
        <w:ind w:firstLine="540" w:firstLineChars="225"/>
        <w:rPr>
          <w:sz w:val="24"/>
          <w:lang w:eastAsia="zh-CN"/>
        </w:rPr>
      </w:pPr>
      <w:r>
        <w:rPr>
          <w:rFonts w:hint="eastAsia"/>
          <w:sz w:val="24"/>
          <w:lang w:eastAsia="zh-CN"/>
        </w:rPr>
        <w:t>7．2交易响应人下载交易文件后，应仔细检查交易文件的所有内容，如有残缺和疑问应在获取交易文件后3日内向交易发起人提出，否则，由此引起的交易响应损失自负；交易响应人同时应认真审阅交易文件中所有的事项、格式、条款和规范要求等，如果交易响应人的交易响应文件没有按照交易文件要求提交全部资料或者交易响应文件没有对交易文件做出实质性响应，其风险应由交易响应人自行承担并根据有关条款规定，其交易响应有可能被拒绝。</w:t>
      </w:r>
    </w:p>
    <w:p w14:paraId="3AAA00F3">
      <w:pPr>
        <w:pStyle w:val="8"/>
        <w:spacing w:line="360" w:lineRule="auto"/>
        <w:ind w:firstLine="540" w:firstLineChars="225"/>
        <w:outlineLvl w:val="2"/>
        <w:rPr>
          <w:sz w:val="24"/>
          <w:lang w:eastAsia="zh-CN"/>
        </w:rPr>
      </w:pPr>
      <w:bookmarkStart w:id="46" w:name="_Toc330288408"/>
      <w:bookmarkStart w:id="47" w:name="_Toc23082"/>
      <w:bookmarkStart w:id="48" w:name="_Toc330378469"/>
      <w:r>
        <w:rPr>
          <w:rFonts w:hint="eastAsia"/>
          <w:sz w:val="24"/>
          <w:lang w:eastAsia="zh-CN"/>
        </w:rPr>
        <w:t>8、交易文件的澄清</w:t>
      </w:r>
      <w:bookmarkEnd w:id="46"/>
      <w:bookmarkEnd w:id="47"/>
      <w:bookmarkEnd w:id="48"/>
    </w:p>
    <w:p w14:paraId="002A292E">
      <w:pPr>
        <w:pStyle w:val="8"/>
        <w:spacing w:line="360" w:lineRule="auto"/>
        <w:ind w:firstLine="540" w:firstLineChars="225"/>
        <w:rPr>
          <w:sz w:val="24"/>
          <w:lang w:eastAsia="zh-CN"/>
        </w:rPr>
      </w:pPr>
      <w:r>
        <w:rPr>
          <w:rFonts w:hint="eastAsia"/>
          <w:sz w:val="24"/>
          <w:lang w:eastAsia="zh-CN"/>
        </w:rPr>
        <w:t>8．1交易响应人在取得交易文件后，对交易文件任何部分若有任何疑问、任何要求澄清交易文件的交易响应人，均应按照前附表第15项的要求提出。不论交易发起人根据需要主动对交易文件进行必要的澄清或是根据交易响应人的要求对交易文件做出澄清，交易发起人都将按照前附表第15项要求予以答复，同时将答复在淳安县公共资源交易网公布，告知所有交易响应人。如遇特殊情况在交易会议截止前交易发起人可能会有补充答疑在淳安县公共资源交易网发布，作为交易文件的补充。澄清纪要作为交易文件的组成部分，具有约束作用。</w:t>
      </w:r>
    </w:p>
    <w:p w14:paraId="1B62EF4B">
      <w:pPr>
        <w:pStyle w:val="8"/>
        <w:spacing w:line="360" w:lineRule="auto"/>
        <w:ind w:firstLine="540" w:firstLineChars="225"/>
        <w:rPr>
          <w:sz w:val="24"/>
          <w:lang w:eastAsia="zh-CN"/>
        </w:rPr>
      </w:pPr>
      <w:r>
        <w:rPr>
          <w:rFonts w:hint="eastAsia"/>
          <w:sz w:val="24"/>
          <w:lang w:eastAsia="zh-CN"/>
        </w:rPr>
        <w:t>8．2如有必要，交易发起人将就交易响应人提出的问题以答疑的形式在交易响应预备会上进行明确并书面告知。</w:t>
      </w:r>
    </w:p>
    <w:p w14:paraId="1DE7F0A9">
      <w:pPr>
        <w:pStyle w:val="8"/>
        <w:spacing w:line="360" w:lineRule="auto"/>
        <w:ind w:firstLine="540" w:firstLineChars="225"/>
        <w:outlineLvl w:val="2"/>
        <w:rPr>
          <w:sz w:val="24"/>
          <w:lang w:eastAsia="zh-CN"/>
        </w:rPr>
      </w:pPr>
      <w:bookmarkStart w:id="49" w:name="_Toc330288409"/>
      <w:bookmarkStart w:id="50" w:name="_Toc15220"/>
      <w:bookmarkStart w:id="51" w:name="_Toc330378470"/>
      <w:r>
        <w:rPr>
          <w:rFonts w:hint="eastAsia"/>
          <w:sz w:val="24"/>
          <w:lang w:eastAsia="zh-CN"/>
        </w:rPr>
        <w:t>9、交易文件的修改</w:t>
      </w:r>
      <w:bookmarkEnd w:id="49"/>
      <w:bookmarkEnd w:id="50"/>
      <w:bookmarkEnd w:id="51"/>
    </w:p>
    <w:p w14:paraId="3A2A3CC1">
      <w:pPr>
        <w:pStyle w:val="8"/>
        <w:spacing w:line="360" w:lineRule="auto"/>
        <w:ind w:firstLine="540" w:firstLineChars="225"/>
        <w:rPr>
          <w:sz w:val="24"/>
          <w:lang w:eastAsia="zh-CN"/>
        </w:rPr>
      </w:pPr>
      <w:r>
        <w:rPr>
          <w:rFonts w:hint="eastAsia"/>
          <w:sz w:val="24"/>
          <w:lang w:eastAsia="zh-CN"/>
        </w:rPr>
        <w:t>9．l交易文件发出后，在交易响应截止日期</w:t>
      </w:r>
      <w:r>
        <w:rPr>
          <w:rFonts w:hint="eastAsia"/>
          <w:sz w:val="24"/>
          <w:u w:val="single"/>
          <w:lang w:eastAsia="zh-CN"/>
        </w:rPr>
        <w:t>3</w:t>
      </w:r>
      <w:r>
        <w:rPr>
          <w:rFonts w:hint="eastAsia"/>
          <w:sz w:val="24"/>
          <w:lang w:eastAsia="zh-CN"/>
        </w:rPr>
        <w:t>天前的任何时候，无论出于何种原因，交易发起人可主动地或在解答交易响应人提出的澄清问题时对交易文件进行修改。</w:t>
      </w:r>
    </w:p>
    <w:p w14:paraId="7EDF8FCD">
      <w:pPr>
        <w:pStyle w:val="8"/>
        <w:spacing w:line="360" w:lineRule="auto"/>
        <w:ind w:firstLine="540" w:firstLineChars="225"/>
        <w:rPr>
          <w:sz w:val="24"/>
          <w:lang w:eastAsia="zh-CN"/>
        </w:rPr>
      </w:pPr>
      <w:r>
        <w:rPr>
          <w:rFonts w:hint="eastAsia"/>
          <w:sz w:val="24"/>
          <w:lang w:eastAsia="zh-CN"/>
        </w:rPr>
        <w:t>9．2交易文件的修改将在淳安县公共资源交易网公布，交易文件的修改作为交易文件的组成部分，并具有约束作用。</w:t>
      </w:r>
    </w:p>
    <w:p w14:paraId="196B07BA">
      <w:pPr>
        <w:pStyle w:val="8"/>
        <w:spacing w:line="360" w:lineRule="auto"/>
        <w:ind w:firstLine="540" w:firstLineChars="225"/>
        <w:rPr>
          <w:sz w:val="24"/>
          <w:lang w:eastAsia="zh-CN"/>
        </w:rPr>
      </w:pPr>
      <w:r>
        <w:rPr>
          <w:rFonts w:hint="eastAsia"/>
          <w:sz w:val="24"/>
          <w:lang w:eastAsia="zh-CN"/>
        </w:rPr>
        <w:t>9．3 交易文件、交易文件澄清（答疑）纪要、交易文件修改补充通知内容均以</w:t>
      </w:r>
      <w:r>
        <w:rPr>
          <w:rFonts w:hint="eastAsia"/>
          <w:color w:val="auto"/>
          <w:sz w:val="24"/>
          <w:highlight w:val="none"/>
          <w:u w:val="single"/>
          <w:lang w:eastAsia="zh-CN"/>
        </w:rPr>
        <w:t>县招管办/乡镇备案的书面</w:t>
      </w:r>
      <w:r>
        <w:rPr>
          <w:rFonts w:hint="eastAsia"/>
          <w:color w:val="auto"/>
          <w:sz w:val="24"/>
          <w:highlight w:val="none"/>
          <w:lang w:eastAsia="zh-CN"/>
        </w:rPr>
        <w:t>明确的内容为准。当交易文件、修改补充通知、澄清(答疑)纪要内容相</w:t>
      </w:r>
      <w:r>
        <w:rPr>
          <w:rFonts w:hint="eastAsia"/>
          <w:sz w:val="24"/>
          <w:lang w:eastAsia="zh-CN"/>
        </w:rPr>
        <w:t>互矛盾时，以最后发出的通知(或纪要)或修改文件为准。</w:t>
      </w:r>
    </w:p>
    <w:p w14:paraId="7AF7B115">
      <w:pPr>
        <w:pStyle w:val="8"/>
        <w:spacing w:line="360" w:lineRule="auto"/>
        <w:ind w:firstLine="540" w:firstLineChars="225"/>
        <w:rPr>
          <w:sz w:val="24"/>
          <w:lang w:eastAsia="zh-CN"/>
        </w:rPr>
      </w:pPr>
      <w:r>
        <w:rPr>
          <w:rFonts w:hint="eastAsia"/>
          <w:sz w:val="24"/>
          <w:lang w:eastAsia="zh-CN"/>
        </w:rPr>
        <w:t>9．4 交易发起人应把交易文件澄清（答疑）纪要和交易文件修改补充通知在交易响应截止时间至少</w:t>
      </w:r>
      <w:r>
        <w:rPr>
          <w:rFonts w:hint="eastAsia"/>
          <w:sz w:val="24"/>
          <w:u w:val="single"/>
          <w:lang w:eastAsia="zh-CN"/>
        </w:rPr>
        <w:t>3</w:t>
      </w:r>
      <w:r>
        <w:rPr>
          <w:rFonts w:hint="eastAsia"/>
          <w:sz w:val="24"/>
          <w:lang w:eastAsia="zh-CN"/>
        </w:rPr>
        <w:t>日前在淳安县公共资源交易网公布给所有交易响应人。如遇特殊情况在交易会议截止前交易发起人可能会有补充答疑在淳安县公共资源交易网发布，作为交易文件的补充。为使交易响应人在编写交易响应文件时有充分时间对交易文件的修改部分进行研究，交易发起人可以酌情延长递交交易响应文件的截止日期，具体时间将在修改补充通知中明确。</w:t>
      </w:r>
    </w:p>
    <w:p w14:paraId="50A002D4">
      <w:pPr>
        <w:pStyle w:val="8"/>
        <w:spacing w:line="360" w:lineRule="auto"/>
        <w:ind w:firstLine="540" w:firstLineChars="225"/>
        <w:rPr>
          <w:sz w:val="24"/>
          <w:lang w:eastAsia="zh-CN"/>
        </w:rPr>
      </w:pPr>
      <w:r>
        <w:rPr>
          <w:rFonts w:hint="eastAsia"/>
          <w:sz w:val="24"/>
          <w:lang w:eastAsia="zh-CN"/>
        </w:rPr>
        <w:t>9．5潜在交易响应人或其他利害关系人对交易文件有异议的，应当在交易响应截止时间3日前提出。交易发起人应当自收到异议之日起3日内作出书面答复；作出答复前，应当暂停交易交易响应活动。</w:t>
      </w:r>
    </w:p>
    <w:p w14:paraId="53F5895B">
      <w:pPr>
        <w:pStyle w:val="8"/>
        <w:spacing w:line="360" w:lineRule="auto"/>
        <w:ind w:firstLine="720" w:firstLineChars="225"/>
        <w:jc w:val="center"/>
        <w:outlineLvl w:val="1"/>
        <w:rPr>
          <w:bCs/>
          <w:sz w:val="32"/>
          <w:lang w:eastAsia="zh-CN"/>
        </w:rPr>
      </w:pPr>
      <w:bookmarkStart w:id="52" w:name="_Toc330288410"/>
      <w:bookmarkStart w:id="53" w:name="_Toc18105"/>
      <w:bookmarkStart w:id="54" w:name="_Toc330378471"/>
      <w:r>
        <w:rPr>
          <w:rFonts w:hint="eastAsia"/>
          <w:bCs/>
          <w:sz w:val="32"/>
          <w:lang w:eastAsia="zh-CN"/>
        </w:rPr>
        <w:t>(三)交易响应文件的编制</w:t>
      </w:r>
      <w:bookmarkEnd w:id="52"/>
      <w:bookmarkEnd w:id="53"/>
      <w:bookmarkEnd w:id="54"/>
    </w:p>
    <w:p w14:paraId="60816554">
      <w:pPr>
        <w:pStyle w:val="8"/>
        <w:spacing w:line="360" w:lineRule="auto"/>
        <w:ind w:firstLine="540" w:firstLineChars="225"/>
        <w:outlineLvl w:val="2"/>
        <w:rPr>
          <w:sz w:val="24"/>
          <w:lang w:eastAsia="zh-CN"/>
        </w:rPr>
      </w:pPr>
      <w:bookmarkStart w:id="55" w:name="_Toc330378472"/>
      <w:bookmarkStart w:id="56" w:name="_Toc330288411"/>
      <w:bookmarkStart w:id="57" w:name="_Toc8751"/>
      <w:r>
        <w:rPr>
          <w:rFonts w:hint="eastAsia"/>
          <w:sz w:val="24"/>
          <w:lang w:eastAsia="zh-CN"/>
        </w:rPr>
        <w:t>10、交易响应文件的语言及度量衡单位</w:t>
      </w:r>
      <w:bookmarkEnd w:id="55"/>
      <w:bookmarkEnd w:id="56"/>
      <w:bookmarkEnd w:id="57"/>
    </w:p>
    <w:p w14:paraId="4E2AAE96">
      <w:pPr>
        <w:pStyle w:val="8"/>
        <w:spacing w:line="360" w:lineRule="auto"/>
        <w:ind w:firstLine="540" w:firstLineChars="225"/>
        <w:rPr>
          <w:sz w:val="24"/>
          <w:lang w:eastAsia="zh-CN"/>
        </w:rPr>
      </w:pPr>
      <w:r>
        <w:rPr>
          <w:rFonts w:hint="eastAsia"/>
          <w:sz w:val="24"/>
          <w:lang w:eastAsia="zh-CN"/>
        </w:rPr>
        <w:t>10．1交易响应人与交易发起人之间对交易响应有关的所有往来通知、函件和交易响应文件均使用中文。交易响应人随交易响应文件提供的证明文件和资料可以为其它语言，但必须附中文译文，解释这些文件，应以中文为准。</w:t>
      </w:r>
    </w:p>
    <w:p w14:paraId="674B7243">
      <w:pPr>
        <w:pStyle w:val="8"/>
        <w:spacing w:line="360" w:lineRule="auto"/>
        <w:ind w:firstLine="540" w:firstLineChars="225"/>
        <w:rPr>
          <w:sz w:val="24"/>
          <w:lang w:eastAsia="zh-CN"/>
        </w:rPr>
      </w:pPr>
      <w:r>
        <w:rPr>
          <w:rFonts w:hint="eastAsia"/>
          <w:sz w:val="24"/>
          <w:lang w:eastAsia="zh-CN"/>
        </w:rPr>
        <w:t>10．2除技术规范另有规定外，交易响应文件使用的度量衡单位，均采用中华人民共和国法定计量单位。</w:t>
      </w:r>
    </w:p>
    <w:p w14:paraId="46737A07">
      <w:pPr>
        <w:pStyle w:val="8"/>
        <w:spacing w:line="360" w:lineRule="auto"/>
        <w:ind w:firstLine="540" w:firstLineChars="225"/>
        <w:outlineLvl w:val="2"/>
        <w:rPr>
          <w:sz w:val="24"/>
          <w:lang w:eastAsia="zh-CN"/>
        </w:rPr>
      </w:pPr>
      <w:bookmarkStart w:id="58" w:name="_Toc14312"/>
      <w:bookmarkStart w:id="59" w:name="_Toc330378473"/>
      <w:bookmarkStart w:id="60" w:name="_Toc330288412"/>
      <w:r>
        <w:rPr>
          <w:rFonts w:hint="eastAsia"/>
          <w:sz w:val="24"/>
          <w:lang w:eastAsia="zh-CN"/>
        </w:rPr>
        <w:t>11、交易响应文件的组成</w:t>
      </w:r>
      <w:bookmarkEnd w:id="58"/>
      <w:bookmarkEnd w:id="59"/>
      <w:bookmarkEnd w:id="60"/>
    </w:p>
    <w:p w14:paraId="60C95434">
      <w:pPr>
        <w:pStyle w:val="8"/>
        <w:spacing w:line="360" w:lineRule="auto"/>
        <w:ind w:firstLine="540" w:firstLineChars="225"/>
        <w:rPr>
          <w:sz w:val="24"/>
          <w:lang w:eastAsia="zh-CN"/>
        </w:rPr>
      </w:pPr>
      <w:bookmarkStart w:id="61" w:name="_Toc330378474"/>
      <w:bookmarkStart w:id="62" w:name="_Toc330288413"/>
      <w:r>
        <w:rPr>
          <w:rFonts w:hint="eastAsia"/>
          <w:sz w:val="24"/>
          <w:lang w:eastAsia="zh-CN"/>
        </w:rPr>
        <w:t>11．1交易响应文件由交易响应文件交易响应函格式和技术部分格式两部分文件组成。</w:t>
      </w:r>
    </w:p>
    <w:p w14:paraId="21610EAC">
      <w:pPr>
        <w:pStyle w:val="8"/>
        <w:spacing w:line="360" w:lineRule="auto"/>
        <w:ind w:firstLine="540" w:firstLineChars="225"/>
        <w:rPr>
          <w:sz w:val="24"/>
          <w:lang w:eastAsia="zh-CN"/>
        </w:rPr>
      </w:pPr>
      <w:r>
        <w:rPr>
          <w:rFonts w:hint="eastAsia"/>
          <w:sz w:val="24"/>
          <w:lang w:eastAsia="zh-CN"/>
        </w:rPr>
        <w:t>11.2交易响应函格式</w:t>
      </w:r>
    </w:p>
    <w:p w14:paraId="4DB45AF3">
      <w:pPr>
        <w:pStyle w:val="8"/>
        <w:spacing w:line="360" w:lineRule="auto"/>
        <w:ind w:firstLine="638" w:firstLineChars="266"/>
        <w:rPr>
          <w:sz w:val="24"/>
          <w:lang w:eastAsia="zh-CN"/>
        </w:rPr>
      </w:pPr>
      <w:r>
        <w:rPr>
          <w:rFonts w:hint="eastAsia"/>
          <w:sz w:val="24"/>
          <w:lang w:eastAsia="zh-CN"/>
        </w:rPr>
        <w:t>(1)法定代表人资格证明书</w:t>
      </w:r>
    </w:p>
    <w:p w14:paraId="58F7D38B">
      <w:pPr>
        <w:pStyle w:val="8"/>
        <w:spacing w:line="360" w:lineRule="auto"/>
        <w:ind w:firstLine="638" w:firstLineChars="266"/>
        <w:rPr>
          <w:sz w:val="24"/>
          <w:lang w:eastAsia="zh-CN"/>
        </w:rPr>
      </w:pPr>
      <w:r>
        <w:rPr>
          <w:rFonts w:hint="eastAsia"/>
          <w:sz w:val="24"/>
          <w:lang w:eastAsia="zh-CN"/>
        </w:rPr>
        <w:t>(2)交易响应文件签署授权委托书、参加交易会议委托书</w:t>
      </w:r>
    </w:p>
    <w:p w14:paraId="7A2E8E38">
      <w:pPr>
        <w:pStyle w:val="8"/>
        <w:spacing w:line="360" w:lineRule="auto"/>
        <w:ind w:firstLine="638" w:firstLineChars="266"/>
        <w:rPr>
          <w:rFonts w:hAnsi="宋体"/>
          <w:sz w:val="24"/>
          <w:lang w:eastAsia="zh-CN"/>
        </w:rPr>
      </w:pPr>
      <w:r>
        <w:rPr>
          <w:rFonts w:hint="eastAsia" w:hAnsi="宋体"/>
          <w:sz w:val="24"/>
          <w:lang w:eastAsia="zh-CN"/>
        </w:rPr>
        <w:t>(3)授权委托人身份证复印件及交易文件规定的社会保险证明</w:t>
      </w:r>
    </w:p>
    <w:p w14:paraId="780367D5">
      <w:pPr>
        <w:pStyle w:val="8"/>
        <w:spacing w:line="360" w:lineRule="auto"/>
        <w:ind w:firstLine="638" w:firstLineChars="266"/>
        <w:rPr>
          <w:sz w:val="24"/>
          <w:lang w:eastAsia="zh-CN"/>
        </w:rPr>
      </w:pPr>
      <w:r>
        <w:rPr>
          <w:rFonts w:hint="eastAsia"/>
          <w:sz w:val="24"/>
          <w:lang w:eastAsia="zh-CN"/>
        </w:rPr>
        <w:t>(4)交易响应函</w:t>
      </w:r>
    </w:p>
    <w:p w14:paraId="6B6E05CE">
      <w:pPr>
        <w:pStyle w:val="8"/>
        <w:spacing w:line="360" w:lineRule="auto"/>
        <w:ind w:firstLine="638" w:firstLineChars="266"/>
        <w:rPr>
          <w:sz w:val="24"/>
          <w:lang w:eastAsia="zh-CN"/>
        </w:rPr>
      </w:pPr>
      <w:r>
        <w:rPr>
          <w:rFonts w:hint="eastAsia"/>
          <w:sz w:val="24"/>
          <w:lang w:eastAsia="zh-CN"/>
        </w:rPr>
        <w:t>(5)交易响应函附录（附法定代表人安全生产考核合格证书复印件）</w:t>
      </w:r>
    </w:p>
    <w:p w14:paraId="5EC64B2A">
      <w:pPr>
        <w:pStyle w:val="8"/>
        <w:spacing w:line="360" w:lineRule="auto"/>
        <w:ind w:firstLine="638" w:firstLineChars="266"/>
        <w:rPr>
          <w:sz w:val="24"/>
          <w:lang w:eastAsia="zh-CN"/>
        </w:rPr>
      </w:pPr>
      <w:r>
        <w:rPr>
          <w:rFonts w:hint="eastAsia"/>
          <w:sz w:val="24"/>
          <w:lang w:eastAsia="zh-CN"/>
        </w:rPr>
        <w:t>(6)交易响应保证金缴纳凭证或企业基本账户开户银行出具的银行保函（如有）</w:t>
      </w:r>
    </w:p>
    <w:p w14:paraId="32D5A8BC">
      <w:pPr>
        <w:pStyle w:val="8"/>
        <w:spacing w:line="360" w:lineRule="auto"/>
        <w:ind w:firstLine="638" w:firstLineChars="266"/>
        <w:rPr>
          <w:rFonts w:hAnsi="宋体"/>
          <w:sz w:val="24"/>
          <w:lang w:eastAsia="zh-CN"/>
        </w:rPr>
      </w:pPr>
      <w:r>
        <w:rPr>
          <w:rFonts w:hint="eastAsia"/>
          <w:sz w:val="24"/>
          <w:lang w:eastAsia="zh-CN"/>
        </w:rPr>
        <w:t>(7)</w:t>
      </w:r>
      <w:r>
        <w:rPr>
          <w:rFonts w:hint="eastAsia" w:hAnsi="宋体"/>
          <w:sz w:val="24"/>
          <w:lang w:eastAsia="zh-CN"/>
        </w:rPr>
        <w:t>交易响应人基本结算户开户许可证复印件或基本存款账户信息银行备案复印件</w:t>
      </w:r>
    </w:p>
    <w:p w14:paraId="4AB5A8AB">
      <w:pPr>
        <w:pStyle w:val="8"/>
        <w:spacing w:line="360" w:lineRule="auto"/>
        <w:ind w:firstLine="638" w:firstLineChars="266"/>
        <w:rPr>
          <w:rFonts w:hAnsi="宋体"/>
          <w:sz w:val="24"/>
          <w:lang w:eastAsia="zh-CN"/>
        </w:rPr>
      </w:pPr>
      <w:r>
        <w:rPr>
          <w:rFonts w:hint="eastAsia"/>
          <w:sz w:val="24"/>
          <w:lang w:eastAsia="zh-CN"/>
        </w:rPr>
        <w:t>(8)</w:t>
      </w:r>
      <w:r>
        <w:rPr>
          <w:rFonts w:hint="eastAsia" w:hAnsi="宋体"/>
          <w:sz w:val="24"/>
          <w:lang w:eastAsia="zh-CN"/>
        </w:rPr>
        <w:t>企业营业执照</w:t>
      </w:r>
    </w:p>
    <w:p w14:paraId="35ED3ECD">
      <w:pPr>
        <w:pStyle w:val="8"/>
        <w:spacing w:line="360" w:lineRule="auto"/>
        <w:ind w:firstLine="638" w:firstLineChars="266"/>
        <w:rPr>
          <w:rFonts w:hAnsi="宋体"/>
          <w:sz w:val="24"/>
          <w:lang w:eastAsia="zh-CN"/>
        </w:rPr>
      </w:pPr>
      <w:r>
        <w:rPr>
          <w:rFonts w:hint="eastAsia"/>
          <w:sz w:val="24"/>
          <w:lang w:eastAsia="zh-CN"/>
        </w:rPr>
        <w:t>(9)</w:t>
      </w:r>
      <w:r>
        <w:rPr>
          <w:rFonts w:hint="eastAsia" w:hAnsi="宋体"/>
          <w:sz w:val="24"/>
          <w:lang w:eastAsia="zh-CN"/>
        </w:rPr>
        <w:t>企业资质证书</w:t>
      </w:r>
      <w:r>
        <w:rPr>
          <w:rFonts w:hint="eastAsia"/>
          <w:sz w:val="24"/>
          <w:lang w:eastAsia="zh-CN"/>
        </w:rPr>
        <w:t>（包括资质等级内容）</w:t>
      </w:r>
    </w:p>
    <w:p w14:paraId="41A579A3">
      <w:pPr>
        <w:pStyle w:val="8"/>
        <w:spacing w:line="360" w:lineRule="auto"/>
        <w:ind w:firstLine="638" w:firstLineChars="266"/>
        <w:rPr>
          <w:sz w:val="24"/>
          <w:lang w:eastAsia="zh-CN"/>
        </w:rPr>
      </w:pPr>
      <w:r>
        <w:rPr>
          <w:rFonts w:hint="eastAsia"/>
          <w:sz w:val="24"/>
          <w:lang w:eastAsia="zh-CN"/>
        </w:rPr>
        <w:t>(10)《安全生产许可证》副本（如行业规定不作要求的除外）</w:t>
      </w:r>
    </w:p>
    <w:p w14:paraId="46071924">
      <w:pPr>
        <w:pStyle w:val="8"/>
        <w:spacing w:line="360" w:lineRule="auto"/>
        <w:ind w:firstLine="638" w:firstLineChars="266"/>
        <w:rPr>
          <w:sz w:val="24"/>
          <w:lang w:eastAsia="zh-CN"/>
        </w:rPr>
      </w:pPr>
      <w:r>
        <w:rPr>
          <w:rFonts w:hint="eastAsia"/>
          <w:sz w:val="24"/>
          <w:lang w:eastAsia="zh-CN"/>
        </w:rPr>
        <w:t>(11)交易响应承诺书</w:t>
      </w:r>
    </w:p>
    <w:p w14:paraId="3285C4E9">
      <w:pPr>
        <w:pStyle w:val="8"/>
        <w:spacing w:line="360" w:lineRule="auto"/>
        <w:ind w:firstLine="638" w:firstLineChars="266"/>
        <w:rPr>
          <w:sz w:val="24"/>
          <w:lang w:eastAsia="zh-CN"/>
        </w:rPr>
      </w:pPr>
      <w:r>
        <w:rPr>
          <w:rFonts w:hint="eastAsia"/>
          <w:sz w:val="24"/>
          <w:lang w:eastAsia="zh-CN"/>
        </w:rPr>
        <w:t>(12)联合体协议书（如有）</w:t>
      </w:r>
    </w:p>
    <w:p w14:paraId="6B78717C">
      <w:pPr>
        <w:pStyle w:val="8"/>
        <w:spacing w:line="360" w:lineRule="auto"/>
        <w:ind w:firstLine="638" w:firstLineChars="266"/>
        <w:rPr>
          <w:rFonts w:hAnsi="宋体"/>
          <w:sz w:val="24"/>
          <w:lang w:eastAsia="zh-CN"/>
        </w:rPr>
      </w:pPr>
      <w:r>
        <w:rPr>
          <w:rFonts w:hint="eastAsia"/>
          <w:sz w:val="24"/>
          <w:lang w:eastAsia="zh-CN"/>
        </w:rPr>
        <w:t>(13)</w:t>
      </w:r>
      <w:r>
        <w:rPr>
          <w:rFonts w:hint="eastAsia" w:hAnsi="宋体"/>
          <w:sz w:val="24"/>
          <w:lang w:eastAsia="zh-CN"/>
        </w:rPr>
        <w:t>项目经理有效的注册证书</w:t>
      </w:r>
    </w:p>
    <w:p w14:paraId="63E3C75F">
      <w:pPr>
        <w:pStyle w:val="8"/>
        <w:spacing w:line="360" w:lineRule="auto"/>
        <w:ind w:firstLine="638" w:firstLineChars="266"/>
        <w:rPr>
          <w:rFonts w:hAnsi="宋体"/>
          <w:sz w:val="24"/>
          <w:lang w:eastAsia="zh-CN"/>
        </w:rPr>
      </w:pPr>
      <w:r>
        <w:rPr>
          <w:rFonts w:hint="eastAsia"/>
          <w:sz w:val="24"/>
          <w:lang w:eastAsia="zh-CN"/>
        </w:rPr>
        <w:t>(14)</w:t>
      </w:r>
      <w:r>
        <w:rPr>
          <w:rFonts w:hint="eastAsia" w:hAnsi="宋体"/>
          <w:sz w:val="24"/>
          <w:lang w:eastAsia="zh-CN"/>
        </w:rPr>
        <w:t>项目经理安全生产考核证书（B证）（如行业规定不作要求的除外）</w:t>
      </w:r>
    </w:p>
    <w:p w14:paraId="67CC9520">
      <w:pPr>
        <w:pStyle w:val="8"/>
        <w:spacing w:line="360" w:lineRule="auto"/>
        <w:ind w:firstLine="638" w:firstLineChars="266"/>
        <w:rPr>
          <w:rFonts w:hAnsi="宋体"/>
          <w:sz w:val="24"/>
          <w:lang w:eastAsia="zh-CN"/>
        </w:rPr>
      </w:pPr>
      <w:r>
        <w:rPr>
          <w:rFonts w:hint="eastAsia"/>
          <w:sz w:val="24"/>
          <w:lang w:eastAsia="zh-CN"/>
        </w:rPr>
        <w:t>(15)</w:t>
      </w:r>
      <w:r>
        <w:rPr>
          <w:rFonts w:hint="eastAsia" w:hAnsi="宋体"/>
          <w:sz w:val="24"/>
          <w:lang w:eastAsia="zh-CN"/>
        </w:rPr>
        <w:t>符合交易文件规定的项目经理社会保险证明</w:t>
      </w:r>
    </w:p>
    <w:p w14:paraId="21F30BF3">
      <w:pPr>
        <w:pStyle w:val="8"/>
        <w:spacing w:line="360" w:lineRule="auto"/>
        <w:ind w:firstLine="638" w:firstLineChars="266"/>
        <w:rPr>
          <w:sz w:val="24"/>
          <w:lang w:eastAsia="zh-CN"/>
        </w:rPr>
      </w:pPr>
      <w:r>
        <w:rPr>
          <w:rFonts w:hint="eastAsia"/>
          <w:sz w:val="24"/>
          <w:lang w:eastAsia="zh-CN"/>
        </w:rPr>
        <w:t>(16)交易文件要求交易响应人提交的其它交易响应资料(本项无格式，需要时由交易发起人用文字提出)</w:t>
      </w:r>
    </w:p>
    <w:p w14:paraId="3A75401D">
      <w:pPr>
        <w:pStyle w:val="8"/>
        <w:spacing w:line="360" w:lineRule="auto"/>
        <w:ind w:firstLine="540" w:firstLineChars="225"/>
        <w:rPr>
          <w:sz w:val="24"/>
          <w:u w:val="single"/>
          <w:lang w:eastAsia="zh-CN"/>
        </w:rPr>
      </w:pPr>
      <w:r>
        <w:rPr>
          <w:rFonts w:hint="eastAsia"/>
          <w:sz w:val="24"/>
          <w:u w:val="single"/>
          <w:lang w:eastAsia="zh-CN"/>
        </w:rPr>
        <w:t>说明：交易响应文件中必须提供上述企业资格后审材料复印件或浙江政务服务网打印件，作为资格审查的重要依据。</w:t>
      </w:r>
    </w:p>
    <w:p w14:paraId="13EA97CC">
      <w:pPr>
        <w:pStyle w:val="8"/>
        <w:spacing w:line="360" w:lineRule="auto"/>
        <w:ind w:firstLine="540" w:firstLineChars="225"/>
        <w:rPr>
          <w:sz w:val="24"/>
          <w:lang w:eastAsia="zh-CN"/>
        </w:rPr>
      </w:pPr>
      <w:r>
        <w:rPr>
          <w:rFonts w:hint="eastAsia"/>
          <w:sz w:val="24"/>
          <w:lang w:eastAsia="zh-CN"/>
        </w:rPr>
        <w:t>11.3技术部分主要包括下列内容:</w:t>
      </w:r>
    </w:p>
    <w:p w14:paraId="312DB9AC">
      <w:pPr>
        <w:pStyle w:val="8"/>
        <w:spacing w:line="360" w:lineRule="auto"/>
        <w:ind w:firstLine="540" w:firstLineChars="225"/>
        <w:rPr>
          <w:rFonts w:hAnsi="宋体"/>
          <w:sz w:val="24"/>
          <w:szCs w:val="24"/>
          <w:lang w:eastAsia="zh-CN"/>
        </w:rPr>
      </w:pPr>
      <w:r>
        <w:rPr>
          <w:rFonts w:hint="eastAsia"/>
          <w:sz w:val="24"/>
          <w:lang w:eastAsia="zh-CN"/>
        </w:rPr>
        <w:t>(1)</w:t>
      </w:r>
      <w:r>
        <w:rPr>
          <w:rFonts w:hint="eastAsia" w:hAnsi="宋体"/>
          <w:sz w:val="24"/>
          <w:szCs w:val="24"/>
          <w:lang w:eastAsia="zh-CN"/>
        </w:rPr>
        <w:t>项目管理班子配备</w:t>
      </w:r>
    </w:p>
    <w:p w14:paraId="067ABDD9">
      <w:pPr>
        <w:pStyle w:val="8"/>
        <w:spacing w:line="360" w:lineRule="auto"/>
        <w:ind w:firstLine="480" w:firstLineChars="200"/>
        <w:rPr>
          <w:rFonts w:hAnsi="宋体"/>
          <w:sz w:val="24"/>
          <w:szCs w:val="24"/>
          <w:lang w:eastAsia="zh-CN"/>
        </w:rPr>
      </w:pPr>
      <w:r>
        <w:rPr>
          <w:rFonts w:hint="eastAsia" w:hAnsi="宋体"/>
          <w:sz w:val="24"/>
          <w:szCs w:val="24"/>
          <w:lang w:eastAsia="zh-CN"/>
        </w:rPr>
        <w:t>a．项目管理班子配备情况表；</w:t>
      </w:r>
    </w:p>
    <w:p w14:paraId="237CC30A">
      <w:pPr>
        <w:pStyle w:val="8"/>
        <w:spacing w:line="360" w:lineRule="auto"/>
        <w:ind w:firstLine="480" w:firstLineChars="200"/>
        <w:rPr>
          <w:rFonts w:hAnsi="宋体"/>
          <w:sz w:val="24"/>
          <w:szCs w:val="24"/>
          <w:lang w:eastAsia="zh-CN"/>
        </w:rPr>
      </w:pPr>
      <w:r>
        <w:rPr>
          <w:rFonts w:hint="eastAsia" w:hAnsi="宋体"/>
          <w:sz w:val="24"/>
          <w:szCs w:val="24"/>
          <w:lang w:eastAsia="zh-CN"/>
        </w:rPr>
        <w:t>b．项目经理简历表；</w:t>
      </w:r>
    </w:p>
    <w:p w14:paraId="2D1921A8">
      <w:pPr>
        <w:pStyle w:val="8"/>
        <w:spacing w:line="360" w:lineRule="auto"/>
        <w:ind w:firstLine="480" w:firstLineChars="200"/>
        <w:rPr>
          <w:rFonts w:hAnsi="宋体"/>
          <w:sz w:val="24"/>
          <w:szCs w:val="24"/>
          <w:lang w:eastAsia="zh-CN"/>
        </w:rPr>
      </w:pPr>
      <w:r>
        <w:rPr>
          <w:rFonts w:hint="eastAsia" w:hAnsi="宋体"/>
          <w:sz w:val="24"/>
          <w:szCs w:val="24"/>
          <w:lang w:eastAsia="zh-CN"/>
        </w:rPr>
        <w:t>c．项目技术负责人简历表；</w:t>
      </w:r>
    </w:p>
    <w:p w14:paraId="62AD7F21">
      <w:pPr>
        <w:pStyle w:val="8"/>
        <w:spacing w:line="360" w:lineRule="auto"/>
        <w:ind w:firstLine="480" w:firstLineChars="200"/>
        <w:rPr>
          <w:rFonts w:hAnsi="宋体"/>
          <w:sz w:val="24"/>
          <w:szCs w:val="24"/>
          <w:lang w:eastAsia="zh-CN"/>
        </w:rPr>
      </w:pPr>
      <w:r>
        <w:rPr>
          <w:rFonts w:hint="eastAsia" w:hAnsi="宋体"/>
          <w:sz w:val="24"/>
          <w:szCs w:val="24"/>
          <w:lang w:eastAsia="zh-CN"/>
        </w:rPr>
        <w:t>d．项目管理班子配备情况其他辅助说明资料(附项目管理班子成员资格证书复印件)。</w:t>
      </w:r>
    </w:p>
    <w:p w14:paraId="6E48E5A6">
      <w:pPr>
        <w:pStyle w:val="8"/>
        <w:spacing w:line="360" w:lineRule="auto"/>
        <w:ind w:firstLine="540" w:firstLineChars="225"/>
        <w:outlineLvl w:val="2"/>
        <w:rPr>
          <w:sz w:val="24"/>
          <w:lang w:eastAsia="zh-CN"/>
        </w:rPr>
      </w:pPr>
      <w:bookmarkStart w:id="63" w:name="_Toc24222"/>
      <w:r>
        <w:rPr>
          <w:rFonts w:hint="eastAsia"/>
          <w:sz w:val="24"/>
          <w:lang w:eastAsia="zh-CN"/>
        </w:rPr>
        <w:t>12、交易响应文件格式</w:t>
      </w:r>
      <w:bookmarkEnd w:id="61"/>
      <w:bookmarkEnd w:id="62"/>
      <w:bookmarkEnd w:id="63"/>
    </w:p>
    <w:p w14:paraId="1E556C95">
      <w:pPr>
        <w:pStyle w:val="8"/>
        <w:spacing w:line="360" w:lineRule="auto"/>
        <w:ind w:firstLine="540" w:firstLineChars="225"/>
        <w:rPr>
          <w:sz w:val="24"/>
          <w:lang w:eastAsia="zh-CN"/>
        </w:rPr>
      </w:pPr>
      <w:r>
        <w:rPr>
          <w:rFonts w:hint="eastAsia"/>
          <w:sz w:val="24"/>
          <w:lang w:eastAsia="zh-CN"/>
        </w:rPr>
        <w:t>12．1交易响应文件包括本须知第11条中规定的内容，交易响应人提交的交易响应文件必须毫无例外地使用交易文件所提供的交易响应文件全部格式(表格可以按同样格式扩展)。</w:t>
      </w:r>
    </w:p>
    <w:p w14:paraId="0CD1E44A">
      <w:pPr>
        <w:pStyle w:val="8"/>
        <w:spacing w:line="360" w:lineRule="auto"/>
        <w:ind w:firstLine="540" w:firstLineChars="225"/>
        <w:outlineLvl w:val="2"/>
        <w:rPr>
          <w:sz w:val="24"/>
          <w:lang w:eastAsia="zh-CN"/>
        </w:rPr>
      </w:pPr>
      <w:bookmarkStart w:id="64" w:name="_Toc330378475"/>
      <w:bookmarkStart w:id="65" w:name="_Toc21064"/>
      <w:bookmarkStart w:id="66" w:name="_Toc330288414"/>
      <w:r>
        <w:rPr>
          <w:rFonts w:hint="eastAsia"/>
          <w:sz w:val="24"/>
          <w:lang w:eastAsia="zh-CN"/>
        </w:rPr>
        <w:t>13、交易响应报价</w:t>
      </w:r>
      <w:bookmarkEnd w:id="64"/>
      <w:bookmarkEnd w:id="65"/>
      <w:bookmarkEnd w:id="66"/>
    </w:p>
    <w:p w14:paraId="687AC98E">
      <w:pPr>
        <w:pStyle w:val="8"/>
        <w:spacing w:line="360" w:lineRule="auto"/>
        <w:ind w:firstLine="540" w:firstLineChars="225"/>
        <w:rPr>
          <w:sz w:val="24"/>
          <w:lang w:eastAsia="zh-CN"/>
        </w:rPr>
      </w:pPr>
      <w:r>
        <w:rPr>
          <w:rFonts w:hint="eastAsia"/>
          <w:sz w:val="24"/>
          <w:lang w:eastAsia="zh-CN"/>
        </w:rPr>
        <w:t>13．1本工程的工程量清单的交易响应单价采用本须知前附表第11项所规定的方式进行报价。</w:t>
      </w:r>
    </w:p>
    <w:p w14:paraId="4541BF37">
      <w:pPr>
        <w:pStyle w:val="8"/>
        <w:spacing w:line="360" w:lineRule="auto"/>
        <w:ind w:firstLine="540" w:firstLineChars="225"/>
        <w:rPr>
          <w:sz w:val="24"/>
          <w:lang w:eastAsia="zh-CN"/>
        </w:rPr>
      </w:pPr>
      <w:r>
        <w:rPr>
          <w:rFonts w:hint="eastAsia"/>
          <w:sz w:val="24"/>
          <w:lang w:eastAsia="zh-CN"/>
        </w:rPr>
        <w:t>13．2交易响应报价为交易响应人的交易响应文件中提出的各项支付金额的总和。</w:t>
      </w:r>
    </w:p>
    <w:p w14:paraId="30B67D5A">
      <w:pPr>
        <w:pStyle w:val="8"/>
        <w:spacing w:line="360" w:lineRule="auto"/>
        <w:ind w:firstLine="540" w:firstLineChars="225"/>
        <w:rPr>
          <w:sz w:val="24"/>
          <w:lang w:eastAsia="zh-CN"/>
        </w:rPr>
      </w:pPr>
      <w:r>
        <w:rPr>
          <w:rFonts w:hint="eastAsia"/>
          <w:sz w:val="24"/>
          <w:lang w:eastAsia="zh-CN"/>
        </w:rPr>
        <w:t>13．3交易响应人的交易响应报价，应是完成本须知第2条和合同条款上所列交易工程范围及工期的全部，不得以任何理由予以重复，作为交易响应人计算单价或总价的依据。</w:t>
      </w:r>
    </w:p>
    <w:p w14:paraId="6B099C87">
      <w:pPr>
        <w:pStyle w:val="8"/>
        <w:spacing w:line="360" w:lineRule="auto"/>
        <w:ind w:firstLine="540" w:firstLineChars="225"/>
        <w:rPr>
          <w:sz w:val="24"/>
          <w:lang w:eastAsia="zh-CN"/>
        </w:rPr>
      </w:pPr>
      <w:r>
        <w:rPr>
          <w:rFonts w:hint="eastAsia"/>
          <w:sz w:val="24"/>
          <w:lang w:eastAsia="zh-CN"/>
        </w:rPr>
        <w:t>13．4采用工程量清单报价的，交易响应人应按清单中列出的工程项目填报单价和合价。每一项目只允许有一个报价。任何有选择的报价将不予接受，交易响应人未填单价或合价的工程项目，在实施后，交易发起人将不予以支付，并视作该项费用已包括在其它有价款的单价或合价内。</w:t>
      </w:r>
    </w:p>
    <w:p w14:paraId="0A546A6C">
      <w:pPr>
        <w:pStyle w:val="8"/>
        <w:spacing w:line="360" w:lineRule="auto"/>
        <w:ind w:firstLine="540" w:firstLineChars="225"/>
        <w:rPr>
          <w:sz w:val="24"/>
          <w:lang w:eastAsia="zh-CN"/>
        </w:rPr>
      </w:pPr>
      <w:r>
        <w:rPr>
          <w:rFonts w:hint="eastAsia"/>
          <w:sz w:val="24"/>
          <w:lang w:eastAsia="zh-CN"/>
        </w:rPr>
        <w:t>13．5技术规范要求的费用应包括在交易响应报价中。</w:t>
      </w:r>
    </w:p>
    <w:p w14:paraId="50273941">
      <w:pPr>
        <w:pStyle w:val="8"/>
        <w:spacing w:line="360" w:lineRule="auto"/>
        <w:ind w:firstLine="540" w:firstLineChars="225"/>
        <w:rPr>
          <w:sz w:val="24"/>
          <w:u w:val="single"/>
          <w:lang w:eastAsia="zh-CN"/>
        </w:rPr>
      </w:pPr>
      <w:r>
        <w:rPr>
          <w:rFonts w:hint="eastAsia"/>
          <w:sz w:val="24"/>
          <w:lang w:eastAsia="zh-CN"/>
        </w:rPr>
        <w:t>13．6合同的施工地点为本须知前附表第2项所述，除非合同中另有规定，交易响应人在交易响应总价中的价格均包括完成该工程项目的直接费、间接费、利润、税金、风险费等所有费用。</w:t>
      </w:r>
    </w:p>
    <w:p w14:paraId="41EEB226">
      <w:pPr>
        <w:pStyle w:val="8"/>
        <w:spacing w:line="360" w:lineRule="auto"/>
        <w:ind w:firstLine="540" w:firstLineChars="225"/>
        <w:rPr>
          <w:sz w:val="24"/>
          <w:lang w:eastAsia="zh-CN"/>
        </w:rPr>
      </w:pPr>
      <w:r>
        <w:rPr>
          <w:rFonts w:hint="eastAsia"/>
          <w:sz w:val="24"/>
          <w:lang w:eastAsia="zh-CN"/>
        </w:rPr>
        <w:t>13．7交易响应人应先到工地踏勘以充分了解工地位置、情况、道路、储存空间、装卸限制及任何其它足以影响承包价的情况，任何因忽视或误解工地情况而导致的索赔或工期延长申请将不获批准。</w:t>
      </w:r>
    </w:p>
    <w:p w14:paraId="324164D1">
      <w:pPr>
        <w:pStyle w:val="8"/>
        <w:spacing w:line="360" w:lineRule="auto"/>
        <w:ind w:firstLine="540" w:firstLineChars="225"/>
        <w:rPr>
          <w:sz w:val="24"/>
          <w:lang w:eastAsia="zh-CN"/>
        </w:rPr>
      </w:pPr>
      <w:r>
        <w:rPr>
          <w:rFonts w:hint="eastAsia"/>
          <w:sz w:val="24"/>
          <w:lang w:eastAsia="zh-CN"/>
        </w:rPr>
        <w:t>13．8除非本交易文件对工程量清单编制和报价另有说明的，否则，交易响应人应按工程量清单中的项目和数量进行报价。</w:t>
      </w:r>
    </w:p>
    <w:p w14:paraId="56018588">
      <w:pPr>
        <w:spacing w:line="360" w:lineRule="auto"/>
        <w:ind w:firstLine="540" w:firstLineChars="225"/>
        <w:rPr>
          <w:rFonts w:hAnsi="Courier New" w:cs="Courier New"/>
          <w:sz w:val="24"/>
          <w:szCs w:val="21"/>
          <w:lang w:eastAsia="zh-CN"/>
        </w:rPr>
      </w:pPr>
      <w:r>
        <w:rPr>
          <w:rFonts w:hint="eastAsia" w:ascii="宋体" w:hAnsi="宋体"/>
          <w:sz w:val="24"/>
          <w:lang w:eastAsia="zh-CN"/>
        </w:rPr>
        <w:t>13．9</w:t>
      </w:r>
      <w:r>
        <w:rPr>
          <w:rFonts w:hint="eastAsia" w:ascii="宋体" w:hAnsi="宋体" w:cs="Courier New"/>
          <w:sz w:val="24"/>
          <w:szCs w:val="21"/>
          <w:lang w:eastAsia="zh-CN"/>
        </w:rPr>
        <w:t>安全文</w:t>
      </w:r>
      <w:r>
        <w:rPr>
          <w:rFonts w:hint="eastAsia" w:hAnsi="宋体" w:cs="Courier New"/>
          <w:sz w:val="24"/>
          <w:szCs w:val="21"/>
          <w:lang w:eastAsia="zh-CN"/>
        </w:rPr>
        <w:t>明施工</w:t>
      </w:r>
    </w:p>
    <w:p w14:paraId="10BF74DE">
      <w:pPr>
        <w:spacing w:line="360" w:lineRule="auto"/>
        <w:ind w:firstLine="540" w:firstLineChars="225"/>
        <w:rPr>
          <w:rFonts w:ascii="黑体" w:hAnsi="宋体" w:eastAsia="黑体"/>
          <w:sz w:val="24"/>
          <w:lang w:eastAsia="zh-CN"/>
        </w:rPr>
      </w:pPr>
      <w:r>
        <w:rPr>
          <w:rFonts w:hint="eastAsia" w:ascii="黑体" w:eastAsia="黑体"/>
          <w:sz w:val="24"/>
          <w:lang w:eastAsia="zh-CN"/>
        </w:rPr>
        <w:t>交易响应单位应根据有关要求加强安全防护、文明施工工作。</w:t>
      </w:r>
    </w:p>
    <w:p w14:paraId="37C832C1">
      <w:pPr>
        <w:spacing w:line="360" w:lineRule="auto"/>
        <w:ind w:firstLine="540" w:firstLineChars="225"/>
        <w:outlineLvl w:val="2"/>
        <w:rPr>
          <w:rFonts w:ascii="宋体" w:hAnsi="宋体"/>
          <w:lang w:eastAsia="zh-CN"/>
        </w:rPr>
      </w:pPr>
      <w:bookmarkStart w:id="67" w:name="_Toc330378476"/>
      <w:bookmarkStart w:id="68" w:name="_Toc330288415"/>
      <w:bookmarkStart w:id="69" w:name="_Toc506147340"/>
      <w:bookmarkStart w:id="70" w:name="_Toc8597"/>
      <w:r>
        <w:rPr>
          <w:rFonts w:hint="eastAsia" w:ascii="宋体" w:hAnsi="宋体" w:cs="Courier New"/>
          <w:sz w:val="24"/>
          <w:szCs w:val="21"/>
          <w:lang w:eastAsia="zh-CN"/>
        </w:rPr>
        <w:t>14、交易响应货币</w:t>
      </w:r>
      <w:bookmarkEnd w:id="67"/>
      <w:bookmarkEnd w:id="68"/>
      <w:bookmarkEnd w:id="69"/>
      <w:bookmarkEnd w:id="70"/>
    </w:p>
    <w:p w14:paraId="1D5C3E06">
      <w:pPr>
        <w:pStyle w:val="8"/>
        <w:spacing w:line="360" w:lineRule="auto"/>
        <w:ind w:firstLine="540" w:firstLineChars="225"/>
        <w:rPr>
          <w:rFonts w:hAnsi="宋体"/>
          <w:sz w:val="24"/>
          <w:lang w:eastAsia="zh-CN"/>
        </w:rPr>
      </w:pPr>
      <w:r>
        <w:rPr>
          <w:rFonts w:hint="eastAsia" w:hAnsi="宋体"/>
          <w:sz w:val="24"/>
          <w:lang w:eastAsia="zh-CN"/>
        </w:rPr>
        <w:t>14．1本工程的交易响应应以人民币报价。</w:t>
      </w:r>
    </w:p>
    <w:p w14:paraId="1DA958E2">
      <w:pPr>
        <w:pStyle w:val="8"/>
        <w:spacing w:line="360" w:lineRule="auto"/>
        <w:ind w:firstLine="540" w:firstLineChars="225"/>
        <w:outlineLvl w:val="2"/>
        <w:rPr>
          <w:rFonts w:hAnsi="宋体"/>
          <w:sz w:val="24"/>
          <w:lang w:eastAsia="zh-CN"/>
        </w:rPr>
      </w:pPr>
      <w:bookmarkStart w:id="71" w:name="_Toc20416"/>
      <w:bookmarkStart w:id="72" w:name="_Toc330288416"/>
      <w:bookmarkStart w:id="73" w:name="_Toc330378477"/>
      <w:r>
        <w:rPr>
          <w:rFonts w:hint="eastAsia" w:hAnsi="宋体"/>
          <w:sz w:val="24"/>
          <w:lang w:eastAsia="zh-CN"/>
        </w:rPr>
        <w:t>15、交易响应有效期</w:t>
      </w:r>
      <w:bookmarkEnd w:id="71"/>
      <w:bookmarkEnd w:id="72"/>
      <w:bookmarkEnd w:id="73"/>
    </w:p>
    <w:p w14:paraId="6340CB65">
      <w:pPr>
        <w:pStyle w:val="8"/>
        <w:spacing w:line="360" w:lineRule="auto"/>
        <w:ind w:firstLine="540" w:firstLineChars="225"/>
        <w:rPr>
          <w:sz w:val="24"/>
          <w:lang w:eastAsia="zh-CN"/>
        </w:rPr>
      </w:pPr>
      <w:r>
        <w:rPr>
          <w:rFonts w:hint="eastAsia" w:hAnsi="宋体"/>
          <w:sz w:val="24"/>
          <w:lang w:eastAsia="zh-CN"/>
        </w:rPr>
        <w:t>15．1交易响应有效期见本须知前附表第12项所规定的期限，在此期限内，凡符合本交易文件要求的交易响应文件均保持有效</w:t>
      </w:r>
      <w:r>
        <w:rPr>
          <w:rFonts w:hint="eastAsia"/>
          <w:sz w:val="24"/>
          <w:lang w:eastAsia="zh-CN"/>
        </w:rPr>
        <w:t>。</w:t>
      </w:r>
    </w:p>
    <w:p w14:paraId="5AD68FB1">
      <w:pPr>
        <w:pStyle w:val="8"/>
        <w:spacing w:line="360" w:lineRule="auto"/>
        <w:ind w:firstLine="540" w:firstLineChars="225"/>
        <w:rPr>
          <w:sz w:val="24"/>
          <w:lang w:eastAsia="zh-CN"/>
        </w:rPr>
      </w:pPr>
      <w:r>
        <w:rPr>
          <w:rFonts w:hint="eastAsia"/>
          <w:sz w:val="24"/>
          <w:lang w:eastAsia="zh-CN"/>
        </w:rPr>
        <w:t>15．2在特殊的情况下，交易发起人在原定交易响应有效期满之前交易发起人可以根据需要以书面形式向交易响应人提出延长交易响应有效期的要求，对此要求交易响应人须以书面形式予以答复，交易响应人可以拒绝交易发起人这种要求，而不被没收交易响应保证金。同意延长交易响应有效期的交易响应人既不能要求也不允许修改其交易响应文件，但需要相应的延长交易响应担保的有效期，在延长的交易响应有效期内本须知第16条关于交易响应保证金的退还与没收的规定仍然适用。</w:t>
      </w:r>
    </w:p>
    <w:p w14:paraId="4D9FEBDE">
      <w:pPr>
        <w:pStyle w:val="8"/>
        <w:spacing w:line="360" w:lineRule="auto"/>
        <w:ind w:firstLine="540" w:firstLineChars="225"/>
        <w:outlineLvl w:val="2"/>
        <w:rPr>
          <w:sz w:val="24"/>
          <w:lang w:eastAsia="zh-CN"/>
        </w:rPr>
      </w:pPr>
      <w:bookmarkStart w:id="74" w:name="_Toc330288417"/>
      <w:bookmarkStart w:id="75" w:name="_Toc24632"/>
      <w:bookmarkStart w:id="76" w:name="_Toc330378478"/>
      <w:r>
        <w:rPr>
          <w:rFonts w:hint="eastAsia"/>
          <w:sz w:val="24"/>
          <w:lang w:eastAsia="zh-CN"/>
        </w:rPr>
        <w:t>16、交易响应担保</w:t>
      </w:r>
      <w:bookmarkEnd w:id="74"/>
      <w:bookmarkEnd w:id="75"/>
      <w:bookmarkEnd w:id="76"/>
      <w:r>
        <w:rPr>
          <w:rFonts w:hint="eastAsia"/>
          <w:color w:val="auto"/>
          <w:sz w:val="24"/>
          <w:lang w:eastAsia="zh-CN"/>
        </w:rPr>
        <w:t>（本项目不作要求）</w:t>
      </w:r>
    </w:p>
    <w:p w14:paraId="727CF6A1">
      <w:pPr>
        <w:pStyle w:val="8"/>
        <w:spacing w:line="360" w:lineRule="auto"/>
        <w:ind w:firstLine="540" w:firstLineChars="225"/>
        <w:rPr>
          <w:sz w:val="24"/>
          <w:lang w:eastAsia="zh-CN"/>
        </w:rPr>
      </w:pPr>
      <w:r>
        <w:rPr>
          <w:rFonts w:hint="eastAsia"/>
          <w:sz w:val="24"/>
          <w:lang w:eastAsia="zh-CN"/>
        </w:rPr>
        <w:t>16．1交易响应人应在递交交易响应文件前以人民币提交一笔不少于本须知前附表第13项所规定数额的交易响应保证金，并作为其交易响应的一部分(企业网银、电汇以实际到账为准)。交易发起人可根据本须知第16·6条规定的条件不退还交易响应保证金。</w:t>
      </w:r>
    </w:p>
    <w:p w14:paraId="6EE50E20">
      <w:pPr>
        <w:pStyle w:val="8"/>
        <w:spacing w:line="360" w:lineRule="auto"/>
        <w:ind w:firstLine="540" w:firstLineChars="225"/>
        <w:rPr>
          <w:sz w:val="24"/>
          <w:lang w:eastAsia="zh-CN"/>
        </w:rPr>
      </w:pPr>
      <w:r>
        <w:rPr>
          <w:rFonts w:hint="eastAsia"/>
          <w:sz w:val="24"/>
          <w:lang w:eastAsia="zh-CN"/>
        </w:rPr>
        <w:t>16．2交易响应人应按要求提交交易响应担保，并采用下列任何一种形式:</w:t>
      </w:r>
    </w:p>
    <w:p w14:paraId="62384DFC">
      <w:pPr>
        <w:pStyle w:val="8"/>
        <w:spacing w:line="360" w:lineRule="auto"/>
        <w:ind w:firstLine="540" w:firstLineChars="225"/>
        <w:rPr>
          <w:sz w:val="24"/>
          <w:lang w:eastAsia="zh-CN"/>
        </w:rPr>
      </w:pPr>
      <w:r>
        <w:rPr>
          <w:rFonts w:hint="eastAsia"/>
          <w:sz w:val="24"/>
          <w:lang w:eastAsia="zh-CN"/>
        </w:rPr>
        <w:t>16.2.1方式一：交易响应保证金</w:t>
      </w:r>
      <w:r>
        <w:rPr>
          <w:rFonts w:hint="eastAsia" w:ascii="黑体" w:eastAsia="黑体"/>
          <w:sz w:val="24"/>
          <w:lang w:eastAsia="zh-CN"/>
        </w:rPr>
        <w:t>（</w:t>
      </w:r>
      <w:r>
        <w:rPr>
          <w:rFonts w:hint="eastAsia" w:ascii="黑体" w:eastAsia="黑体"/>
          <w:sz w:val="24"/>
          <w:szCs w:val="24"/>
          <w:lang w:eastAsia="zh-CN"/>
        </w:rPr>
        <w:t>交易响应人交纳交易响应保证金时必须在“电汇凭证”、“进账单”等单据上详细注明交易响应项目名称或标段</w:t>
      </w:r>
      <w:r>
        <w:rPr>
          <w:rFonts w:hint="eastAsia" w:ascii="黑体" w:eastAsia="黑体"/>
          <w:sz w:val="24"/>
          <w:lang w:eastAsia="zh-CN"/>
        </w:rPr>
        <w:t>）</w:t>
      </w:r>
    </w:p>
    <w:p w14:paraId="3E332784">
      <w:pPr>
        <w:pStyle w:val="8"/>
        <w:spacing w:line="360" w:lineRule="auto"/>
        <w:ind w:firstLine="540" w:firstLineChars="225"/>
        <w:rPr>
          <w:sz w:val="24"/>
          <w:lang w:eastAsia="zh-CN"/>
        </w:rPr>
      </w:pPr>
      <w:r>
        <w:rPr>
          <w:rFonts w:hint="eastAsia"/>
          <w:sz w:val="24"/>
          <w:lang w:eastAsia="zh-CN"/>
        </w:rPr>
        <w:t>a.电汇；b.企业网银。</w:t>
      </w:r>
    </w:p>
    <w:p w14:paraId="5CD4E03A">
      <w:pPr>
        <w:pStyle w:val="8"/>
        <w:spacing w:line="360" w:lineRule="auto"/>
        <w:ind w:firstLine="480" w:firstLineChars="200"/>
        <w:rPr>
          <w:rFonts w:hAnsi="宋体"/>
          <w:sz w:val="24"/>
          <w:szCs w:val="24"/>
          <w:lang w:eastAsia="zh-CN"/>
        </w:rPr>
      </w:pPr>
      <w:r>
        <w:rPr>
          <w:rFonts w:hint="eastAsia" w:hAnsi="宋体"/>
          <w:sz w:val="24"/>
          <w:szCs w:val="24"/>
          <w:lang w:eastAsia="zh-CN"/>
        </w:rPr>
        <w:t>16.2.2重新交易的项目，所有交易响应人需按规定重新缴纳交易响应保证金。</w:t>
      </w:r>
    </w:p>
    <w:p w14:paraId="4ED7D9C1">
      <w:pPr>
        <w:pStyle w:val="8"/>
        <w:spacing w:line="360" w:lineRule="auto"/>
        <w:ind w:firstLine="480" w:firstLineChars="200"/>
        <w:rPr>
          <w:rFonts w:hAnsi="宋体"/>
          <w:sz w:val="24"/>
          <w:szCs w:val="24"/>
          <w:lang w:eastAsia="zh-CN"/>
        </w:rPr>
      </w:pPr>
      <w:r>
        <w:rPr>
          <w:rFonts w:hint="eastAsia" w:hAnsi="宋体"/>
          <w:sz w:val="24"/>
          <w:szCs w:val="24"/>
          <w:lang w:eastAsia="zh-CN"/>
        </w:rPr>
        <w:t>16.2.3方式二：企业基本账户开户银行出具的银行保函。</w:t>
      </w:r>
    </w:p>
    <w:p w14:paraId="7BC9036F">
      <w:pPr>
        <w:pStyle w:val="8"/>
        <w:spacing w:line="360" w:lineRule="auto"/>
        <w:ind w:firstLine="540" w:firstLineChars="225"/>
        <w:rPr>
          <w:sz w:val="24"/>
          <w:lang w:eastAsia="zh-CN"/>
        </w:rPr>
      </w:pPr>
      <w:r>
        <w:rPr>
          <w:rFonts w:hint="eastAsia"/>
          <w:sz w:val="24"/>
          <w:lang w:eastAsia="zh-CN"/>
        </w:rPr>
        <w:t>16．3对于未能按要求提交交易响应担保的交易响应，交易发起人将视为不响应交易文件而予以拒绝；</w:t>
      </w:r>
    </w:p>
    <w:p w14:paraId="5F325B87">
      <w:pPr>
        <w:pStyle w:val="8"/>
        <w:spacing w:line="360" w:lineRule="auto"/>
        <w:ind w:firstLine="540" w:firstLineChars="225"/>
        <w:rPr>
          <w:sz w:val="24"/>
          <w:lang w:eastAsia="zh-CN"/>
        </w:rPr>
      </w:pPr>
      <w:r>
        <w:rPr>
          <w:rFonts w:hint="eastAsia"/>
          <w:sz w:val="24"/>
          <w:lang w:eastAsia="zh-CN"/>
        </w:rPr>
        <w:t>16．4如交易响应人有下列任何情况发生时，交易响应担保将被没收:</w:t>
      </w:r>
    </w:p>
    <w:p w14:paraId="6F0BB978">
      <w:pPr>
        <w:pStyle w:val="8"/>
        <w:spacing w:line="360" w:lineRule="auto"/>
        <w:ind w:firstLine="540" w:firstLineChars="225"/>
        <w:rPr>
          <w:sz w:val="24"/>
          <w:lang w:eastAsia="zh-CN"/>
        </w:rPr>
      </w:pPr>
      <w:r>
        <w:rPr>
          <w:rFonts w:hint="eastAsia"/>
          <w:sz w:val="24"/>
          <w:lang w:eastAsia="zh-CN"/>
        </w:rPr>
        <w:t>(1)交易响应人在交易响应有效期内撤销其交易响应文件；</w:t>
      </w:r>
    </w:p>
    <w:p w14:paraId="1C8A7C38">
      <w:pPr>
        <w:spacing w:line="360" w:lineRule="auto"/>
        <w:ind w:firstLine="540" w:firstLineChars="225"/>
        <w:rPr>
          <w:rFonts w:ascii="宋体" w:hAnsi="宋体" w:cs="Courier New"/>
          <w:sz w:val="24"/>
          <w:szCs w:val="21"/>
          <w:lang w:eastAsia="zh-CN"/>
        </w:rPr>
      </w:pPr>
      <w:r>
        <w:rPr>
          <w:rFonts w:hint="eastAsia" w:ascii="宋体" w:hAnsi="宋体" w:cs="Courier New"/>
          <w:sz w:val="24"/>
          <w:szCs w:val="21"/>
          <w:lang w:eastAsia="zh-CN"/>
        </w:rPr>
        <w:t>(2)交易响应人无故放弃成交资格的；</w:t>
      </w:r>
    </w:p>
    <w:p w14:paraId="7609ED32">
      <w:pPr>
        <w:spacing w:line="360" w:lineRule="auto"/>
        <w:ind w:firstLine="540" w:firstLineChars="225"/>
        <w:rPr>
          <w:rFonts w:hAnsi="Courier New" w:cs="Courier New"/>
          <w:sz w:val="24"/>
          <w:szCs w:val="21"/>
          <w:lang w:eastAsia="zh-CN"/>
        </w:rPr>
      </w:pPr>
      <w:r>
        <w:rPr>
          <w:rFonts w:hint="eastAsia" w:ascii="宋体" w:hAnsi="宋体" w:cs="Courier New"/>
          <w:sz w:val="24"/>
          <w:szCs w:val="21"/>
          <w:lang w:eastAsia="zh-CN"/>
        </w:rPr>
        <w:t>(3)成交人</w:t>
      </w:r>
      <w:r>
        <w:rPr>
          <w:rFonts w:hint="eastAsia" w:hAnsi="Courier New" w:cs="Courier New"/>
          <w:sz w:val="24"/>
          <w:szCs w:val="21"/>
          <w:lang w:eastAsia="zh-CN"/>
        </w:rPr>
        <w:t>未能在规定期限内提交履约担保或签订合同协议。</w:t>
      </w:r>
    </w:p>
    <w:p w14:paraId="198BA7A5">
      <w:pPr>
        <w:pStyle w:val="8"/>
        <w:spacing w:line="360" w:lineRule="auto"/>
        <w:ind w:firstLine="540" w:firstLineChars="225"/>
        <w:outlineLvl w:val="2"/>
        <w:rPr>
          <w:sz w:val="24"/>
          <w:lang w:eastAsia="zh-CN"/>
        </w:rPr>
      </w:pPr>
      <w:bookmarkStart w:id="77" w:name="_Toc330378479"/>
      <w:bookmarkStart w:id="78" w:name="_Toc330288418"/>
      <w:bookmarkStart w:id="79" w:name="_Toc20563"/>
      <w:r>
        <w:rPr>
          <w:rFonts w:hint="eastAsia"/>
          <w:sz w:val="24"/>
          <w:lang w:eastAsia="zh-CN"/>
        </w:rPr>
        <w:t>17、交易响应预备会</w:t>
      </w:r>
      <w:bookmarkEnd w:id="77"/>
      <w:bookmarkEnd w:id="78"/>
      <w:r>
        <w:rPr>
          <w:rFonts w:hint="eastAsia"/>
          <w:sz w:val="24"/>
          <w:lang w:eastAsia="zh-CN"/>
        </w:rPr>
        <w:t>（如有）</w:t>
      </w:r>
      <w:bookmarkEnd w:id="79"/>
    </w:p>
    <w:p w14:paraId="7BF7B0D4">
      <w:pPr>
        <w:pStyle w:val="8"/>
        <w:spacing w:line="360" w:lineRule="auto"/>
        <w:ind w:firstLine="540" w:firstLineChars="225"/>
        <w:rPr>
          <w:sz w:val="24"/>
          <w:lang w:eastAsia="zh-CN"/>
        </w:rPr>
      </w:pPr>
      <w:r>
        <w:rPr>
          <w:rFonts w:hint="eastAsia"/>
          <w:sz w:val="24"/>
          <w:lang w:eastAsia="zh-CN"/>
        </w:rPr>
        <w:t>17．1交易响应预备会(答疑会)，如交易发起人认为有必要召开交易响应预备会，交易响应人应按照前附表第15项规定的或交易发起人另行书面通知的时间和地点，派出代表出席交易发起人主持的交易响应预备会。</w:t>
      </w:r>
    </w:p>
    <w:p w14:paraId="065553BC">
      <w:pPr>
        <w:pStyle w:val="8"/>
        <w:spacing w:line="360" w:lineRule="auto"/>
        <w:ind w:firstLine="540" w:firstLineChars="225"/>
        <w:rPr>
          <w:sz w:val="24"/>
          <w:lang w:eastAsia="zh-CN"/>
        </w:rPr>
      </w:pPr>
      <w:r>
        <w:rPr>
          <w:rFonts w:hint="eastAsia"/>
          <w:sz w:val="24"/>
          <w:lang w:eastAsia="zh-CN"/>
        </w:rPr>
        <w:t>17．2交易响应预备会的目的是澄清、解答交易响应人在查阅交易文件后和现场踏勘中可能提出的任何方面的问题。</w:t>
      </w:r>
    </w:p>
    <w:p w14:paraId="35132E61">
      <w:pPr>
        <w:pStyle w:val="8"/>
        <w:spacing w:line="360" w:lineRule="auto"/>
        <w:ind w:firstLine="540" w:firstLineChars="225"/>
        <w:rPr>
          <w:sz w:val="24"/>
          <w:lang w:eastAsia="zh-CN"/>
        </w:rPr>
      </w:pPr>
      <w:r>
        <w:rPr>
          <w:rFonts w:hint="eastAsia"/>
          <w:sz w:val="24"/>
          <w:lang w:eastAsia="zh-CN"/>
        </w:rPr>
        <w:t>17．3交易响应人提出的与交易响应有关的任何问题须在提疑截止时间前以书面形式向交易发起人提出异议。</w:t>
      </w:r>
    </w:p>
    <w:p w14:paraId="375C80C3">
      <w:pPr>
        <w:pStyle w:val="8"/>
        <w:spacing w:line="360" w:lineRule="auto"/>
        <w:ind w:firstLine="540" w:firstLineChars="225"/>
        <w:rPr>
          <w:sz w:val="24"/>
          <w:lang w:eastAsia="zh-CN"/>
        </w:rPr>
      </w:pPr>
      <w:r>
        <w:rPr>
          <w:rFonts w:hint="eastAsia"/>
          <w:sz w:val="24"/>
          <w:lang w:eastAsia="zh-CN"/>
        </w:rPr>
        <w:t>17．4交易发起人在交易响应预备会上所做出的澄清和解答，以书面答复为准，并以交易补充文件的形式，在淳安县公共资源交易网发布。答疑纪要的有效性规定按照本须知9.3、9.4款规定执行。</w:t>
      </w:r>
    </w:p>
    <w:p w14:paraId="3026D65F">
      <w:pPr>
        <w:pStyle w:val="8"/>
        <w:spacing w:line="360" w:lineRule="auto"/>
        <w:ind w:firstLine="540" w:firstLineChars="225"/>
        <w:rPr>
          <w:sz w:val="24"/>
          <w:lang w:eastAsia="zh-CN"/>
        </w:rPr>
      </w:pPr>
      <w:r>
        <w:rPr>
          <w:rFonts w:hint="eastAsia"/>
          <w:sz w:val="24"/>
          <w:lang w:eastAsia="zh-CN"/>
        </w:rPr>
        <w:t>17．5未出席交易响应预备会不作为否定交易响应人资格的理由。</w:t>
      </w:r>
    </w:p>
    <w:p w14:paraId="6A20733E">
      <w:pPr>
        <w:pStyle w:val="8"/>
        <w:spacing w:line="360" w:lineRule="auto"/>
        <w:ind w:firstLine="540" w:firstLineChars="225"/>
        <w:outlineLvl w:val="2"/>
        <w:rPr>
          <w:sz w:val="24"/>
          <w:lang w:eastAsia="zh-CN"/>
        </w:rPr>
      </w:pPr>
      <w:bookmarkStart w:id="80" w:name="_Toc330288419"/>
      <w:bookmarkStart w:id="81" w:name="_Toc1067"/>
      <w:bookmarkStart w:id="82" w:name="_Toc330378480"/>
      <w:r>
        <w:rPr>
          <w:rFonts w:hint="eastAsia"/>
          <w:sz w:val="24"/>
          <w:lang w:eastAsia="zh-CN"/>
        </w:rPr>
        <w:t>18、交易响应人的替代方案</w:t>
      </w:r>
      <w:bookmarkEnd w:id="80"/>
      <w:bookmarkEnd w:id="81"/>
      <w:bookmarkEnd w:id="82"/>
    </w:p>
    <w:p w14:paraId="525D3DC8">
      <w:pPr>
        <w:pStyle w:val="8"/>
        <w:spacing w:line="360" w:lineRule="auto"/>
        <w:ind w:firstLine="540" w:firstLineChars="225"/>
        <w:rPr>
          <w:lang w:eastAsia="zh-CN"/>
        </w:rPr>
      </w:pPr>
      <w:r>
        <w:rPr>
          <w:rFonts w:hint="eastAsia"/>
          <w:sz w:val="24"/>
          <w:lang w:eastAsia="zh-CN"/>
        </w:rPr>
        <w:t>18．1交易响应人所提交的交易响应文件应完全满足交易文件(包括图纸和技术规范所示的基本技术设计)的要求，除非交易响应须知前附表第16项中允许交易响应人提交替代方案，否则替代方案将不予考虑。如果允许交易响应人提交替代方案，则执行本须知第18.2款的规定。</w:t>
      </w:r>
    </w:p>
    <w:p w14:paraId="0CED1CB5">
      <w:pPr>
        <w:pStyle w:val="8"/>
        <w:spacing w:line="360" w:lineRule="auto"/>
        <w:ind w:firstLine="540" w:firstLineChars="225"/>
        <w:rPr>
          <w:sz w:val="24"/>
          <w:lang w:eastAsia="zh-CN"/>
        </w:rPr>
      </w:pPr>
      <w:r>
        <w:rPr>
          <w:rFonts w:hint="eastAsia"/>
          <w:sz w:val="24"/>
          <w:lang w:eastAsia="zh-CN"/>
        </w:rPr>
        <w:t>18．2如果交易响应须知前附表第16项中允许交易响应人提交替代方案，则交易响应人除提交正式交易响应文件外还应按照交易文件要求提交替代方案。替代方案应满足评审所需的全部资料，包括设计计算书、技术规范、单价分析表、替代方案报价书、所建议的施工方案及有关的其它详细资料。交易发起人只考虑根据基本技术要求提交了符合评审标准的交易响应人所提交的替代方案(如已提交)。</w:t>
      </w:r>
    </w:p>
    <w:p w14:paraId="4EBDF985">
      <w:pPr>
        <w:pStyle w:val="8"/>
        <w:spacing w:line="360" w:lineRule="auto"/>
        <w:ind w:firstLine="540" w:firstLineChars="225"/>
        <w:outlineLvl w:val="2"/>
        <w:rPr>
          <w:sz w:val="24"/>
          <w:lang w:eastAsia="zh-CN"/>
        </w:rPr>
      </w:pPr>
      <w:bookmarkStart w:id="83" w:name="_Toc330378481"/>
      <w:bookmarkStart w:id="84" w:name="_Toc25114"/>
      <w:bookmarkStart w:id="85" w:name="_Toc330288420"/>
      <w:r>
        <w:rPr>
          <w:rFonts w:hint="eastAsia"/>
          <w:sz w:val="24"/>
          <w:lang w:eastAsia="zh-CN"/>
        </w:rPr>
        <w:t>19、交易响应文件的份数和签署</w:t>
      </w:r>
      <w:bookmarkEnd w:id="83"/>
      <w:bookmarkEnd w:id="84"/>
      <w:bookmarkEnd w:id="85"/>
    </w:p>
    <w:p w14:paraId="1190168D">
      <w:pPr>
        <w:pStyle w:val="8"/>
        <w:spacing w:line="360" w:lineRule="auto"/>
        <w:ind w:firstLine="480" w:firstLineChars="200"/>
        <w:rPr>
          <w:sz w:val="24"/>
          <w:lang w:eastAsia="zh-CN"/>
        </w:rPr>
      </w:pPr>
      <w:r>
        <w:rPr>
          <w:rFonts w:hint="eastAsia"/>
          <w:sz w:val="24"/>
          <w:lang w:eastAsia="zh-CN"/>
        </w:rPr>
        <w:t>19．1交易响应人应按本交易响应须知有关规定编制前附表第17项规定份数的交易响应文件；如交易响应书未按规定装订、密封，则交易响应书将被拒收；</w:t>
      </w:r>
    </w:p>
    <w:p w14:paraId="2A640D34">
      <w:pPr>
        <w:pStyle w:val="8"/>
        <w:spacing w:line="360" w:lineRule="auto"/>
        <w:ind w:firstLine="540" w:firstLineChars="225"/>
        <w:rPr>
          <w:sz w:val="24"/>
          <w:lang w:eastAsia="zh-CN"/>
        </w:rPr>
      </w:pPr>
      <w:r>
        <w:rPr>
          <w:rFonts w:hint="eastAsia"/>
          <w:sz w:val="24"/>
          <w:lang w:eastAsia="zh-CN"/>
        </w:rPr>
        <w:t>19．2交易响应人提供的电子加密交易响应文件须与纸质交易响应文件一致，不一致时，以电子交易响应文件为准；交易响应人提供的纸质交易响应文件，必须是通过.NCATF文件打印出来的文本标书。</w:t>
      </w:r>
    </w:p>
    <w:p w14:paraId="6FFC8C37">
      <w:pPr>
        <w:pStyle w:val="8"/>
        <w:spacing w:line="360" w:lineRule="auto"/>
        <w:ind w:firstLine="540" w:firstLineChars="225"/>
        <w:rPr>
          <w:sz w:val="24"/>
          <w:lang w:eastAsia="zh-CN"/>
        </w:rPr>
      </w:pPr>
      <w:r>
        <w:rPr>
          <w:rFonts w:hint="eastAsia"/>
          <w:sz w:val="24"/>
          <w:lang w:eastAsia="zh-CN"/>
        </w:rPr>
        <w:t>19．3除交易响应人对错误之处必须修改外，全套交易响应文件应无涂改或行间插字和增删，如有修改，修改处应由交易响应人加盖交易响应人的校对章或由交易响应文件签字人签字或盖章。</w:t>
      </w:r>
    </w:p>
    <w:p w14:paraId="64D9D7D3">
      <w:pPr>
        <w:pStyle w:val="8"/>
        <w:spacing w:line="360" w:lineRule="auto"/>
        <w:ind w:firstLine="720" w:firstLineChars="225"/>
        <w:jc w:val="center"/>
        <w:outlineLvl w:val="1"/>
        <w:rPr>
          <w:sz w:val="32"/>
          <w:lang w:eastAsia="zh-CN"/>
        </w:rPr>
      </w:pPr>
      <w:bookmarkStart w:id="86" w:name="_Toc330378482"/>
      <w:bookmarkStart w:id="87" w:name="_Toc2586"/>
      <w:bookmarkStart w:id="88" w:name="_Toc330288421"/>
      <w:r>
        <w:rPr>
          <w:rFonts w:hint="eastAsia"/>
          <w:sz w:val="32"/>
          <w:lang w:eastAsia="zh-CN"/>
        </w:rPr>
        <w:t>(四)交易响应文件的递交</w:t>
      </w:r>
      <w:bookmarkEnd w:id="86"/>
      <w:bookmarkEnd w:id="87"/>
      <w:bookmarkEnd w:id="88"/>
    </w:p>
    <w:p w14:paraId="64469DB4">
      <w:pPr>
        <w:pStyle w:val="8"/>
        <w:spacing w:line="360" w:lineRule="auto"/>
        <w:ind w:firstLine="540" w:firstLineChars="225"/>
        <w:outlineLvl w:val="2"/>
        <w:rPr>
          <w:sz w:val="24"/>
          <w:lang w:eastAsia="zh-CN"/>
        </w:rPr>
      </w:pPr>
      <w:bookmarkStart w:id="89" w:name="_Toc330378483"/>
      <w:bookmarkStart w:id="90" w:name="_Toc330288422"/>
      <w:bookmarkStart w:id="91" w:name="_Toc542"/>
      <w:r>
        <w:rPr>
          <w:rFonts w:hint="eastAsia"/>
          <w:sz w:val="24"/>
          <w:lang w:eastAsia="zh-CN"/>
        </w:rPr>
        <w:t>20</w:t>
      </w:r>
      <w:r>
        <w:rPr>
          <w:rFonts w:hint="eastAsia" w:hAnsi="宋体"/>
          <w:bCs/>
          <w:sz w:val="24"/>
          <w:lang w:eastAsia="zh-CN"/>
        </w:rPr>
        <w:t>、</w:t>
      </w:r>
      <w:r>
        <w:rPr>
          <w:rFonts w:hint="eastAsia"/>
          <w:sz w:val="24"/>
          <w:lang w:eastAsia="zh-CN"/>
        </w:rPr>
        <w:t>交易响应文件的密封和标记</w:t>
      </w:r>
      <w:bookmarkEnd w:id="89"/>
      <w:bookmarkEnd w:id="90"/>
      <w:bookmarkEnd w:id="91"/>
    </w:p>
    <w:p w14:paraId="5B18B09B">
      <w:pPr>
        <w:pStyle w:val="8"/>
        <w:spacing w:line="360" w:lineRule="auto"/>
        <w:ind w:firstLine="540" w:firstLineChars="225"/>
        <w:rPr>
          <w:sz w:val="24"/>
          <w:lang w:eastAsia="zh-CN"/>
        </w:rPr>
      </w:pPr>
      <w:r>
        <w:rPr>
          <w:rFonts w:hint="eastAsia"/>
          <w:sz w:val="24"/>
          <w:lang w:eastAsia="zh-CN"/>
        </w:rPr>
        <w:t>20．1交易响应人应按前附表的有关条款规定在交易响应截止时间前将交易响应文件上传。</w:t>
      </w:r>
    </w:p>
    <w:p w14:paraId="28E7A153">
      <w:pPr>
        <w:pStyle w:val="8"/>
        <w:spacing w:line="360" w:lineRule="auto"/>
        <w:ind w:firstLine="540" w:firstLineChars="225"/>
        <w:outlineLvl w:val="2"/>
        <w:rPr>
          <w:sz w:val="24"/>
          <w:lang w:eastAsia="zh-CN"/>
        </w:rPr>
      </w:pPr>
      <w:bookmarkStart w:id="92" w:name="_Toc27061"/>
      <w:bookmarkStart w:id="93" w:name="_Toc330378484"/>
      <w:bookmarkStart w:id="94" w:name="_Toc330288423"/>
      <w:r>
        <w:rPr>
          <w:rFonts w:hint="eastAsia"/>
          <w:sz w:val="24"/>
          <w:lang w:eastAsia="zh-CN"/>
        </w:rPr>
        <w:t>21、交易响应截止日期</w:t>
      </w:r>
      <w:bookmarkEnd w:id="92"/>
      <w:bookmarkEnd w:id="93"/>
      <w:bookmarkEnd w:id="94"/>
    </w:p>
    <w:p w14:paraId="188441DB">
      <w:pPr>
        <w:pStyle w:val="8"/>
        <w:spacing w:line="360" w:lineRule="auto"/>
        <w:ind w:firstLine="540" w:firstLineChars="225"/>
        <w:rPr>
          <w:sz w:val="24"/>
          <w:lang w:eastAsia="zh-CN"/>
        </w:rPr>
      </w:pPr>
      <w:r>
        <w:rPr>
          <w:rFonts w:hint="eastAsia"/>
          <w:sz w:val="24"/>
          <w:lang w:eastAsia="zh-CN"/>
        </w:rPr>
        <w:t>21．1交易响应人应按前附表第18项所规定的方式并在交易响应截止时间前将交易响应文件上传。</w:t>
      </w:r>
    </w:p>
    <w:p w14:paraId="4137ED4F">
      <w:pPr>
        <w:pStyle w:val="8"/>
        <w:spacing w:line="360" w:lineRule="auto"/>
        <w:ind w:firstLine="540" w:firstLineChars="225"/>
        <w:rPr>
          <w:sz w:val="24"/>
          <w:lang w:eastAsia="zh-CN"/>
        </w:rPr>
      </w:pPr>
      <w:r>
        <w:rPr>
          <w:rFonts w:hint="eastAsia"/>
          <w:sz w:val="24"/>
          <w:lang w:eastAsia="zh-CN"/>
        </w:rPr>
        <w:t>21．2交易发起人按本须知第9条规定以修改补充通知的方式，酌情延长递交交易响应文件的截止日期。在此情况下,交易响应人的所有权利和义务以及交易响应人受制约的截止日期，均以延长后新的交易响应截止日期为准。</w:t>
      </w:r>
    </w:p>
    <w:p w14:paraId="4DB22C28">
      <w:pPr>
        <w:pStyle w:val="8"/>
        <w:spacing w:line="360" w:lineRule="auto"/>
        <w:ind w:firstLine="540" w:firstLineChars="225"/>
        <w:rPr>
          <w:sz w:val="24"/>
          <w:lang w:eastAsia="zh-CN"/>
        </w:rPr>
      </w:pPr>
      <w:r>
        <w:rPr>
          <w:rFonts w:hint="eastAsia"/>
          <w:sz w:val="24"/>
          <w:lang w:eastAsia="zh-CN"/>
        </w:rPr>
        <w:t>21．3交易响应截止期满后，交易发起人收到的交易响应文件少于法定数的,交易发起人将依法重新组织交易。</w:t>
      </w:r>
    </w:p>
    <w:p w14:paraId="73725656">
      <w:pPr>
        <w:pStyle w:val="8"/>
        <w:spacing w:line="360" w:lineRule="auto"/>
        <w:ind w:firstLine="540" w:firstLineChars="225"/>
        <w:outlineLvl w:val="2"/>
        <w:rPr>
          <w:sz w:val="24"/>
          <w:lang w:eastAsia="zh-CN"/>
        </w:rPr>
      </w:pPr>
      <w:bookmarkStart w:id="95" w:name="_Toc330288424"/>
      <w:bookmarkStart w:id="96" w:name="_Toc330378485"/>
      <w:bookmarkStart w:id="97" w:name="_Toc9462"/>
      <w:r>
        <w:rPr>
          <w:rFonts w:hint="eastAsia"/>
          <w:sz w:val="24"/>
          <w:lang w:eastAsia="zh-CN"/>
        </w:rPr>
        <w:t>22、迟交的交易响应文件</w:t>
      </w:r>
      <w:bookmarkEnd w:id="95"/>
      <w:bookmarkEnd w:id="96"/>
      <w:bookmarkEnd w:id="97"/>
    </w:p>
    <w:p w14:paraId="350234F6">
      <w:pPr>
        <w:pStyle w:val="8"/>
        <w:spacing w:line="360" w:lineRule="auto"/>
        <w:ind w:firstLine="540" w:firstLineChars="225"/>
        <w:rPr>
          <w:sz w:val="24"/>
          <w:lang w:eastAsia="zh-CN"/>
        </w:rPr>
      </w:pPr>
      <w:r>
        <w:rPr>
          <w:rFonts w:hint="eastAsia"/>
          <w:sz w:val="24"/>
          <w:lang w:eastAsia="zh-CN"/>
        </w:rPr>
        <w:t>22．1交易发起人在本须知第21条规定的交易响应截止日期以后收到的交易响应文件,将被拒绝或返回给交易响应人。</w:t>
      </w:r>
    </w:p>
    <w:p w14:paraId="31B4041F">
      <w:pPr>
        <w:pStyle w:val="8"/>
        <w:spacing w:line="360" w:lineRule="auto"/>
        <w:ind w:firstLine="540" w:firstLineChars="225"/>
        <w:outlineLvl w:val="2"/>
        <w:rPr>
          <w:sz w:val="24"/>
          <w:lang w:eastAsia="zh-CN"/>
        </w:rPr>
      </w:pPr>
      <w:bookmarkStart w:id="98" w:name="_Toc14930"/>
      <w:bookmarkStart w:id="99" w:name="_Toc330378486"/>
      <w:bookmarkStart w:id="100" w:name="_Toc330288425"/>
      <w:r>
        <w:rPr>
          <w:rFonts w:hint="eastAsia"/>
          <w:sz w:val="24"/>
          <w:lang w:eastAsia="zh-CN"/>
        </w:rPr>
        <w:t>23、交易响应文件的补充、修改与撤回</w:t>
      </w:r>
      <w:bookmarkEnd w:id="98"/>
      <w:bookmarkEnd w:id="99"/>
      <w:bookmarkEnd w:id="100"/>
    </w:p>
    <w:p w14:paraId="4E69C2A8">
      <w:pPr>
        <w:pStyle w:val="8"/>
        <w:spacing w:line="360" w:lineRule="auto"/>
        <w:ind w:firstLine="540" w:firstLineChars="225"/>
        <w:rPr>
          <w:sz w:val="24"/>
          <w:lang w:eastAsia="zh-CN"/>
        </w:rPr>
      </w:pPr>
      <w:r>
        <w:rPr>
          <w:rFonts w:hint="eastAsia"/>
          <w:sz w:val="24"/>
          <w:lang w:eastAsia="zh-CN"/>
        </w:rPr>
        <w:t>23．1交易响应人在递交交易响应文件以后,在规定的交易响应截止时间之前，可以书面形式补充修改或撤回已提交的交易响应文件，并通知交易发起人。补充、修改的内容为交易响应文件的组成部分。</w:t>
      </w:r>
    </w:p>
    <w:p w14:paraId="3FF4B786">
      <w:pPr>
        <w:pStyle w:val="8"/>
        <w:spacing w:line="360" w:lineRule="auto"/>
        <w:ind w:firstLine="540" w:firstLineChars="225"/>
        <w:rPr>
          <w:sz w:val="24"/>
          <w:lang w:eastAsia="zh-CN"/>
        </w:rPr>
      </w:pPr>
      <w:r>
        <w:rPr>
          <w:rFonts w:hint="eastAsia"/>
          <w:sz w:val="24"/>
          <w:lang w:eastAsia="zh-CN"/>
        </w:rPr>
        <w:t>23．2交易响应撤回通知书也可采用传真的方式，只要交易发起人在交易响应截止日期前收到此传真，但此传真件应满足下列条件:</w:t>
      </w:r>
    </w:p>
    <w:p w14:paraId="6F4640BE">
      <w:pPr>
        <w:pStyle w:val="8"/>
        <w:spacing w:line="360" w:lineRule="auto"/>
        <w:ind w:firstLine="540" w:firstLineChars="225"/>
        <w:rPr>
          <w:sz w:val="24"/>
          <w:lang w:eastAsia="zh-CN"/>
        </w:rPr>
      </w:pPr>
      <w:r>
        <w:rPr>
          <w:rFonts w:hint="eastAsia"/>
          <w:sz w:val="24"/>
          <w:lang w:eastAsia="zh-CN"/>
        </w:rPr>
        <w:t xml:space="preserve"> (1)传真件上应有交易响应人名称、地址、电话并有交易响应人印章；</w:t>
      </w:r>
    </w:p>
    <w:p w14:paraId="4448E63D">
      <w:pPr>
        <w:pStyle w:val="8"/>
        <w:spacing w:line="360" w:lineRule="auto"/>
        <w:ind w:firstLine="540" w:firstLineChars="225"/>
        <w:rPr>
          <w:sz w:val="24"/>
          <w:lang w:eastAsia="zh-CN"/>
        </w:rPr>
      </w:pPr>
      <w:r>
        <w:rPr>
          <w:rFonts w:hint="eastAsia"/>
          <w:sz w:val="24"/>
          <w:lang w:eastAsia="zh-CN"/>
        </w:rPr>
        <w:t xml:space="preserve"> (2)具有本须知第20·2款所要求的标注；</w:t>
      </w:r>
    </w:p>
    <w:p w14:paraId="1F46896A">
      <w:pPr>
        <w:pStyle w:val="8"/>
        <w:spacing w:line="360" w:lineRule="auto"/>
        <w:ind w:firstLine="540" w:firstLineChars="225"/>
        <w:rPr>
          <w:sz w:val="24"/>
          <w:lang w:eastAsia="zh-CN"/>
        </w:rPr>
      </w:pPr>
      <w:r>
        <w:rPr>
          <w:rFonts w:hint="eastAsia"/>
          <w:sz w:val="24"/>
          <w:lang w:eastAsia="zh-CN"/>
        </w:rPr>
        <w:t xml:space="preserve"> (3)非常清楚地标明“撤回”字样；</w:t>
      </w:r>
    </w:p>
    <w:p w14:paraId="578570D4">
      <w:pPr>
        <w:pStyle w:val="8"/>
        <w:spacing w:line="360" w:lineRule="auto"/>
        <w:ind w:firstLine="540" w:firstLineChars="225"/>
        <w:rPr>
          <w:sz w:val="24"/>
          <w:lang w:eastAsia="zh-CN"/>
        </w:rPr>
      </w:pPr>
      <w:r>
        <w:rPr>
          <w:rFonts w:hint="eastAsia"/>
          <w:sz w:val="24"/>
          <w:lang w:eastAsia="zh-CN"/>
        </w:rPr>
        <w:t xml:space="preserve"> (4)有交易响应的签字人签字或随后有经签署的确认文本。</w:t>
      </w:r>
    </w:p>
    <w:p w14:paraId="3D299ED6">
      <w:pPr>
        <w:pStyle w:val="8"/>
        <w:spacing w:line="360" w:lineRule="auto"/>
        <w:ind w:firstLine="540" w:firstLineChars="225"/>
        <w:rPr>
          <w:sz w:val="24"/>
          <w:lang w:eastAsia="zh-CN"/>
        </w:rPr>
      </w:pPr>
      <w:r>
        <w:rPr>
          <w:rFonts w:hint="eastAsia"/>
          <w:sz w:val="24"/>
          <w:lang w:eastAsia="zh-CN"/>
        </w:rPr>
        <w:t>23．3根据本须知第21条规定，在交易响应截止日期以后,不得补充修改交易响应文件。</w:t>
      </w:r>
    </w:p>
    <w:p w14:paraId="7CAE097C">
      <w:pPr>
        <w:pStyle w:val="8"/>
        <w:spacing w:line="360" w:lineRule="auto"/>
        <w:ind w:firstLine="540" w:firstLineChars="225"/>
        <w:rPr>
          <w:sz w:val="24"/>
          <w:lang w:eastAsia="zh-CN"/>
        </w:rPr>
      </w:pPr>
      <w:r>
        <w:rPr>
          <w:rFonts w:hint="eastAsia"/>
          <w:sz w:val="24"/>
          <w:lang w:eastAsia="zh-CN"/>
        </w:rPr>
        <w:t>23．4根据本须知第16·6款规定，在交易响应截止日期至交易响应人在交易响应函中规定的交易响应有效期满之前的这段时间内,交易响应人不得撤回其交易响应文件,否则其交易响应保证金将被没收。</w:t>
      </w:r>
    </w:p>
    <w:p w14:paraId="5BAC4EF3">
      <w:pPr>
        <w:pStyle w:val="8"/>
        <w:spacing w:line="360" w:lineRule="auto"/>
        <w:ind w:firstLine="540" w:firstLineChars="225"/>
        <w:outlineLvl w:val="2"/>
        <w:rPr>
          <w:sz w:val="24"/>
          <w:lang w:eastAsia="zh-CN"/>
        </w:rPr>
      </w:pPr>
      <w:bookmarkStart w:id="101" w:name="_Toc3409"/>
      <w:bookmarkStart w:id="102" w:name="_Toc330378487"/>
      <w:bookmarkStart w:id="103" w:name="_Toc330288426"/>
      <w:r>
        <w:rPr>
          <w:rFonts w:hint="eastAsia"/>
          <w:sz w:val="24"/>
          <w:lang w:eastAsia="zh-CN"/>
        </w:rPr>
        <w:t>24、资格预审材料的更新</w:t>
      </w:r>
      <w:bookmarkEnd w:id="101"/>
      <w:bookmarkEnd w:id="102"/>
      <w:bookmarkEnd w:id="103"/>
    </w:p>
    <w:p w14:paraId="785015FB">
      <w:pPr>
        <w:pStyle w:val="8"/>
        <w:spacing w:line="360" w:lineRule="auto"/>
        <w:ind w:firstLine="540" w:firstLineChars="225"/>
        <w:rPr>
          <w:sz w:val="24"/>
          <w:lang w:eastAsia="zh-CN"/>
        </w:rPr>
      </w:pPr>
      <w:r>
        <w:rPr>
          <w:rFonts w:hint="eastAsia"/>
          <w:sz w:val="24"/>
          <w:lang w:eastAsia="zh-CN"/>
        </w:rPr>
        <w:t>（本项目为资格后审项目，不实施资格预审）</w:t>
      </w:r>
    </w:p>
    <w:p w14:paraId="51B8FB37">
      <w:pPr>
        <w:pStyle w:val="8"/>
        <w:spacing w:line="360" w:lineRule="auto"/>
        <w:ind w:firstLine="540" w:firstLineChars="225"/>
        <w:rPr>
          <w:sz w:val="24"/>
          <w:lang w:eastAsia="zh-CN"/>
        </w:rPr>
      </w:pPr>
      <w:r>
        <w:rPr>
          <w:rFonts w:hint="eastAsia"/>
          <w:sz w:val="24"/>
          <w:lang w:eastAsia="zh-CN"/>
        </w:rPr>
        <w:t>在递交交易响应文件时，交易响应人须对资格预审申请书中的财务状况材料重新更新，以证明其仍满足资格预审评审标准,并且所提供的材料是经过确认的。如果在评审时交易响应人已经不能达到资格标准,其交易响应将被拒绝。</w:t>
      </w:r>
    </w:p>
    <w:p w14:paraId="394C6DF9">
      <w:pPr>
        <w:pStyle w:val="8"/>
        <w:spacing w:line="360" w:lineRule="auto"/>
        <w:ind w:firstLine="720" w:firstLineChars="225"/>
        <w:jc w:val="center"/>
        <w:outlineLvl w:val="1"/>
        <w:rPr>
          <w:bCs/>
          <w:sz w:val="32"/>
          <w:lang w:eastAsia="zh-CN"/>
        </w:rPr>
      </w:pPr>
      <w:bookmarkStart w:id="104" w:name="_Toc25040"/>
      <w:bookmarkStart w:id="105" w:name="_Toc330378488"/>
      <w:bookmarkStart w:id="106" w:name="_Toc330288427"/>
      <w:r>
        <w:rPr>
          <w:rFonts w:hint="eastAsia"/>
          <w:bCs/>
          <w:sz w:val="32"/>
          <w:lang w:eastAsia="zh-CN"/>
        </w:rPr>
        <w:t>(五)</w:t>
      </w:r>
      <w:bookmarkEnd w:id="104"/>
      <w:bookmarkEnd w:id="105"/>
      <w:bookmarkEnd w:id="106"/>
      <w:bookmarkStart w:id="107" w:name="_Toc330288428"/>
      <w:r>
        <w:rPr>
          <w:rFonts w:hint="eastAsia"/>
          <w:bCs/>
          <w:sz w:val="32"/>
          <w:lang w:eastAsia="zh-CN"/>
        </w:rPr>
        <w:t>交易会议</w:t>
      </w:r>
    </w:p>
    <w:p w14:paraId="39CA2A52">
      <w:pPr>
        <w:pStyle w:val="8"/>
        <w:spacing w:line="360" w:lineRule="auto"/>
        <w:ind w:firstLine="540" w:firstLineChars="225"/>
        <w:outlineLvl w:val="2"/>
        <w:rPr>
          <w:sz w:val="24"/>
          <w:lang w:eastAsia="zh-CN"/>
        </w:rPr>
      </w:pPr>
      <w:bookmarkStart w:id="108" w:name="_Toc10195"/>
      <w:bookmarkStart w:id="109" w:name="_Toc330378489"/>
      <w:r>
        <w:rPr>
          <w:rFonts w:hint="eastAsia"/>
          <w:sz w:val="24"/>
          <w:lang w:eastAsia="zh-CN"/>
        </w:rPr>
        <w:t>25、</w:t>
      </w:r>
      <w:bookmarkEnd w:id="107"/>
      <w:bookmarkEnd w:id="108"/>
      <w:bookmarkEnd w:id="109"/>
      <w:r>
        <w:rPr>
          <w:rFonts w:hint="eastAsia"/>
          <w:sz w:val="24"/>
          <w:lang w:eastAsia="zh-CN"/>
        </w:rPr>
        <w:t>交易会议</w:t>
      </w:r>
    </w:p>
    <w:p w14:paraId="7DB566FF">
      <w:pPr>
        <w:pStyle w:val="8"/>
        <w:spacing w:line="360" w:lineRule="auto"/>
        <w:ind w:firstLine="540" w:firstLineChars="225"/>
        <w:rPr>
          <w:sz w:val="24"/>
          <w:lang w:eastAsia="zh-CN"/>
        </w:rPr>
      </w:pPr>
      <w:r>
        <w:rPr>
          <w:rFonts w:hint="eastAsia"/>
          <w:sz w:val="24"/>
          <w:lang w:eastAsia="zh-CN"/>
        </w:rPr>
        <w:t>25．1本交易工程交易发起人将于交易响应截止时间的同一时间即按照本须知前附表第19项所规定的时间和地点公开举行交易会议会议。</w:t>
      </w:r>
    </w:p>
    <w:p w14:paraId="36632D96">
      <w:pPr>
        <w:pStyle w:val="8"/>
        <w:spacing w:line="360" w:lineRule="auto"/>
        <w:ind w:firstLine="540" w:firstLineChars="225"/>
        <w:rPr>
          <w:sz w:val="24"/>
          <w:lang w:eastAsia="zh-CN"/>
        </w:rPr>
      </w:pPr>
      <w:r>
        <w:rPr>
          <w:rFonts w:hint="eastAsia"/>
          <w:sz w:val="24"/>
          <w:lang w:eastAsia="zh-CN"/>
        </w:rPr>
        <w:t>25．2交易会议会议由交易发起人主持。</w:t>
      </w:r>
    </w:p>
    <w:p w14:paraId="6F1303D0">
      <w:pPr>
        <w:pStyle w:val="8"/>
        <w:spacing w:line="360" w:lineRule="auto"/>
        <w:ind w:firstLine="540" w:firstLineChars="225"/>
        <w:rPr>
          <w:color w:val="auto"/>
          <w:sz w:val="24"/>
          <w:highlight w:val="none"/>
          <w:lang w:eastAsia="zh-CN"/>
        </w:rPr>
      </w:pPr>
      <w:r>
        <w:rPr>
          <w:rFonts w:hint="eastAsia"/>
          <w:sz w:val="24"/>
          <w:lang w:eastAsia="zh-CN"/>
        </w:rPr>
        <w:t>25．3交易发起人在交易文件要求提交交易响应文件的截止时间前收到的交易响应文件，交易</w:t>
      </w:r>
      <w:r>
        <w:rPr>
          <w:rFonts w:hint="eastAsia"/>
          <w:color w:val="auto"/>
          <w:sz w:val="24"/>
          <w:highlight w:val="none"/>
          <w:lang w:eastAsia="zh-CN"/>
        </w:rPr>
        <w:t>会议时都应当当众予以拆封、宣读。</w:t>
      </w:r>
    </w:p>
    <w:p w14:paraId="70F31893">
      <w:pPr>
        <w:spacing w:line="360" w:lineRule="auto"/>
        <w:ind w:firstLine="540" w:firstLineChars="225"/>
        <w:rPr>
          <w:rFonts w:ascii="宋体" w:hAnsi="Courier New" w:eastAsia="宋体" w:cs="Courier New"/>
          <w:color w:val="auto"/>
          <w:sz w:val="24"/>
          <w:szCs w:val="21"/>
          <w:highlight w:val="none"/>
          <w:lang w:eastAsia="zh-CN"/>
        </w:rPr>
      </w:pPr>
      <w:r>
        <w:rPr>
          <w:rFonts w:hint="eastAsia" w:ascii="宋体" w:hAnsi="Courier New" w:eastAsia="宋体" w:cs="Courier New"/>
          <w:color w:val="auto"/>
          <w:sz w:val="24"/>
          <w:szCs w:val="21"/>
          <w:highlight w:val="none"/>
          <w:lang w:eastAsia="zh-CN"/>
        </w:rPr>
        <w:t>25.4按规定提交合格撤回通知的交易响应文件不予开封，并退给交易响应人；按本须知第26条规定宣布为无效交易响应文件，不予详细评审。</w:t>
      </w:r>
    </w:p>
    <w:p w14:paraId="40897346">
      <w:pPr>
        <w:pStyle w:val="8"/>
        <w:spacing w:line="360" w:lineRule="auto"/>
        <w:ind w:firstLine="540" w:firstLineChars="225"/>
        <w:rPr>
          <w:color w:val="auto"/>
          <w:sz w:val="24"/>
          <w:highlight w:val="none"/>
          <w:lang w:eastAsia="zh-CN"/>
        </w:rPr>
      </w:pPr>
      <w:r>
        <w:rPr>
          <w:rFonts w:hint="eastAsia"/>
          <w:color w:val="auto"/>
          <w:sz w:val="24"/>
          <w:highlight w:val="none"/>
          <w:lang w:eastAsia="zh-CN"/>
        </w:rPr>
        <w:t>25．5交易发起人（或交易代理机构）将对交易会议过程进行记录，并由交易发起人（或交易代理机构）和交易响应人签字确认后存档备查。</w:t>
      </w:r>
    </w:p>
    <w:p w14:paraId="0A0577D1">
      <w:pPr>
        <w:pStyle w:val="8"/>
        <w:spacing w:line="360" w:lineRule="auto"/>
        <w:ind w:firstLine="540" w:firstLineChars="225"/>
        <w:rPr>
          <w:color w:val="auto"/>
          <w:sz w:val="24"/>
          <w:highlight w:val="none"/>
          <w:lang w:eastAsia="zh-CN"/>
        </w:rPr>
      </w:pPr>
      <w:r>
        <w:rPr>
          <w:rFonts w:hint="eastAsia"/>
          <w:color w:val="auto"/>
          <w:sz w:val="24"/>
          <w:highlight w:val="none"/>
          <w:lang w:eastAsia="zh-CN"/>
        </w:rPr>
        <w:t>25．6交易会议</w:t>
      </w:r>
    </w:p>
    <w:p w14:paraId="74A40883">
      <w:pPr>
        <w:pStyle w:val="8"/>
        <w:spacing w:line="360" w:lineRule="auto"/>
        <w:ind w:firstLine="540" w:firstLineChars="225"/>
        <w:rPr>
          <w:color w:val="auto"/>
          <w:sz w:val="24"/>
          <w:highlight w:val="none"/>
          <w:lang w:eastAsia="zh-CN"/>
        </w:rPr>
      </w:pPr>
      <w:r>
        <w:rPr>
          <w:rFonts w:hint="eastAsia"/>
          <w:color w:val="auto"/>
          <w:sz w:val="24"/>
          <w:highlight w:val="none"/>
          <w:lang w:eastAsia="zh-CN"/>
        </w:rPr>
        <w:t>(1)交易会议由交易发起人主持；</w:t>
      </w:r>
    </w:p>
    <w:p w14:paraId="3A04F9F4">
      <w:pPr>
        <w:pStyle w:val="8"/>
        <w:spacing w:line="360" w:lineRule="auto"/>
        <w:ind w:firstLine="540" w:firstLineChars="225"/>
        <w:rPr>
          <w:color w:val="auto"/>
          <w:sz w:val="24"/>
          <w:highlight w:val="none"/>
          <w:lang w:eastAsia="zh-CN"/>
        </w:rPr>
      </w:pPr>
      <w:r>
        <w:rPr>
          <w:rFonts w:hint="eastAsia"/>
          <w:color w:val="auto"/>
          <w:sz w:val="24"/>
          <w:highlight w:val="none"/>
          <w:lang w:eastAsia="zh-CN"/>
        </w:rPr>
        <w:t>(2)由交易响应人代表或委托的公证机构检查交易响应文件的密封情况；</w:t>
      </w:r>
    </w:p>
    <w:p w14:paraId="405ABBB1">
      <w:pPr>
        <w:pStyle w:val="8"/>
        <w:spacing w:line="360" w:lineRule="auto"/>
        <w:ind w:firstLine="540" w:firstLineChars="225"/>
        <w:rPr>
          <w:color w:val="auto"/>
          <w:sz w:val="24"/>
          <w:highlight w:val="none"/>
          <w:lang w:eastAsia="zh-CN"/>
        </w:rPr>
      </w:pPr>
      <w:r>
        <w:rPr>
          <w:rFonts w:hint="eastAsia"/>
          <w:color w:val="auto"/>
          <w:sz w:val="24"/>
          <w:highlight w:val="none"/>
          <w:lang w:eastAsia="zh-CN"/>
        </w:rPr>
        <w:t>(3)经确认无误后，由有关工作人员当众拆封，宣读交易响应人名称、交易响应报价和交易响应文件的其他主要内容。</w:t>
      </w:r>
    </w:p>
    <w:p w14:paraId="1A105041">
      <w:pPr>
        <w:pStyle w:val="8"/>
        <w:spacing w:line="360" w:lineRule="auto"/>
        <w:ind w:firstLine="542" w:firstLineChars="225"/>
        <w:rPr>
          <w:rFonts w:hAnsi="宋体"/>
          <w:b/>
          <w:color w:val="auto"/>
          <w:sz w:val="24"/>
          <w:highlight w:val="none"/>
          <w:lang w:eastAsia="zh-CN"/>
        </w:rPr>
      </w:pPr>
      <w:r>
        <w:rPr>
          <w:rFonts w:hint="eastAsia" w:hAnsi="宋体"/>
          <w:b/>
          <w:color w:val="auto"/>
          <w:sz w:val="24"/>
          <w:highlight w:val="none"/>
          <w:lang w:eastAsia="zh-CN"/>
        </w:rPr>
        <w:t>25．7交易响应人或其他利害关系人对交易会议有异议的。应当在交易会议现场提出，交易发起人应当场作出答复，并制作记录。</w:t>
      </w:r>
    </w:p>
    <w:p w14:paraId="034EB316">
      <w:pPr>
        <w:pStyle w:val="8"/>
        <w:spacing w:line="360" w:lineRule="auto"/>
        <w:ind w:firstLine="540" w:firstLineChars="225"/>
        <w:outlineLvl w:val="2"/>
        <w:rPr>
          <w:rFonts w:hAnsi="宋体"/>
          <w:bCs/>
          <w:color w:val="auto"/>
          <w:sz w:val="24"/>
          <w:highlight w:val="none"/>
          <w:lang w:eastAsia="zh-CN"/>
        </w:rPr>
      </w:pPr>
      <w:bookmarkStart w:id="110" w:name="_Toc330378490"/>
      <w:bookmarkStart w:id="111" w:name="_Toc330288429"/>
      <w:bookmarkStart w:id="112" w:name="_Toc509407395"/>
      <w:r>
        <w:rPr>
          <w:rFonts w:hint="eastAsia" w:hAnsi="宋体"/>
          <w:bCs/>
          <w:color w:val="auto"/>
          <w:sz w:val="24"/>
          <w:highlight w:val="none"/>
          <w:lang w:eastAsia="zh-CN"/>
        </w:rPr>
        <w:t>26、交易响应文件的</w:t>
      </w:r>
      <w:bookmarkEnd w:id="110"/>
      <w:bookmarkEnd w:id="111"/>
      <w:r>
        <w:rPr>
          <w:rFonts w:hint="eastAsia" w:hAnsi="宋体"/>
          <w:bCs/>
          <w:color w:val="auto"/>
          <w:sz w:val="24"/>
          <w:highlight w:val="none"/>
          <w:lang w:eastAsia="zh-CN"/>
        </w:rPr>
        <w:t>交易会议阶段审查</w:t>
      </w:r>
      <w:bookmarkEnd w:id="112"/>
    </w:p>
    <w:p w14:paraId="6055F0A4">
      <w:pPr>
        <w:spacing w:line="360" w:lineRule="auto"/>
        <w:ind w:firstLine="540" w:firstLineChars="225"/>
        <w:rPr>
          <w:rFonts w:ascii="宋体" w:hAnsi="宋体"/>
          <w:color w:val="auto"/>
          <w:sz w:val="24"/>
          <w:highlight w:val="none"/>
          <w:lang w:eastAsia="zh-CN"/>
        </w:rPr>
      </w:pPr>
      <w:r>
        <w:rPr>
          <w:rFonts w:hint="eastAsia" w:ascii="宋体" w:hAnsi="宋体"/>
          <w:color w:val="auto"/>
          <w:sz w:val="24"/>
          <w:highlight w:val="none"/>
          <w:lang w:eastAsia="zh-CN"/>
        </w:rPr>
        <w:t>26．1</w:t>
      </w:r>
      <w:r>
        <w:rPr>
          <w:rFonts w:hint="eastAsia" w:hAnsi="宋体"/>
          <w:bCs/>
          <w:color w:val="auto"/>
          <w:sz w:val="24"/>
          <w:highlight w:val="none"/>
          <w:lang w:eastAsia="zh-CN"/>
        </w:rPr>
        <w:t>交易响应文件</w:t>
      </w:r>
      <w:r>
        <w:rPr>
          <w:rFonts w:hint="eastAsia" w:ascii="宋体" w:hAnsi="宋体"/>
          <w:color w:val="auto"/>
          <w:sz w:val="24"/>
          <w:highlight w:val="none"/>
          <w:lang w:eastAsia="zh-CN"/>
        </w:rPr>
        <w:t>有下列情形之一的，</w:t>
      </w:r>
      <w:r>
        <w:rPr>
          <w:rFonts w:hint="eastAsia" w:ascii="宋体" w:hAnsi="宋体" w:eastAsia="宋体"/>
          <w:color w:val="auto"/>
          <w:sz w:val="24"/>
          <w:highlight w:val="none"/>
          <w:lang w:eastAsia="zh-CN"/>
        </w:rPr>
        <w:t>交易发起人不予受理</w:t>
      </w:r>
      <w:r>
        <w:rPr>
          <w:rFonts w:hint="eastAsia" w:ascii="宋体" w:hAnsi="宋体"/>
          <w:color w:val="auto"/>
          <w:sz w:val="24"/>
          <w:highlight w:val="none"/>
          <w:lang w:eastAsia="zh-CN"/>
        </w:rPr>
        <w:t>：</w:t>
      </w:r>
    </w:p>
    <w:p w14:paraId="746F1878">
      <w:pPr>
        <w:numPr>
          <w:ilvl w:val="0"/>
          <w:numId w:val="2"/>
        </w:numPr>
        <w:spacing w:line="360" w:lineRule="auto"/>
        <w:ind w:left="120" w:firstLine="540"/>
        <w:rPr>
          <w:rFonts w:ascii="宋体" w:hAnsi="宋体"/>
          <w:color w:val="auto"/>
          <w:sz w:val="24"/>
          <w:highlight w:val="none"/>
          <w:lang w:eastAsia="zh-CN"/>
        </w:rPr>
      </w:pPr>
      <w:r>
        <w:rPr>
          <w:rFonts w:hint="eastAsia" w:ascii="宋体" w:hAnsi="宋体"/>
          <w:color w:val="auto"/>
          <w:sz w:val="24"/>
          <w:highlight w:val="none"/>
          <w:lang w:eastAsia="zh-CN"/>
        </w:rPr>
        <w:t>逾期送达的或者未送达指定地点的；</w:t>
      </w:r>
    </w:p>
    <w:p w14:paraId="498E7287">
      <w:pPr>
        <w:numPr>
          <w:ilvl w:val="0"/>
          <w:numId w:val="2"/>
        </w:numPr>
        <w:spacing w:line="360" w:lineRule="auto"/>
        <w:ind w:left="120" w:firstLine="540"/>
        <w:rPr>
          <w:rFonts w:ascii="宋体" w:hAnsi="宋体"/>
          <w:color w:val="auto"/>
          <w:sz w:val="24"/>
          <w:highlight w:val="none"/>
        </w:rPr>
      </w:pPr>
      <w:r>
        <w:rPr>
          <w:rFonts w:hint="eastAsia" w:ascii="宋体" w:hAnsi="宋体"/>
          <w:color w:val="auto"/>
          <w:sz w:val="24"/>
          <w:highlight w:val="none"/>
        </w:rPr>
        <w:t>未按</w:t>
      </w:r>
      <w:r>
        <w:rPr>
          <w:rFonts w:hint="eastAsia" w:ascii="宋体" w:hAnsi="宋体"/>
          <w:color w:val="auto"/>
          <w:sz w:val="24"/>
          <w:highlight w:val="none"/>
          <w:lang w:eastAsia="zh-CN"/>
        </w:rPr>
        <w:t>交易</w:t>
      </w:r>
      <w:r>
        <w:rPr>
          <w:rFonts w:hint="eastAsia" w:ascii="宋体" w:hAnsi="宋体"/>
          <w:color w:val="auto"/>
          <w:sz w:val="24"/>
          <w:highlight w:val="none"/>
        </w:rPr>
        <w:t>文件要求密封的；</w:t>
      </w:r>
    </w:p>
    <w:p w14:paraId="7EAF74E0">
      <w:pPr>
        <w:pStyle w:val="8"/>
        <w:spacing w:line="360" w:lineRule="auto"/>
        <w:ind w:firstLine="540" w:firstLineChars="225"/>
        <w:rPr>
          <w:color w:val="auto"/>
          <w:sz w:val="24"/>
          <w:highlight w:val="none"/>
          <w:lang w:eastAsia="zh-CN"/>
        </w:rPr>
      </w:pPr>
    </w:p>
    <w:p w14:paraId="6864A796">
      <w:pPr>
        <w:pStyle w:val="8"/>
        <w:spacing w:line="360" w:lineRule="auto"/>
        <w:ind w:firstLine="720" w:firstLineChars="225"/>
        <w:jc w:val="center"/>
        <w:outlineLvl w:val="1"/>
        <w:rPr>
          <w:rFonts w:hint="eastAsia"/>
          <w:bCs/>
          <w:color w:val="auto"/>
          <w:sz w:val="32"/>
          <w:highlight w:val="none"/>
          <w:lang w:eastAsia="zh-CN"/>
        </w:rPr>
      </w:pPr>
      <w:bookmarkStart w:id="113" w:name="_Toc7928"/>
      <w:bookmarkStart w:id="114" w:name="_Toc330288430"/>
      <w:bookmarkStart w:id="115" w:name="_Toc330378491"/>
    </w:p>
    <w:p w14:paraId="086E3674">
      <w:pPr>
        <w:pStyle w:val="8"/>
        <w:spacing w:line="360" w:lineRule="auto"/>
        <w:ind w:firstLine="720" w:firstLineChars="225"/>
        <w:jc w:val="center"/>
        <w:outlineLvl w:val="1"/>
        <w:rPr>
          <w:rFonts w:hint="eastAsia"/>
          <w:bCs/>
          <w:sz w:val="32"/>
          <w:lang w:eastAsia="zh-CN"/>
        </w:rPr>
      </w:pPr>
    </w:p>
    <w:p w14:paraId="6E6EB11A">
      <w:pPr>
        <w:pStyle w:val="8"/>
        <w:spacing w:line="360" w:lineRule="auto"/>
        <w:ind w:firstLine="720" w:firstLineChars="225"/>
        <w:jc w:val="center"/>
        <w:outlineLvl w:val="1"/>
        <w:rPr>
          <w:rFonts w:hint="eastAsia"/>
          <w:bCs/>
          <w:sz w:val="32"/>
          <w:lang w:eastAsia="zh-CN"/>
        </w:rPr>
      </w:pPr>
    </w:p>
    <w:p w14:paraId="08F9B400">
      <w:pPr>
        <w:pStyle w:val="8"/>
        <w:spacing w:line="360" w:lineRule="auto"/>
        <w:ind w:firstLine="720" w:firstLineChars="225"/>
        <w:jc w:val="center"/>
        <w:outlineLvl w:val="1"/>
        <w:rPr>
          <w:bCs/>
          <w:sz w:val="32"/>
          <w:lang w:eastAsia="zh-CN"/>
        </w:rPr>
      </w:pPr>
      <w:r>
        <w:rPr>
          <w:rFonts w:hint="eastAsia"/>
          <w:bCs/>
          <w:sz w:val="32"/>
          <w:lang w:eastAsia="zh-CN"/>
        </w:rPr>
        <w:t>(六)</w:t>
      </w:r>
      <w:bookmarkEnd w:id="113"/>
      <w:bookmarkEnd w:id="114"/>
      <w:bookmarkEnd w:id="115"/>
      <w:r>
        <w:rPr>
          <w:rFonts w:hint="eastAsia"/>
          <w:bCs/>
          <w:sz w:val="32"/>
          <w:lang w:eastAsia="zh-CN"/>
        </w:rPr>
        <w:t>评审</w:t>
      </w:r>
    </w:p>
    <w:p w14:paraId="5605067E">
      <w:pPr>
        <w:pStyle w:val="8"/>
        <w:spacing w:line="360" w:lineRule="auto"/>
        <w:ind w:firstLine="540" w:firstLineChars="225"/>
        <w:outlineLvl w:val="2"/>
        <w:rPr>
          <w:rFonts w:hAnsi="宋体"/>
          <w:bCs/>
          <w:sz w:val="24"/>
          <w:szCs w:val="24"/>
          <w:lang w:eastAsia="zh-CN"/>
        </w:rPr>
      </w:pPr>
      <w:bookmarkStart w:id="116" w:name="_Toc4833"/>
      <w:r>
        <w:rPr>
          <w:rFonts w:hint="eastAsia" w:hAnsi="宋体"/>
          <w:bCs/>
          <w:sz w:val="24"/>
          <w:szCs w:val="24"/>
          <w:lang w:eastAsia="zh-CN"/>
        </w:rPr>
        <w:t>27、评审会议</w:t>
      </w:r>
      <w:bookmarkEnd w:id="116"/>
    </w:p>
    <w:p w14:paraId="4E9E8949">
      <w:pPr>
        <w:pStyle w:val="8"/>
        <w:spacing w:line="360" w:lineRule="auto"/>
        <w:ind w:firstLine="540" w:firstLineChars="225"/>
        <w:rPr>
          <w:rFonts w:hAnsi="宋体"/>
          <w:bCs/>
          <w:sz w:val="24"/>
          <w:szCs w:val="24"/>
          <w:lang w:eastAsia="zh-CN"/>
        </w:rPr>
      </w:pPr>
      <w:r>
        <w:rPr>
          <w:rFonts w:hint="eastAsia" w:hAnsi="宋体"/>
          <w:bCs/>
          <w:sz w:val="24"/>
          <w:szCs w:val="24"/>
          <w:lang w:eastAsia="zh-CN"/>
        </w:rPr>
        <w:t>27．1交易会议会议结束后，召开评审会议，评审会议采用保密方式进行。</w:t>
      </w:r>
    </w:p>
    <w:p w14:paraId="169FF488">
      <w:pPr>
        <w:pStyle w:val="8"/>
        <w:spacing w:line="360" w:lineRule="auto"/>
        <w:ind w:firstLine="540" w:firstLineChars="225"/>
        <w:outlineLvl w:val="2"/>
        <w:rPr>
          <w:rFonts w:hAnsi="宋体"/>
          <w:bCs/>
          <w:sz w:val="24"/>
          <w:szCs w:val="24"/>
          <w:lang w:eastAsia="zh-CN"/>
        </w:rPr>
      </w:pPr>
      <w:bookmarkStart w:id="117" w:name="_Toc11983"/>
      <w:r>
        <w:rPr>
          <w:rFonts w:hint="eastAsia" w:hAnsi="宋体"/>
          <w:bCs/>
          <w:sz w:val="24"/>
          <w:szCs w:val="24"/>
          <w:lang w:eastAsia="zh-CN"/>
        </w:rPr>
        <w:t>28、评审过程的保密</w:t>
      </w:r>
      <w:bookmarkEnd w:id="117"/>
    </w:p>
    <w:p w14:paraId="36532C3E">
      <w:pPr>
        <w:pStyle w:val="8"/>
        <w:spacing w:line="360" w:lineRule="auto"/>
        <w:ind w:firstLine="540" w:firstLineChars="225"/>
        <w:rPr>
          <w:rFonts w:hAnsi="宋体"/>
          <w:bCs/>
          <w:sz w:val="24"/>
          <w:szCs w:val="24"/>
          <w:lang w:eastAsia="zh-CN"/>
        </w:rPr>
      </w:pPr>
      <w:r>
        <w:rPr>
          <w:rFonts w:hint="eastAsia" w:hAnsi="宋体"/>
          <w:bCs/>
          <w:sz w:val="24"/>
          <w:szCs w:val="24"/>
          <w:lang w:eastAsia="zh-CN"/>
        </w:rPr>
        <w:t>28．1公开交易会议后，直到授予成交人合同为止，凡属于对交易响应文件的审查、澄清、评价和比较的有关资料以及成交候选人的推荐情况、与评审有关的其他任何情况均应严格保密。</w:t>
      </w:r>
    </w:p>
    <w:p w14:paraId="68F215BE">
      <w:pPr>
        <w:pStyle w:val="8"/>
        <w:spacing w:line="360" w:lineRule="auto"/>
        <w:ind w:firstLine="540" w:firstLineChars="225"/>
        <w:rPr>
          <w:rFonts w:hAnsi="宋体"/>
          <w:bCs/>
          <w:sz w:val="24"/>
          <w:szCs w:val="24"/>
          <w:lang w:eastAsia="zh-CN"/>
        </w:rPr>
      </w:pPr>
      <w:r>
        <w:rPr>
          <w:rFonts w:hint="eastAsia" w:hAnsi="宋体"/>
          <w:bCs/>
          <w:sz w:val="24"/>
          <w:szCs w:val="24"/>
          <w:lang w:eastAsia="zh-CN"/>
        </w:rPr>
        <w:t>28．2在交易响应文件的评审和比较、成交侯选人推荐以及授予合同的过程中，交易响应人如试图向交易发起人（或交易代理机构）施加影响的任何行为，都将会导致其交易响应被拒绝。</w:t>
      </w:r>
    </w:p>
    <w:p w14:paraId="61C3B3E3">
      <w:pPr>
        <w:pStyle w:val="8"/>
        <w:spacing w:line="360" w:lineRule="auto"/>
        <w:ind w:firstLine="540" w:firstLineChars="225"/>
        <w:rPr>
          <w:rFonts w:hAnsi="宋体"/>
          <w:bCs/>
          <w:sz w:val="24"/>
          <w:szCs w:val="24"/>
          <w:lang w:eastAsia="zh-CN"/>
        </w:rPr>
      </w:pPr>
      <w:r>
        <w:rPr>
          <w:rFonts w:hint="eastAsia" w:hAnsi="宋体"/>
          <w:bCs/>
          <w:sz w:val="24"/>
          <w:szCs w:val="24"/>
          <w:lang w:eastAsia="zh-CN"/>
        </w:rPr>
        <w:t>28．3合同授予后，交易发起人不对未成交人就评审过程情况以及未能成交原因作任何解释。未成交人不得向评委或其他有关人员处获取评审过程的情况和材料。</w:t>
      </w:r>
    </w:p>
    <w:p w14:paraId="3F956AC6">
      <w:pPr>
        <w:pStyle w:val="8"/>
        <w:spacing w:line="360" w:lineRule="auto"/>
        <w:ind w:firstLine="540" w:firstLineChars="225"/>
        <w:outlineLvl w:val="2"/>
        <w:rPr>
          <w:rFonts w:hAnsi="宋体"/>
          <w:bCs/>
          <w:sz w:val="24"/>
          <w:szCs w:val="24"/>
          <w:lang w:eastAsia="zh-CN"/>
        </w:rPr>
      </w:pPr>
      <w:bookmarkStart w:id="118" w:name="_Toc32569"/>
      <w:r>
        <w:rPr>
          <w:rFonts w:hint="eastAsia" w:hAnsi="宋体"/>
          <w:bCs/>
          <w:sz w:val="24"/>
          <w:szCs w:val="24"/>
          <w:lang w:eastAsia="zh-CN"/>
        </w:rPr>
        <w:t>29、资格后审</w:t>
      </w:r>
      <w:bookmarkEnd w:id="118"/>
    </w:p>
    <w:p w14:paraId="09084AFC">
      <w:pPr>
        <w:pStyle w:val="8"/>
        <w:spacing w:line="360" w:lineRule="auto"/>
        <w:ind w:firstLine="540" w:firstLineChars="225"/>
        <w:rPr>
          <w:rFonts w:hAnsi="宋体"/>
          <w:bCs/>
          <w:sz w:val="24"/>
          <w:szCs w:val="24"/>
          <w:lang w:eastAsia="zh-CN"/>
        </w:rPr>
      </w:pPr>
      <w:r>
        <w:rPr>
          <w:rFonts w:hint="eastAsia" w:hAnsi="宋体"/>
          <w:bCs/>
          <w:sz w:val="24"/>
          <w:szCs w:val="24"/>
          <w:lang w:eastAsia="zh-CN"/>
        </w:rPr>
        <w:t>29．1如果未对交易响应人进行资格预审，可在评审前对交易响应人进行资格后审，审查其是否有能力和条件有效地履行合同义务。如交易响应人未达到交易文件规定的能力和条件，</w:t>
      </w:r>
      <w:r>
        <w:rPr>
          <w:rFonts w:hint="eastAsia" w:hAnsi="宋体"/>
          <w:bCs/>
          <w:sz w:val="24"/>
          <w:szCs w:val="24"/>
          <w:highlight w:val="none"/>
          <w:lang w:eastAsia="zh-CN"/>
        </w:rPr>
        <w:t>其交易响应资格将被取消</w:t>
      </w:r>
      <w:r>
        <w:rPr>
          <w:rFonts w:hint="eastAsia" w:hAnsi="宋体"/>
          <w:bCs/>
          <w:sz w:val="24"/>
          <w:szCs w:val="24"/>
          <w:lang w:eastAsia="zh-CN"/>
        </w:rPr>
        <w:t>，不进行评审。</w:t>
      </w:r>
    </w:p>
    <w:p w14:paraId="399CE9B2">
      <w:pPr>
        <w:spacing w:line="360" w:lineRule="auto"/>
        <w:ind w:firstLine="540" w:firstLineChars="225"/>
        <w:rPr>
          <w:rFonts w:ascii="宋体" w:hAnsi="宋体"/>
          <w:sz w:val="24"/>
          <w:lang w:eastAsia="zh-CN"/>
        </w:rPr>
      </w:pPr>
      <w:r>
        <w:rPr>
          <w:rFonts w:hint="eastAsia" w:ascii="宋体" w:hAnsi="宋体"/>
          <w:sz w:val="24"/>
          <w:lang w:eastAsia="zh-CN"/>
        </w:rPr>
        <w:t>29．2交易响应文件出现下列情部之一的，</w:t>
      </w:r>
      <w:r>
        <w:rPr>
          <w:rFonts w:hint="eastAsia" w:ascii="宋体" w:hAnsi="宋体"/>
          <w:sz w:val="24"/>
          <w:highlight w:val="none"/>
          <w:lang w:eastAsia="zh-CN"/>
        </w:rPr>
        <w:t>作取消交易响应资格处理：</w:t>
      </w:r>
    </w:p>
    <w:p w14:paraId="5FA71BFD">
      <w:pPr>
        <w:spacing w:line="360" w:lineRule="auto"/>
        <w:ind w:firstLine="540" w:firstLineChars="225"/>
        <w:rPr>
          <w:rFonts w:ascii="宋体" w:hAnsi="宋体"/>
          <w:sz w:val="24"/>
          <w:lang w:eastAsia="zh-CN"/>
        </w:rPr>
      </w:pPr>
      <w:r>
        <w:rPr>
          <w:rFonts w:hint="eastAsia" w:ascii="宋体" w:hAnsi="宋体"/>
          <w:sz w:val="24"/>
          <w:lang w:eastAsia="zh-CN"/>
        </w:rPr>
        <w:t>评审小组依照交易文件的规定，对交易响应人的交易响应资格进行符合性审查。交易响应人存在以下情况之一的，资格审查不予通过予以</w:t>
      </w:r>
      <w:r>
        <w:rPr>
          <w:rFonts w:hint="eastAsia" w:ascii="宋体" w:hAnsi="宋体"/>
          <w:sz w:val="24"/>
          <w:highlight w:val="none"/>
          <w:lang w:eastAsia="zh-CN"/>
        </w:rPr>
        <w:t>取消交易响应资格</w:t>
      </w:r>
      <w:r>
        <w:rPr>
          <w:rFonts w:hint="eastAsia" w:ascii="宋体" w:hAnsi="宋体"/>
          <w:sz w:val="24"/>
          <w:lang w:eastAsia="zh-CN"/>
        </w:rPr>
        <w:t>，不再进行下一步评审：</w:t>
      </w:r>
    </w:p>
    <w:p w14:paraId="77610C73">
      <w:pPr>
        <w:spacing w:line="360" w:lineRule="auto"/>
        <w:ind w:firstLine="540" w:firstLineChars="225"/>
        <w:rPr>
          <w:rFonts w:ascii="黑体" w:hAnsi="黑体" w:eastAsia="黑体"/>
          <w:sz w:val="24"/>
          <w:lang w:eastAsia="zh-CN"/>
        </w:rPr>
      </w:pPr>
      <w:r>
        <w:rPr>
          <w:rFonts w:hint="eastAsia" w:ascii="黑体" w:hAnsi="黑体" w:eastAsia="黑体"/>
          <w:sz w:val="24"/>
          <w:lang w:eastAsia="zh-CN"/>
        </w:rPr>
        <w:t>（一）交易响应人不满足交易文件载明的企业资质、项目经理资格、安全生产许可证（如行业规定不作要求的除外）等条件和标准的；【包括1、企业安全生产许可证过期，2、企业停止市场活动，3、企业资质不符合要求，4、建造师停止市场活动，5、建造师无安全考核证</w:t>
      </w:r>
      <w:r>
        <w:rPr>
          <w:rFonts w:hint="eastAsia" w:ascii="黑体" w:hAnsi="宋体" w:eastAsia="黑体"/>
          <w:sz w:val="24"/>
          <w:lang w:eastAsia="zh-CN"/>
        </w:rPr>
        <w:t>书（B证）（如行业规定不作要求的除外），6、建造师安全考核证书（B证）过期</w:t>
      </w:r>
      <w:r>
        <w:rPr>
          <w:rFonts w:hint="eastAsia" w:ascii="黑体" w:hAnsi="黑体" w:eastAsia="黑体"/>
          <w:sz w:val="24"/>
          <w:lang w:eastAsia="zh-CN"/>
        </w:rPr>
        <w:t>，</w:t>
      </w:r>
      <w:r>
        <w:rPr>
          <w:rFonts w:hint="eastAsia" w:ascii="黑体" w:hAnsi="宋体" w:eastAsia="黑体"/>
          <w:sz w:val="24"/>
          <w:lang w:eastAsia="zh-CN"/>
        </w:rPr>
        <w:t>7、</w:t>
      </w:r>
      <w:r>
        <w:rPr>
          <w:rFonts w:hint="eastAsia" w:ascii="黑体" w:hAnsi="黑体" w:eastAsia="黑体"/>
          <w:sz w:val="24"/>
          <w:lang w:eastAsia="zh-CN"/>
        </w:rPr>
        <w:t>建造师有在建项目，8、建造师资格不符合要求，9、建造师资格过期，10、项目经理缴纳的社会保险不符合交易文件要求或存在同时在两家及以上用人单位缴纳社会保险或多地参保现象的，11、交易会议委托人缴纳的社会保险不符合交易文件要求或存在同时在两家及以上用人单位缴纳社会保险或多地参保现象的。】</w:t>
      </w:r>
    </w:p>
    <w:p w14:paraId="79C43456">
      <w:pPr>
        <w:spacing w:line="360" w:lineRule="auto"/>
        <w:ind w:firstLine="540" w:firstLineChars="225"/>
        <w:rPr>
          <w:rFonts w:ascii="宋体" w:hAnsi="宋体"/>
          <w:sz w:val="24"/>
          <w:lang w:eastAsia="zh-CN"/>
        </w:rPr>
      </w:pPr>
      <w:r>
        <w:rPr>
          <w:rFonts w:hint="eastAsia" w:ascii="宋体" w:hAnsi="宋体"/>
          <w:sz w:val="24"/>
          <w:lang w:eastAsia="zh-CN"/>
        </w:rPr>
        <w:t>（二）交易响应人未按照交易文件的要求提交交易响应担保的；</w:t>
      </w:r>
    </w:p>
    <w:p w14:paraId="74917C14">
      <w:pPr>
        <w:spacing w:line="360" w:lineRule="auto"/>
        <w:ind w:firstLine="540" w:firstLineChars="225"/>
        <w:rPr>
          <w:rFonts w:ascii="宋体" w:hAnsi="宋体"/>
          <w:sz w:val="24"/>
          <w:lang w:eastAsia="zh-CN"/>
        </w:rPr>
      </w:pPr>
      <w:r>
        <w:rPr>
          <w:rFonts w:hint="eastAsia" w:ascii="宋体" w:hAnsi="宋体"/>
          <w:sz w:val="24"/>
          <w:lang w:eastAsia="zh-CN"/>
        </w:rPr>
        <w:t>（三）被有关行政监管部门通报限制交易响应且在限制期内的（以相关行政部门公布的受限地域范围为准）；</w:t>
      </w:r>
    </w:p>
    <w:p w14:paraId="39EF6E95">
      <w:pPr>
        <w:spacing w:line="360" w:lineRule="auto"/>
        <w:ind w:firstLine="540" w:firstLineChars="225"/>
        <w:rPr>
          <w:rFonts w:ascii="宋体" w:hAnsi="宋体"/>
          <w:sz w:val="24"/>
          <w:lang w:eastAsia="zh-CN"/>
        </w:rPr>
      </w:pPr>
      <w:r>
        <w:rPr>
          <w:rFonts w:hint="eastAsia" w:ascii="宋体" w:hAnsi="宋体"/>
          <w:sz w:val="24"/>
          <w:lang w:eastAsia="zh-CN"/>
        </w:rPr>
        <w:t>（四）全国范围内发生重特大安全生产事故或骗取成交，严重违约等情形，被行政主管部门处理的（以处理文件生效日起为准）；</w:t>
      </w:r>
    </w:p>
    <w:p w14:paraId="50375906">
      <w:pPr>
        <w:spacing w:line="360" w:lineRule="auto"/>
        <w:ind w:firstLine="540" w:firstLineChars="225"/>
        <w:rPr>
          <w:rFonts w:ascii="宋体" w:hAnsi="宋体"/>
          <w:sz w:val="24"/>
          <w:lang w:eastAsia="zh-CN"/>
        </w:rPr>
      </w:pPr>
      <w:r>
        <w:rPr>
          <w:rFonts w:hint="eastAsia" w:ascii="宋体" w:hAnsi="宋体"/>
          <w:sz w:val="24"/>
          <w:lang w:eastAsia="zh-CN"/>
        </w:rPr>
        <w:t>（五）交易响应报价不在优惠幅度范围内的。</w:t>
      </w:r>
    </w:p>
    <w:p w14:paraId="47CDD885">
      <w:pPr>
        <w:spacing w:line="360" w:lineRule="auto"/>
        <w:ind w:firstLine="540" w:firstLineChars="225"/>
        <w:rPr>
          <w:rFonts w:ascii="宋体" w:hAnsi="宋体"/>
          <w:sz w:val="24"/>
          <w:lang w:eastAsia="zh-CN"/>
        </w:rPr>
      </w:pPr>
      <w:r>
        <w:rPr>
          <w:rFonts w:hint="eastAsia" w:ascii="宋体" w:hAnsi="宋体"/>
          <w:sz w:val="24"/>
          <w:lang w:eastAsia="zh-CN"/>
        </w:rPr>
        <w:t>交易响应人在交易会议前自行在“淳安县公共资源交易网会员业务系统申报模块”上传企业基本信息，交易会议、评审时由评审小组对交易响应人企业资质和从业人员资格进行核对（核验企业和注册建造师）作为资格审查条件第（一）项的依据。</w:t>
      </w:r>
    </w:p>
    <w:p w14:paraId="7A08FBB5">
      <w:pPr>
        <w:spacing w:line="360" w:lineRule="auto"/>
        <w:ind w:firstLine="540" w:firstLineChars="225"/>
        <w:rPr>
          <w:rFonts w:ascii="宋体" w:hAnsi="宋体"/>
          <w:sz w:val="24"/>
          <w:lang w:eastAsia="zh-CN"/>
        </w:rPr>
      </w:pPr>
      <w:r>
        <w:rPr>
          <w:rFonts w:hint="eastAsia" w:ascii="宋体" w:hAnsi="宋体"/>
          <w:sz w:val="24"/>
          <w:lang w:eastAsia="zh-CN"/>
        </w:rPr>
        <w:t>（六）不同交易响应人的交易响应文件检测码一致的</w:t>
      </w:r>
    </w:p>
    <w:p w14:paraId="727C3B44">
      <w:pPr>
        <w:pStyle w:val="8"/>
        <w:spacing w:line="360" w:lineRule="auto"/>
        <w:ind w:firstLine="540" w:firstLineChars="225"/>
        <w:rPr>
          <w:rFonts w:hAnsi="宋体"/>
          <w:bCs/>
          <w:sz w:val="24"/>
          <w:szCs w:val="24"/>
          <w:lang w:eastAsia="zh-CN"/>
        </w:rPr>
      </w:pPr>
      <w:r>
        <w:rPr>
          <w:rFonts w:hint="eastAsia" w:hAnsi="宋体"/>
          <w:sz w:val="24"/>
          <w:lang w:eastAsia="zh-CN"/>
        </w:rPr>
        <w:t>（七）资格审查条件（二）项根据提交的交易响应保证金缴纳凭证及企业基本账户开户银行出具的银行保函进行评审。</w:t>
      </w:r>
    </w:p>
    <w:p w14:paraId="619A757D">
      <w:pPr>
        <w:pStyle w:val="8"/>
        <w:spacing w:line="360" w:lineRule="auto"/>
        <w:ind w:firstLine="540" w:firstLineChars="225"/>
        <w:outlineLvl w:val="2"/>
        <w:rPr>
          <w:rFonts w:hAnsi="宋体"/>
          <w:bCs/>
          <w:sz w:val="24"/>
          <w:szCs w:val="24"/>
          <w:lang w:eastAsia="zh-CN"/>
        </w:rPr>
      </w:pPr>
      <w:bookmarkStart w:id="119" w:name="_Toc16333"/>
      <w:r>
        <w:rPr>
          <w:rFonts w:hint="eastAsia" w:hAnsi="宋体"/>
          <w:bCs/>
          <w:sz w:val="24"/>
          <w:szCs w:val="24"/>
          <w:lang w:eastAsia="zh-CN"/>
        </w:rPr>
        <w:t>30、交易响应文件的澄清</w:t>
      </w:r>
      <w:bookmarkEnd w:id="119"/>
    </w:p>
    <w:p w14:paraId="4DCC0D80">
      <w:pPr>
        <w:pStyle w:val="8"/>
        <w:spacing w:line="360" w:lineRule="auto"/>
        <w:ind w:firstLine="540" w:firstLineChars="225"/>
        <w:rPr>
          <w:rFonts w:hAnsi="宋体"/>
          <w:bCs/>
          <w:sz w:val="24"/>
          <w:szCs w:val="24"/>
          <w:lang w:eastAsia="zh-CN"/>
        </w:rPr>
      </w:pPr>
      <w:r>
        <w:rPr>
          <w:rFonts w:hint="eastAsia" w:hAnsi="宋体"/>
          <w:bCs/>
          <w:sz w:val="24"/>
          <w:szCs w:val="24"/>
          <w:lang w:eastAsia="zh-CN"/>
        </w:rPr>
        <w:t>30．1为了有助于交易响应文件的审查、评价和比较，交易发起人（或交易代理机构）可以用书面形式要求交易响应人对交易响应文件含义不明确的内容作必要的澄清或者说明。有关澄清说明与答复，交易响应人应以书面形式进行，但对交易响应报价和实质性的内容不得更改。根据本须知第32条，凡属于在评审中发现的算术错误进行核实的修改不在此列。</w:t>
      </w:r>
    </w:p>
    <w:p w14:paraId="20A48A87">
      <w:pPr>
        <w:pStyle w:val="8"/>
        <w:spacing w:line="360" w:lineRule="auto"/>
        <w:ind w:firstLine="540" w:firstLineChars="225"/>
        <w:outlineLvl w:val="2"/>
        <w:rPr>
          <w:rFonts w:hAnsi="宋体"/>
          <w:bCs/>
          <w:sz w:val="24"/>
          <w:szCs w:val="24"/>
          <w:lang w:eastAsia="zh-CN"/>
        </w:rPr>
      </w:pPr>
      <w:bookmarkStart w:id="120" w:name="_Toc19787"/>
      <w:r>
        <w:rPr>
          <w:rFonts w:hint="eastAsia" w:hAnsi="宋体"/>
          <w:bCs/>
          <w:sz w:val="24"/>
          <w:szCs w:val="24"/>
          <w:lang w:eastAsia="zh-CN"/>
        </w:rPr>
        <w:t>31、交易响应文件的符合性鉴定</w:t>
      </w:r>
      <w:bookmarkEnd w:id="120"/>
    </w:p>
    <w:p w14:paraId="04491CD2">
      <w:pPr>
        <w:pStyle w:val="8"/>
        <w:spacing w:line="360" w:lineRule="auto"/>
        <w:ind w:firstLine="540" w:firstLineChars="225"/>
        <w:rPr>
          <w:rFonts w:hAnsi="宋体"/>
          <w:bCs/>
          <w:sz w:val="24"/>
          <w:szCs w:val="24"/>
          <w:lang w:eastAsia="zh-CN"/>
        </w:rPr>
      </w:pPr>
      <w:r>
        <w:rPr>
          <w:rFonts w:hint="eastAsia" w:hAnsi="宋体"/>
          <w:bCs/>
          <w:sz w:val="24"/>
          <w:szCs w:val="24"/>
          <w:lang w:eastAsia="zh-CN"/>
        </w:rPr>
        <w:t>31．1交易会议后，交易响应文件经审查符合本须知第26.1条规定的交易响应文件由交易发起人（或交易代理机构）进行评审。</w:t>
      </w:r>
    </w:p>
    <w:p w14:paraId="52D98D96">
      <w:pPr>
        <w:pStyle w:val="8"/>
        <w:spacing w:line="360" w:lineRule="auto"/>
        <w:ind w:firstLine="540" w:firstLineChars="225"/>
        <w:rPr>
          <w:rFonts w:hAnsi="宋体"/>
          <w:bCs/>
          <w:sz w:val="24"/>
          <w:szCs w:val="24"/>
          <w:lang w:eastAsia="zh-CN"/>
        </w:rPr>
      </w:pPr>
      <w:r>
        <w:rPr>
          <w:rFonts w:hint="eastAsia" w:hAnsi="宋体"/>
          <w:bCs/>
          <w:sz w:val="24"/>
          <w:szCs w:val="24"/>
          <w:lang w:eastAsia="zh-CN"/>
        </w:rPr>
        <w:t>31．2评审时，交易发起人（或交易代理机构）将首先评定交易响应文件是否在实质上响应了交易文件的要求，所谓实质上响应是指交易响应文件应与交易文件的所有实质性条款、条件和规定相符，无显著差异或保留，或者对合同中约定的交易发起人的权利和交易响应人的义务方面造成重大的限制，纠正这些显著差异或保留将会对其他实质上响应交易文件要求的交易响应文件的交易响应人的竞争地位产生不公正的影响。</w:t>
      </w:r>
    </w:p>
    <w:p w14:paraId="6EB24A75">
      <w:pPr>
        <w:pStyle w:val="8"/>
        <w:spacing w:line="360" w:lineRule="auto"/>
        <w:ind w:firstLine="540" w:firstLineChars="225"/>
        <w:rPr>
          <w:rFonts w:hAnsi="宋体"/>
          <w:bCs/>
          <w:sz w:val="24"/>
          <w:szCs w:val="24"/>
          <w:lang w:eastAsia="zh-CN"/>
        </w:rPr>
      </w:pPr>
      <w:r>
        <w:rPr>
          <w:rFonts w:hint="eastAsia" w:hAnsi="宋体"/>
          <w:bCs/>
          <w:sz w:val="24"/>
          <w:szCs w:val="24"/>
          <w:lang w:eastAsia="zh-CN"/>
        </w:rPr>
        <w:t xml:space="preserve"> 31．3如果交易响应文件实质上不响应交易文件各项要求，交易发起人（或交易代理机构）将予以拒绝，并且不允许交易响应人通过修改或撤消其不符合要求的差异或保留，使之成为</w:t>
      </w:r>
      <w:r>
        <w:rPr>
          <w:rFonts w:hint="eastAsia" w:hAnsi="宋体"/>
          <w:bCs/>
          <w:sz w:val="24"/>
          <w:szCs w:val="24"/>
          <w:highlight w:val="none"/>
          <w:lang w:eastAsia="zh-CN"/>
        </w:rPr>
        <w:t>具有交易响应资格。</w:t>
      </w:r>
    </w:p>
    <w:p w14:paraId="73928AC8">
      <w:pPr>
        <w:pStyle w:val="8"/>
        <w:spacing w:line="360" w:lineRule="auto"/>
        <w:ind w:firstLine="540" w:firstLineChars="225"/>
        <w:outlineLvl w:val="2"/>
        <w:rPr>
          <w:rFonts w:hAnsi="宋体"/>
          <w:bCs/>
          <w:sz w:val="24"/>
          <w:szCs w:val="24"/>
          <w:lang w:eastAsia="zh-CN"/>
        </w:rPr>
      </w:pPr>
      <w:bookmarkStart w:id="121" w:name="_Toc18703"/>
      <w:r>
        <w:rPr>
          <w:rFonts w:hint="eastAsia" w:hAnsi="宋体"/>
          <w:bCs/>
          <w:sz w:val="24"/>
          <w:szCs w:val="24"/>
          <w:lang w:eastAsia="zh-CN"/>
        </w:rPr>
        <w:t>32、错误的修正</w:t>
      </w:r>
      <w:bookmarkEnd w:id="121"/>
    </w:p>
    <w:p w14:paraId="1ADC787E">
      <w:pPr>
        <w:pStyle w:val="8"/>
        <w:spacing w:line="360" w:lineRule="auto"/>
        <w:ind w:firstLine="540" w:firstLineChars="225"/>
        <w:rPr>
          <w:rFonts w:hAnsi="宋体"/>
          <w:bCs/>
          <w:sz w:val="24"/>
          <w:szCs w:val="24"/>
          <w:lang w:eastAsia="zh-CN"/>
        </w:rPr>
      </w:pPr>
      <w:r>
        <w:rPr>
          <w:rFonts w:hint="eastAsia" w:hAnsi="宋体"/>
          <w:bCs/>
          <w:sz w:val="24"/>
          <w:szCs w:val="24"/>
          <w:lang w:eastAsia="zh-CN"/>
        </w:rPr>
        <w:t>32．1评审小组将对确定为实质上响应交易文件要求的交易响应文件进行校核，看其是否有计算上、累计上或表达上的错误，修正错误的原则如下:</w:t>
      </w:r>
    </w:p>
    <w:p w14:paraId="5CEAE86B">
      <w:pPr>
        <w:pStyle w:val="8"/>
        <w:spacing w:line="360" w:lineRule="auto"/>
        <w:ind w:firstLine="540" w:firstLineChars="225"/>
        <w:rPr>
          <w:rFonts w:hAnsi="宋体"/>
          <w:bCs/>
          <w:sz w:val="24"/>
          <w:szCs w:val="24"/>
          <w:lang w:eastAsia="zh-CN"/>
        </w:rPr>
      </w:pPr>
      <w:r>
        <w:rPr>
          <w:rFonts w:hint="eastAsia" w:hAnsi="宋体"/>
          <w:sz w:val="24"/>
          <w:szCs w:val="24"/>
          <w:lang w:eastAsia="zh-CN"/>
        </w:rPr>
        <w:t>(1)</w:t>
      </w:r>
      <w:r>
        <w:rPr>
          <w:rFonts w:hint="eastAsia" w:hAnsi="宋体"/>
          <w:bCs/>
          <w:sz w:val="24"/>
          <w:szCs w:val="24"/>
          <w:lang w:eastAsia="zh-CN"/>
        </w:rPr>
        <w:t>如果数字表示的金额和用文字表示的金额不一致时，应以文字表示的金额为准；</w:t>
      </w:r>
    </w:p>
    <w:p w14:paraId="3CF8DF18">
      <w:pPr>
        <w:pStyle w:val="8"/>
        <w:spacing w:line="360" w:lineRule="auto"/>
        <w:ind w:firstLine="540" w:firstLineChars="225"/>
        <w:rPr>
          <w:rFonts w:hAnsi="宋体"/>
          <w:sz w:val="24"/>
          <w:szCs w:val="24"/>
          <w:lang w:eastAsia="zh-CN"/>
        </w:rPr>
      </w:pPr>
      <w:r>
        <w:rPr>
          <w:rFonts w:hint="eastAsia" w:hAnsi="宋体"/>
          <w:sz w:val="24"/>
          <w:szCs w:val="24"/>
          <w:lang w:eastAsia="zh-CN"/>
        </w:rPr>
        <w:t>(2)当单价与数量的乘积与合价不一致时，以单价为准，除非</w:t>
      </w:r>
      <w:r>
        <w:rPr>
          <w:rFonts w:hint="eastAsia" w:hAnsi="宋体"/>
          <w:bCs/>
          <w:sz w:val="24"/>
          <w:szCs w:val="24"/>
          <w:lang w:eastAsia="zh-CN"/>
        </w:rPr>
        <w:t>评审小组</w:t>
      </w:r>
      <w:r>
        <w:rPr>
          <w:rFonts w:hint="eastAsia" w:hAnsi="宋体"/>
          <w:sz w:val="24"/>
          <w:szCs w:val="24"/>
          <w:lang w:eastAsia="zh-CN"/>
        </w:rPr>
        <w:t>认为单价有明显的小数点错误，此时应以标出的合价为准，并修改单价。</w:t>
      </w:r>
    </w:p>
    <w:p w14:paraId="785D5153">
      <w:pPr>
        <w:pStyle w:val="8"/>
        <w:spacing w:line="360" w:lineRule="auto"/>
        <w:ind w:firstLine="540" w:firstLineChars="225"/>
        <w:rPr>
          <w:rFonts w:hAnsi="宋体"/>
          <w:sz w:val="24"/>
          <w:szCs w:val="24"/>
          <w:lang w:eastAsia="zh-CN"/>
        </w:rPr>
      </w:pPr>
      <w:r>
        <w:rPr>
          <w:rFonts w:hint="eastAsia" w:hAnsi="宋体"/>
          <w:sz w:val="24"/>
          <w:szCs w:val="24"/>
          <w:lang w:eastAsia="zh-CN"/>
        </w:rPr>
        <w:t>(3)合计累计金额与小计(合计)金额不一致的，以小计(合计)金额为准，并修改合计累计金额及总报价。</w:t>
      </w:r>
    </w:p>
    <w:p w14:paraId="74BB7F24">
      <w:pPr>
        <w:pStyle w:val="8"/>
        <w:spacing w:line="360" w:lineRule="auto"/>
        <w:ind w:firstLine="540" w:firstLineChars="225"/>
        <w:rPr>
          <w:rFonts w:hAnsi="宋体"/>
          <w:bCs/>
          <w:sz w:val="24"/>
          <w:szCs w:val="24"/>
          <w:lang w:eastAsia="zh-CN"/>
        </w:rPr>
      </w:pPr>
      <w:r>
        <w:rPr>
          <w:rFonts w:hint="eastAsia" w:hAnsi="宋体"/>
          <w:sz w:val="24"/>
          <w:szCs w:val="24"/>
          <w:lang w:eastAsia="zh-CN"/>
        </w:rPr>
        <w:t>当</w:t>
      </w:r>
      <w:r>
        <w:rPr>
          <w:rFonts w:hint="eastAsia" w:hAnsi="宋体"/>
          <w:bCs/>
          <w:sz w:val="24"/>
          <w:szCs w:val="24"/>
          <w:lang w:eastAsia="zh-CN"/>
        </w:rPr>
        <w:t>评审小组</w:t>
      </w:r>
      <w:r>
        <w:rPr>
          <w:rFonts w:hint="eastAsia" w:hAnsi="宋体"/>
          <w:sz w:val="24"/>
          <w:szCs w:val="24"/>
          <w:lang w:eastAsia="zh-CN"/>
        </w:rPr>
        <w:t>按照上述原则修正错误,发现其错误达到或超过原总报价0.5%时,将认定其交易响应文件质量较差,其错误不予修正,</w:t>
      </w:r>
      <w:r>
        <w:rPr>
          <w:rFonts w:hint="eastAsia" w:hAnsi="宋体"/>
          <w:sz w:val="24"/>
          <w:szCs w:val="24"/>
          <w:highlight w:val="none"/>
          <w:lang w:eastAsia="zh-CN"/>
        </w:rPr>
        <w:t>作</w:t>
      </w:r>
      <w:r>
        <w:rPr>
          <w:rFonts w:hint="eastAsia"/>
          <w:sz w:val="24"/>
          <w:highlight w:val="none"/>
          <w:lang w:eastAsia="zh-CN"/>
        </w:rPr>
        <w:t>取消交易响应资格</w:t>
      </w:r>
      <w:r>
        <w:rPr>
          <w:rFonts w:hint="eastAsia" w:hAnsi="宋体"/>
          <w:sz w:val="24"/>
          <w:szCs w:val="24"/>
          <w:highlight w:val="none"/>
          <w:lang w:eastAsia="zh-CN"/>
        </w:rPr>
        <w:t>处理。</w:t>
      </w:r>
    </w:p>
    <w:p w14:paraId="25317C32">
      <w:pPr>
        <w:pStyle w:val="8"/>
        <w:spacing w:line="360" w:lineRule="auto"/>
        <w:ind w:firstLine="540" w:firstLineChars="225"/>
        <w:rPr>
          <w:rFonts w:hAnsi="宋体"/>
          <w:bCs/>
          <w:sz w:val="24"/>
          <w:szCs w:val="24"/>
          <w:lang w:eastAsia="zh-CN"/>
        </w:rPr>
      </w:pPr>
      <w:r>
        <w:rPr>
          <w:rFonts w:hint="eastAsia" w:hAnsi="宋体"/>
          <w:bCs/>
          <w:sz w:val="24"/>
          <w:szCs w:val="24"/>
          <w:lang w:eastAsia="zh-CN"/>
        </w:rPr>
        <w:t>32．2按上述修正错误的原则及方法调整或修正交易响应文件的交易响应报价，交易响应人同意后，调整后的交易响应报价对交易响应人起约束作用。如果交易响应人不接受修正后的报价，则其交易响应将被拒绝并且其交易响应保证金或交易响应保函也将被没收，并不影响评审工作。</w:t>
      </w:r>
    </w:p>
    <w:p w14:paraId="3ABAC256">
      <w:pPr>
        <w:pStyle w:val="8"/>
        <w:spacing w:line="360" w:lineRule="auto"/>
        <w:ind w:firstLine="540" w:firstLineChars="225"/>
        <w:outlineLvl w:val="2"/>
        <w:rPr>
          <w:rFonts w:hAnsi="宋体"/>
          <w:bCs/>
          <w:sz w:val="24"/>
          <w:szCs w:val="24"/>
          <w:lang w:eastAsia="zh-CN"/>
        </w:rPr>
      </w:pPr>
      <w:bookmarkStart w:id="122" w:name="_Toc29499"/>
      <w:r>
        <w:rPr>
          <w:rFonts w:hint="eastAsia" w:hAnsi="宋体"/>
          <w:bCs/>
          <w:sz w:val="24"/>
          <w:szCs w:val="24"/>
          <w:lang w:eastAsia="zh-CN"/>
        </w:rPr>
        <w:t>33、交易响应文件的评估和比较</w:t>
      </w:r>
      <w:bookmarkEnd w:id="122"/>
    </w:p>
    <w:p w14:paraId="713A8C81">
      <w:pPr>
        <w:pStyle w:val="8"/>
        <w:spacing w:line="360" w:lineRule="auto"/>
        <w:ind w:firstLine="540" w:firstLineChars="225"/>
        <w:rPr>
          <w:rFonts w:hAnsi="宋体"/>
          <w:bCs/>
          <w:sz w:val="24"/>
          <w:szCs w:val="24"/>
          <w:lang w:eastAsia="zh-CN"/>
        </w:rPr>
      </w:pPr>
      <w:r>
        <w:rPr>
          <w:rFonts w:hint="eastAsia" w:hAnsi="宋体"/>
          <w:bCs/>
          <w:sz w:val="24"/>
          <w:szCs w:val="24"/>
          <w:lang w:eastAsia="zh-CN"/>
        </w:rPr>
        <w:t>33．1评审小组将按照本须知第31条规定仅对确实为实质上响应交易文件要求并且商务标得分排名靠前的交易响应文件进行评估和比较。评审小组对商务标得分排名前5名（有效交易响应人在5家及以上时）的交易响应人的技术标进行评审，若评审过程中有不通过的，按商务标得分排序先后依次递补，直至产生5名通过评审有效交易响应人。</w:t>
      </w:r>
    </w:p>
    <w:p w14:paraId="1F2AC2E9">
      <w:pPr>
        <w:pStyle w:val="8"/>
        <w:spacing w:line="360" w:lineRule="auto"/>
        <w:ind w:firstLine="540" w:firstLineChars="225"/>
        <w:rPr>
          <w:rFonts w:hAnsi="宋体"/>
          <w:bCs/>
          <w:sz w:val="24"/>
          <w:szCs w:val="24"/>
          <w:lang w:eastAsia="zh-CN"/>
        </w:rPr>
      </w:pPr>
      <w:r>
        <w:rPr>
          <w:rFonts w:hint="eastAsia" w:hAnsi="宋体"/>
          <w:bCs/>
          <w:sz w:val="24"/>
          <w:szCs w:val="24"/>
          <w:lang w:eastAsia="zh-CN"/>
        </w:rPr>
        <w:t>33．2在评审过程中，评审小组可能要求交易响应人就交易响应文件中的内容进行答辩，交易发起人（或相关工作人员）将通知交易响应人，交易响应人应在规定时间内到场并按要求进行答辩。</w:t>
      </w:r>
    </w:p>
    <w:p w14:paraId="33C552D2">
      <w:pPr>
        <w:pStyle w:val="8"/>
        <w:spacing w:line="360" w:lineRule="auto"/>
        <w:ind w:firstLine="540" w:firstLineChars="225"/>
        <w:rPr>
          <w:rFonts w:hAnsi="宋体"/>
          <w:sz w:val="24"/>
          <w:szCs w:val="24"/>
          <w:lang w:eastAsia="zh-CN"/>
        </w:rPr>
      </w:pPr>
      <w:r>
        <w:rPr>
          <w:rFonts w:hint="eastAsia" w:hAnsi="宋体"/>
          <w:bCs/>
          <w:sz w:val="24"/>
          <w:szCs w:val="24"/>
          <w:lang w:eastAsia="zh-CN"/>
        </w:rPr>
        <w:t>33．3评审小组依据前附表第20项规定的评审标准和方法进行评审和比较，向交易发起人提交评审报告并推荐成交候选人或受交易发起人委托确定成交人</w:t>
      </w:r>
      <w:r>
        <w:rPr>
          <w:rFonts w:hint="eastAsia" w:hAnsi="宋体"/>
          <w:sz w:val="24"/>
          <w:szCs w:val="24"/>
          <w:lang w:eastAsia="zh-CN"/>
        </w:rPr>
        <w:t>。</w:t>
      </w:r>
    </w:p>
    <w:p w14:paraId="41C7A283">
      <w:pPr>
        <w:pStyle w:val="8"/>
        <w:spacing w:line="360" w:lineRule="auto"/>
        <w:ind w:firstLine="540" w:firstLineChars="225"/>
        <w:rPr>
          <w:rFonts w:hAnsi="宋体"/>
          <w:sz w:val="24"/>
          <w:szCs w:val="24"/>
          <w:lang w:eastAsia="zh-CN"/>
        </w:rPr>
      </w:pPr>
      <w:r>
        <w:rPr>
          <w:rFonts w:hint="eastAsia" w:hAnsi="宋体"/>
          <w:sz w:val="24"/>
          <w:szCs w:val="24"/>
          <w:lang w:eastAsia="zh-CN"/>
        </w:rPr>
        <w:t>33．4评审方法和标准</w:t>
      </w:r>
    </w:p>
    <w:p w14:paraId="30DC0CBE">
      <w:pPr>
        <w:pStyle w:val="8"/>
        <w:spacing w:line="360" w:lineRule="auto"/>
        <w:ind w:firstLine="540" w:firstLineChars="225"/>
        <w:rPr>
          <w:rFonts w:hAnsi="宋体"/>
          <w:sz w:val="24"/>
          <w:szCs w:val="24"/>
          <w:lang w:eastAsia="zh-CN"/>
        </w:rPr>
      </w:pPr>
      <w:r>
        <w:rPr>
          <w:rFonts w:hint="eastAsia" w:hAnsi="宋体"/>
          <w:sz w:val="24"/>
          <w:szCs w:val="24"/>
          <w:lang w:eastAsia="zh-CN"/>
        </w:rPr>
        <w:t xml:space="preserve"> (交易发起人按照工程项目不同情况，应在前附表第20项内选择下列二种方法和标准之一。)</w:t>
      </w:r>
    </w:p>
    <w:p w14:paraId="5CF2ECBF">
      <w:pPr>
        <w:pStyle w:val="8"/>
        <w:tabs>
          <w:tab w:val="left" w:pos="360"/>
        </w:tabs>
        <w:spacing w:line="360" w:lineRule="auto"/>
        <w:ind w:firstLine="540" w:firstLineChars="225"/>
        <w:rPr>
          <w:rFonts w:ascii="黑体" w:hAnsi="黑体" w:eastAsia="黑体"/>
          <w:sz w:val="24"/>
          <w:szCs w:val="24"/>
          <w:lang w:eastAsia="zh-CN"/>
        </w:rPr>
      </w:pPr>
      <w:r>
        <w:rPr>
          <w:rFonts w:hint="eastAsia" w:ascii="黑体" w:hAnsi="黑体" w:eastAsia="黑体"/>
          <w:sz w:val="24"/>
          <w:szCs w:val="24"/>
          <w:lang w:eastAsia="zh-CN"/>
        </w:rPr>
        <w:t>A．简易评标法；</w:t>
      </w:r>
    </w:p>
    <w:p w14:paraId="7DEA5A37">
      <w:pPr>
        <w:pStyle w:val="8"/>
        <w:tabs>
          <w:tab w:val="left" w:pos="360"/>
        </w:tabs>
        <w:spacing w:line="360" w:lineRule="auto"/>
        <w:ind w:firstLine="540" w:firstLineChars="225"/>
        <w:rPr>
          <w:rFonts w:ascii="黑体" w:hAnsi="黑体" w:eastAsia="黑体"/>
          <w:sz w:val="24"/>
          <w:szCs w:val="24"/>
          <w:lang w:eastAsia="zh-CN"/>
        </w:rPr>
      </w:pPr>
      <w:r>
        <w:rPr>
          <w:rFonts w:hint="eastAsia" w:ascii="黑体" w:hAnsi="黑体" w:eastAsia="黑体"/>
          <w:sz w:val="24"/>
          <w:szCs w:val="24"/>
          <w:lang w:eastAsia="zh-CN"/>
        </w:rPr>
        <w:t>B．合理低价法。</w:t>
      </w:r>
    </w:p>
    <w:p w14:paraId="2D25A629">
      <w:pPr>
        <w:pStyle w:val="8"/>
        <w:tabs>
          <w:tab w:val="left" w:pos="360"/>
        </w:tabs>
        <w:spacing w:line="360" w:lineRule="auto"/>
        <w:ind w:firstLine="540" w:firstLineChars="225"/>
        <w:rPr>
          <w:rFonts w:hAnsi="宋体"/>
          <w:sz w:val="24"/>
          <w:szCs w:val="24"/>
          <w:lang w:eastAsia="zh-CN"/>
        </w:rPr>
      </w:pPr>
      <w:r>
        <w:rPr>
          <w:rFonts w:hint="eastAsia" w:hAnsi="宋体"/>
          <w:sz w:val="24"/>
          <w:szCs w:val="24"/>
          <w:lang w:eastAsia="zh-CN"/>
        </w:rPr>
        <w:t>33．5成交人的确定</w:t>
      </w:r>
    </w:p>
    <w:p w14:paraId="1AC0D1F9">
      <w:pPr>
        <w:pStyle w:val="8"/>
        <w:spacing w:line="360" w:lineRule="auto"/>
        <w:ind w:left="2" w:leftChars="1" w:firstLine="540" w:firstLineChars="225"/>
        <w:rPr>
          <w:rFonts w:hAnsi="宋体"/>
          <w:sz w:val="24"/>
          <w:szCs w:val="24"/>
          <w:lang w:eastAsia="zh-CN"/>
        </w:rPr>
      </w:pPr>
      <w:r>
        <w:rPr>
          <w:rFonts w:hint="eastAsia" w:hAnsi="宋体"/>
          <w:sz w:val="24"/>
          <w:szCs w:val="24"/>
          <w:lang w:eastAsia="zh-CN"/>
        </w:rPr>
        <w:t>使用财政性资金、国有资金、集体资金投资或者国有资金占控股或者主导地位的项目，交易发起人应当确定排名第一的成交候选人为成交人。公示的成交候选人不符合成交条件的，应当重新交易。</w:t>
      </w:r>
    </w:p>
    <w:p w14:paraId="0FAB453C">
      <w:pPr>
        <w:pStyle w:val="8"/>
        <w:spacing w:line="360" w:lineRule="auto"/>
        <w:ind w:firstLine="540" w:firstLineChars="225"/>
        <w:rPr>
          <w:sz w:val="24"/>
          <w:lang w:eastAsia="zh-CN"/>
        </w:rPr>
      </w:pPr>
      <w:bookmarkStart w:id="123" w:name="_Toc330288437"/>
      <w:bookmarkStart w:id="124" w:name="_Toc330378498"/>
      <w:r>
        <w:rPr>
          <w:rFonts w:hint="eastAsia"/>
          <w:sz w:val="24"/>
          <w:lang w:eastAsia="zh-CN"/>
        </w:rPr>
        <w:t>33.6交易响应人或其他利害关系人对依法必须进行交易的项目的评审结果有异议的，应当在成交候选人公示期间提出。交易发起人应当自收到异议之日起3日内作出书面答复。</w:t>
      </w:r>
    </w:p>
    <w:p w14:paraId="5A3998D5">
      <w:pPr>
        <w:pStyle w:val="8"/>
        <w:spacing w:line="360" w:lineRule="auto"/>
        <w:ind w:firstLine="720" w:firstLineChars="225"/>
        <w:jc w:val="center"/>
        <w:outlineLvl w:val="1"/>
        <w:rPr>
          <w:bCs/>
          <w:sz w:val="32"/>
          <w:lang w:eastAsia="zh-CN"/>
        </w:rPr>
      </w:pPr>
      <w:bookmarkStart w:id="125" w:name="_Toc15802"/>
      <w:r>
        <w:rPr>
          <w:rFonts w:hint="eastAsia"/>
          <w:bCs/>
          <w:sz w:val="32"/>
          <w:lang w:eastAsia="zh-CN"/>
        </w:rPr>
        <w:t>(七)合同的授予</w:t>
      </w:r>
      <w:bookmarkEnd w:id="123"/>
      <w:bookmarkEnd w:id="124"/>
      <w:bookmarkEnd w:id="125"/>
    </w:p>
    <w:p w14:paraId="20BC9546">
      <w:pPr>
        <w:pStyle w:val="8"/>
        <w:spacing w:line="360" w:lineRule="auto"/>
        <w:ind w:firstLine="540" w:firstLineChars="225"/>
        <w:outlineLvl w:val="2"/>
        <w:rPr>
          <w:rFonts w:hAnsi="宋体"/>
          <w:bCs/>
          <w:sz w:val="24"/>
          <w:szCs w:val="24"/>
          <w:lang w:eastAsia="zh-CN"/>
        </w:rPr>
      </w:pPr>
      <w:bookmarkStart w:id="126" w:name="_Toc330288438"/>
      <w:bookmarkStart w:id="127" w:name="_Toc330378499"/>
      <w:bookmarkStart w:id="128" w:name="_Toc24293"/>
      <w:r>
        <w:rPr>
          <w:rFonts w:hint="eastAsia" w:hAnsi="宋体"/>
          <w:bCs/>
          <w:sz w:val="24"/>
          <w:szCs w:val="24"/>
          <w:lang w:eastAsia="zh-CN"/>
        </w:rPr>
        <w:t>34、合同授予标准</w:t>
      </w:r>
      <w:bookmarkEnd w:id="126"/>
      <w:bookmarkEnd w:id="127"/>
      <w:bookmarkEnd w:id="128"/>
    </w:p>
    <w:p w14:paraId="7A7D1FD6">
      <w:pPr>
        <w:pStyle w:val="8"/>
        <w:spacing w:line="360" w:lineRule="auto"/>
        <w:ind w:firstLine="540" w:firstLineChars="225"/>
        <w:rPr>
          <w:rFonts w:hAnsi="宋体"/>
          <w:sz w:val="24"/>
          <w:szCs w:val="24"/>
          <w:lang w:eastAsia="zh-CN"/>
        </w:rPr>
      </w:pPr>
      <w:r>
        <w:rPr>
          <w:rFonts w:hint="eastAsia" w:hAnsi="宋体"/>
          <w:sz w:val="24"/>
          <w:szCs w:val="24"/>
          <w:lang w:eastAsia="zh-CN"/>
        </w:rPr>
        <w:t>34．1本工程的施工合同将授予按本须知第33.3款所确定的成交人。</w:t>
      </w:r>
    </w:p>
    <w:p w14:paraId="2B462EC0">
      <w:pPr>
        <w:pStyle w:val="8"/>
        <w:spacing w:line="360" w:lineRule="auto"/>
        <w:ind w:firstLine="540" w:firstLineChars="225"/>
        <w:outlineLvl w:val="2"/>
        <w:rPr>
          <w:rFonts w:hAnsi="宋体"/>
          <w:bCs/>
          <w:sz w:val="24"/>
          <w:szCs w:val="24"/>
          <w:lang w:eastAsia="zh-CN"/>
        </w:rPr>
      </w:pPr>
      <w:bookmarkStart w:id="129" w:name="_Toc9825"/>
      <w:bookmarkStart w:id="130" w:name="_Toc330378500"/>
      <w:bookmarkStart w:id="131" w:name="_Toc330288439"/>
      <w:r>
        <w:rPr>
          <w:rFonts w:hint="eastAsia" w:hAnsi="宋体"/>
          <w:bCs/>
          <w:sz w:val="24"/>
          <w:szCs w:val="24"/>
          <w:lang w:eastAsia="zh-CN"/>
        </w:rPr>
        <w:t>35</w:t>
      </w:r>
      <w:r>
        <w:rPr>
          <w:rFonts w:hint="eastAsia" w:hAnsi="宋体"/>
          <w:sz w:val="24"/>
          <w:szCs w:val="24"/>
          <w:lang w:eastAsia="zh-CN"/>
        </w:rPr>
        <w:t>、</w:t>
      </w:r>
      <w:r>
        <w:rPr>
          <w:rFonts w:hint="eastAsia" w:hAnsi="宋体"/>
          <w:bCs/>
          <w:sz w:val="24"/>
          <w:szCs w:val="24"/>
          <w:lang w:eastAsia="zh-CN"/>
        </w:rPr>
        <w:t>交易发起人拒绝任何或所有交易响应的权力</w:t>
      </w:r>
      <w:bookmarkEnd w:id="129"/>
      <w:bookmarkEnd w:id="130"/>
      <w:bookmarkEnd w:id="131"/>
    </w:p>
    <w:p w14:paraId="7841860F">
      <w:pPr>
        <w:pStyle w:val="8"/>
        <w:spacing w:line="360" w:lineRule="auto"/>
        <w:ind w:firstLine="540" w:firstLineChars="225"/>
        <w:rPr>
          <w:rFonts w:hAnsi="宋体"/>
          <w:sz w:val="24"/>
          <w:szCs w:val="24"/>
          <w:lang w:eastAsia="zh-CN"/>
        </w:rPr>
      </w:pPr>
      <w:r>
        <w:rPr>
          <w:rFonts w:hint="eastAsia" w:hAnsi="宋体"/>
          <w:sz w:val="24"/>
          <w:szCs w:val="24"/>
          <w:lang w:eastAsia="zh-CN"/>
        </w:rPr>
        <w:t>35．1尽管有本须知第33条规定，交易发起人不受合同授予报价最低的交易响应人或所有交易响应人约束,交易发起人在发出成交通知书前任何时候均有权依据评审小组的评审报告接受或拒绝任何交易响应。</w:t>
      </w:r>
    </w:p>
    <w:p w14:paraId="26EAF543">
      <w:pPr>
        <w:pStyle w:val="8"/>
        <w:spacing w:line="360" w:lineRule="auto"/>
        <w:ind w:firstLine="540" w:firstLineChars="225"/>
        <w:rPr>
          <w:rFonts w:hAnsi="宋体"/>
          <w:sz w:val="24"/>
          <w:szCs w:val="24"/>
          <w:lang w:eastAsia="zh-CN"/>
        </w:rPr>
      </w:pPr>
      <w:r>
        <w:rPr>
          <w:rFonts w:hint="eastAsia" w:hAnsi="宋体"/>
          <w:sz w:val="24"/>
          <w:szCs w:val="24"/>
          <w:lang w:eastAsia="zh-CN"/>
        </w:rPr>
        <w:t>35.2成交单位存在弄虚作假行为的，一经查实，交易发起人将取消成交资格，并没收交易响应保证金。</w:t>
      </w:r>
    </w:p>
    <w:p w14:paraId="5CD443A2">
      <w:pPr>
        <w:pStyle w:val="8"/>
        <w:spacing w:line="360" w:lineRule="auto"/>
        <w:ind w:firstLine="540" w:firstLineChars="225"/>
        <w:outlineLvl w:val="2"/>
        <w:rPr>
          <w:rFonts w:hAnsi="宋体"/>
          <w:bCs/>
          <w:sz w:val="24"/>
          <w:szCs w:val="24"/>
          <w:lang w:eastAsia="zh-CN"/>
        </w:rPr>
      </w:pPr>
      <w:bookmarkStart w:id="132" w:name="_Toc330378501"/>
      <w:bookmarkStart w:id="133" w:name="_Toc330288440"/>
      <w:bookmarkStart w:id="134" w:name="_Toc2086"/>
      <w:r>
        <w:rPr>
          <w:rFonts w:hint="eastAsia" w:hAnsi="宋体"/>
          <w:bCs/>
          <w:sz w:val="24"/>
          <w:szCs w:val="24"/>
          <w:lang w:eastAsia="zh-CN"/>
        </w:rPr>
        <w:t>36、成交通知书</w:t>
      </w:r>
      <w:bookmarkEnd w:id="132"/>
      <w:bookmarkEnd w:id="133"/>
      <w:bookmarkEnd w:id="134"/>
    </w:p>
    <w:p w14:paraId="594F084C">
      <w:pPr>
        <w:pStyle w:val="8"/>
        <w:spacing w:line="360" w:lineRule="auto"/>
        <w:ind w:firstLine="540" w:firstLineChars="225"/>
        <w:rPr>
          <w:rFonts w:hAnsi="宋体"/>
          <w:sz w:val="24"/>
          <w:szCs w:val="24"/>
          <w:lang w:eastAsia="zh-CN"/>
        </w:rPr>
      </w:pPr>
      <w:r>
        <w:rPr>
          <w:rFonts w:hint="eastAsia" w:hAnsi="宋体"/>
          <w:sz w:val="24"/>
          <w:szCs w:val="24"/>
          <w:lang w:eastAsia="zh-CN"/>
        </w:rPr>
        <w:t>36．1在交易响应有效期内，交易发起人将向成交人发出成交通知书。</w:t>
      </w:r>
    </w:p>
    <w:p w14:paraId="632E4278">
      <w:pPr>
        <w:pStyle w:val="8"/>
        <w:spacing w:line="360" w:lineRule="auto"/>
        <w:ind w:firstLine="540" w:firstLineChars="225"/>
        <w:outlineLvl w:val="2"/>
        <w:rPr>
          <w:rFonts w:hAnsi="宋体"/>
          <w:bCs/>
          <w:sz w:val="24"/>
          <w:szCs w:val="24"/>
          <w:lang w:eastAsia="zh-CN"/>
        </w:rPr>
      </w:pPr>
      <w:bookmarkStart w:id="135" w:name="_Toc20122"/>
      <w:bookmarkStart w:id="136" w:name="_Toc330288441"/>
      <w:bookmarkStart w:id="137" w:name="_Toc330378502"/>
      <w:r>
        <w:rPr>
          <w:rFonts w:hint="eastAsia" w:hAnsi="宋体"/>
          <w:bCs/>
          <w:sz w:val="24"/>
          <w:szCs w:val="24"/>
          <w:lang w:eastAsia="zh-CN"/>
        </w:rPr>
        <w:t>37、合同协议书的签订</w:t>
      </w:r>
      <w:bookmarkEnd w:id="135"/>
      <w:bookmarkEnd w:id="136"/>
      <w:bookmarkEnd w:id="137"/>
    </w:p>
    <w:p w14:paraId="32708315">
      <w:pPr>
        <w:pStyle w:val="8"/>
        <w:spacing w:line="360" w:lineRule="auto"/>
        <w:ind w:firstLine="540" w:firstLineChars="225"/>
        <w:rPr>
          <w:rFonts w:hAnsi="宋体"/>
          <w:sz w:val="24"/>
          <w:szCs w:val="24"/>
          <w:lang w:eastAsia="zh-CN"/>
        </w:rPr>
      </w:pPr>
      <w:r>
        <w:rPr>
          <w:rFonts w:hint="eastAsia" w:hAnsi="宋体"/>
          <w:sz w:val="24"/>
          <w:szCs w:val="24"/>
          <w:lang w:eastAsia="zh-CN"/>
        </w:rPr>
        <w:t>37．1交易发起人与成交人将于成交通知书发出之日起30日内，按照交易文件和成交人的交易响应文件签订建设工程施工合同。</w:t>
      </w:r>
    </w:p>
    <w:p w14:paraId="02B8BFAB">
      <w:pPr>
        <w:pStyle w:val="8"/>
        <w:spacing w:line="360" w:lineRule="auto"/>
        <w:ind w:firstLine="540" w:firstLineChars="225"/>
        <w:rPr>
          <w:rFonts w:hAnsi="宋体"/>
          <w:sz w:val="24"/>
          <w:szCs w:val="24"/>
          <w:lang w:eastAsia="zh-CN"/>
        </w:rPr>
      </w:pPr>
      <w:r>
        <w:rPr>
          <w:rFonts w:hint="eastAsia" w:hAnsi="宋体"/>
          <w:sz w:val="24"/>
          <w:szCs w:val="24"/>
          <w:lang w:eastAsia="zh-CN"/>
        </w:rPr>
        <w:t>37．2成交人如不按本交易响应须知第37.1款的规定与交易发起人签订合同，则交易发起人将有充分的理由废除授标，并没收其交易响应保证金，给交易发起人造成的损失超过交易响应担保数额的，还应当对超过部分予以赔偿，同时依法承担相应法律责任。</w:t>
      </w:r>
    </w:p>
    <w:p w14:paraId="6D4D8B0A">
      <w:pPr>
        <w:pStyle w:val="8"/>
        <w:spacing w:line="360" w:lineRule="auto"/>
        <w:ind w:firstLine="540" w:firstLineChars="225"/>
        <w:rPr>
          <w:rFonts w:hAnsi="宋体"/>
          <w:sz w:val="24"/>
          <w:szCs w:val="24"/>
          <w:lang w:eastAsia="zh-CN"/>
        </w:rPr>
      </w:pPr>
      <w:r>
        <w:rPr>
          <w:rFonts w:hint="eastAsia" w:hAnsi="宋体"/>
          <w:sz w:val="24"/>
          <w:szCs w:val="24"/>
          <w:lang w:eastAsia="zh-CN"/>
        </w:rPr>
        <w:t>37．3成交人应当按照合同约定履行义务，完成成交项目施工，不得将成交项目施工转让(转包)给他人。</w:t>
      </w:r>
    </w:p>
    <w:p w14:paraId="231BFC28">
      <w:pPr>
        <w:pStyle w:val="8"/>
        <w:spacing w:line="360" w:lineRule="auto"/>
        <w:ind w:firstLine="540" w:firstLineChars="225"/>
        <w:outlineLvl w:val="2"/>
        <w:rPr>
          <w:rFonts w:hAnsi="宋体"/>
          <w:sz w:val="24"/>
          <w:szCs w:val="24"/>
          <w:lang w:eastAsia="zh-CN"/>
        </w:rPr>
      </w:pPr>
      <w:bookmarkStart w:id="138" w:name="_Toc15019"/>
      <w:bookmarkStart w:id="139" w:name="_Toc330378503"/>
      <w:bookmarkStart w:id="140" w:name="_Toc330288442"/>
      <w:r>
        <w:rPr>
          <w:rFonts w:hint="eastAsia" w:hAnsi="宋体"/>
          <w:sz w:val="24"/>
          <w:szCs w:val="24"/>
          <w:lang w:eastAsia="zh-CN"/>
        </w:rPr>
        <w:t>38、履约担保</w:t>
      </w:r>
      <w:bookmarkEnd w:id="138"/>
      <w:bookmarkEnd w:id="139"/>
      <w:bookmarkEnd w:id="140"/>
    </w:p>
    <w:p w14:paraId="177D215F">
      <w:pPr>
        <w:pStyle w:val="8"/>
        <w:spacing w:line="360" w:lineRule="auto"/>
        <w:ind w:firstLine="540" w:firstLineChars="225"/>
        <w:rPr>
          <w:rFonts w:hAnsi="宋体"/>
          <w:sz w:val="24"/>
          <w:szCs w:val="24"/>
          <w:lang w:eastAsia="zh-CN"/>
        </w:rPr>
      </w:pPr>
      <w:r>
        <w:rPr>
          <w:rFonts w:hint="eastAsia" w:hAnsi="宋体"/>
          <w:sz w:val="24"/>
          <w:szCs w:val="24"/>
          <w:lang w:eastAsia="zh-CN"/>
        </w:rPr>
        <w:t>38．1合同协议书签署后7天内，成交人应按前附表第21项规定的金额向交易发起人提交履约担保。</w:t>
      </w:r>
    </w:p>
    <w:p w14:paraId="11AE7E32">
      <w:pPr>
        <w:pStyle w:val="8"/>
        <w:spacing w:line="360" w:lineRule="auto"/>
        <w:ind w:firstLine="540" w:firstLineChars="225"/>
        <w:rPr>
          <w:rFonts w:hAnsi="宋体"/>
          <w:sz w:val="24"/>
          <w:szCs w:val="24"/>
          <w:lang w:eastAsia="zh-CN"/>
        </w:rPr>
      </w:pPr>
      <w:r>
        <w:rPr>
          <w:rFonts w:hint="eastAsia" w:hAnsi="宋体"/>
          <w:sz w:val="24"/>
          <w:szCs w:val="24"/>
          <w:lang w:eastAsia="zh-CN"/>
        </w:rPr>
        <w:t>38．2如果成交人不能按本须知第38.1款的规定执行，交易发起人将有充分的理由废除合同，并没收其交易响应保证金，给交易发起人造成的损失超过交易响应保证金数额的，还应当对超过部分予以赔偿。</w:t>
      </w:r>
    </w:p>
    <w:p w14:paraId="2B3793F8">
      <w:pPr>
        <w:spacing w:line="360" w:lineRule="auto"/>
        <w:ind w:firstLine="540" w:firstLineChars="225"/>
        <w:rPr>
          <w:rFonts w:ascii="宋体" w:hAnsi="宋体"/>
          <w:sz w:val="24"/>
          <w:lang w:eastAsia="zh-CN"/>
        </w:rPr>
      </w:pPr>
      <w:r>
        <w:rPr>
          <w:rFonts w:hint="eastAsia" w:ascii="宋体" w:hAnsi="宋体"/>
          <w:sz w:val="24"/>
          <w:lang w:eastAsia="zh-CN"/>
        </w:rPr>
        <w:t>39. 工程建设项目承发包双方在签订业务合同的同时，必须签订廉政责任书，明确作出廉政承诺。</w:t>
      </w:r>
    </w:p>
    <w:p w14:paraId="3BC46676">
      <w:pPr>
        <w:pStyle w:val="8"/>
        <w:spacing w:line="360" w:lineRule="auto"/>
        <w:ind w:firstLine="540" w:firstLineChars="225"/>
        <w:rPr>
          <w:rFonts w:hAnsi="宋体"/>
          <w:sz w:val="24"/>
          <w:szCs w:val="24"/>
          <w:lang w:eastAsia="zh-CN"/>
        </w:rPr>
      </w:pPr>
      <w:r>
        <w:rPr>
          <w:rFonts w:hint="eastAsia" w:hAnsi="宋体"/>
          <w:sz w:val="24"/>
          <w:szCs w:val="24"/>
          <w:lang w:eastAsia="zh-CN"/>
        </w:rPr>
        <w:t>40．本交易文件未尽事宜按现行交易交易响应的有关法律法规和规定执行。</w:t>
      </w:r>
    </w:p>
    <w:p w14:paraId="4035EF10">
      <w:pPr>
        <w:pStyle w:val="8"/>
        <w:spacing w:line="360" w:lineRule="auto"/>
        <w:ind w:firstLine="540" w:firstLineChars="225"/>
        <w:rPr>
          <w:rFonts w:hAnsi="宋体"/>
          <w:sz w:val="24"/>
          <w:szCs w:val="24"/>
          <w:lang w:eastAsia="zh-CN"/>
        </w:rPr>
      </w:pPr>
      <w:r>
        <w:rPr>
          <w:rFonts w:hint="eastAsia" w:hAnsi="宋体"/>
          <w:sz w:val="24"/>
          <w:szCs w:val="24"/>
          <w:lang w:eastAsia="zh-CN"/>
        </w:rPr>
        <w:t>41.资格后审评审方法：（见附后）</w:t>
      </w:r>
    </w:p>
    <w:p w14:paraId="3B098FDB">
      <w:pPr>
        <w:pStyle w:val="8"/>
        <w:spacing w:line="360" w:lineRule="auto"/>
        <w:jc w:val="center"/>
        <w:outlineLvl w:val="0"/>
        <w:rPr>
          <w:sz w:val="24"/>
          <w:lang w:eastAsia="zh-CN"/>
        </w:rPr>
      </w:pPr>
      <w:bookmarkStart w:id="141" w:name="_Toc28704"/>
      <w:r>
        <w:rPr>
          <w:rFonts w:hint="eastAsia"/>
          <w:sz w:val="24"/>
          <w:lang w:eastAsia="zh-CN"/>
        </w:rPr>
        <w:t>三、交易发起人针对本工程的特殊要求</w:t>
      </w:r>
      <w:bookmarkEnd w:id="141"/>
    </w:p>
    <w:p w14:paraId="16360671">
      <w:pPr>
        <w:pStyle w:val="8"/>
        <w:spacing w:line="360" w:lineRule="auto"/>
        <w:jc w:val="center"/>
        <w:rPr>
          <w:sz w:val="24"/>
          <w:lang w:eastAsia="zh-CN"/>
        </w:rPr>
      </w:pPr>
      <w:r>
        <w:rPr>
          <w:rFonts w:hint="eastAsia"/>
          <w:sz w:val="24"/>
          <w:lang w:eastAsia="zh-CN"/>
        </w:rPr>
        <w:t>（无）</w:t>
      </w:r>
      <w:bookmarkStart w:id="142" w:name="_Toc445820768"/>
      <w:bookmarkStart w:id="143" w:name="_Toc506147370"/>
    </w:p>
    <w:p w14:paraId="29CBA724">
      <w:pPr>
        <w:pStyle w:val="8"/>
        <w:spacing w:line="360" w:lineRule="auto"/>
        <w:jc w:val="center"/>
        <w:outlineLvl w:val="0"/>
        <w:rPr>
          <w:rFonts w:hAnsi="宋体"/>
          <w:sz w:val="24"/>
          <w:szCs w:val="24"/>
          <w:lang w:eastAsia="zh-CN"/>
        </w:rPr>
      </w:pPr>
      <w:r>
        <w:rPr>
          <w:sz w:val="24"/>
          <w:lang w:eastAsia="zh-CN"/>
        </w:rPr>
        <w:br w:type="page"/>
      </w:r>
      <w:bookmarkStart w:id="144" w:name="_Toc31478"/>
      <w:r>
        <w:rPr>
          <w:rFonts w:hint="eastAsia"/>
          <w:sz w:val="24"/>
          <w:lang w:eastAsia="zh-CN"/>
        </w:rPr>
        <w:t>四、资格后审评审方法</w:t>
      </w:r>
      <w:bookmarkEnd w:id="142"/>
      <w:bookmarkEnd w:id="143"/>
      <w:bookmarkEnd w:id="144"/>
    </w:p>
    <w:p w14:paraId="33137860">
      <w:pPr>
        <w:spacing w:line="360" w:lineRule="auto"/>
        <w:ind w:firstLine="540" w:firstLineChars="225"/>
        <w:rPr>
          <w:rFonts w:ascii="宋体" w:hAnsi="宋体"/>
          <w:sz w:val="24"/>
          <w:lang w:eastAsia="zh-CN"/>
        </w:rPr>
      </w:pPr>
      <w:bookmarkStart w:id="145" w:name="_Toc368238592"/>
      <w:bookmarkStart w:id="146" w:name="_Toc365884105"/>
      <w:r>
        <w:rPr>
          <w:rFonts w:hint="eastAsia" w:ascii="宋体" w:hAnsi="宋体"/>
          <w:sz w:val="24"/>
          <w:lang w:eastAsia="zh-CN"/>
        </w:rPr>
        <w:t>简易评标法</w:t>
      </w:r>
    </w:p>
    <w:p w14:paraId="55BA1D91">
      <w:pPr>
        <w:spacing w:line="360" w:lineRule="auto"/>
        <w:ind w:firstLine="540" w:firstLineChars="225"/>
        <w:rPr>
          <w:rFonts w:ascii="宋体" w:hAnsi="宋体"/>
          <w:sz w:val="24"/>
          <w:lang w:eastAsia="zh-CN"/>
        </w:rPr>
      </w:pPr>
      <w:r>
        <w:rPr>
          <w:rFonts w:hint="eastAsia" w:ascii="宋体" w:hAnsi="宋体"/>
          <w:sz w:val="24"/>
          <w:lang w:eastAsia="zh-CN"/>
        </w:rPr>
        <w:t>（一）适用范围</w:t>
      </w:r>
    </w:p>
    <w:p w14:paraId="06A10BD4">
      <w:pPr>
        <w:spacing w:line="360" w:lineRule="auto"/>
        <w:ind w:firstLine="540" w:firstLineChars="225"/>
        <w:rPr>
          <w:rFonts w:ascii="宋体" w:hAnsi="宋体"/>
          <w:sz w:val="24"/>
          <w:lang w:eastAsia="zh-CN"/>
        </w:rPr>
      </w:pPr>
      <w:r>
        <w:rPr>
          <w:rFonts w:hint="eastAsia" w:ascii="宋体" w:hAnsi="宋体"/>
          <w:sz w:val="24"/>
          <w:lang w:eastAsia="zh-CN"/>
        </w:rPr>
        <w:t>本办法适用于预算</w:t>
      </w:r>
      <w:r>
        <w:rPr>
          <w:rFonts w:hint="eastAsia" w:ascii="宋体" w:hAnsi="宋体"/>
          <w:sz w:val="24"/>
          <w:highlight w:val="none"/>
          <w:lang w:eastAsia="zh-CN"/>
        </w:rPr>
        <w:t>金额为300万元</w:t>
      </w:r>
      <w:r>
        <w:rPr>
          <w:rFonts w:hint="eastAsia" w:ascii="宋体" w:hAnsi="宋体"/>
          <w:sz w:val="24"/>
          <w:lang w:eastAsia="zh-CN"/>
        </w:rPr>
        <w:t>以下施工项目。</w:t>
      </w:r>
    </w:p>
    <w:p w14:paraId="66546C91">
      <w:pPr>
        <w:spacing w:line="360" w:lineRule="auto"/>
        <w:ind w:firstLine="540" w:firstLineChars="225"/>
        <w:rPr>
          <w:rFonts w:ascii="宋体" w:hAnsi="宋体"/>
          <w:sz w:val="24"/>
          <w:lang w:eastAsia="zh-CN"/>
        </w:rPr>
      </w:pPr>
      <w:r>
        <w:rPr>
          <w:rFonts w:hint="eastAsia" w:ascii="宋体" w:hAnsi="宋体"/>
          <w:sz w:val="24"/>
          <w:lang w:eastAsia="zh-CN"/>
        </w:rPr>
        <w:t>（二）评审小组组建</w:t>
      </w:r>
    </w:p>
    <w:p w14:paraId="58DEDD25">
      <w:pPr>
        <w:spacing w:line="360" w:lineRule="auto"/>
        <w:ind w:firstLine="540" w:firstLineChars="225"/>
        <w:rPr>
          <w:rFonts w:ascii="宋体" w:hAnsi="宋体"/>
          <w:sz w:val="24"/>
          <w:lang w:eastAsia="zh-CN"/>
        </w:rPr>
      </w:pPr>
      <w:r>
        <w:rPr>
          <w:rFonts w:hint="eastAsia" w:ascii="宋体" w:hAnsi="宋体"/>
          <w:sz w:val="24"/>
          <w:lang w:eastAsia="zh-CN"/>
        </w:rPr>
        <w:t>评审小组由交易发起人自行组建，可由熟悉业务的相关人员及交易发起人代表（交易发起人最多只能委派1名专家）组成，评审小组人数为3人以上奇数。</w:t>
      </w:r>
    </w:p>
    <w:p w14:paraId="24E41A89">
      <w:pPr>
        <w:spacing w:line="360" w:lineRule="auto"/>
        <w:ind w:firstLine="540" w:firstLineChars="225"/>
        <w:rPr>
          <w:rFonts w:ascii="宋体" w:hAnsi="宋体"/>
          <w:sz w:val="24"/>
          <w:lang w:eastAsia="zh-CN"/>
        </w:rPr>
      </w:pPr>
      <w:r>
        <w:rPr>
          <w:rFonts w:hint="eastAsia" w:ascii="宋体" w:hAnsi="宋体"/>
          <w:sz w:val="24"/>
          <w:lang w:eastAsia="zh-CN"/>
        </w:rPr>
        <w:t>（三）评审程序</w:t>
      </w:r>
    </w:p>
    <w:p w14:paraId="57AE5F57">
      <w:pPr>
        <w:spacing w:line="360" w:lineRule="auto"/>
        <w:ind w:firstLine="540" w:firstLineChars="225"/>
        <w:rPr>
          <w:rFonts w:ascii="宋体" w:hAnsi="宋体"/>
          <w:sz w:val="24"/>
          <w:lang w:eastAsia="zh-CN"/>
        </w:rPr>
      </w:pPr>
      <w:r>
        <w:rPr>
          <w:rFonts w:hint="eastAsia" w:ascii="宋体" w:hAnsi="宋体"/>
          <w:sz w:val="24"/>
          <w:lang w:eastAsia="zh-CN"/>
        </w:rPr>
        <w:t>1、确定评审基准价：根据交易文件载明的交易优惠幅度，由交易发起人或交易代理企业当场在优惠幅度范围内抽取一个优惠率。评审基准价＝交易发起人预算总价（扣除交易文件以具体金额明确的暂估价、暂列金额）×（1－优惠率）＋交易文件以具体金额明确的暂估价、暂列金额。优惠率参照《交易优惠报价有效范围表》确定。</w:t>
      </w:r>
    </w:p>
    <w:p w14:paraId="1C78E095">
      <w:pPr>
        <w:spacing w:line="360" w:lineRule="auto"/>
        <w:ind w:firstLine="540" w:firstLineChars="225"/>
        <w:rPr>
          <w:rFonts w:ascii="宋体" w:hAnsi="宋体"/>
          <w:sz w:val="24"/>
          <w:highlight w:val="none"/>
          <w:lang w:eastAsia="zh-CN"/>
        </w:rPr>
      </w:pPr>
      <w:r>
        <w:rPr>
          <w:rFonts w:hint="eastAsia" w:ascii="宋体" w:hAnsi="宋体"/>
          <w:sz w:val="24"/>
          <w:lang w:eastAsia="zh-CN"/>
        </w:rPr>
        <w:t>2、资格审查：交易会议后由评审小组按照交易文件规定对最接近基准价的5名交易响应人进行资格审查，资格审查不通过的，</w:t>
      </w:r>
      <w:r>
        <w:rPr>
          <w:rFonts w:hint="eastAsia" w:ascii="宋体" w:hAnsi="宋体"/>
          <w:sz w:val="24"/>
          <w:highlight w:val="none"/>
          <w:lang w:eastAsia="zh-CN"/>
        </w:rPr>
        <w:t>取消其交易响应资格并依次递补。</w:t>
      </w:r>
    </w:p>
    <w:p w14:paraId="4146E99D">
      <w:pPr>
        <w:spacing w:line="360" w:lineRule="auto"/>
        <w:ind w:firstLine="540" w:firstLineChars="225"/>
        <w:rPr>
          <w:rFonts w:ascii="宋体" w:hAnsi="宋体"/>
          <w:sz w:val="24"/>
          <w:highlight w:val="none"/>
          <w:lang w:eastAsia="zh-CN"/>
        </w:rPr>
      </w:pPr>
      <w:r>
        <w:rPr>
          <w:rFonts w:hint="eastAsia" w:ascii="宋体" w:hAnsi="宋体"/>
          <w:sz w:val="24"/>
          <w:highlight w:val="none"/>
          <w:lang w:eastAsia="zh-CN"/>
        </w:rPr>
        <w:t>3、符合性审查：根据交易文件规定，对通过资格审查的交易响应人进行符合性审查，符合性审查不通过的，取消其交易响应资格。</w:t>
      </w:r>
    </w:p>
    <w:p w14:paraId="03F984C1">
      <w:pPr>
        <w:spacing w:line="360" w:lineRule="auto"/>
        <w:ind w:firstLine="540" w:firstLineChars="225"/>
        <w:rPr>
          <w:rFonts w:ascii="宋体" w:hAnsi="宋体"/>
          <w:sz w:val="24"/>
          <w:lang w:eastAsia="zh-CN"/>
        </w:rPr>
      </w:pPr>
      <w:r>
        <w:rPr>
          <w:rFonts w:hint="eastAsia" w:ascii="宋体" w:hAnsi="宋体"/>
          <w:sz w:val="24"/>
          <w:lang w:eastAsia="zh-CN"/>
        </w:rPr>
        <w:t>4、推荐成交候选人：通过符合性审查，且交易响应报价与基准价之差的绝对值最小的交易响应人为成交候选人；若与基准价之差的绝对值相等时，则确定交易响应报价低于评审基准价的交易响应人为成交候选人；当出现两个及以上报价相同的成交候选人时，则采用随机抽签方式确定成交候选人。</w:t>
      </w:r>
    </w:p>
    <w:p w14:paraId="76316D85">
      <w:pPr>
        <w:spacing w:line="360" w:lineRule="auto"/>
        <w:ind w:firstLine="540" w:firstLineChars="225"/>
        <w:rPr>
          <w:rFonts w:ascii="宋体" w:hAnsi="宋体"/>
          <w:sz w:val="24"/>
          <w:lang w:eastAsia="zh-CN"/>
        </w:rPr>
      </w:pPr>
    </w:p>
    <w:p w14:paraId="68BD746E">
      <w:pPr>
        <w:spacing w:line="360" w:lineRule="auto"/>
        <w:ind w:firstLine="472" w:firstLineChars="225"/>
        <w:jc w:val="center"/>
        <w:outlineLvl w:val="0"/>
        <w:rPr>
          <w:rFonts w:ascii="宋体" w:hAnsi="宋体" w:cs="Courier New"/>
          <w:b/>
          <w:sz w:val="32"/>
          <w:szCs w:val="32"/>
          <w:lang w:eastAsia="zh-CN"/>
        </w:rPr>
      </w:pPr>
      <w:r>
        <w:rPr>
          <w:rFonts w:cs="Tahoma"/>
          <w:lang w:eastAsia="zh-CN"/>
        </w:rPr>
        <w:br w:type="page"/>
      </w:r>
      <w:bookmarkStart w:id="147" w:name="_Toc20544"/>
      <w:r>
        <w:rPr>
          <w:rFonts w:hint="eastAsia" w:ascii="宋体" w:hAnsi="宋体" w:cs="Courier New"/>
          <w:b/>
          <w:sz w:val="32"/>
          <w:szCs w:val="32"/>
          <w:lang w:eastAsia="zh-CN"/>
        </w:rPr>
        <w:t>五、合同条款</w:t>
      </w:r>
      <w:bookmarkEnd w:id="145"/>
      <w:bookmarkEnd w:id="146"/>
      <w:bookmarkEnd w:id="147"/>
      <w:r>
        <w:rPr>
          <w:rFonts w:hint="eastAsia" w:ascii="宋体" w:hAnsi="宋体" w:cs="Courier New"/>
          <w:b/>
          <w:sz w:val="32"/>
          <w:szCs w:val="32"/>
          <w:lang w:eastAsia="zh-CN"/>
        </w:rPr>
        <w:t>及格式</w:t>
      </w:r>
      <w:bookmarkStart w:id="148" w:name="_Toc362883247"/>
      <w:bookmarkStart w:id="149" w:name="_Toc370459021"/>
      <w:bookmarkStart w:id="150" w:name="_Toc184635097"/>
    </w:p>
    <w:p w14:paraId="48EA356E">
      <w:pPr>
        <w:spacing w:line="360" w:lineRule="auto"/>
        <w:ind w:firstLine="675" w:firstLineChars="225"/>
        <w:jc w:val="center"/>
        <w:outlineLvl w:val="0"/>
        <w:rPr>
          <w:rFonts w:ascii="宋体" w:hAnsi="宋体" w:cs="Courier New"/>
          <w:sz w:val="30"/>
          <w:szCs w:val="30"/>
          <w:lang w:eastAsia="zh-CN"/>
        </w:rPr>
      </w:pPr>
    </w:p>
    <w:p w14:paraId="522D31F3">
      <w:pPr>
        <w:spacing w:line="360" w:lineRule="auto"/>
        <w:ind w:firstLine="678" w:firstLineChars="225"/>
        <w:jc w:val="center"/>
        <w:outlineLvl w:val="0"/>
        <w:rPr>
          <w:rFonts w:ascii="宋体" w:hAnsi="宋体" w:cs="Courier New"/>
          <w:sz w:val="30"/>
          <w:szCs w:val="30"/>
          <w:lang w:eastAsia="zh-CN"/>
        </w:rPr>
      </w:pPr>
      <w:r>
        <w:rPr>
          <w:rFonts w:hint="eastAsia" w:ascii="宋体" w:hAnsi="宋体" w:cs="Courier New"/>
          <w:b/>
          <w:snapToGrid w:val="0"/>
          <w:sz w:val="30"/>
          <w:szCs w:val="30"/>
          <w:lang w:eastAsia="zh-CN"/>
        </w:rPr>
        <w:t xml:space="preserve">第1节  </w:t>
      </w:r>
      <w:r>
        <w:rPr>
          <w:rFonts w:ascii="宋体" w:hAnsi="宋体" w:cs="Courier New"/>
          <w:b/>
          <w:snapToGrid w:val="0"/>
          <w:sz w:val="30"/>
          <w:szCs w:val="30"/>
          <w:lang w:eastAsia="zh-CN"/>
        </w:rPr>
        <w:t>通用合同条款</w:t>
      </w:r>
      <w:bookmarkEnd w:id="148"/>
      <w:bookmarkEnd w:id="149"/>
      <w:bookmarkEnd w:id="150"/>
    </w:p>
    <w:p w14:paraId="33893037">
      <w:pPr>
        <w:spacing w:line="360" w:lineRule="auto"/>
        <w:ind w:firstLine="675" w:firstLineChars="225"/>
        <w:jc w:val="center"/>
        <w:outlineLvl w:val="0"/>
        <w:rPr>
          <w:rFonts w:ascii="宋体" w:hAnsi="宋体" w:cs="Courier New"/>
          <w:sz w:val="30"/>
          <w:szCs w:val="30"/>
          <w:lang w:eastAsia="zh-CN"/>
        </w:rPr>
      </w:pPr>
    </w:p>
    <w:p w14:paraId="0A22AB6C">
      <w:pPr>
        <w:spacing w:line="360" w:lineRule="auto"/>
        <w:ind w:firstLine="675" w:firstLineChars="225"/>
        <w:jc w:val="center"/>
        <w:outlineLvl w:val="0"/>
        <w:rPr>
          <w:rFonts w:ascii="宋体" w:hAnsi="宋体" w:cs="Courier New"/>
          <w:sz w:val="30"/>
          <w:szCs w:val="30"/>
          <w:lang w:eastAsia="zh-CN"/>
        </w:rPr>
      </w:pPr>
    </w:p>
    <w:p w14:paraId="1A92494B">
      <w:pPr>
        <w:spacing w:line="360" w:lineRule="auto"/>
        <w:ind w:firstLine="675" w:firstLineChars="225"/>
        <w:jc w:val="center"/>
        <w:outlineLvl w:val="0"/>
        <w:rPr>
          <w:rFonts w:ascii="宋体" w:hAnsi="宋体" w:cs="Courier New"/>
          <w:sz w:val="30"/>
          <w:szCs w:val="30"/>
          <w:lang w:eastAsia="zh-CN"/>
        </w:rPr>
      </w:pPr>
      <w:r>
        <w:rPr>
          <w:rFonts w:hint="eastAsia" w:ascii="宋体" w:hAnsi="宋体" w:cs="Courier New"/>
          <w:sz w:val="30"/>
          <w:szCs w:val="30"/>
          <w:lang w:eastAsia="zh-CN"/>
        </w:rPr>
        <w:t>使用浙江省水利水电工程施工交易示范文本（报批稿1118）。</w:t>
      </w:r>
    </w:p>
    <w:p w14:paraId="25FEB56D">
      <w:pPr>
        <w:spacing w:line="360" w:lineRule="auto"/>
        <w:ind w:firstLine="675" w:firstLineChars="225"/>
        <w:jc w:val="center"/>
        <w:outlineLvl w:val="0"/>
        <w:rPr>
          <w:rFonts w:ascii="宋体" w:hAnsi="宋体" w:cs="Courier New"/>
          <w:sz w:val="30"/>
          <w:szCs w:val="30"/>
          <w:lang w:eastAsia="zh-CN"/>
        </w:rPr>
      </w:pPr>
    </w:p>
    <w:p w14:paraId="7866CDB9">
      <w:pPr>
        <w:spacing w:line="360" w:lineRule="auto"/>
        <w:ind w:firstLine="474" w:firstLineChars="225"/>
        <w:jc w:val="center"/>
        <w:outlineLvl w:val="0"/>
        <w:rPr>
          <w:rFonts w:ascii="宋体" w:hAnsi="宋体" w:cs="Courier New"/>
          <w:b/>
          <w:snapToGrid w:val="0"/>
          <w:lang w:eastAsia="zh-CN"/>
        </w:rPr>
      </w:pPr>
      <w:bookmarkStart w:id="151" w:name="_Toc362883272"/>
      <w:bookmarkStart w:id="152" w:name="_Toc370459049"/>
    </w:p>
    <w:p w14:paraId="0FE0BCDB">
      <w:pPr>
        <w:spacing w:line="360" w:lineRule="auto"/>
        <w:ind w:firstLine="474" w:firstLineChars="225"/>
        <w:jc w:val="center"/>
        <w:outlineLvl w:val="0"/>
        <w:rPr>
          <w:rFonts w:ascii="宋体" w:hAnsi="宋体" w:cs="Courier New"/>
          <w:b/>
          <w:snapToGrid w:val="0"/>
          <w:lang w:eastAsia="zh-CN"/>
        </w:rPr>
      </w:pPr>
    </w:p>
    <w:p w14:paraId="52AE1D29">
      <w:pPr>
        <w:spacing w:line="360" w:lineRule="auto"/>
        <w:ind w:firstLine="474" w:firstLineChars="225"/>
        <w:jc w:val="center"/>
        <w:outlineLvl w:val="0"/>
        <w:rPr>
          <w:rFonts w:ascii="宋体" w:hAnsi="宋体" w:cs="Courier New"/>
          <w:b/>
          <w:snapToGrid w:val="0"/>
          <w:lang w:eastAsia="zh-CN"/>
        </w:rPr>
      </w:pPr>
    </w:p>
    <w:p w14:paraId="03F4F533">
      <w:pPr>
        <w:spacing w:line="360" w:lineRule="auto"/>
        <w:ind w:firstLine="474" w:firstLineChars="225"/>
        <w:jc w:val="center"/>
        <w:outlineLvl w:val="0"/>
        <w:rPr>
          <w:rFonts w:ascii="宋体" w:hAnsi="宋体" w:cs="Courier New"/>
          <w:b/>
          <w:snapToGrid w:val="0"/>
          <w:lang w:eastAsia="zh-CN"/>
        </w:rPr>
      </w:pPr>
    </w:p>
    <w:p w14:paraId="4E658EE8">
      <w:pPr>
        <w:spacing w:line="360" w:lineRule="auto"/>
        <w:ind w:firstLine="474" w:firstLineChars="225"/>
        <w:jc w:val="center"/>
        <w:outlineLvl w:val="0"/>
        <w:rPr>
          <w:rFonts w:ascii="宋体" w:hAnsi="宋体" w:cs="Courier New"/>
          <w:b/>
          <w:snapToGrid w:val="0"/>
          <w:lang w:eastAsia="zh-CN"/>
        </w:rPr>
      </w:pPr>
    </w:p>
    <w:p w14:paraId="57170F73">
      <w:pPr>
        <w:spacing w:line="360" w:lineRule="auto"/>
        <w:ind w:firstLine="474" w:firstLineChars="225"/>
        <w:jc w:val="center"/>
        <w:outlineLvl w:val="0"/>
        <w:rPr>
          <w:rFonts w:ascii="宋体" w:hAnsi="宋体" w:cs="Courier New"/>
          <w:b/>
          <w:snapToGrid w:val="0"/>
          <w:lang w:eastAsia="zh-CN"/>
        </w:rPr>
      </w:pPr>
    </w:p>
    <w:p w14:paraId="69E00639">
      <w:pPr>
        <w:spacing w:line="360" w:lineRule="auto"/>
        <w:ind w:firstLine="474" w:firstLineChars="225"/>
        <w:jc w:val="center"/>
        <w:outlineLvl w:val="0"/>
        <w:rPr>
          <w:rFonts w:ascii="宋体" w:hAnsi="宋体" w:cs="Courier New"/>
          <w:b/>
          <w:snapToGrid w:val="0"/>
          <w:lang w:eastAsia="zh-CN"/>
        </w:rPr>
      </w:pPr>
    </w:p>
    <w:p w14:paraId="78124D69">
      <w:pPr>
        <w:spacing w:line="360" w:lineRule="auto"/>
        <w:ind w:firstLine="474" w:firstLineChars="225"/>
        <w:jc w:val="center"/>
        <w:outlineLvl w:val="0"/>
        <w:rPr>
          <w:rFonts w:ascii="宋体" w:hAnsi="宋体" w:cs="Courier New"/>
          <w:b/>
          <w:snapToGrid w:val="0"/>
          <w:lang w:eastAsia="zh-CN"/>
        </w:rPr>
      </w:pPr>
    </w:p>
    <w:p w14:paraId="6D2389C1">
      <w:pPr>
        <w:spacing w:line="360" w:lineRule="auto"/>
        <w:ind w:firstLine="474" w:firstLineChars="225"/>
        <w:jc w:val="center"/>
        <w:outlineLvl w:val="0"/>
        <w:rPr>
          <w:rFonts w:ascii="宋体" w:hAnsi="宋体" w:cs="Courier New"/>
          <w:b/>
          <w:snapToGrid w:val="0"/>
          <w:lang w:eastAsia="zh-CN"/>
        </w:rPr>
      </w:pPr>
    </w:p>
    <w:p w14:paraId="5057ED7D">
      <w:pPr>
        <w:spacing w:line="360" w:lineRule="auto"/>
        <w:ind w:firstLine="474" w:firstLineChars="225"/>
        <w:jc w:val="center"/>
        <w:outlineLvl w:val="0"/>
        <w:rPr>
          <w:rFonts w:ascii="宋体" w:hAnsi="宋体" w:cs="Courier New"/>
          <w:b/>
          <w:snapToGrid w:val="0"/>
          <w:lang w:eastAsia="zh-CN"/>
        </w:rPr>
      </w:pPr>
    </w:p>
    <w:p w14:paraId="1ED55B0E">
      <w:pPr>
        <w:spacing w:line="360" w:lineRule="auto"/>
        <w:ind w:firstLine="474" w:firstLineChars="225"/>
        <w:jc w:val="center"/>
        <w:outlineLvl w:val="0"/>
        <w:rPr>
          <w:rFonts w:ascii="宋体" w:hAnsi="宋体" w:cs="Courier New"/>
          <w:b/>
          <w:snapToGrid w:val="0"/>
          <w:lang w:eastAsia="zh-CN"/>
        </w:rPr>
      </w:pPr>
    </w:p>
    <w:p w14:paraId="4B0B76B2">
      <w:pPr>
        <w:spacing w:line="360" w:lineRule="auto"/>
        <w:ind w:firstLine="474" w:firstLineChars="225"/>
        <w:jc w:val="center"/>
        <w:outlineLvl w:val="0"/>
        <w:rPr>
          <w:rFonts w:ascii="宋体" w:hAnsi="宋体" w:cs="Courier New"/>
          <w:b/>
          <w:snapToGrid w:val="0"/>
          <w:lang w:eastAsia="zh-CN"/>
        </w:rPr>
      </w:pPr>
    </w:p>
    <w:p w14:paraId="57F92C60">
      <w:pPr>
        <w:spacing w:line="360" w:lineRule="auto"/>
        <w:ind w:firstLine="474" w:firstLineChars="225"/>
        <w:jc w:val="center"/>
        <w:outlineLvl w:val="0"/>
        <w:rPr>
          <w:rFonts w:ascii="宋体" w:hAnsi="宋体" w:cs="Courier New"/>
          <w:b/>
          <w:snapToGrid w:val="0"/>
          <w:lang w:eastAsia="zh-CN"/>
        </w:rPr>
      </w:pPr>
    </w:p>
    <w:p w14:paraId="61D5E2BB">
      <w:pPr>
        <w:spacing w:line="360" w:lineRule="auto"/>
        <w:ind w:firstLine="474" w:firstLineChars="225"/>
        <w:jc w:val="center"/>
        <w:outlineLvl w:val="0"/>
        <w:rPr>
          <w:rFonts w:ascii="宋体" w:hAnsi="宋体" w:cs="Courier New"/>
          <w:b/>
          <w:snapToGrid w:val="0"/>
          <w:lang w:eastAsia="zh-CN"/>
        </w:rPr>
      </w:pPr>
    </w:p>
    <w:p w14:paraId="15DA6B6C">
      <w:pPr>
        <w:spacing w:line="360" w:lineRule="auto"/>
        <w:ind w:firstLine="474" w:firstLineChars="225"/>
        <w:jc w:val="center"/>
        <w:outlineLvl w:val="0"/>
        <w:rPr>
          <w:rFonts w:ascii="宋体" w:hAnsi="宋体" w:cs="Courier New"/>
          <w:b/>
          <w:snapToGrid w:val="0"/>
          <w:lang w:eastAsia="zh-CN"/>
        </w:rPr>
      </w:pPr>
    </w:p>
    <w:p w14:paraId="7B72E72B">
      <w:pPr>
        <w:pStyle w:val="3"/>
        <w:jc w:val="center"/>
        <w:rPr>
          <w:rStyle w:val="15"/>
          <w:b w:val="0"/>
          <w:sz w:val="30"/>
          <w:szCs w:val="30"/>
          <w:lang w:eastAsia="zh-CN"/>
        </w:rPr>
      </w:pPr>
      <w:r>
        <w:rPr>
          <w:rFonts w:hint="eastAsia" w:ascii="宋体" w:hAnsi="宋体" w:cs="Courier New"/>
          <w:bCs w:val="0"/>
          <w:snapToGrid w:val="0"/>
          <w:sz w:val="32"/>
          <w:szCs w:val="32"/>
          <w:lang w:eastAsia="zh-CN"/>
        </w:rPr>
        <w:t xml:space="preserve">第2节  </w:t>
      </w:r>
      <w:r>
        <w:rPr>
          <w:rStyle w:val="15"/>
          <w:b w:val="0"/>
          <w:sz w:val="30"/>
          <w:szCs w:val="30"/>
          <w:lang w:eastAsia="zh-CN"/>
        </w:rPr>
        <w:t>专用合同条款</w:t>
      </w:r>
      <w:bookmarkEnd w:id="151"/>
      <w:bookmarkEnd w:id="152"/>
    </w:p>
    <w:p w14:paraId="67F98377">
      <w:pPr>
        <w:rPr>
          <w:b/>
          <w:snapToGrid w:val="0"/>
          <w:lang w:eastAsia="zh-CN"/>
        </w:rPr>
      </w:pPr>
    </w:p>
    <w:p w14:paraId="32DF6FD2">
      <w:pPr>
        <w:pStyle w:val="4"/>
        <w:spacing w:before="0"/>
        <w:rPr>
          <w:snapToGrid w:val="0"/>
          <w:lang w:eastAsia="zh-CN"/>
        </w:rPr>
      </w:pPr>
      <w:bookmarkStart w:id="153" w:name="_Toc217819038"/>
      <w:bookmarkStart w:id="154" w:name="_Toc362883273"/>
      <w:bookmarkStart w:id="155" w:name="_Toc307478972"/>
      <w:bookmarkStart w:id="156" w:name="_Toc370459050"/>
      <w:bookmarkStart w:id="157" w:name="_Toc266998242"/>
      <w:bookmarkStart w:id="158" w:name="_Toc344282749"/>
      <w:r>
        <w:rPr>
          <w:snapToGrid w:val="0"/>
          <w:lang w:eastAsia="zh-CN"/>
        </w:rPr>
        <w:t>1 一般约定</w:t>
      </w:r>
      <w:bookmarkEnd w:id="153"/>
      <w:bookmarkEnd w:id="154"/>
      <w:bookmarkEnd w:id="155"/>
      <w:bookmarkEnd w:id="156"/>
      <w:bookmarkEnd w:id="157"/>
      <w:bookmarkEnd w:id="158"/>
    </w:p>
    <w:p w14:paraId="3D6D854E">
      <w:pPr>
        <w:pStyle w:val="5"/>
        <w:rPr>
          <w:lang w:eastAsia="zh-CN"/>
        </w:rPr>
      </w:pPr>
      <w:r>
        <w:rPr>
          <w:lang w:eastAsia="zh-CN"/>
        </w:rPr>
        <w:t>1.1 词语定义</w:t>
      </w:r>
    </w:p>
    <w:p w14:paraId="59F59085">
      <w:pPr>
        <w:ind w:firstLine="420" w:firstLineChars="200"/>
        <w:rPr>
          <w:snapToGrid w:val="0"/>
          <w:szCs w:val="24"/>
          <w:lang w:eastAsia="zh-CN"/>
        </w:rPr>
      </w:pPr>
      <w:r>
        <w:rPr>
          <w:snapToGrid w:val="0"/>
          <w:szCs w:val="24"/>
          <w:lang w:eastAsia="zh-CN"/>
        </w:rPr>
        <w:t>1.1.2 合同当事人和人员</w:t>
      </w:r>
    </w:p>
    <w:p w14:paraId="7316C63D">
      <w:pPr>
        <w:tabs>
          <w:tab w:val="left" w:pos="360"/>
        </w:tabs>
        <w:ind w:firstLine="420" w:firstLineChars="200"/>
        <w:rPr>
          <w:snapToGrid w:val="0"/>
          <w:szCs w:val="24"/>
          <w:lang w:eastAsia="zh-CN"/>
        </w:rPr>
      </w:pPr>
      <w:r>
        <w:rPr>
          <w:snapToGrid w:val="0"/>
          <w:szCs w:val="24"/>
          <w:lang w:eastAsia="zh-CN"/>
        </w:rPr>
        <w:t>1.1.2.2 发包人：。</w:t>
      </w:r>
    </w:p>
    <w:p w14:paraId="43FCC604">
      <w:pPr>
        <w:ind w:firstLine="420" w:firstLineChars="200"/>
        <w:rPr>
          <w:snapToGrid w:val="0"/>
          <w:szCs w:val="24"/>
          <w:lang w:eastAsia="zh-CN"/>
        </w:rPr>
      </w:pPr>
      <w:r>
        <w:rPr>
          <w:snapToGrid w:val="0"/>
          <w:szCs w:val="24"/>
          <w:lang w:eastAsia="zh-CN"/>
        </w:rPr>
        <w:t>1.1.2.3 承包人：（签约后填入）。</w:t>
      </w:r>
    </w:p>
    <w:p w14:paraId="2EA48168">
      <w:pPr>
        <w:ind w:firstLine="420" w:firstLineChars="200"/>
        <w:rPr>
          <w:snapToGrid w:val="0"/>
          <w:szCs w:val="24"/>
          <w:lang w:eastAsia="zh-CN"/>
        </w:rPr>
      </w:pPr>
      <w:r>
        <w:rPr>
          <w:snapToGrid w:val="0"/>
          <w:szCs w:val="24"/>
          <w:lang w:eastAsia="zh-CN"/>
        </w:rPr>
        <w:t>1.1.2.5 分包人：（签约后填入）。</w:t>
      </w:r>
    </w:p>
    <w:p w14:paraId="51279441">
      <w:pPr>
        <w:ind w:firstLine="420" w:firstLineChars="200"/>
        <w:rPr>
          <w:snapToGrid w:val="0"/>
          <w:szCs w:val="24"/>
          <w:lang w:eastAsia="zh-CN"/>
        </w:rPr>
      </w:pPr>
      <w:r>
        <w:rPr>
          <w:snapToGrid w:val="0"/>
          <w:szCs w:val="24"/>
          <w:lang w:eastAsia="zh-CN"/>
        </w:rPr>
        <w:t>1.1.2.6 监理人：。</w:t>
      </w:r>
    </w:p>
    <w:p w14:paraId="59863D5A">
      <w:pPr>
        <w:ind w:firstLine="420" w:firstLineChars="200"/>
        <w:rPr>
          <w:snapToGrid w:val="0"/>
          <w:szCs w:val="24"/>
          <w:lang w:eastAsia="zh-CN"/>
        </w:rPr>
      </w:pPr>
      <w:r>
        <w:rPr>
          <w:snapToGrid w:val="0"/>
          <w:szCs w:val="24"/>
          <w:lang w:eastAsia="zh-CN"/>
        </w:rPr>
        <w:t xml:space="preserve">1.1.3 </w:t>
      </w:r>
      <w:r>
        <w:rPr>
          <w:snapToGrid w:val="0"/>
          <w:szCs w:val="21"/>
          <w:lang w:eastAsia="zh-CN"/>
        </w:rPr>
        <w:t>工程和设备</w:t>
      </w:r>
    </w:p>
    <w:p w14:paraId="10C9E81B">
      <w:pPr>
        <w:ind w:firstLine="420" w:firstLineChars="200"/>
        <w:rPr>
          <w:snapToGrid w:val="0"/>
          <w:szCs w:val="21"/>
          <w:lang w:eastAsia="zh-CN"/>
        </w:rPr>
      </w:pPr>
      <w:r>
        <w:rPr>
          <w:snapToGrid w:val="0"/>
          <w:szCs w:val="24"/>
          <w:lang w:eastAsia="zh-CN"/>
        </w:rPr>
        <w:t xml:space="preserve">1.1.3.4 </w:t>
      </w:r>
      <w:r>
        <w:rPr>
          <w:snapToGrid w:val="0"/>
          <w:szCs w:val="21"/>
          <w:lang w:eastAsia="zh-CN"/>
        </w:rPr>
        <w:t>单位工程：指经工程质量监督机构确认的工程项目划分表中确定的具有独立发挥作用或独立施工条件的永久建筑物。</w:t>
      </w:r>
    </w:p>
    <w:p w14:paraId="0ED95FF5">
      <w:pPr>
        <w:ind w:firstLine="420" w:firstLineChars="200"/>
        <w:rPr>
          <w:snapToGrid w:val="0"/>
          <w:szCs w:val="24"/>
          <w:lang w:eastAsia="zh-CN"/>
        </w:rPr>
      </w:pPr>
      <w:r>
        <w:rPr>
          <w:snapToGrid w:val="0"/>
          <w:szCs w:val="24"/>
          <w:lang w:eastAsia="zh-CN"/>
        </w:rPr>
        <w:t>1.1.4 日期</w:t>
      </w:r>
    </w:p>
    <w:p w14:paraId="5516FC41">
      <w:pPr>
        <w:ind w:firstLine="420" w:firstLineChars="200"/>
        <w:rPr>
          <w:snapToGrid w:val="0"/>
          <w:szCs w:val="24"/>
          <w:lang w:eastAsia="zh-CN"/>
        </w:rPr>
      </w:pPr>
      <w:r>
        <w:rPr>
          <w:snapToGrid w:val="0"/>
          <w:lang w:eastAsia="zh-CN"/>
        </w:rPr>
        <w:t>1.1.4.5 缺陷责任期（工程质量保修期）：</w:t>
      </w:r>
      <w:bookmarkStart w:id="159" w:name="_Toc134275845"/>
      <w:bookmarkStart w:id="160" w:name="_Toc140459354"/>
      <w:bookmarkStart w:id="161" w:name="_Toc212607207"/>
      <w:bookmarkStart w:id="162" w:name="_Toc118022200"/>
      <w:bookmarkStart w:id="163" w:name="_Toc113763821"/>
      <w:bookmarkStart w:id="164" w:name="_Toc140459440"/>
      <w:r>
        <w:rPr>
          <w:snapToGrid w:val="0"/>
          <w:szCs w:val="24"/>
          <w:lang w:eastAsia="zh-CN"/>
        </w:rPr>
        <w:t>为</w:t>
      </w:r>
      <w:r>
        <w:rPr>
          <w:rFonts w:hint="eastAsia"/>
          <w:snapToGrid w:val="0"/>
          <w:szCs w:val="24"/>
          <w:u w:val="single"/>
          <w:lang w:eastAsia="zh-CN"/>
        </w:rPr>
        <w:t>1</w:t>
      </w:r>
      <w:r>
        <w:rPr>
          <w:snapToGrid w:val="0"/>
          <w:szCs w:val="24"/>
          <w:lang w:eastAsia="zh-CN"/>
        </w:rPr>
        <w:t>年。</w:t>
      </w:r>
    </w:p>
    <w:p w14:paraId="18AB72C9">
      <w:pPr>
        <w:ind w:firstLine="420" w:firstLineChars="200"/>
        <w:rPr>
          <w:snapToGrid w:val="0"/>
          <w:szCs w:val="21"/>
          <w:lang w:eastAsia="zh-CN"/>
        </w:rPr>
      </w:pPr>
      <w:r>
        <w:rPr>
          <w:snapToGrid w:val="0"/>
          <w:szCs w:val="24"/>
          <w:lang w:eastAsia="zh-CN"/>
        </w:rPr>
        <w:t xml:space="preserve">1.1.6 </w:t>
      </w:r>
      <w:r>
        <w:rPr>
          <w:snapToGrid w:val="0"/>
          <w:szCs w:val="21"/>
          <w:lang w:eastAsia="zh-CN"/>
        </w:rPr>
        <w:t>其他</w:t>
      </w:r>
    </w:p>
    <w:p w14:paraId="2947DA3C">
      <w:pPr>
        <w:ind w:firstLine="420" w:firstLineChars="200"/>
        <w:rPr>
          <w:snapToGrid w:val="0"/>
          <w:szCs w:val="28"/>
          <w:lang w:eastAsia="zh-CN"/>
        </w:rPr>
      </w:pPr>
      <w:r>
        <w:rPr>
          <w:snapToGrid w:val="0"/>
          <w:szCs w:val="24"/>
          <w:lang w:eastAsia="zh-CN"/>
        </w:rPr>
        <w:t>1.1.6.2 完工验收：指</w:t>
      </w:r>
      <w:r>
        <w:rPr>
          <w:snapToGrid w:val="0"/>
          <w:szCs w:val="28"/>
          <w:lang w:eastAsia="zh-CN"/>
        </w:rPr>
        <w:t>《水利水电建设工程验收规程》中的合同工程完工验收。通用合同条款中“竣工验收”一词具有相同含义。</w:t>
      </w:r>
    </w:p>
    <w:p w14:paraId="1065D541">
      <w:pPr>
        <w:pStyle w:val="5"/>
        <w:rPr>
          <w:lang w:eastAsia="zh-CN"/>
        </w:rPr>
      </w:pPr>
      <w:r>
        <w:rPr>
          <w:lang w:eastAsia="zh-CN"/>
        </w:rPr>
        <w:t>1.4 合同文件的优先顺序</w:t>
      </w:r>
      <w:bookmarkEnd w:id="159"/>
      <w:bookmarkEnd w:id="160"/>
      <w:bookmarkEnd w:id="161"/>
      <w:bookmarkEnd w:id="162"/>
      <w:bookmarkEnd w:id="163"/>
      <w:bookmarkEnd w:id="164"/>
    </w:p>
    <w:p w14:paraId="6F14D136">
      <w:pPr>
        <w:rPr>
          <w:snapToGrid w:val="0"/>
          <w:szCs w:val="28"/>
          <w:lang w:eastAsia="zh-CN"/>
        </w:rPr>
      </w:pPr>
      <w:r>
        <w:rPr>
          <w:snapToGrid w:val="0"/>
          <w:szCs w:val="28"/>
          <w:lang w:eastAsia="zh-CN"/>
        </w:rPr>
        <w:t xml:space="preserve">    除合同另有规定外，解释合同文件的优先顺序如下： </w:t>
      </w:r>
    </w:p>
    <w:p w14:paraId="06E353FE">
      <w:pPr>
        <w:ind w:firstLine="420" w:firstLineChars="200"/>
        <w:rPr>
          <w:snapToGrid w:val="0"/>
          <w:szCs w:val="28"/>
          <w:lang w:eastAsia="zh-CN"/>
        </w:rPr>
      </w:pPr>
      <w:r>
        <w:rPr>
          <w:snapToGrid w:val="0"/>
          <w:szCs w:val="28"/>
          <w:lang w:eastAsia="zh-CN"/>
        </w:rPr>
        <w:t>（1） 合同协议书（包括补充协议书）；</w:t>
      </w:r>
    </w:p>
    <w:p w14:paraId="6A19006E">
      <w:pPr>
        <w:ind w:firstLine="420" w:firstLineChars="200"/>
        <w:rPr>
          <w:snapToGrid w:val="0"/>
          <w:szCs w:val="28"/>
          <w:lang w:eastAsia="zh-CN"/>
        </w:rPr>
      </w:pPr>
      <w:r>
        <w:rPr>
          <w:snapToGrid w:val="0"/>
          <w:szCs w:val="28"/>
          <w:lang w:eastAsia="zh-CN"/>
        </w:rPr>
        <w:t xml:space="preserve">（2） </w:t>
      </w:r>
      <w:r>
        <w:rPr>
          <w:rFonts w:hint="eastAsia"/>
          <w:snapToGrid w:val="0"/>
          <w:szCs w:val="28"/>
          <w:lang w:eastAsia="zh-CN"/>
        </w:rPr>
        <w:t>成交</w:t>
      </w:r>
      <w:r>
        <w:rPr>
          <w:snapToGrid w:val="0"/>
          <w:szCs w:val="28"/>
          <w:lang w:eastAsia="zh-CN"/>
        </w:rPr>
        <w:t>通知书；</w:t>
      </w:r>
    </w:p>
    <w:p w14:paraId="513C4682">
      <w:pPr>
        <w:ind w:firstLine="420" w:firstLineChars="200"/>
        <w:rPr>
          <w:snapToGrid w:val="0"/>
          <w:szCs w:val="28"/>
          <w:lang w:eastAsia="zh-CN"/>
        </w:rPr>
      </w:pPr>
      <w:r>
        <w:rPr>
          <w:snapToGrid w:val="0"/>
          <w:szCs w:val="28"/>
          <w:lang w:eastAsia="zh-CN"/>
        </w:rPr>
        <w:t xml:space="preserve">（3） </w:t>
      </w:r>
      <w:r>
        <w:rPr>
          <w:rFonts w:hint="eastAsia"/>
          <w:snapToGrid w:val="0"/>
          <w:szCs w:val="28"/>
          <w:lang w:eastAsia="zh-CN"/>
        </w:rPr>
        <w:t>交易响应</w:t>
      </w:r>
      <w:r>
        <w:rPr>
          <w:snapToGrid w:val="0"/>
          <w:szCs w:val="28"/>
          <w:lang w:eastAsia="zh-CN"/>
        </w:rPr>
        <w:t>函及</w:t>
      </w:r>
      <w:r>
        <w:rPr>
          <w:rFonts w:hint="eastAsia"/>
          <w:snapToGrid w:val="0"/>
          <w:szCs w:val="28"/>
          <w:lang w:eastAsia="zh-CN"/>
        </w:rPr>
        <w:t>交易响应</w:t>
      </w:r>
      <w:r>
        <w:rPr>
          <w:snapToGrid w:val="0"/>
          <w:szCs w:val="28"/>
          <w:lang w:eastAsia="zh-CN"/>
        </w:rPr>
        <w:t>函附录；</w:t>
      </w:r>
    </w:p>
    <w:p w14:paraId="4DB89C6F">
      <w:pPr>
        <w:ind w:firstLine="420" w:firstLineChars="200"/>
        <w:rPr>
          <w:snapToGrid w:val="0"/>
          <w:szCs w:val="28"/>
          <w:lang w:eastAsia="zh-CN"/>
        </w:rPr>
      </w:pPr>
      <w:r>
        <w:rPr>
          <w:snapToGrid w:val="0"/>
          <w:szCs w:val="28"/>
          <w:lang w:eastAsia="zh-CN"/>
        </w:rPr>
        <w:t xml:space="preserve">（4） </w:t>
      </w:r>
      <w:r>
        <w:rPr>
          <w:rFonts w:hint="eastAsia"/>
          <w:snapToGrid w:val="0"/>
          <w:szCs w:val="28"/>
          <w:lang w:eastAsia="zh-CN"/>
        </w:rPr>
        <w:t>交易响应</w:t>
      </w:r>
      <w:r>
        <w:rPr>
          <w:snapToGrid w:val="0"/>
          <w:szCs w:val="28"/>
          <w:lang w:eastAsia="zh-CN"/>
        </w:rPr>
        <w:t>文件澄清问题、澄清问题的复函、补充通知等相关资料；</w:t>
      </w:r>
    </w:p>
    <w:p w14:paraId="13E9D9C9">
      <w:pPr>
        <w:ind w:firstLine="420" w:firstLineChars="200"/>
        <w:rPr>
          <w:snapToGrid w:val="0"/>
          <w:szCs w:val="28"/>
          <w:lang w:eastAsia="zh-CN"/>
        </w:rPr>
      </w:pPr>
      <w:r>
        <w:rPr>
          <w:snapToGrid w:val="0"/>
          <w:szCs w:val="28"/>
          <w:lang w:eastAsia="zh-CN"/>
        </w:rPr>
        <w:t>（5） 专用合同条款；</w:t>
      </w:r>
    </w:p>
    <w:p w14:paraId="16E8BBC7">
      <w:pPr>
        <w:ind w:firstLine="420" w:firstLineChars="200"/>
        <w:rPr>
          <w:snapToGrid w:val="0"/>
          <w:szCs w:val="28"/>
          <w:lang w:eastAsia="zh-CN"/>
        </w:rPr>
      </w:pPr>
      <w:r>
        <w:rPr>
          <w:snapToGrid w:val="0"/>
          <w:szCs w:val="28"/>
          <w:lang w:eastAsia="zh-CN"/>
        </w:rPr>
        <w:t>（6） 通用合同条款；</w:t>
      </w:r>
    </w:p>
    <w:p w14:paraId="4EC43222">
      <w:pPr>
        <w:ind w:firstLine="420" w:firstLineChars="200"/>
        <w:rPr>
          <w:snapToGrid w:val="0"/>
          <w:szCs w:val="28"/>
          <w:lang w:eastAsia="zh-CN"/>
        </w:rPr>
      </w:pPr>
      <w:r>
        <w:rPr>
          <w:snapToGrid w:val="0"/>
          <w:szCs w:val="28"/>
          <w:lang w:eastAsia="zh-CN"/>
        </w:rPr>
        <w:t xml:space="preserve">（7） </w:t>
      </w:r>
      <w:r>
        <w:rPr>
          <w:snapToGrid w:val="0"/>
          <w:lang w:eastAsia="zh-CN"/>
        </w:rPr>
        <w:t>技术标准和要求；</w:t>
      </w:r>
    </w:p>
    <w:p w14:paraId="48D98D29">
      <w:pPr>
        <w:ind w:firstLine="420" w:firstLineChars="200"/>
        <w:rPr>
          <w:snapToGrid w:val="0"/>
          <w:szCs w:val="28"/>
          <w:lang w:eastAsia="zh-CN"/>
        </w:rPr>
      </w:pPr>
      <w:r>
        <w:rPr>
          <w:snapToGrid w:val="0"/>
          <w:szCs w:val="28"/>
          <w:lang w:eastAsia="zh-CN"/>
        </w:rPr>
        <w:t>（8） 图纸；</w:t>
      </w:r>
    </w:p>
    <w:p w14:paraId="20EF34F6">
      <w:pPr>
        <w:ind w:firstLine="420" w:firstLineChars="200"/>
        <w:rPr>
          <w:snapToGrid w:val="0"/>
          <w:szCs w:val="28"/>
          <w:lang w:eastAsia="zh-CN"/>
        </w:rPr>
      </w:pPr>
      <w:r>
        <w:rPr>
          <w:snapToGrid w:val="0"/>
          <w:szCs w:val="28"/>
          <w:lang w:eastAsia="zh-CN"/>
        </w:rPr>
        <w:t>（9） 已标价的工程量清单</w:t>
      </w:r>
    </w:p>
    <w:p w14:paraId="0CAC0E0F">
      <w:pPr>
        <w:ind w:firstLine="420" w:firstLineChars="200"/>
        <w:rPr>
          <w:snapToGrid w:val="0"/>
          <w:szCs w:val="28"/>
          <w:lang w:eastAsia="zh-CN"/>
        </w:rPr>
      </w:pPr>
      <w:r>
        <w:rPr>
          <w:snapToGrid w:val="0"/>
          <w:szCs w:val="28"/>
          <w:lang w:eastAsia="zh-CN"/>
        </w:rPr>
        <w:t>（10） 经双方确认进入合同的其他文件。</w:t>
      </w:r>
    </w:p>
    <w:p w14:paraId="2A67D71C">
      <w:pPr>
        <w:pStyle w:val="5"/>
        <w:rPr>
          <w:lang w:eastAsia="zh-CN"/>
        </w:rPr>
      </w:pPr>
      <w:bookmarkStart w:id="165" w:name="_Toc217819044"/>
      <w:r>
        <w:rPr>
          <w:lang w:eastAsia="zh-CN"/>
        </w:rPr>
        <w:t>1.7 联络</w:t>
      </w:r>
    </w:p>
    <w:p w14:paraId="5156A160">
      <w:pPr>
        <w:ind w:firstLine="420" w:firstLineChars="200"/>
        <w:rPr>
          <w:snapToGrid w:val="0"/>
          <w:szCs w:val="24"/>
          <w:lang w:eastAsia="zh-CN"/>
        </w:rPr>
      </w:pPr>
      <w:r>
        <w:rPr>
          <w:snapToGrid w:val="0"/>
          <w:szCs w:val="28"/>
          <w:lang w:eastAsia="zh-CN"/>
        </w:rPr>
        <w:t>1.7.2 来往函件均应按技术标准和要求（合同技术条款）约定的期限送达</w:t>
      </w:r>
      <w:r>
        <w:rPr>
          <w:snapToGrid w:val="0"/>
          <w:szCs w:val="24"/>
          <w:u w:val="single"/>
          <w:lang w:eastAsia="zh-CN"/>
        </w:rPr>
        <w:t xml:space="preserve">   （填写文件送达地点）  </w:t>
      </w:r>
      <w:r>
        <w:rPr>
          <w:snapToGrid w:val="0"/>
          <w:szCs w:val="24"/>
          <w:lang w:eastAsia="zh-CN"/>
        </w:rPr>
        <w:t>。</w:t>
      </w:r>
    </w:p>
    <w:p w14:paraId="70ED18BE">
      <w:pPr>
        <w:pStyle w:val="4"/>
        <w:spacing w:before="0"/>
        <w:rPr>
          <w:snapToGrid w:val="0"/>
          <w:lang w:eastAsia="zh-CN"/>
        </w:rPr>
      </w:pPr>
      <w:bookmarkStart w:id="166" w:name="_Toc307478973"/>
      <w:bookmarkStart w:id="167" w:name="_Toc344282750"/>
      <w:bookmarkStart w:id="168" w:name="_Toc370459051"/>
      <w:bookmarkStart w:id="169" w:name="_Toc266998243"/>
      <w:bookmarkStart w:id="170" w:name="_Toc362883274"/>
      <w:r>
        <w:rPr>
          <w:snapToGrid w:val="0"/>
          <w:lang w:eastAsia="zh-CN"/>
        </w:rPr>
        <w:t>2 发包人义务</w:t>
      </w:r>
      <w:bookmarkEnd w:id="165"/>
      <w:bookmarkEnd w:id="166"/>
      <w:bookmarkEnd w:id="167"/>
      <w:bookmarkEnd w:id="168"/>
      <w:bookmarkEnd w:id="169"/>
      <w:bookmarkEnd w:id="170"/>
    </w:p>
    <w:p w14:paraId="57700CCC">
      <w:pPr>
        <w:pStyle w:val="5"/>
        <w:rPr>
          <w:lang w:eastAsia="zh-CN"/>
        </w:rPr>
      </w:pPr>
      <w:bookmarkStart w:id="171" w:name="_Toc211414960"/>
      <w:r>
        <w:rPr>
          <w:lang w:eastAsia="zh-CN"/>
        </w:rPr>
        <w:t>2.3 提供施工场地</w:t>
      </w:r>
    </w:p>
    <w:bookmarkEnd w:id="171"/>
    <w:p w14:paraId="5F53C4E7">
      <w:pPr>
        <w:ind w:firstLine="420" w:firstLineChars="200"/>
        <w:rPr>
          <w:snapToGrid w:val="0"/>
          <w:szCs w:val="28"/>
          <w:lang w:eastAsia="zh-CN"/>
        </w:rPr>
      </w:pPr>
      <w:r>
        <w:rPr>
          <w:snapToGrid w:val="0"/>
          <w:szCs w:val="28"/>
          <w:lang w:eastAsia="zh-CN"/>
        </w:rPr>
        <w:t>2.3.2 发包人提供的用地范围为：。</w:t>
      </w:r>
    </w:p>
    <w:p w14:paraId="36EE6580">
      <w:pPr>
        <w:ind w:firstLine="420" w:firstLineChars="200"/>
        <w:rPr>
          <w:snapToGrid w:val="0"/>
          <w:szCs w:val="28"/>
          <w:lang w:eastAsia="zh-CN"/>
        </w:rPr>
      </w:pPr>
      <w:r>
        <w:rPr>
          <w:snapToGrid w:val="0"/>
          <w:szCs w:val="28"/>
          <w:lang w:eastAsia="zh-CN"/>
        </w:rPr>
        <w:t>2.3.3 承包人自行勘察的施工场地范围为：。</w:t>
      </w:r>
    </w:p>
    <w:p w14:paraId="696D5461">
      <w:pPr>
        <w:pStyle w:val="5"/>
        <w:rPr>
          <w:szCs w:val="28"/>
          <w:lang w:eastAsia="zh-CN"/>
        </w:rPr>
      </w:pPr>
      <w:r>
        <w:rPr>
          <w:szCs w:val="28"/>
          <w:lang w:eastAsia="zh-CN"/>
        </w:rPr>
        <w:t>2.8 其他义务</w:t>
      </w:r>
    </w:p>
    <w:p w14:paraId="1FFAEF64">
      <w:pPr>
        <w:ind w:firstLine="420" w:firstLineChars="200"/>
        <w:rPr>
          <w:snapToGrid w:val="0"/>
          <w:szCs w:val="28"/>
          <w:lang w:eastAsia="zh-CN"/>
        </w:rPr>
      </w:pPr>
      <w:r>
        <w:rPr>
          <w:snapToGrid w:val="0"/>
          <w:szCs w:val="28"/>
          <w:lang w:eastAsia="zh-CN"/>
        </w:rPr>
        <w:t>（根据发包人合同管理的要求补充）</w:t>
      </w:r>
    </w:p>
    <w:p w14:paraId="028CD451">
      <w:pPr>
        <w:ind w:firstLine="420" w:firstLineChars="200"/>
        <w:rPr>
          <w:snapToGrid w:val="0"/>
          <w:szCs w:val="28"/>
          <w:lang w:eastAsia="zh-CN"/>
        </w:rPr>
      </w:pPr>
      <w:r>
        <w:rPr>
          <w:snapToGrid w:val="0"/>
          <w:szCs w:val="28"/>
          <w:lang w:eastAsia="zh-CN"/>
        </w:rPr>
        <w:t>（1）……</w:t>
      </w:r>
    </w:p>
    <w:p w14:paraId="1D46950A">
      <w:pPr>
        <w:ind w:firstLine="420" w:firstLineChars="200"/>
        <w:rPr>
          <w:snapToGrid w:val="0"/>
          <w:szCs w:val="28"/>
          <w:lang w:eastAsia="zh-CN"/>
        </w:rPr>
      </w:pPr>
      <w:r>
        <w:rPr>
          <w:snapToGrid w:val="0"/>
          <w:szCs w:val="28"/>
          <w:lang w:eastAsia="zh-CN"/>
        </w:rPr>
        <w:t>（2）……</w:t>
      </w:r>
    </w:p>
    <w:p w14:paraId="42568FA4">
      <w:pPr>
        <w:pStyle w:val="4"/>
        <w:spacing w:before="0"/>
        <w:rPr>
          <w:snapToGrid w:val="0"/>
          <w:lang w:eastAsia="zh-CN"/>
        </w:rPr>
      </w:pPr>
      <w:bookmarkStart w:id="172" w:name="_Toc344282751"/>
      <w:bookmarkStart w:id="173" w:name="_Toc370459052"/>
      <w:bookmarkStart w:id="174" w:name="_Toc217819045"/>
      <w:bookmarkStart w:id="175" w:name="_Toc266998244"/>
      <w:bookmarkStart w:id="176" w:name="_Toc362883275"/>
      <w:bookmarkStart w:id="177" w:name="_Toc307478974"/>
      <w:r>
        <w:rPr>
          <w:snapToGrid w:val="0"/>
          <w:lang w:eastAsia="zh-CN"/>
        </w:rPr>
        <w:t>3 监理人</w:t>
      </w:r>
      <w:bookmarkEnd w:id="172"/>
      <w:bookmarkEnd w:id="173"/>
      <w:bookmarkEnd w:id="174"/>
      <w:bookmarkEnd w:id="175"/>
      <w:bookmarkEnd w:id="176"/>
      <w:bookmarkEnd w:id="177"/>
    </w:p>
    <w:p w14:paraId="32C610C2">
      <w:pPr>
        <w:pStyle w:val="5"/>
        <w:rPr>
          <w:lang w:eastAsia="zh-CN"/>
        </w:rPr>
      </w:pPr>
      <w:bookmarkStart w:id="178" w:name="_Toc140459359"/>
      <w:bookmarkStart w:id="179" w:name="_Toc140459445"/>
      <w:bookmarkStart w:id="180" w:name="_Toc211414965"/>
      <w:bookmarkStart w:id="181" w:name="_Toc113763826"/>
      <w:bookmarkStart w:id="182" w:name="_Toc134275850"/>
      <w:bookmarkStart w:id="183" w:name="_Toc118022205"/>
      <w:r>
        <w:rPr>
          <w:lang w:eastAsia="zh-CN"/>
        </w:rPr>
        <w:t xml:space="preserve">3.1 </w:t>
      </w:r>
      <w:bookmarkEnd w:id="178"/>
      <w:bookmarkEnd w:id="179"/>
      <w:bookmarkEnd w:id="180"/>
      <w:bookmarkEnd w:id="181"/>
      <w:bookmarkEnd w:id="182"/>
      <w:bookmarkEnd w:id="183"/>
      <w:bookmarkStart w:id="184" w:name="_Toc113763827"/>
      <w:bookmarkStart w:id="185" w:name="_Toc118022206"/>
      <w:r>
        <w:rPr>
          <w:lang w:eastAsia="zh-CN"/>
        </w:rPr>
        <w:t>监理人的职责和权力</w:t>
      </w:r>
      <w:bookmarkEnd w:id="184"/>
      <w:bookmarkEnd w:id="185"/>
    </w:p>
    <w:p w14:paraId="63262624">
      <w:pPr>
        <w:ind w:firstLine="420" w:firstLineChars="200"/>
        <w:rPr>
          <w:snapToGrid w:val="0"/>
          <w:szCs w:val="28"/>
          <w:lang w:eastAsia="zh-CN"/>
        </w:rPr>
      </w:pPr>
      <w:r>
        <w:rPr>
          <w:snapToGrid w:val="0"/>
          <w:szCs w:val="28"/>
          <w:lang w:eastAsia="zh-CN"/>
        </w:rPr>
        <w:t>3.1.1 监理人须根据发包人事先批准的权力范围行使权力，发包人批准的权利范围：（填写监理人须经发包人的批准才能行使的权利，以下示例供参考）</w:t>
      </w:r>
    </w:p>
    <w:p w14:paraId="6788DD76">
      <w:pPr>
        <w:ind w:firstLine="210" w:firstLineChars="100"/>
        <w:rPr>
          <w:snapToGrid w:val="0"/>
          <w:lang w:eastAsia="zh-CN"/>
        </w:rPr>
      </w:pPr>
      <w:r>
        <w:rPr>
          <w:snapToGrid w:val="0"/>
          <w:lang w:eastAsia="zh-CN"/>
        </w:rPr>
        <w:t xml:space="preserve">  （1） 按第4.3条规定，批准工程分包；</w:t>
      </w:r>
    </w:p>
    <w:p w14:paraId="6605CE75">
      <w:pPr>
        <w:ind w:firstLine="420" w:firstLineChars="200"/>
        <w:rPr>
          <w:snapToGrid w:val="0"/>
          <w:szCs w:val="28"/>
          <w:lang w:eastAsia="zh-CN"/>
        </w:rPr>
      </w:pPr>
      <w:r>
        <w:rPr>
          <w:snapToGrid w:val="0"/>
          <w:szCs w:val="28"/>
          <w:lang w:eastAsia="zh-CN"/>
        </w:rPr>
        <w:t>（2） 按第11.3款规定，确定延长完工期限；</w:t>
      </w:r>
    </w:p>
    <w:p w14:paraId="78635F05">
      <w:pPr>
        <w:ind w:firstLine="420" w:firstLineChars="200"/>
        <w:rPr>
          <w:snapToGrid w:val="0"/>
          <w:szCs w:val="28"/>
          <w:lang w:eastAsia="zh-CN"/>
        </w:rPr>
      </w:pPr>
      <w:r>
        <w:rPr>
          <w:snapToGrid w:val="0"/>
          <w:szCs w:val="28"/>
          <w:lang w:eastAsia="zh-CN"/>
        </w:rPr>
        <w:t>（3） 按第15.6条规定，批准暂列金额的使用；</w:t>
      </w:r>
    </w:p>
    <w:p w14:paraId="419AE9F2">
      <w:pPr>
        <w:ind w:firstLine="420" w:firstLineChars="200"/>
        <w:rPr>
          <w:snapToGrid w:val="0"/>
          <w:szCs w:val="28"/>
          <w:lang w:eastAsia="zh-CN"/>
        </w:rPr>
      </w:pPr>
      <w:r>
        <w:rPr>
          <w:snapToGrid w:val="0"/>
          <w:szCs w:val="28"/>
          <w:lang w:eastAsia="zh-CN"/>
        </w:rPr>
        <w:t>（4） ……</w:t>
      </w:r>
    </w:p>
    <w:p w14:paraId="581ABB98">
      <w:pPr>
        <w:pStyle w:val="4"/>
        <w:spacing w:before="0"/>
        <w:rPr>
          <w:snapToGrid w:val="0"/>
          <w:lang w:eastAsia="zh-CN"/>
        </w:rPr>
      </w:pPr>
      <w:bookmarkStart w:id="186" w:name="_Toc307478975"/>
      <w:bookmarkStart w:id="187" w:name="_Toc259456738"/>
      <w:bookmarkStart w:id="188" w:name="_Toc266998245"/>
      <w:bookmarkStart w:id="189" w:name="_Toc344282752"/>
      <w:bookmarkStart w:id="190" w:name="_Toc370459053"/>
      <w:bookmarkStart w:id="191" w:name="_Toc362883276"/>
      <w:bookmarkStart w:id="192" w:name="_Toc259451999"/>
      <w:r>
        <w:rPr>
          <w:snapToGrid w:val="0"/>
          <w:lang w:eastAsia="zh-CN"/>
        </w:rPr>
        <w:t>4 承包人</w:t>
      </w:r>
      <w:bookmarkEnd w:id="186"/>
      <w:bookmarkEnd w:id="187"/>
      <w:bookmarkEnd w:id="188"/>
      <w:bookmarkEnd w:id="189"/>
      <w:bookmarkEnd w:id="190"/>
      <w:bookmarkEnd w:id="191"/>
      <w:bookmarkEnd w:id="192"/>
    </w:p>
    <w:p w14:paraId="094CE01F">
      <w:pPr>
        <w:pStyle w:val="5"/>
        <w:rPr>
          <w:lang w:eastAsia="zh-CN"/>
        </w:rPr>
      </w:pPr>
      <w:r>
        <w:rPr>
          <w:lang w:eastAsia="zh-CN"/>
        </w:rPr>
        <w:t>4.1 承包人一般义务</w:t>
      </w:r>
    </w:p>
    <w:p w14:paraId="64389A2C">
      <w:pPr>
        <w:ind w:firstLine="420" w:firstLineChars="200"/>
        <w:rPr>
          <w:snapToGrid w:val="0"/>
          <w:szCs w:val="28"/>
          <w:lang w:eastAsia="zh-CN"/>
        </w:rPr>
      </w:pPr>
      <w:r>
        <w:rPr>
          <w:snapToGrid w:val="0"/>
          <w:szCs w:val="28"/>
          <w:lang w:eastAsia="zh-CN"/>
        </w:rPr>
        <w:t>4.1.10 其它义务</w:t>
      </w:r>
    </w:p>
    <w:p w14:paraId="490B2AFA">
      <w:pPr>
        <w:tabs>
          <w:tab w:val="left" w:pos="2790"/>
        </w:tabs>
        <w:ind w:firstLine="420" w:firstLineChars="200"/>
        <w:rPr>
          <w:snapToGrid w:val="0"/>
          <w:szCs w:val="24"/>
          <w:lang w:eastAsia="zh-CN"/>
        </w:rPr>
      </w:pPr>
      <w:r>
        <w:rPr>
          <w:snapToGrid w:val="0"/>
          <w:szCs w:val="24"/>
          <w:lang w:eastAsia="zh-CN"/>
        </w:rPr>
        <w:t>（1） ……</w:t>
      </w:r>
    </w:p>
    <w:p w14:paraId="5B09167C">
      <w:pPr>
        <w:tabs>
          <w:tab w:val="left" w:pos="2790"/>
        </w:tabs>
        <w:ind w:firstLine="420" w:firstLineChars="200"/>
        <w:rPr>
          <w:snapToGrid w:val="0"/>
          <w:szCs w:val="21"/>
          <w:lang w:eastAsia="zh-CN"/>
        </w:rPr>
      </w:pPr>
      <w:r>
        <w:rPr>
          <w:snapToGrid w:val="0"/>
          <w:szCs w:val="24"/>
          <w:lang w:eastAsia="zh-CN"/>
        </w:rPr>
        <w:t>（2） ……</w:t>
      </w:r>
    </w:p>
    <w:p w14:paraId="2C93FF41">
      <w:pPr>
        <w:pStyle w:val="5"/>
        <w:rPr>
          <w:lang w:eastAsia="zh-CN"/>
        </w:rPr>
      </w:pPr>
      <w:r>
        <w:rPr>
          <w:lang w:eastAsia="zh-CN"/>
        </w:rPr>
        <w:t>4.3 分包</w:t>
      </w:r>
    </w:p>
    <w:p w14:paraId="55FF9A01">
      <w:pPr>
        <w:ind w:firstLine="420" w:firstLineChars="200"/>
        <w:rPr>
          <w:snapToGrid w:val="0"/>
          <w:szCs w:val="24"/>
          <w:lang w:eastAsia="zh-CN"/>
        </w:rPr>
      </w:pPr>
      <w:r>
        <w:rPr>
          <w:snapToGrid w:val="0"/>
          <w:szCs w:val="24"/>
          <w:lang w:eastAsia="zh-CN"/>
        </w:rPr>
        <w:t>4.3.2 允许承包人分包的工程项目、工作内容与分包金额为：</w:t>
      </w:r>
    </w:p>
    <w:p w14:paraId="7D0297D1">
      <w:pPr>
        <w:ind w:firstLine="420" w:firstLineChars="200"/>
        <w:rPr>
          <w:snapToGrid w:val="0"/>
          <w:szCs w:val="24"/>
          <w:lang w:eastAsia="zh-CN"/>
        </w:rPr>
      </w:pPr>
      <w:r>
        <w:rPr>
          <w:snapToGrid w:val="0"/>
          <w:szCs w:val="24"/>
          <w:lang w:eastAsia="zh-CN"/>
        </w:rPr>
        <w:t>（1） 工程项目：。</w:t>
      </w:r>
    </w:p>
    <w:p w14:paraId="4E5AEDA4">
      <w:pPr>
        <w:ind w:firstLine="420" w:firstLineChars="200"/>
        <w:rPr>
          <w:snapToGrid w:val="0"/>
          <w:szCs w:val="24"/>
          <w:lang w:eastAsia="zh-CN"/>
        </w:rPr>
      </w:pPr>
      <w:r>
        <w:rPr>
          <w:snapToGrid w:val="0"/>
          <w:szCs w:val="24"/>
          <w:lang w:eastAsia="zh-CN"/>
        </w:rPr>
        <w:t>（2） 工作内容：。</w:t>
      </w:r>
    </w:p>
    <w:p w14:paraId="56BDCD38">
      <w:pPr>
        <w:ind w:firstLine="420" w:firstLineChars="200"/>
        <w:rPr>
          <w:snapToGrid w:val="0"/>
          <w:szCs w:val="24"/>
          <w:lang w:eastAsia="zh-CN"/>
        </w:rPr>
      </w:pPr>
      <w:r>
        <w:rPr>
          <w:snapToGrid w:val="0"/>
          <w:szCs w:val="24"/>
          <w:lang w:eastAsia="zh-CN"/>
        </w:rPr>
        <w:t>（3） 分包金额限额：。</w:t>
      </w:r>
    </w:p>
    <w:p w14:paraId="4331BF4E">
      <w:pPr>
        <w:ind w:firstLine="420" w:firstLineChars="200"/>
        <w:rPr>
          <w:snapToGrid w:val="0"/>
          <w:szCs w:val="24"/>
          <w:lang w:eastAsia="zh-CN"/>
        </w:rPr>
      </w:pPr>
      <w:r>
        <w:rPr>
          <w:snapToGrid w:val="0"/>
          <w:szCs w:val="24"/>
          <w:lang w:eastAsia="zh-CN"/>
        </w:rPr>
        <w:t>4.3.10 分包人项目管理机构的设立：。</w:t>
      </w:r>
    </w:p>
    <w:p w14:paraId="5FAE660F">
      <w:pPr>
        <w:pStyle w:val="5"/>
        <w:rPr>
          <w:lang w:eastAsia="zh-CN"/>
        </w:rPr>
      </w:pPr>
      <w:r>
        <w:rPr>
          <w:lang w:eastAsia="zh-CN"/>
        </w:rPr>
        <w:t>4.5 承包人项目负责人</w:t>
      </w:r>
    </w:p>
    <w:p w14:paraId="520A8CEE">
      <w:pPr>
        <w:ind w:firstLine="420" w:firstLineChars="200"/>
        <w:rPr>
          <w:snapToGrid w:val="0"/>
          <w:szCs w:val="28"/>
          <w:lang w:eastAsia="zh-CN"/>
        </w:rPr>
      </w:pPr>
      <w:r>
        <w:rPr>
          <w:snapToGrid w:val="0"/>
          <w:szCs w:val="28"/>
          <w:lang w:eastAsia="zh-CN"/>
        </w:rPr>
        <w:t>4.5.5 款补充：</w:t>
      </w:r>
    </w:p>
    <w:p w14:paraId="0B7697DB">
      <w:pPr>
        <w:ind w:firstLine="420" w:firstLineChars="200"/>
        <w:rPr>
          <w:snapToGrid w:val="0"/>
          <w:szCs w:val="24"/>
          <w:u w:val="single"/>
          <w:lang w:eastAsia="zh-CN"/>
        </w:rPr>
      </w:pPr>
      <w:r>
        <w:rPr>
          <w:snapToGrid w:val="0"/>
          <w:szCs w:val="24"/>
          <w:lang w:eastAsia="zh-CN"/>
        </w:rPr>
        <w:t>项目负责人每月驻工地的天数不少于22天，每少一天支付违约金</w:t>
      </w:r>
      <w:r>
        <w:rPr>
          <w:rFonts w:hint="eastAsia"/>
          <w:snapToGrid w:val="0"/>
          <w:szCs w:val="24"/>
          <w:u w:val="single"/>
          <w:lang w:eastAsia="zh-CN"/>
        </w:rPr>
        <w:t>3000</w:t>
      </w:r>
    </w:p>
    <w:p w14:paraId="3AD9813B">
      <w:pPr>
        <w:rPr>
          <w:snapToGrid w:val="0"/>
          <w:szCs w:val="24"/>
          <w:lang w:eastAsia="zh-CN"/>
        </w:rPr>
      </w:pPr>
      <w:r>
        <w:rPr>
          <w:snapToGrid w:val="0"/>
          <w:szCs w:val="24"/>
          <w:lang w:eastAsia="zh-CN"/>
        </w:rPr>
        <w:t>元，但扣款最终的累计总金额不应超过</w:t>
      </w:r>
      <w:r>
        <w:rPr>
          <w:rFonts w:hint="eastAsia"/>
          <w:snapToGrid w:val="0"/>
          <w:szCs w:val="24"/>
          <w:u w:val="single"/>
          <w:lang w:eastAsia="zh-CN"/>
        </w:rPr>
        <w:t>10</w:t>
      </w:r>
      <w:r>
        <w:rPr>
          <w:snapToGrid w:val="0"/>
          <w:szCs w:val="24"/>
          <w:lang w:eastAsia="zh-CN"/>
        </w:rPr>
        <w:t>万元。</w:t>
      </w:r>
    </w:p>
    <w:p w14:paraId="1E086643">
      <w:pPr>
        <w:ind w:firstLine="420" w:firstLineChars="200"/>
        <w:rPr>
          <w:snapToGrid w:val="0"/>
          <w:szCs w:val="24"/>
          <w:lang w:eastAsia="zh-CN"/>
        </w:rPr>
      </w:pPr>
      <w:r>
        <w:rPr>
          <w:snapToGrid w:val="0"/>
          <w:szCs w:val="24"/>
          <w:lang w:eastAsia="zh-CN"/>
        </w:rPr>
        <w:t>上述违约金在当月工程进度款中直接扣除，在工地工作天数按监理人实际考勤记录为准。</w:t>
      </w:r>
    </w:p>
    <w:p w14:paraId="1A85E750">
      <w:pPr>
        <w:ind w:firstLine="570"/>
        <w:rPr>
          <w:snapToGrid w:val="0"/>
          <w:szCs w:val="24"/>
          <w:lang w:eastAsia="zh-CN"/>
        </w:rPr>
      </w:pPr>
      <w:r>
        <w:rPr>
          <w:snapToGrid w:val="0"/>
          <w:szCs w:val="24"/>
          <w:lang w:eastAsia="zh-CN"/>
        </w:rPr>
        <w:t>承包人的项目负责人连续</w:t>
      </w:r>
      <w:r>
        <w:rPr>
          <w:rFonts w:hint="eastAsia"/>
          <w:snapToGrid w:val="0"/>
          <w:szCs w:val="24"/>
          <w:u w:val="single"/>
          <w:lang w:eastAsia="zh-CN"/>
        </w:rPr>
        <w:t>3</w:t>
      </w:r>
      <w:r>
        <w:rPr>
          <w:snapToGrid w:val="0"/>
          <w:szCs w:val="24"/>
          <w:lang w:eastAsia="zh-CN"/>
        </w:rPr>
        <w:t>个月及以上每月驻工地的天数少于</w:t>
      </w:r>
      <w:r>
        <w:rPr>
          <w:rFonts w:hint="eastAsia"/>
          <w:snapToGrid w:val="0"/>
          <w:szCs w:val="24"/>
          <w:u w:val="single"/>
          <w:lang w:eastAsia="zh-CN"/>
        </w:rPr>
        <w:t>15</w:t>
      </w:r>
      <w:r>
        <w:rPr>
          <w:snapToGrid w:val="0"/>
          <w:szCs w:val="24"/>
          <w:lang w:eastAsia="zh-CN"/>
        </w:rPr>
        <w:t>天，发包人有权解除合同。</w:t>
      </w:r>
    </w:p>
    <w:p w14:paraId="687A9CCA">
      <w:pPr>
        <w:pStyle w:val="5"/>
        <w:rPr>
          <w:lang w:eastAsia="zh-CN"/>
        </w:rPr>
      </w:pPr>
      <w:r>
        <w:rPr>
          <w:lang w:eastAsia="zh-CN"/>
        </w:rPr>
        <w:t>4.6 承包人人员的管理</w:t>
      </w:r>
    </w:p>
    <w:p w14:paraId="23E44A57">
      <w:pPr>
        <w:ind w:firstLine="420" w:firstLineChars="200"/>
        <w:rPr>
          <w:snapToGrid w:val="0"/>
          <w:szCs w:val="24"/>
          <w:lang w:eastAsia="zh-CN"/>
        </w:rPr>
      </w:pPr>
      <w:r>
        <w:rPr>
          <w:snapToGrid w:val="0"/>
          <w:szCs w:val="24"/>
          <w:lang w:eastAsia="zh-CN"/>
        </w:rPr>
        <w:t>4.6.3款补充：</w:t>
      </w:r>
    </w:p>
    <w:p w14:paraId="4D763802">
      <w:pPr>
        <w:ind w:firstLine="420" w:firstLineChars="200"/>
        <w:rPr>
          <w:snapToGrid w:val="0"/>
          <w:szCs w:val="24"/>
          <w:u w:val="single"/>
          <w:lang w:eastAsia="zh-CN"/>
        </w:rPr>
      </w:pPr>
      <w:r>
        <w:rPr>
          <w:snapToGrid w:val="0"/>
          <w:szCs w:val="24"/>
          <w:lang w:eastAsia="zh-CN"/>
        </w:rPr>
        <w:t>项目技术负责人每月驻工地时间不得少于</w:t>
      </w:r>
      <w:r>
        <w:rPr>
          <w:rFonts w:hint="eastAsia"/>
          <w:snapToGrid w:val="0"/>
          <w:szCs w:val="24"/>
          <w:u w:val="single"/>
          <w:lang w:eastAsia="zh-CN"/>
        </w:rPr>
        <w:t>22</w:t>
      </w:r>
      <w:r>
        <w:rPr>
          <w:snapToGrid w:val="0"/>
          <w:szCs w:val="24"/>
          <w:lang w:eastAsia="zh-CN"/>
        </w:rPr>
        <w:t>天，每少一天支付违约金</w:t>
      </w:r>
      <w:r>
        <w:rPr>
          <w:rFonts w:hint="eastAsia"/>
          <w:snapToGrid w:val="0"/>
          <w:szCs w:val="24"/>
          <w:u w:val="single"/>
          <w:lang w:eastAsia="zh-CN"/>
        </w:rPr>
        <w:t>1500</w:t>
      </w:r>
    </w:p>
    <w:p w14:paraId="7C546657">
      <w:pPr>
        <w:rPr>
          <w:snapToGrid w:val="0"/>
          <w:szCs w:val="24"/>
          <w:lang w:eastAsia="zh-CN"/>
        </w:rPr>
      </w:pPr>
      <w:r>
        <w:rPr>
          <w:snapToGrid w:val="0"/>
          <w:szCs w:val="24"/>
          <w:lang w:eastAsia="zh-CN"/>
        </w:rPr>
        <w:t>元，但扣款最终的累计总金额不应超过</w:t>
      </w:r>
      <w:r>
        <w:rPr>
          <w:rFonts w:hint="eastAsia"/>
          <w:snapToGrid w:val="0"/>
          <w:szCs w:val="24"/>
          <w:u w:val="single"/>
          <w:lang w:eastAsia="zh-CN"/>
        </w:rPr>
        <w:t>5</w:t>
      </w:r>
      <w:r>
        <w:rPr>
          <w:snapToGrid w:val="0"/>
          <w:szCs w:val="24"/>
          <w:lang w:eastAsia="zh-CN"/>
        </w:rPr>
        <w:t>万元。</w:t>
      </w:r>
    </w:p>
    <w:p w14:paraId="278B7B2A">
      <w:pPr>
        <w:ind w:firstLine="420" w:firstLineChars="200"/>
        <w:rPr>
          <w:snapToGrid w:val="0"/>
          <w:szCs w:val="24"/>
          <w:lang w:eastAsia="zh-CN"/>
        </w:rPr>
      </w:pPr>
      <w:r>
        <w:rPr>
          <w:snapToGrid w:val="0"/>
          <w:szCs w:val="24"/>
          <w:lang w:eastAsia="zh-CN"/>
        </w:rPr>
        <w:t>上述违约金在当月工程进度款中直接扣除，在工地工作天数按监理人实际考勤记录为准。</w:t>
      </w:r>
    </w:p>
    <w:p w14:paraId="6D95A340">
      <w:pPr>
        <w:pStyle w:val="5"/>
        <w:rPr>
          <w:lang w:eastAsia="zh-CN"/>
        </w:rPr>
      </w:pPr>
      <w:r>
        <w:rPr>
          <w:lang w:eastAsia="zh-CN"/>
        </w:rPr>
        <w:t>4.7 撤换承包人项目负责人和其他人员</w:t>
      </w:r>
    </w:p>
    <w:p w14:paraId="30846E01">
      <w:pPr>
        <w:ind w:firstLine="420" w:firstLineChars="200"/>
        <w:rPr>
          <w:snapToGrid w:val="0"/>
          <w:szCs w:val="24"/>
          <w:lang w:eastAsia="zh-CN"/>
        </w:rPr>
      </w:pPr>
      <w:r>
        <w:rPr>
          <w:snapToGrid w:val="0"/>
          <w:szCs w:val="24"/>
          <w:lang w:eastAsia="zh-CN"/>
        </w:rPr>
        <w:t>本款补充：</w:t>
      </w:r>
    </w:p>
    <w:p w14:paraId="1C84D26E">
      <w:pPr>
        <w:ind w:firstLine="420" w:firstLineChars="200"/>
        <w:rPr>
          <w:snapToGrid w:val="0"/>
          <w:szCs w:val="24"/>
          <w:lang w:eastAsia="zh-CN"/>
        </w:rPr>
      </w:pPr>
      <w:r>
        <w:rPr>
          <w:snapToGrid w:val="0"/>
          <w:szCs w:val="24"/>
          <w:lang w:eastAsia="zh-CN"/>
        </w:rPr>
        <w:t>除因管理原因发生重大质量安全事故不适合再任，因生病住院、终止劳动合同关系（需提供相关部门或单位的证明材料）等无法继续履行合同责任和义务，被责令停止执业、羁押或判刑外，项目负责人、技术负责人不得擅自更换。若承包人擅自更换的，除每人次需支付</w:t>
      </w:r>
      <w:r>
        <w:rPr>
          <w:rFonts w:hint="eastAsia"/>
          <w:snapToGrid w:val="0"/>
          <w:szCs w:val="24"/>
          <w:u w:val="single"/>
          <w:lang w:eastAsia="zh-CN"/>
        </w:rPr>
        <w:t xml:space="preserve">5 </w:t>
      </w:r>
      <w:r>
        <w:rPr>
          <w:snapToGrid w:val="0"/>
          <w:szCs w:val="24"/>
          <w:lang w:eastAsia="zh-CN"/>
        </w:rPr>
        <w:t>万元的违约金外，发包人有权将其作为不良行为记录上报水行政主管部门；情节特别严重的，发包人有权中止合同。符合规定确需更换的，应征得发包人同意，并经有关行业行政主管部门备案，且更换后的人员不得低于原</w:t>
      </w:r>
      <w:r>
        <w:rPr>
          <w:rFonts w:hint="eastAsia"/>
          <w:snapToGrid w:val="0"/>
          <w:szCs w:val="24"/>
          <w:lang w:eastAsia="zh-CN"/>
        </w:rPr>
        <w:t>交易响应</w:t>
      </w:r>
      <w:r>
        <w:rPr>
          <w:snapToGrid w:val="0"/>
          <w:szCs w:val="24"/>
          <w:lang w:eastAsia="zh-CN"/>
        </w:rPr>
        <w:t>承诺人员所具有的资格和业绩条件。</w:t>
      </w:r>
    </w:p>
    <w:p w14:paraId="5F0C7F65">
      <w:pPr>
        <w:rPr>
          <w:snapToGrid w:val="0"/>
          <w:szCs w:val="24"/>
          <w:lang w:eastAsia="zh-CN"/>
        </w:rPr>
      </w:pPr>
      <w:r>
        <w:rPr>
          <w:snapToGrid w:val="0"/>
          <w:szCs w:val="24"/>
          <w:lang w:eastAsia="zh-CN"/>
        </w:rPr>
        <w:t>承包人的</w:t>
      </w:r>
      <w:r>
        <w:rPr>
          <w:rFonts w:hint="eastAsia"/>
          <w:snapToGrid w:val="0"/>
          <w:szCs w:val="24"/>
          <w:lang w:eastAsia="zh-CN"/>
        </w:rPr>
        <w:t>专职</w:t>
      </w:r>
      <w:r>
        <w:rPr>
          <w:snapToGrid w:val="0"/>
          <w:szCs w:val="24"/>
          <w:lang w:eastAsia="zh-CN"/>
        </w:rPr>
        <w:t>安全员、质量员、施工员等人员擅自调换每一人次需支付违约金</w:t>
      </w:r>
      <w:r>
        <w:rPr>
          <w:rFonts w:hint="eastAsia"/>
          <w:snapToGrid w:val="0"/>
          <w:szCs w:val="24"/>
          <w:u w:val="single"/>
          <w:lang w:eastAsia="zh-CN"/>
        </w:rPr>
        <w:t>1</w:t>
      </w:r>
      <w:r>
        <w:rPr>
          <w:snapToGrid w:val="0"/>
          <w:szCs w:val="24"/>
          <w:lang w:eastAsia="zh-CN"/>
        </w:rPr>
        <w:t>万元。</w:t>
      </w:r>
      <w:r>
        <w:rPr>
          <w:rFonts w:hint="eastAsia" w:ascii="宋体" w:hAnsi="宋体" w:cs="宋体"/>
          <w:color w:val="000000"/>
          <w:szCs w:val="24"/>
          <w:lang w:eastAsia="zh-CN"/>
        </w:rPr>
        <w:t>但扣款最终的累计总金额不应超过合同价</w:t>
      </w:r>
      <w:r>
        <w:rPr>
          <w:rFonts w:ascii="黑体" w:hAnsi="宋体" w:eastAsia="黑体" w:cs="黑体"/>
          <w:color w:val="000000"/>
          <w:szCs w:val="24"/>
          <w:lang w:eastAsia="zh-CN"/>
        </w:rPr>
        <w:t>1%</w:t>
      </w:r>
      <w:r>
        <w:rPr>
          <w:rFonts w:hint="eastAsia" w:ascii="黑体" w:hAnsi="宋体" w:eastAsia="黑体" w:cs="黑体"/>
          <w:color w:val="000000"/>
          <w:szCs w:val="24"/>
          <w:lang w:eastAsia="zh-CN"/>
        </w:rPr>
        <w:t>，</w:t>
      </w:r>
      <w:r>
        <w:rPr>
          <w:snapToGrid w:val="0"/>
          <w:szCs w:val="24"/>
          <w:lang w:eastAsia="zh-CN"/>
        </w:rPr>
        <w:t>违约金在工程进度付款中扣除。</w:t>
      </w:r>
    </w:p>
    <w:p w14:paraId="2D97D02D">
      <w:pPr>
        <w:keepLines/>
        <w:outlineLvl w:val="3"/>
        <w:rPr>
          <w:rFonts w:eastAsia="楷体_GB2312"/>
          <w:b/>
          <w:snapToGrid w:val="0"/>
          <w:sz w:val="28"/>
          <w:szCs w:val="28"/>
          <w:lang w:eastAsia="zh-CN"/>
        </w:rPr>
      </w:pPr>
      <w:r>
        <w:rPr>
          <w:rFonts w:eastAsia="黑体"/>
          <w:b/>
          <w:snapToGrid w:val="0"/>
          <w:szCs w:val="24"/>
          <w:lang w:eastAsia="zh-CN"/>
        </w:rPr>
        <w:t>4.11 不利物质条件</w:t>
      </w:r>
    </w:p>
    <w:p w14:paraId="47E643DB">
      <w:pPr>
        <w:ind w:firstLine="420" w:firstLineChars="200"/>
        <w:rPr>
          <w:snapToGrid w:val="0"/>
          <w:szCs w:val="24"/>
          <w:lang w:eastAsia="zh-CN"/>
        </w:rPr>
      </w:pPr>
      <w:r>
        <w:rPr>
          <w:snapToGrid w:val="0"/>
          <w:szCs w:val="24"/>
          <w:lang w:eastAsia="zh-CN"/>
        </w:rPr>
        <w:t>4.11.1 不利物质条件的范围：。</w:t>
      </w:r>
    </w:p>
    <w:p w14:paraId="5608D7AC">
      <w:pPr>
        <w:pStyle w:val="4"/>
        <w:spacing w:before="0"/>
        <w:rPr>
          <w:snapToGrid w:val="0"/>
          <w:lang w:eastAsia="zh-CN"/>
        </w:rPr>
      </w:pPr>
      <w:bookmarkStart w:id="193" w:name="_Toc362883277"/>
      <w:bookmarkStart w:id="194" w:name="_Toc344282753"/>
      <w:bookmarkStart w:id="195" w:name="_Toc266998246"/>
      <w:bookmarkStart w:id="196" w:name="_Toc217819047"/>
      <w:bookmarkStart w:id="197" w:name="_Toc370459054"/>
      <w:bookmarkStart w:id="198" w:name="_Toc307478976"/>
      <w:r>
        <w:rPr>
          <w:snapToGrid w:val="0"/>
          <w:lang w:eastAsia="zh-CN"/>
        </w:rPr>
        <w:t>5 材料和工程设备</w:t>
      </w:r>
      <w:bookmarkEnd w:id="193"/>
      <w:bookmarkEnd w:id="194"/>
      <w:bookmarkEnd w:id="195"/>
      <w:bookmarkEnd w:id="196"/>
      <w:bookmarkEnd w:id="197"/>
      <w:bookmarkEnd w:id="198"/>
    </w:p>
    <w:p w14:paraId="1CF55512">
      <w:pPr>
        <w:keepLines/>
        <w:outlineLvl w:val="0"/>
        <w:rPr>
          <w:rFonts w:eastAsia="楷体_GB2312"/>
          <w:b/>
          <w:snapToGrid w:val="0"/>
          <w:szCs w:val="24"/>
          <w:lang w:eastAsia="zh-CN"/>
        </w:rPr>
      </w:pPr>
      <w:bookmarkStart w:id="199" w:name="_Toc362883278"/>
      <w:bookmarkStart w:id="200" w:name="_Toc370459055"/>
      <w:r>
        <w:rPr>
          <w:rFonts w:eastAsia="楷体_GB2312"/>
          <w:b/>
          <w:snapToGrid w:val="0"/>
          <w:szCs w:val="24"/>
          <w:lang w:eastAsia="zh-CN"/>
        </w:rPr>
        <w:t>5.2 发包人提供的材料和工程设备</w:t>
      </w:r>
      <w:bookmarkEnd w:id="199"/>
      <w:bookmarkEnd w:id="200"/>
    </w:p>
    <w:p w14:paraId="0AE1F43A">
      <w:pPr>
        <w:ind w:firstLine="420" w:firstLineChars="200"/>
        <w:rPr>
          <w:snapToGrid w:val="0"/>
          <w:szCs w:val="24"/>
          <w:lang w:eastAsia="zh-CN"/>
        </w:rPr>
      </w:pPr>
      <w:bookmarkStart w:id="201" w:name="_Toc241374751"/>
      <w:r>
        <w:rPr>
          <w:snapToGrid w:val="0"/>
          <w:szCs w:val="24"/>
          <w:lang w:eastAsia="zh-CN"/>
        </w:rPr>
        <w:t>5.2.1 发包人提供的材料和设备见下表。</w:t>
      </w:r>
    </w:p>
    <w:p w14:paraId="43B9C8B4">
      <w:pPr>
        <w:ind w:firstLine="435"/>
        <w:rPr>
          <w:b/>
          <w:snapToGrid w:val="0"/>
          <w:szCs w:val="24"/>
          <w:lang w:eastAsia="zh-CN"/>
        </w:rPr>
      </w:pPr>
      <w:r>
        <w:rPr>
          <w:b/>
          <w:snapToGrid w:val="0"/>
          <w:szCs w:val="24"/>
          <w:lang w:eastAsia="zh-CN"/>
        </w:rPr>
        <w:t xml:space="preserve">                     发包人提供的材料表（参考格式）</w:t>
      </w:r>
    </w:p>
    <w:tbl>
      <w:tblPr>
        <w:tblStyle w:val="11"/>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600"/>
        <w:gridCol w:w="1231"/>
        <w:gridCol w:w="809"/>
        <w:gridCol w:w="1113"/>
        <w:gridCol w:w="1113"/>
        <w:gridCol w:w="1558"/>
        <w:gridCol w:w="668"/>
      </w:tblGrid>
      <w:tr w14:paraId="3BC41A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0" w:type="dxa"/>
            <w:tcMar>
              <w:left w:w="57" w:type="dxa"/>
              <w:right w:w="57" w:type="dxa"/>
            </w:tcMar>
            <w:vAlign w:val="center"/>
          </w:tcPr>
          <w:p w14:paraId="050F4FC8">
            <w:pPr>
              <w:jc w:val="center"/>
              <w:rPr>
                <w:snapToGrid w:val="0"/>
                <w:sz w:val="21"/>
                <w:szCs w:val="21"/>
              </w:rPr>
            </w:pPr>
            <w:r>
              <w:rPr>
                <w:snapToGrid w:val="0"/>
                <w:sz w:val="21"/>
                <w:szCs w:val="21"/>
              </w:rPr>
              <w:t>序号</w:t>
            </w:r>
          </w:p>
        </w:tc>
        <w:tc>
          <w:tcPr>
            <w:tcW w:w="1600" w:type="dxa"/>
            <w:tcMar>
              <w:left w:w="57" w:type="dxa"/>
              <w:right w:w="57" w:type="dxa"/>
            </w:tcMar>
            <w:vAlign w:val="center"/>
          </w:tcPr>
          <w:p w14:paraId="2F4FE1D6">
            <w:pPr>
              <w:jc w:val="center"/>
              <w:rPr>
                <w:snapToGrid w:val="0"/>
                <w:sz w:val="21"/>
                <w:szCs w:val="21"/>
              </w:rPr>
            </w:pPr>
            <w:r>
              <w:rPr>
                <w:snapToGrid w:val="0"/>
                <w:sz w:val="21"/>
                <w:szCs w:val="21"/>
              </w:rPr>
              <w:t>材料名称</w:t>
            </w:r>
          </w:p>
        </w:tc>
        <w:tc>
          <w:tcPr>
            <w:tcW w:w="1231" w:type="dxa"/>
            <w:tcMar>
              <w:left w:w="57" w:type="dxa"/>
              <w:right w:w="57" w:type="dxa"/>
            </w:tcMar>
            <w:vAlign w:val="center"/>
          </w:tcPr>
          <w:p w14:paraId="1F44C13A">
            <w:pPr>
              <w:jc w:val="center"/>
              <w:rPr>
                <w:snapToGrid w:val="0"/>
                <w:sz w:val="21"/>
                <w:szCs w:val="21"/>
              </w:rPr>
            </w:pPr>
            <w:r>
              <w:rPr>
                <w:snapToGrid w:val="0"/>
                <w:sz w:val="21"/>
                <w:szCs w:val="21"/>
              </w:rPr>
              <w:t>材料规格</w:t>
            </w:r>
          </w:p>
        </w:tc>
        <w:tc>
          <w:tcPr>
            <w:tcW w:w="809" w:type="dxa"/>
            <w:tcMar>
              <w:left w:w="57" w:type="dxa"/>
              <w:right w:w="57" w:type="dxa"/>
            </w:tcMar>
            <w:vAlign w:val="center"/>
          </w:tcPr>
          <w:p w14:paraId="5C1982CF">
            <w:pPr>
              <w:jc w:val="center"/>
              <w:rPr>
                <w:snapToGrid w:val="0"/>
                <w:sz w:val="21"/>
                <w:szCs w:val="21"/>
              </w:rPr>
            </w:pPr>
            <w:r>
              <w:rPr>
                <w:snapToGrid w:val="0"/>
                <w:sz w:val="21"/>
                <w:szCs w:val="21"/>
              </w:rPr>
              <w:t>数量</w:t>
            </w:r>
          </w:p>
        </w:tc>
        <w:tc>
          <w:tcPr>
            <w:tcW w:w="1113" w:type="dxa"/>
            <w:tcMar>
              <w:left w:w="57" w:type="dxa"/>
              <w:right w:w="57" w:type="dxa"/>
            </w:tcMar>
            <w:vAlign w:val="center"/>
          </w:tcPr>
          <w:p w14:paraId="5BCB4577">
            <w:pPr>
              <w:jc w:val="center"/>
              <w:rPr>
                <w:snapToGrid w:val="0"/>
                <w:sz w:val="21"/>
                <w:szCs w:val="21"/>
              </w:rPr>
            </w:pPr>
            <w:r>
              <w:rPr>
                <w:snapToGrid w:val="0"/>
                <w:sz w:val="21"/>
                <w:szCs w:val="21"/>
              </w:rPr>
              <w:t>交货地点</w:t>
            </w:r>
          </w:p>
        </w:tc>
        <w:tc>
          <w:tcPr>
            <w:tcW w:w="1113" w:type="dxa"/>
            <w:tcMar>
              <w:left w:w="57" w:type="dxa"/>
              <w:right w:w="57" w:type="dxa"/>
            </w:tcMar>
            <w:vAlign w:val="center"/>
          </w:tcPr>
          <w:p w14:paraId="75EFB611">
            <w:pPr>
              <w:jc w:val="center"/>
              <w:rPr>
                <w:snapToGrid w:val="0"/>
                <w:sz w:val="21"/>
                <w:szCs w:val="21"/>
              </w:rPr>
            </w:pPr>
            <w:r>
              <w:rPr>
                <w:snapToGrid w:val="0"/>
                <w:sz w:val="21"/>
                <w:szCs w:val="21"/>
              </w:rPr>
              <w:t>交货方式</w:t>
            </w:r>
          </w:p>
        </w:tc>
        <w:tc>
          <w:tcPr>
            <w:tcW w:w="1558" w:type="dxa"/>
            <w:tcMar>
              <w:left w:w="57" w:type="dxa"/>
              <w:right w:w="57" w:type="dxa"/>
            </w:tcMar>
            <w:vAlign w:val="center"/>
          </w:tcPr>
          <w:p w14:paraId="7B751EB8">
            <w:pPr>
              <w:jc w:val="center"/>
              <w:rPr>
                <w:snapToGrid w:val="0"/>
                <w:sz w:val="21"/>
                <w:szCs w:val="21"/>
              </w:rPr>
            </w:pPr>
            <w:r>
              <w:rPr>
                <w:snapToGrid w:val="0"/>
                <w:sz w:val="21"/>
                <w:szCs w:val="21"/>
              </w:rPr>
              <w:t>计划交货日期</w:t>
            </w:r>
          </w:p>
        </w:tc>
        <w:tc>
          <w:tcPr>
            <w:tcW w:w="668" w:type="dxa"/>
            <w:tcMar>
              <w:left w:w="57" w:type="dxa"/>
              <w:right w:w="57" w:type="dxa"/>
            </w:tcMar>
            <w:vAlign w:val="center"/>
          </w:tcPr>
          <w:p w14:paraId="4F4390F8">
            <w:pPr>
              <w:jc w:val="center"/>
              <w:rPr>
                <w:snapToGrid w:val="0"/>
                <w:sz w:val="21"/>
                <w:szCs w:val="21"/>
              </w:rPr>
            </w:pPr>
            <w:r>
              <w:rPr>
                <w:snapToGrid w:val="0"/>
                <w:sz w:val="21"/>
                <w:szCs w:val="21"/>
              </w:rPr>
              <w:t>备注</w:t>
            </w:r>
          </w:p>
        </w:tc>
      </w:tr>
      <w:tr w14:paraId="66DE03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0" w:type="dxa"/>
            <w:tcMar>
              <w:left w:w="57" w:type="dxa"/>
              <w:right w:w="57" w:type="dxa"/>
            </w:tcMar>
            <w:vAlign w:val="center"/>
          </w:tcPr>
          <w:p w14:paraId="6EA813E0">
            <w:pPr>
              <w:jc w:val="center"/>
              <w:rPr>
                <w:snapToGrid w:val="0"/>
                <w:szCs w:val="24"/>
              </w:rPr>
            </w:pPr>
          </w:p>
        </w:tc>
        <w:tc>
          <w:tcPr>
            <w:tcW w:w="1600" w:type="dxa"/>
            <w:tcMar>
              <w:left w:w="57" w:type="dxa"/>
              <w:right w:w="57" w:type="dxa"/>
            </w:tcMar>
            <w:vAlign w:val="center"/>
          </w:tcPr>
          <w:p w14:paraId="0465F327">
            <w:pPr>
              <w:jc w:val="center"/>
              <w:rPr>
                <w:snapToGrid w:val="0"/>
                <w:szCs w:val="24"/>
              </w:rPr>
            </w:pPr>
          </w:p>
        </w:tc>
        <w:tc>
          <w:tcPr>
            <w:tcW w:w="1231" w:type="dxa"/>
            <w:tcMar>
              <w:left w:w="57" w:type="dxa"/>
              <w:right w:w="57" w:type="dxa"/>
            </w:tcMar>
            <w:vAlign w:val="center"/>
          </w:tcPr>
          <w:p w14:paraId="2E1FFA1B">
            <w:pPr>
              <w:jc w:val="center"/>
              <w:rPr>
                <w:snapToGrid w:val="0"/>
                <w:szCs w:val="24"/>
              </w:rPr>
            </w:pPr>
          </w:p>
        </w:tc>
        <w:tc>
          <w:tcPr>
            <w:tcW w:w="809" w:type="dxa"/>
            <w:tcMar>
              <w:left w:w="57" w:type="dxa"/>
              <w:right w:w="57" w:type="dxa"/>
            </w:tcMar>
            <w:vAlign w:val="center"/>
          </w:tcPr>
          <w:p w14:paraId="3FE2A5C8">
            <w:pPr>
              <w:jc w:val="center"/>
              <w:rPr>
                <w:snapToGrid w:val="0"/>
                <w:szCs w:val="24"/>
              </w:rPr>
            </w:pPr>
          </w:p>
        </w:tc>
        <w:tc>
          <w:tcPr>
            <w:tcW w:w="1113" w:type="dxa"/>
            <w:tcMar>
              <w:left w:w="57" w:type="dxa"/>
              <w:right w:w="57" w:type="dxa"/>
            </w:tcMar>
            <w:vAlign w:val="center"/>
          </w:tcPr>
          <w:p w14:paraId="2634F48B">
            <w:pPr>
              <w:jc w:val="center"/>
              <w:rPr>
                <w:snapToGrid w:val="0"/>
                <w:szCs w:val="24"/>
              </w:rPr>
            </w:pPr>
          </w:p>
        </w:tc>
        <w:tc>
          <w:tcPr>
            <w:tcW w:w="1113" w:type="dxa"/>
            <w:tcMar>
              <w:left w:w="57" w:type="dxa"/>
              <w:right w:w="57" w:type="dxa"/>
            </w:tcMar>
            <w:vAlign w:val="center"/>
          </w:tcPr>
          <w:p w14:paraId="42AC323B">
            <w:pPr>
              <w:jc w:val="center"/>
              <w:rPr>
                <w:snapToGrid w:val="0"/>
                <w:szCs w:val="24"/>
              </w:rPr>
            </w:pPr>
          </w:p>
        </w:tc>
        <w:tc>
          <w:tcPr>
            <w:tcW w:w="1558" w:type="dxa"/>
            <w:tcMar>
              <w:left w:w="57" w:type="dxa"/>
              <w:right w:w="57" w:type="dxa"/>
            </w:tcMar>
            <w:vAlign w:val="center"/>
          </w:tcPr>
          <w:p w14:paraId="6D90175E">
            <w:pPr>
              <w:jc w:val="center"/>
              <w:rPr>
                <w:snapToGrid w:val="0"/>
                <w:szCs w:val="24"/>
              </w:rPr>
            </w:pPr>
          </w:p>
        </w:tc>
        <w:tc>
          <w:tcPr>
            <w:tcW w:w="668" w:type="dxa"/>
            <w:tcMar>
              <w:left w:w="57" w:type="dxa"/>
              <w:right w:w="57" w:type="dxa"/>
            </w:tcMar>
            <w:vAlign w:val="center"/>
          </w:tcPr>
          <w:p w14:paraId="27AEB750">
            <w:pPr>
              <w:jc w:val="center"/>
              <w:rPr>
                <w:snapToGrid w:val="0"/>
                <w:szCs w:val="24"/>
              </w:rPr>
            </w:pPr>
          </w:p>
        </w:tc>
      </w:tr>
      <w:tr w14:paraId="785B87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0" w:type="dxa"/>
            <w:tcMar>
              <w:left w:w="57" w:type="dxa"/>
              <w:right w:w="57" w:type="dxa"/>
            </w:tcMar>
            <w:vAlign w:val="center"/>
          </w:tcPr>
          <w:p w14:paraId="0498510F">
            <w:pPr>
              <w:jc w:val="center"/>
              <w:rPr>
                <w:snapToGrid w:val="0"/>
                <w:szCs w:val="24"/>
              </w:rPr>
            </w:pPr>
          </w:p>
        </w:tc>
        <w:tc>
          <w:tcPr>
            <w:tcW w:w="1600" w:type="dxa"/>
            <w:tcMar>
              <w:left w:w="57" w:type="dxa"/>
              <w:right w:w="57" w:type="dxa"/>
            </w:tcMar>
            <w:vAlign w:val="center"/>
          </w:tcPr>
          <w:p w14:paraId="5421513F">
            <w:pPr>
              <w:jc w:val="center"/>
              <w:rPr>
                <w:snapToGrid w:val="0"/>
                <w:szCs w:val="24"/>
              </w:rPr>
            </w:pPr>
          </w:p>
        </w:tc>
        <w:tc>
          <w:tcPr>
            <w:tcW w:w="1231" w:type="dxa"/>
            <w:tcMar>
              <w:left w:w="57" w:type="dxa"/>
              <w:right w:w="57" w:type="dxa"/>
            </w:tcMar>
            <w:vAlign w:val="center"/>
          </w:tcPr>
          <w:p w14:paraId="74AC0AC7">
            <w:pPr>
              <w:jc w:val="center"/>
              <w:rPr>
                <w:snapToGrid w:val="0"/>
                <w:szCs w:val="24"/>
              </w:rPr>
            </w:pPr>
          </w:p>
        </w:tc>
        <w:tc>
          <w:tcPr>
            <w:tcW w:w="809" w:type="dxa"/>
            <w:tcMar>
              <w:left w:w="57" w:type="dxa"/>
              <w:right w:w="57" w:type="dxa"/>
            </w:tcMar>
            <w:vAlign w:val="center"/>
          </w:tcPr>
          <w:p w14:paraId="590CAE80">
            <w:pPr>
              <w:jc w:val="center"/>
              <w:rPr>
                <w:snapToGrid w:val="0"/>
                <w:szCs w:val="24"/>
              </w:rPr>
            </w:pPr>
          </w:p>
        </w:tc>
        <w:tc>
          <w:tcPr>
            <w:tcW w:w="1113" w:type="dxa"/>
            <w:tcMar>
              <w:left w:w="57" w:type="dxa"/>
              <w:right w:w="57" w:type="dxa"/>
            </w:tcMar>
            <w:vAlign w:val="center"/>
          </w:tcPr>
          <w:p w14:paraId="5EBBF1B9">
            <w:pPr>
              <w:jc w:val="center"/>
              <w:rPr>
                <w:snapToGrid w:val="0"/>
                <w:szCs w:val="24"/>
              </w:rPr>
            </w:pPr>
          </w:p>
        </w:tc>
        <w:tc>
          <w:tcPr>
            <w:tcW w:w="1113" w:type="dxa"/>
            <w:tcMar>
              <w:left w:w="57" w:type="dxa"/>
              <w:right w:w="57" w:type="dxa"/>
            </w:tcMar>
            <w:vAlign w:val="center"/>
          </w:tcPr>
          <w:p w14:paraId="3C569976">
            <w:pPr>
              <w:jc w:val="center"/>
              <w:rPr>
                <w:snapToGrid w:val="0"/>
                <w:szCs w:val="24"/>
              </w:rPr>
            </w:pPr>
          </w:p>
        </w:tc>
        <w:tc>
          <w:tcPr>
            <w:tcW w:w="1558" w:type="dxa"/>
            <w:tcMar>
              <w:left w:w="57" w:type="dxa"/>
              <w:right w:w="57" w:type="dxa"/>
            </w:tcMar>
            <w:vAlign w:val="center"/>
          </w:tcPr>
          <w:p w14:paraId="1321E9F9">
            <w:pPr>
              <w:jc w:val="center"/>
              <w:rPr>
                <w:snapToGrid w:val="0"/>
                <w:szCs w:val="24"/>
              </w:rPr>
            </w:pPr>
          </w:p>
        </w:tc>
        <w:tc>
          <w:tcPr>
            <w:tcW w:w="668" w:type="dxa"/>
            <w:tcMar>
              <w:left w:w="57" w:type="dxa"/>
              <w:right w:w="57" w:type="dxa"/>
            </w:tcMar>
            <w:vAlign w:val="center"/>
          </w:tcPr>
          <w:p w14:paraId="10438621">
            <w:pPr>
              <w:jc w:val="center"/>
              <w:rPr>
                <w:snapToGrid w:val="0"/>
                <w:szCs w:val="24"/>
              </w:rPr>
            </w:pPr>
          </w:p>
        </w:tc>
      </w:tr>
      <w:tr w14:paraId="414170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0" w:type="dxa"/>
            <w:tcMar>
              <w:left w:w="57" w:type="dxa"/>
              <w:right w:w="57" w:type="dxa"/>
            </w:tcMar>
            <w:vAlign w:val="center"/>
          </w:tcPr>
          <w:p w14:paraId="239A2580">
            <w:pPr>
              <w:jc w:val="center"/>
              <w:rPr>
                <w:snapToGrid w:val="0"/>
                <w:szCs w:val="24"/>
              </w:rPr>
            </w:pPr>
          </w:p>
        </w:tc>
        <w:tc>
          <w:tcPr>
            <w:tcW w:w="1600" w:type="dxa"/>
            <w:tcMar>
              <w:left w:w="57" w:type="dxa"/>
              <w:right w:w="57" w:type="dxa"/>
            </w:tcMar>
            <w:vAlign w:val="center"/>
          </w:tcPr>
          <w:p w14:paraId="1C5A6E2A">
            <w:pPr>
              <w:jc w:val="center"/>
              <w:rPr>
                <w:snapToGrid w:val="0"/>
                <w:szCs w:val="24"/>
              </w:rPr>
            </w:pPr>
          </w:p>
        </w:tc>
        <w:tc>
          <w:tcPr>
            <w:tcW w:w="1231" w:type="dxa"/>
            <w:tcMar>
              <w:left w:w="57" w:type="dxa"/>
              <w:right w:w="57" w:type="dxa"/>
            </w:tcMar>
            <w:vAlign w:val="center"/>
          </w:tcPr>
          <w:p w14:paraId="60DE3C55">
            <w:pPr>
              <w:jc w:val="center"/>
              <w:rPr>
                <w:snapToGrid w:val="0"/>
                <w:szCs w:val="24"/>
              </w:rPr>
            </w:pPr>
          </w:p>
        </w:tc>
        <w:tc>
          <w:tcPr>
            <w:tcW w:w="809" w:type="dxa"/>
            <w:tcMar>
              <w:left w:w="57" w:type="dxa"/>
              <w:right w:w="57" w:type="dxa"/>
            </w:tcMar>
            <w:vAlign w:val="center"/>
          </w:tcPr>
          <w:p w14:paraId="2E9CC692">
            <w:pPr>
              <w:jc w:val="center"/>
              <w:rPr>
                <w:snapToGrid w:val="0"/>
                <w:szCs w:val="24"/>
              </w:rPr>
            </w:pPr>
          </w:p>
        </w:tc>
        <w:tc>
          <w:tcPr>
            <w:tcW w:w="1113" w:type="dxa"/>
            <w:tcMar>
              <w:left w:w="57" w:type="dxa"/>
              <w:right w:w="57" w:type="dxa"/>
            </w:tcMar>
            <w:vAlign w:val="center"/>
          </w:tcPr>
          <w:p w14:paraId="116B452C">
            <w:pPr>
              <w:jc w:val="center"/>
              <w:rPr>
                <w:snapToGrid w:val="0"/>
                <w:szCs w:val="24"/>
              </w:rPr>
            </w:pPr>
          </w:p>
        </w:tc>
        <w:tc>
          <w:tcPr>
            <w:tcW w:w="1113" w:type="dxa"/>
            <w:tcMar>
              <w:left w:w="57" w:type="dxa"/>
              <w:right w:w="57" w:type="dxa"/>
            </w:tcMar>
            <w:vAlign w:val="center"/>
          </w:tcPr>
          <w:p w14:paraId="698D2FA6">
            <w:pPr>
              <w:jc w:val="center"/>
              <w:rPr>
                <w:snapToGrid w:val="0"/>
                <w:szCs w:val="24"/>
              </w:rPr>
            </w:pPr>
          </w:p>
        </w:tc>
        <w:tc>
          <w:tcPr>
            <w:tcW w:w="1558" w:type="dxa"/>
            <w:tcMar>
              <w:left w:w="57" w:type="dxa"/>
              <w:right w:w="57" w:type="dxa"/>
            </w:tcMar>
            <w:vAlign w:val="center"/>
          </w:tcPr>
          <w:p w14:paraId="13B09C55">
            <w:pPr>
              <w:jc w:val="center"/>
              <w:rPr>
                <w:snapToGrid w:val="0"/>
                <w:szCs w:val="24"/>
              </w:rPr>
            </w:pPr>
          </w:p>
        </w:tc>
        <w:tc>
          <w:tcPr>
            <w:tcW w:w="668" w:type="dxa"/>
            <w:tcMar>
              <w:left w:w="57" w:type="dxa"/>
              <w:right w:w="57" w:type="dxa"/>
            </w:tcMar>
            <w:vAlign w:val="center"/>
          </w:tcPr>
          <w:p w14:paraId="6E509B9C">
            <w:pPr>
              <w:jc w:val="center"/>
              <w:rPr>
                <w:snapToGrid w:val="0"/>
                <w:szCs w:val="24"/>
              </w:rPr>
            </w:pPr>
          </w:p>
        </w:tc>
      </w:tr>
    </w:tbl>
    <w:p w14:paraId="5915A973">
      <w:pPr>
        <w:ind w:firstLine="435"/>
        <w:rPr>
          <w:snapToGrid w:val="0"/>
          <w:szCs w:val="24"/>
        </w:rPr>
      </w:pPr>
    </w:p>
    <w:p w14:paraId="4ACCD6B0">
      <w:pPr>
        <w:ind w:firstLine="435"/>
        <w:jc w:val="center"/>
        <w:rPr>
          <w:b/>
          <w:snapToGrid w:val="0"/>
          <w:szCs w:val="24"/>
          <w:lang w:eastAsia="zh-CN"/>
        </w:rPr>
      </w:pPr>
      <w:r>
        <w:rPr>
          <w:b/>
          <w:snapToGrid w:val="0"/>
          <w:szCs w:val="24"/>
          <w:lang w:eastAsia="zh-CN"/>
        </w:rPr>
        <w:t>发包人提供的工程设备表（参考格式）</w:t>
      </w:r>
    </w:p>
    <w:tbl>
      <w:tblPr>
        <w:tblStyle w:val="11"/>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781"/>
        <w:gridCol w:w="1232"/>
        <w:gridCol w:w="804"/>
        <w:gridCol w:w="1121"/>
        <w:gridCol w:w="1107"/>
        <w:gridCol w:w="1562"/>
        <w:gridCol w:w="667"/>
      </w:tblGrid>
      <w:tr w14:paraId="2E1FA3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8" w:type="dxa"/>
            <w:tcMar>
              <w:left w:w="57" w:type="dxa"/>
              <w:right w:w="57" w:type="dxa"/>
            </w:tcMar>
            <w:vAlign w:val="center"/>
          </w:tcPr>
          <w:p w14:paraId="1CABDFDC">
            <w:pPr>
              <w:jc w:val="center"/>
              <w:rPr>
                <w:snapToGrid w:val="0"/>
                <w:sz w:val="21"/>
                <w:szCs w:val="21"/>
              </w:rPr>
            </w:pPr>
            <w:r>
              <w:rPr>
                <w:snapToGrid w:val="0"/>
                <w:sz w:val="21"/>
                <w:szCs w:val="21"/>
              </w:rPr>
              <w:t>序号</w:t>
            </w:r>
          </w:p>
        </w:tc>
        <w:tc>
          <w:tcPr>
            <w:tcW w:w="1781" w:type="dxa"/>
            <w:tcMar>
              <w:left w:w="57" w:type="dxa"/>
              <w:right w:w="57" w:type="dxa"/>
            </w:tcMar>
            <w:vAlign w:val="center"/>
          </w:tcPr>
          <w:p w14:paraId="3AF8CDEA">
            <w:pPr>
              <w:jc w:val="center"/>
              <w:rPr>
                <w:snapToGrid w:val="0"/>
                <w:sz w:val="21"/>
                <w:szCs w:val="21"/>
              </w:rPr>
            </w:pPr>
            <w:r>
              <w:rPr>
                <w:snapToGrid w:val="0"/>
                <w:sz w:val="21"/>
                <w:szCs w:val="21"/>
              </w:rPr>
              <w:t>工程设备名称</w:t>
            </w:r>
          </w:p>
        </w:tc>
        <w:tc>
          <w:tcPr>
            <w:tcW w:w="1232" w:type="dxa"/>
            <w:tcMar>
              <w:left w:w="57" w:type="dxa"/>
              <w:right w:w="57" w:type="dxa"/>
            </w:tcMar>
            <w:vAlign w:val="center"/>
          </w:tcPr>
          <w:p w14:paraId="220F8575">
            <w:pPr>
              <w:jc w:val="center"/>
              <w:rPr>
                <w:snapToGrid w:val="0"/>
                <w:sz w:val="21"/>
                <w:szCs w:val="21"/>
              </w:rPr>
            </w:pPr>
            <w:r>
              <w:rPr>
                <w:snapToGrid w:val="0"/>
                <w:sz w:val="21"/>
                <w:szCs w:val="21"/>
              </w:rPr>
              <w:t>型号及规格</w:t>
            </w:r>
          </w:p>
        </w:tc>
        <w:tc>
          <w:tcPr>
            <w:tcW w:w="804" w:type="dxa"/>
            <w:tcMar>
              <w:left w:w="57" w:type="dxa"/>
              <w:right w:w="57" w:type="dxa"/>
            </w:tcMar>
            <w:vAlign w:val="center"/>
          </w:tcPr>
          <w:p w14:paraId="3C4496A3">
            <w:pPr>
              <w:jc w:val="center"/>
              <w:rPr>
                <w:snapToGrid w:val="0"/>
                <w:sz w:val="21"/>
                <w:szCs w:val="21"/>
              </w:rPr>
            </w:pPr>
            <w:r>
              <w:rPr>
                <w:snapToGrid w:val="0"/>
                <w:sz w:val="21"/>
                <w:szCs w:val="21"/>
              </w:rPr>
              <w:t>数量</w:t>
            </w:r>
          </w:p>
        </w:tc>
        <w:tc>
          <w:tcPr>
            <w:tcW w:w="1121" w:type="dxa"/>
            <w:tcMar>
              <w:left w:w="57" w:type="dxa"/>
              <w:right w:w="57" w:type="dxa"/>
            </w:tcMar>
            <w:vAlign w:val="center"/>
          </w:tcPr>
          <w:p w14:paraId="17CEC839">
            <w:pPr>
              <w:jc w:val="center"/>
              <w:rPr>
                <w:snapToGrid w:val="0"/>
                <w:sz w:val="21"/>
                <w:szCs w:val="21"/>
              </w:rPr>
            </w:pPr>
            <w:r>
              <w:rPr>
                <w:snapToGrid w:val="0"/>
                <w:sz w:val="21"/>
                <w:szCs w:val="21"/>
              </w:rPr>
              <w:t>交货地点</w:t>
            </w:r>
          </w:p>
        </w:tc>
        <w:tc>
          <w:tcPr>
            <w:tcW w:w="1107" w:type="dxa"/>
            <w:tcMar>
              <w:left w:w="57" w:type="dxa"/>
              <w:right w:w="57" w:type="dxa"/>
            </w:tcMar>
            <w:vAlign w:val="center"/>
          </w:tcPr>
          <w:p w14:paraId="4D58B413">
            <w:pPr>
              <w:jc w:val="center"/>
              <w:rPr>
                <w:snapToGrid w:val="0"/>
                <w:sz w:val="21"/>
                <w:szCs w:val="21"/>
              </w:rPr>
            </w:pPr>
            <w:r>
              <w:rPr>
                <w:snapToGrid w:val="0"/>
                <w:sz w:val="21"/>
                <w:szCs w:val="21"/>
              </w:rPr>
              <w:t>交货方式</w:t>
            </w:r>
          </w:p>
        </w:tc>
        <w:tc>
          <w:tcPr>
            <w:tcW w:w="1562" w:type="dxa"/>
            <w:tcMar>
              <w:left w:w="57" w:type="dxa"/>
              <w:right w:w="57" w:type="dxa"/>
            </w:tcMar>
            <w:vAlign w:val="center"/>
          </w:tcPr>
          <w:p w14:paraId="66EFBF71">
            <w:pPr>
              <w:jc w:val="center"/>
              <w:rPr>
                <w:snapToGrid w:val="0"/>
                <w:sz w:val="21"/>
                <w:szCs w:val="21"/>
              </w:rPr>
            </w:pPr>
            <w:r>
              <w:rPr>
                <w:snapToGrid w:val="0"/>
                <w:sz w:val="21"/>
                <w:szCs w:val="21"/>
              </w:rPr>
              <w:t>计划交货日期</w:t>
            </w:r>
          </w:p>
        </w:tc>
        <w:tc>
          <w:tcPr>
            <w:tcW w:w="667" w:type="dxa"/>
            <w:tcMar>
              <w:left w:w="57" w:type="dxa"/>
              <w:right w:w="57" w:type="dxa"/>
            </w:tcMar>
            <w:vAlign w:val="center"/>
          </w:tcPr>
          <w:p w14:paraId="6C9FD029">
            <w:pPr>
              <w:jc w:val="center"/>
              <w:rPr>
                <w:snapToGrid w:val="0"/>
                <w:sz w:val="21"/>
                <w:szCs w:val="21"/>
              </w:rPr>
            </w:pPr>
            <w:r>
              <w:rPr>
                <w:snapToGrid w:val="0"/>
                <w:sz w:val="21"/>
                <w:szCs w:val="21"/>
              </w:rPr>
              <w:t>备注</w:t>
            </w:r>
          </w:p>
        </w:tc>
      </w:tr>
      <w:tr w14:paraId="337ED8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8" w:type="dxa"/>
            <w:tcMar>
              <w:left w:w="57" w:type="dxa"/>
              <w:right w:w="57" w:type="dxa"/>
            </w:tcMar>
            <w:vAlign w:val="center"/>
          </w:tcPr>
          <w:p w14:paraId="7DD380BF">
            <w:pPr>
              <w:jc w:val="center"/>
              <w:rPr>
                <w:snapToGrid w:val="0"/>
                <w:szCs w:val="24"/>
              </w:rPr>
            </w:pPr>
          </w:p>
        </w:tc>
        <w:tc>
          <w:tcPr>
            <w:tcW w:w="1781" w:type="dxa"/>
            <w:tcMar>
              <w:left w:w="57" w:type="dxa"/>
              <w:right w:w="57" w:type="dxa"/>
            </w:tcMar>
            <w:vAlign w:val="center"/>
          </w:tcPr>
          <w:p w14:paraId="48E34A77">
            <w:pPr>
              <w:jc w:val="center"/>
              <w:rPr>
                <w:snapToGrid w:val="0"/>
                <w:szCs w:val="24"/>
              </w:rPr>
            </w:pPr>
          </w:p>
        </w:tc>
        <w:tc>
          <w:tcPr>
            <w:tcW w:w="1232" w:type="dxa"/>
            <w:tcMar>
              <w:left w:w="57" w:type="dxa"/>
              <w:right w:w="57" w:type="dxa"/>
            </w:tcMar>
            <w:vAlign w:val="center"/>
          </w:tcPr>
          <w:p w14:paraId="314B1B65">
            <w:pPr>
              <w:jc w:val="center"/>
              <w:rPr>
                <w:snapToGrid w:val="0"/>
                <w:szCs w:val="24"/>
              </w:rPr>
            </w:pPr>
          </w:p>
        </w:tc>
        <w:tc>
          <w:tcPr>
            <w:tcW w:w="804" w:type="dxa"/>
            <w:tcMar>
              <w:left w:w="57" w:type="dxa"/>
              <w:right w:w="57" w:type="dxa"/>
            </w:tcMar>
            <w:vAlign w:val="center"/>
          </w:tcPr>
          <w:p w14:paraId="7174DB9B">
            <w:pPr>
              <w:jc w:val="center"/>
              <w:rPr>
                <w:snapToGrid w:val="0"/>
                <w:szCs w:val="24"/>
              </w:rPr>
            </w:pPr>
          </w:p>
        </w:tc>
        <w:tc>
          <w:tcPr>
            <w:tcW w:w="1121" w:type="dxa"/>
            <w:tcMar>
              <w:left w:w="57" w:type="dxa"/>
              <w:right w:w="57" w:type="dxa"/>
            </w:tcMar>
            <w:vAlign w:val="center"/>
          </w:tcPr>
          <w:p w14:paraId="1991CF1B">
            <w:pPr>
              <w:jc w:val="center"/>
              <w:rPr>
                <w:snapToGrid w:val="0"/>
                <w:szCs w:val="24"/>
              </w:rPr>
            </w:pPr>
          </w:p>
        </w:tc>
        <w:tc>
          <w:tcPr>
            <w:tcW w:w="1107" w:type="dxa"/>
            <w:tcMar>
              <w:left w:w="57" w:type="dxa"/>
              <w:right w:w="57" w:type="dxa"/>
            </w:tcMar>
            <w:vAlign w:val="center"/>
          </w:tcPr>
          <w:p w14:paraId="67CD2E06">
            <w:pPr>
              <w:jc w:val="center"/>
              <w:rPr>
                <w:snapToGrid w:val="0"/>
                <w:szCs w:val="24"/>
              </w:rPr>
            </w:pPr>
          </w:p>
        </w:tc>
        <w:tc>
          <w:tcPr>
            <w:tcW w:w="1562" w:type="dxa"/>
            <w:tcMar>
              <w:left w:w="57" w:type="dxa"/>
              <w:right w:w="57" w:type="dxa"/>
            </w:tcMar>
            <w:vAlign w:val="center"/>
          </w:tcPr>
          <w:p w14:paraId="4EABA996">
            <w:pPr>
              <w:jc w:val="center"/>
              <w:rPr>
                <w:snapToGrid w:val="0"/>
                <w:szCs w:val="24"/>
              </w:rPr>
            </w:pPr>
          </w:p>
        </w:tc>
        <w:tc>
          <w:tcPr>
            <w:tcW w:w="667" w:type="dxa"/>
            <w:tcMar>
              <w:left w:w="57" w:type="dxa"/>
              <w:right w:w="57" w:type="dxa"/>
            </w:tcMar>
            <w:vAlign w:val="center"/>
          </w:tcPr>
          <w:p w14:paraId="2D5034A8">
            <w:pPr>
              <w:jc w:val="center"/>
              <w:rPr>
                <w:snapToGrid w:val="0"/>
                <w:szCs w:val="24"/>
              </w:rPr>
            </w:pPr>
          </w:p>
        </w:tc>
      </w:tr>
      <w:tr w14:paraId="3F1468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8" w:type="dxa"/>
            <w:tcMar>
              <w:left w:w="57" w:type="dxa"/>
              <w:right w:w="57" w:type="dxa"/>
            </w:tcMar>
            <w:vAlign w:val="center"/>
          </w:tcPr>
          <w:p w14:paraId="4EEEAA80">
            <w:pPr>
              <w:jc w:val="center"/>
              <w:rPr>
                <w:snapToGrid w:val="0"/>
                <w:szCs w:val="24"/>
              </w:rPr>
            </w:pPr>
          </w:p>
        </w:tc>
        <w:tc>
          <w:tcPr>
            <w:tcW w:w="1781" w:type="dxa"/>
            <w:tcMar>
              <w:left w:w="57" w:type="dxa"/>
              <w:right w:w="57" w:type="dxa"/>
            </w:tcMar>
            <w:vAlign w:val="center"/>
          </w:tcPr>
          <w:p w14:paraId="6D392D40">
            <w:pPr>
              <w:jc w:val="center"/>
              <w:rPr>
                <w:snapToGrid w:val="0"/>
                <w:szCs w:val="24"/>
              </w:rPr>
            </w:pPr>
          </w:p>
        </w:tc>
        <w:tc>
          <w:tcPr>
            <w:tcW w:w="1232" w:type="dxa"/>
            <w:tcMar>
              <w:left w:w="57" w:type="dxa"/>
              <w:right w:w="57" w:type="dxa"/>
            </w:tcMar>
            <w:vAlign w:val="center"/>
          </w:tcPr>
          <w:p w14:paraId="1C65202F">
            <w:pPr>
              <w:jc w:val="center"/>
              <w:rPr>
                <w:snapToGrid w:val="0"/>
                <w:szCs w:val="24"/>
              </w:rPr>
            </w:pPr>
          </w:p>
        </w:tc>
        <w:tc>
          <w:tcPr>
            <w:tcW w:w="804" w:type="dxa"/>
            <w:tcMar>
              <w:left w:w="57" w:type="dxa"/>
              <w:right w:w="57" w:type="dxa"/>
            </w:tcMar>
            <w:vAlign w:val="center"/>
          </w:tcPr>
          <w:p w14:paraId="71020C60">
            <w:pPr>
              <w:jc w:val="center"/>
              <w:rPr>
                <w:snapToGrid w:val="0"/>
                <w:szCs w:val="24"/>
              </w:rPr>
            </w:pPr>
          </w:p>
        </w:tc>
        <w:tc>
          <w:tcPr>
            <w:tcW w:w="1121" w:type="dxa"/>
            <w:tcMar>
              <w:left w:w="57" w:type="dxa"/>
              <w:right w:w="57" w:type="dxa"/>
            </w:tcMar>
            <w:vAlign w:val="center"/>
          </w:tcPr>
          <w:p w14:paraId="1E402B64">
            <w:pPr>
              <w:jc w:val="center"/>
              <w:rPr>
                <w:snapToGrid w:val="0"/>
                <w:szCs w:val="24"/>
              </w:rPr>
            </w:pPr>
          </w:p>
        </w:tc>
        <w:tc>
          <w:tcPr>
            <w:tcW w:w="1107" w:type="dxa"/>
            <w:tcMar>
              <w:left w:w="57" w:type="dxa"/>
              <w:right w:w="57" w:type="dxa"/>
            </w:tcMar>
            <w:vAlign w:val="center"/>
          </w:tcPr>
          <w:p w14:paraId="62889DC7">
            <w:pPr>
              <w:jc w:val="center"/>
              <w:rPr>
                <w:snapToGrid w:val="0"/>
                <w:szCs w:val="24"/>
              </w:rPr>
            </w:pPr>
          </w:p>
        </w:tc>
        <w:tc>
          <w:tcPr>
            <w:tcW w:w="1562" w:type="dxa"/>
            <w:tcMar>
              <w:left w:w="57" w:type="dxa"/>
              <w:right w:w="57" w:type="dxa"/>
            </w:tcMar>
            <w:vAlign w:val="center"/>
          </w:tcPr>
          <w:p w14:paraId="7EA07BC9">
            <w:pPr>
              <w:jc w:val="center"/>
              <w:rPr>
                <w:snapToGrid w:val="0"/>
                <w:szCs w:val="24"/>
              </w:rPr>
            </w:pPr>
          </w:p>
        </w:tc>
        <w:tc>
          <w:tcPr>
            <w:tcW w:w="667" w:type="dxa"/>
            <w:tcMar>
              <w:left w:w="57" w:type="dxa"/>
              <w:right w:w="57" w:type="dxa"/>
            </w:tcMar>
            <w:vAlign w:val="center"/>
          </w:tcPr>
          <w:p w14:paraId="1531FC9B">
            <w:pPr>
              <w:jc w:val="center"/>
              <w:rPr>
                <w:snapToGrid w:val="0"/>
                <w:szCs w:val="24"/>
              </w:rPr>
            </w:pPr>
          </w:p>
        </w:tc>
      </w:tr>
      <w:tr w14:paraId="7B0D53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8" w:type="dxa"/>
            <w:tcMar>
              <w:left w:w="57" w:type="dxa"/>
              <w:right w:w="57" w:type="dxa"/>
            </w:tcMar>
            <w:vAlign w:val="center"/>
          </w:tcPr>
          <w:p w14:paraId="7A2A6736">
            <w:pPr>
              <w:jc w:val="center"/>
              <w:rPr>
                <w:snapToGrid w:val="0"/>
                <w:szCs w:val="24"/>
              </w:rPr>
            </w:pPr>
          </w:p>
        </w:tc>
        <w:tc>
          <w:tcPr>
            <w:tcW w:w="1781" w:type="dxa"/>
            <w:tcMar>
              <w:left w:w="57" w:type="dxa"/>
              <w:right w:w="57" w:type="dxa"/>
            </w:tcMar>
            <w:vAlign w:val="center"/>
          </w:tcPr>
          <w:p w14:paraId="5FCD5C5D">
            <w:pPr>
              <w:jc w:val="center"/>
              <w:rPr>
                <w:snapToGrid w:val="0"/>
                <w:szCs w:val="24"/>
              </w:rPr>
            </w:pPr>
          </w:p>
        </w:tc>
        <w:tc>
          <w:tcPr>
            <w:tcW w:w="1232" w:type="dxa"/>
            <w:tcMar>
              <w:left w:w="57" w:type="dxa"/>
              <w:right w:w="57" w:type="dxa"/>
            </w:tcMar>
            <w:vAlign w:val="center"/>
          </w:tcPr>
          <w:p w14:paraId="537A7443">
            <w:pPr>
              <w:jc w:val="center"/>
              <w:rPr>
                <w:snapToGrid w:val="0"/>
                <w:szCs w:val="24"/>
              </w:rPr>
            </w:pPr>
          </w:p>
        </w:tc>
        <w:tc>
          <w:tcPr>
            <w:tcW w:w="804" w:type="dxa"/>
            <w:tcMar>
              <w:left w:w="57" w:type="dxa"/>
              <w:right w:w="57" w:type="dxa"/>
            </w:tcMar>
            <w:vAlign w:val="center"/>
          </w:tcPr>
          <w:p w14:paraId="3292A423">
            <w:pPr>
              <w:jc w:val="center"/>
              <w:rPr>
                <w:snapToGrid w:val="0"/>
                <w:szCs w:val="24"/>
              </w:rPr>
            </w:pPr>
          </w:p>
        </w:tc>
        <w:tc>
          <w:tcPr>
            <w:tcW w:w="1121" w:type="dxa"/>
            <w:tcMar>
              <w:left w:w="57" w:type="dxa"/>
              <w:right w:w="57" w:type="dxa"/>
            </w:tcMar>
            <w:vAlign w:val="center"/>
          </w:tcPr>
          <w:p w14:paraId="64057E06">
            <w:pPr>
              <w:jc w:val="center"/>
              <w:rPr>
                <w:snapToGrid w:val="0"/>
                <w:szCs w:val="24"/>
              </w:rPr>
            </w:pPr>
          </w:p>
        </w:tc>
        <w:tc>
          <w:tcPr>
            <w:tcW w:w="1107" w:type="dxa"/>
            <w:tcMar>
              <w:left w:w="57" w:type="dxa"/>
              <w:right w:w="57" w:type="dxa"/>
            </w:tcMar>
            <w:vAlign w:val="center"/>
          </w:tcPr>
          <w:p w14:paraId="2D56145E">
            <w:pPr>
              <w:jc w:val="center"/>
              <w:rPr>
                <w:snapToGrid w:val="0"/>
                <w:szCs w:val="24"/>
              </w:rPr>
            </w:pPr>
          </w:p>
        </w:tc>
        <w:tc>
          <w:tcPr>
            <w:tcW w:w="1562" w:type="dxa"/>
            <w:tcMar>
              <w:left w:w="57" w:type="dxa"/>
              <w:right w:w="57" w:type="dxa"/>
            </w:tcMar>
            <w:vAlign w:val="center"/>
          </w:tcPr>
          <w:p w14:paraId="16CB34D3">
            <w:pPr>
              <w:jc w:val="center"/>
              <w:rPr>
                <w:snapToGrid w:val="0"/>
                <w:szCs w:val="24"/>
              </w:rPr>
            </w:pPr>
          </w:p>
        </w:tc>
        <w:tc>
          <w:tcPr>
            <w:tcW w:w="667" w:type="dxa"/>
            <w:tcMar>
              <w:left w:w="57" w:type="dxa"/>
              <w:right w:w="57" w:type="dxa"/>
            </w:tcMar>
            <w:vAlign w:val="center"/>
          </w:tcPr>
          <w:p w14:paraId="30121F1D">
            <w:pPr>
              <w:jc w:val="center"/>
              <w:rPr>
                <w:snapToGrid w:val="0"/>
                <w:szCs w:val="24"/>
              </w:rPr>
            </w:pPr>
          </w:p>
        </w:tc>
      </w:tr>
    </w:tbl>
    <w:p w14:paraId="1B50C810">
      <w:pPr>
        <w:ind w:firstLine="420" w:firstLineChars="200"/>
        <w:rPr>
          <w:snapToGrid w:val="0"/>
          <w:szCs w:val="24"/>
        </w:rPr>
      </w:pPr>
    </w:p>
    <w:p w14:paraId="799C8AF6">
      <w:pPr>
        <w:pStyle w:val="4"/>
        <w:spacing w:before="0"/>
        <w:rPr>
          <w:snapToGrid w:val="0"/>
        </w:rPr>
      </w:pPr>
      <w:bookmarkStart w:id="202" w:name="_Toc362883279"/>
      <w:bookmarkStart w:id="203" w:name="_Toc344282754"/>
      <w:bookmarkStart w:id="204" w:name="_Toc370459056"/>
      <w:bookmarkStart w:id="205" w:name="_Toc307478977"/>
      <w:bookmarkStart w:id="206" w:name="_Toc266998247"/>
      <w:r>
        <w:rPr>
          <w:snapToGrid w:val="0"/>
        </w:rPr>
        <w:t>6 施工设备和临时设施</w:t>
      </w:r>
      <w:bookmarkEnd w:id="201"/>
      <w:bookmarkEnd w:id="202"/>
      <w:bookmarkEnd w:id="203"/>
      <w:bookmarkEnd w:id="204"/>
      <w:bookmarkEnd w:id="205"/>
      <w:bookmarkEnd w:id="206"/>
    </w:p>
    <w:p w14:paraId="0B450A60">
      <w:pPr>
        <w:keepLines/>
        <w:outlineLvl w:val="0"/>
        <w:rPr>
          <w:rFonts w:eastAsia="楷体_GB2312"/>
          <w:b/>
          <w:snapToGrid w:val="0"/>
          <w:szCs w:val="24"/>
          <w:lang w:eastAsia="zh-CN"/>
        </w:rPr>
      </w:pPr>
      <w:bookmarkStart w:id="207" w:name="_Toc370459057"/>
      <w:bookmarkStart w:id="208" w:name="_Toc362883280"/>
      <w:r>
        <w:rPr>
          <w:rFonts w:eastAsia="楷体_GB2312"/>
          <w:b/>
          <w:snapToGrid w:val="0"/>
          <w:szCs w:val="24"/>
          <w:lang w:eastAsia="zh-CN"/>
        </w:rPr>
        <w:t>6.2 发包人提供的施工设备和临时设施</w:t>
      </w:r>
      <w:bookmarkEnd w:id="207"/>
      <w:bookmarkEnd w:id="208"/>
    </w:p>
    <w:p w14:paraId="540CF5E6">
      <w:pPr>
        <w:ind w:firstLine="420" w:firstLineChars="200"/>
        <w:rPr>
          <w:snapToGrid w:val="0"/>
          <w:szCs w:val="24"/>
          <w:lang w:eastAsia="zh-CN"/>
        </w:rPr>
      </w:pPr>
      <w:r>
        <w:rPr>
          <w:snapToGrid w:val="0"/>
          <w:szCs w:val="24"/>
          <w:lang w:eastAsia="zh-CN"/>
        </w:rPr>
        <w:t>（1）发包人提供的施工设备见下表：</w:t>
      </w:r>
    </w:p>
    <w:p w14:paraId="7177EEDB">
      <w:pPr>
        <w:ind w:firstLine="420" w:firstLineChars="200"/>
        <w:rPr>
          <w:snapToGrid w:val="0"/>
          <w:szCs w:val="24"/>
          <w:lang w:eastAsia="zh-CN"/>
        </w:rPr>
      </w:pPr>
    </w:p>
    <w:p w14:paraId="48D4D5E5">
      <w:pPr>
        <w:ind w:firstLine="435"/>
        <w:jc w:val="center"/>
        <w:rPr>
          <w:b/>
          <w:snapToGrid w:val="0"/>
          <w:szCs w:val="24"/>
          <w:lang w:eastAsia="zh-CN"/>
        </w:rPr>
      </w:pPr>
      <w:r>
        <w:rPr>
          <w:b/>
          <w:snapToGrid w:val="0"/>
          <w:szCs w:val="24"/>
          <w:lang w:eastAsia="zh-CN"/>
        </w:rPr>
        <w:t>发包人提供的施工设备表（参考格式）</w:t>
      </w:r>
    </w:p>
    <w:tbl>
      <w:tblPr>
        <w:tblStyle w:val="11"/>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537"/>
        <w:gridCol w:w="1328"/>
        <w:gridCol w:w="1218"/>
        <w:gridCol w:w="708"/>
        <w:gridCol w:w="1107"/>
        <w:gridCol w:w="1562"/>
        <w:gridCol w:w="667"/>
      </w:tblGrid>
      <w:tr w14:paraId="44B768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Mar>
              <w:left w:w="57" w:type="dxa"/>
              <w:right w:w="57" w:type="dxa"/>
            </w:tcMar>
            <w:vAlign w:val="center"/>
          </w:tcPr>
          <w:p w14:paraId="120379B4">
            <w:pPr>
              <w:jc w:val="center"/>
              <w:rPr>
                <w:snapToGrid w:val="0"/>
                <w:sz w:val="21"/>
                <w:szCs w:val="21"/>
              </w:rPr>
            </w:pPr>
            <w:r>
              <w:rPr>
                <w:snapToGrid w:val="0"/>
                <w:sz w:val="21"/>
                <w:szCs w:val="21"/>
              </w:rPr>
              <w:t>序号</w:t>
            </w:r>
          </w:p>
        </w:tc>
        <w:tc>
          <w:tcPr>
            <w:tcW w:w="1537" w:type="dxa"/>
            <w:tcMar>
              <w:left w:w="57" w:type="dxa"/>
              <w:right w:w="57" w:type="dxa"/>
            </w:tcMar>
            <w:vAlign w:val="center"/>
          </w:tcPr>
          <w:p w14:paraId="7E9FA6A8">
            <w:pPr>
              <w:jc w:val="center"/>
              <w:rPr>
                <w:snapToGrid w:val="0"/>
                <w:sz w:val="21"/>
                <w:szCs w:val="21"/>
              </w:rPr>
            </w:pPr>
            <w:r>
              <w:rPr>
                <w:snapToGrid w:val="0"/>
                <w:sz w:val="21"/>
                <w:szCs w:val="21"/>
              </w:rPr>
              <w:t>施工设备名称</w:t>
            </w:r>
          </w:p>
        </w:tc>
        <w:tc>
          <w:tcPr>
            <w:tcW w:w="1328" w:type="dxa"/>
            <w:tcMar>
              <w:left w:w="57" w:type="dxa"/>
              <w:right w:w="57" w:type="dxa"/>
            </w:tcMar>
            <w:vAlign w:val="center"/>
          </w:tcPr>
          <w:p w14:paraId="6ABE98C8">
            <w:pPr>
              <w:jc w:val="center"/>
              <w:rPr>
                <w:snapToGrid w:val="0"/>
                <w:sz w:val="21"/>
                <w:szCs w:val="21"/>
              </w:rPr>
            </w:pPr>
            <w:r>
              <w:rPr>
                <w:snapToGrid w:val="0"/>
                <w:sz w:val="21"/>
                <w:szCs w:val="21"/>
              </w:rPr>
              <w:t>型号及规格</w:t>
            </w:r>
          </w:p>
        </w:tc>
        <w:tc>
          <w:tcPr>
            <w:tcW w:w="1218" w:type="dxa"/>
            <w:tcMar>
              <w:left w:w="57" w:type="dxa"/>
              <w:right w:w="57" w:type="dxa"/>
            </w:tcMar>
            <w:vAlign w:val="center"/>
          </w:tcPr>
          <w:p w14:paraId="18899D12">
            <w:pPr>
              <w:jc w:val="center"/>
              <w:rPr>
                <w:snapToGrid w:val="0"/>
                <w:sz w:val="21"/>
                <w:szCs w:val="21"/>
              </w:rPr>
            </w:pPr>
            <w:r>
              <w:rPr>
                <w:snapToGrid w:val="0"/>
                <w:sz w:val="21"/>
                <w:szCs w:val="21"/>
              </w:rPr>
              <w:t>设备状况</w:t>
            </w:r>
          </w:p>
        </w:tc>
        <w:tc>
          <w:tcPr>
            <w:tcW w:w="708" w:type="dxa"/>
            <w:tcMar>
              <w:left w:w="57" w:type="dxa"/>
              <w:right w:w="57" w:type="dxa"/>
            </w:tcMar>
            <w:vAlign w:val="center"/>
          </w:tcPr>
          <w:p w14:paraId="07DDA7F8">
            <w:pPr>
              <w:jc w:val="center"/>
              <w:rPr>
                <w:snapToGrid w:val="0"/>
                <w:sz w:val="21"/>
                <w:szCs w:val="21"/>
              </w:rPr>
            </w:pPr>
            <w:r>
              <w:rPr>
                <w:snapToGrid w:val="0"/>
                <w:sz w:val="21"/>
                <w:szCs w:val="21"/>
              </w:rPr>
              <w:t>数量</w:t>
            </w:r>
          </w:p>
        </w:tc>
        <w:tc>
          <w:tcPr>
            <w:tcW w:w="1107" w:type="dxa"/>
            <w:tcMar>
              <w:left w:w="57" w:type="dxa"/>
              <w:right w:w="57" w:type="dxa"/>
            </w:tcMar>
            <w:vAlign w:val="center"/>
          </w:tcPr>
          <w:p w14:paraId="16F288C9">
            <w:pPr>
              <w:jc w:val="center"/>
              <w:rPr>
                <w:snapToGrid w:val="0"/>
                <w:sz w:val="21"/>
                <w:szCs w:val="21"/>
              </w:rPr>
            </w:pPr>
            <w:r>
              <w:rPr>
                <w:snapToGrid w:val="0"/>
                <w:sz w:val="21"/>
                <w:szCs w:val="21"/>
              </w:rPr>
              <w:t>移交地点</w:t>
            </w:r>
          </w:p>
        </w:tc>
        <w:tc>
          <w:tcPr>
            <w:tcW w:w="1562" w:type="dxa"/>
            <w:tcMar>
              <w:left w:w="57" w:type="dxa"/>
              <w:right w:w="57" w:type="dxa"/>
            </w:tcMar>
            <w:vAlign w:val="center"/>
          </w:tcPr>
          <w:p w14:paraId="5C1349CD">
            <w:pPr>
              <w:jc w:val="center"/>
              <w:rPr>
                <w:snapToGrid w:val="0"/>
                <w:sz w:val="21"/>
                <w:szCs w:val="21"/>
              </w:rPr>
            </w:pPr>
            <w:r>
              <w:rPr>
                <w:snapToGrid w:val="0"/>
                <w:sz w:val="21"/>
                <w:szCs w:val="21"/>
              </w:rPr>
              <w:t>计划移交日期</w:t>
            </w:r>
          </w:p>
        </w:tc>
        <w:tc>
          <w:tcPr>
            <w:tcW w:w="667" w:type="dxa"/>
            <w:tcMar>
              <w:left w:w="57" w:type="dxa"/>
              <w:right w:w="57" w:type="dxa"/>
            </w:tcMar>
            <w:vAlign w:val="center"/>
          </w:tcPr>
          <w:p w14:paraId="5843EAD1">
            <w:pPr>
              <w:jc w:val="center"/>
              <w:rPr>
                <w:snapToGrid w:val="0"/>
                <w:sz w:val="21"/>
                <w:szCs w:val="21"/>
              </w:rPr>
            </w:pPr>
            <w:r>
              <w:rPr>
                <w:snapToGrid w:val="0"/>
                <w:sz w:val="21"/>
                <w:szCs w:val="21"/>
              </w:rPr>
              <w:t>备注</w:t>
            </w:r>
          </w:p>
        </w:tc>
      </w:tr>
      <w:tr w14:paraId="4A4EFC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Mar>
              <w:left w:w="57" w:type="dxa"/>
              <w:right w:w="57" w:type="dxa"/>
            </w:tcMar>
            <w:vAlign w:val="center"/>
          </w:tcPr>
          <w:p w14:paraId="6F3C50B1">
            <w:pPr>
              <w:jc w:val="center"/>
              <w:rPr>
                <w:snapToGrid w:val="0"/>
                <w:szCs w:val="24"/>
              </w:rPr>
            </w:pPr>
          </w:p>
        </w:tc>
        <w:tc>
          <w:tcPr>
            <w:tcW w:w="1537" w:type="dxa"/>
            <w:tcMar>
              <w:left w:w="57" w:type="dxa"/>
              <w:right w:w="57" w:type="dxa"/>
            </w:tcMar>
            <w:vAlign w:val="center"/>
          </w:tcPr>
          <w:p w14:paraId="530BD551">
            <w:pPr>
              <w:jc w:val="center"/>
              <w:rPr>
                <w:snapToGrid w:val="0"/>
                <w:szCs w:val="24"/>
              </w:rPr>
            </w:pPr>
          </w:p>
        </w:tc>
        <w:tc>
          <w:tcPr>
            <w:tcW w:w="1328" w:type="dxa"/>
            <w:tcMar>
              <w:left w:w="57" w:type="dxa"/>
              <w:right w:w="57" w:type="dxa"/>
            </w:tcMar>
            <w:vAlign w:val="center"/>
          </w:tcPr>
          <w:p w14:paraId="58694BDB">
            <w:pPr>
              <w:jc w:val="center"/>
              <w:rPr>
                <w:snapToGrid w:val="0"/>
                <w:szCs w:val="24"/>
              </w:rPr>
            </w:pPr>
          </w:p>
        </w:tc>
        <w:tc>
          <w:tcPr>
            <w:tcW w:w="1218" w:type="dxa"/>
            <w:tcMar>
              <w:left w:w="57" w:type="dxa"/>
              <w:right w:w="57" w:type="dxa"/>
            </w:tcMar>
            <w:vAlign w:val="center"/>
          </w:tcPr>
          <w:p w14:paraId="451BB1EA">
            <w:pPr>
              <w:jc w:val="center"/>
              <w:rPr>
                <w:snapToGrid w:val="0"/>
                <w:szCs w:val="24"/>
              </w:rPr>
            </w:pPr>
          </w:p>
        </w:tc>
        <w:tc>
          <w:tcPr>
            <w:tcW w:w="708" w:type="dxa"/>
            <w:tcMar>
              <w:left w:w="57" w:type="dxa"/>
              <w:right w:w="57" w:type="dxa"/>
            </w:tcMar>
            <w:vAlign w:val="center"/>
          </w:tcPr>
          <w:p w14:paraId="7DCCC33C">
            <w:pPr>
              <w:jc w:val="center"/>
              <w:rPr>
                <w:snapToGrid w:val="0"/>
                <w:szCs w:val="24"/>
              </w:rPr>
            </w:pPr>
          </w:p>
        </w:tc>
        <w:tc>
          <w:tcPr>
            <w:tcW w:w="1107" w:type="dxa"/>
            <w:tcMar>
              <w:left w:w="57" w:type="dxa"/>
              <w:right w:w="57" w:type="dxa"/>
            </w:tcMar>
            <w:vAlign w:val="center"/>
          </w:tcPr>
          <w:p w14:paraId="244EAD6B">
            <w:pPr>
              <w:jc w:val="center"/>
              <w:rPr>
                <w:snapToGrid w:val="0"/>
                <w:szCs w:val="24"/>
              </w:rPr>
            </w:pPr>
          </w:p>
        </w:tc>
        <w:tc>
          <w:tcPr>
            <w:tcW w:w="1562" w:type="dxa"/>
            <w:tcMar>
              <w:left w:w="57" w:type="dxa"/>
              <w:right w:w="57" w:type="dxa"/>
            </w:tcMar>
            <w:vAlign w:val="center"/>
          </w:tcPr>
          <w:p w14:paraId="20E873FE">
            <w:pPr>
              <w:jc w:val="center"/>
              <w:rPr>
                <w:snapToGrid w:val="0"/>
                <w:szCs w:val="24"/>
              </w:rPr>
            </w:pPr>
          </w:p>
        </w:tc>
        <w:tc>
          <w:tcPr>
            <w:tcW w:w="667" w:type="dxa"/>
            <w:tcMar>
              <w:left w:w="57" w:type="dxa"/>
              <w:right w:w="57" w:type="dxa"/>
            </w:tcMar>
            <w:vAlign w:val="center"/>
          </w:tcPr>
          <w:p w14:paraId="68A2A0EE">
            <w:pPr>
              <w:jc w:val="center"/>
              <w:rPr>
                <w:snapToGrid w:val="0"/>
                <w:szCs w:val="24"/>
              </w:rPr>
            </w:pPr>
          </w:p>
        </w:tc>
      </w:tr>
      <w:tr w14:paraId="2AD651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Mar>
              <w:left w:w="57" w:type="dxa"/>
              <w:right w:w="57" w:type="dxa"/>
            </w:tcMar>
            <w:vAlign w:val="center"/>
          </w:tcPr>
          <w:p w14:paraId="1555371E">
            <w:pPr>
              <w:jc w:val="center"/>
              <w:rPr>
                <w:snapToGrid w:val="0"/>
                <w:szCs w:val="24"/>
              </w:rPr>
            </w:pPr>
          </w:p>
        </w:tc>
        <w:tc>
          <w:tcPr>
            <w:tcW w:w="1537" w:type="dxa"/>
            <w:tcMar>
              <w:left w:w="57" w:type="dxa"/>
              <w:right w:w="57" w:type="dxa"/>
            </w:tcMar>
            <w:vAlign w:val="center"/>
          </w:tcPr>
          <w:p w14:paraId="2313FEE3">
            <w:pPr>
              <w:jc w:val="center"/>
              <w:rPr>
                <w:snapToGrid w:val="0"/>
                <w:szCs w:val="24"/>
              </w:rPr>
            </w:pPr>
          </w:p>
        </w:tc>
        <w:tc>
          <w:tcPr>
            <w:tcW w:w="1328" w:type="dxa"/>
            <w:tcMar>
              <w:left w:w="57" w:type="dxa"/>
              <w:right w:w="57" w:type="dxa"/>
            </w:tcMar>
            <w:vAlign w:val="center"/>
          </w:tcPr>
          <w:p w14:paraId="502C4384">
            <w:pPr>
              <w:jc w:val="center"/>
              <w:rPr>
                <w:snapToGrid w:val="0"/>
                <w:szCs w:val="24"/>
              </w:rPr>
            </w:pPr>
          </w:p>
        </w:tc>
        <w:tc>
          <w:tcPr>
            <w:tcW w:w="1218" w:type="dxa"/>
            <w:tcMar>
              <w:left w:w="57" w:type="dxa"/>
              <w:right w:w="57" w:type="dxa"/>
            </w:tcMar>
            <w:vAlign w:val="center"/>
          </w:tcPr>
          <w:p w14:paraId="59595B87">
            <w:pPr>
              <w:jc w:val="center"/>
              <w:rPr>
                <w:snapToGrid w:val="0"/>
                <w:szCs w:val="24"/>
              </w:rPr>
            </w:pPr>
          </w:p>
        </w:tc>
        <w:tc>
          <w:tcPr>
            <w:tcW w:w="708" w:type="dxa"/>
            <w:tcMar>
              <w:left w:w="57" w:type="dxa"/>
              <w:right w:w="57" w:type="dxa"/>
            </w:tcMar>
            <w:vAlign w:val="center"/>
          </w:tcPr>
          <w:p w14:paraId="269AE32D">
            <w:pPr>
              <w:jc w:val="center"/>
              <w:rPr>
                <w:snapToGrid w:val="0"/>
                <w:szCs w:val="24"/>
              </w:rPr>
            </w:pPr>
          </w:p>
        </w:tc>
        <w:tc>
          <w:tcPr>
            <w:tcW w:w="1107" w:type="dxa"/>
            <w:tcMar>
              <w:left w:w="57" w:type="dxa"/>
              <w:right w:w="57" w:type="dxa"/>
            </w:tcMar>
            <w:vAlign w:val="center"/>
          </w:tcPr>
          <w:p w14:paraId="249BB326">
            <w:pPr>
              <w:jc w:val="center"/>
              <w:rPr>
                <w:snapToGrid w:val="0"/>
                <w:szCs w:val="24"/>
              </w:rPr>
            </w:pPr>
          </w:p>
        </w:tc>
        <w:tc>
          <w:tcPr>
            <w:tcW w:w="1562" w:type="dxa"/>
            <w:tcMar>
              <w:left w:w="57" w:type="dxa"/>
              <w:right w:w="57" w:type="dxa"/>
            </w:tcMar>
            <w:vAlign w:val="center"/>
          </w:tcPr>
          <w:p w14:paraId="5737C6A1">
            <w:pPr>
              <w:jc w:val="center"/>
              <w:rPr>
                <w:snapToGrid w:val="0"/>
                <w:szCs w:val="24"/>
              </w:rPr>
            </w:pPr>
          </w:p>
        </w:tc>
        <w:tc>
          <w:tcPr>
            <w:tcW w:w="667" w:type="dxa"/>
            <w:tcMar>
              <w:left w:w="57" w:type="dxa"/>
              <w:right w:w="57" w:type="dxa"/>
            </w:tcMar>
            <w:vAlign w:val="center"/>
          </w:tcPr>
          <w:p w14:paraId="192AFF41">
            <w:pPr>
              <w:jc w:val="center"/>
              <w:rPr>
                <w:snapToGrid w:val="0"/>
                <w:szCs w:val="24"/>
              </w:rPr>
            </w:pPr>
          </w:p>
        </w:tc>
      </w:tr>
      <w:tr w14:paraId="184A48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Mar>
              <w:left w:w="57" w:type="dxa"/>
              <w:right w:w="57" w:type="dxa"/>
            </w:tcMar>
            <w:vAlign w:val="center"/>
          </w:tcPr>
          <w:p w14:paraId="54EACFA7">
            <w:pPr>
              <w:jc w:val="center"/>
              <w:rPr>
                <w:snapToGrid w:val="0"/>
                <w:szCs w:val="24"/>
              </w:rPr>
            </w:pPr>
          </w:p>
        </w:tc>
        <w:tc>
          <w:tcPr>
            <w:tcW w:w="1537" w:type="dxa"/>
            <w:tcMar>
              <w:left w:w="57" w:type="dxa"/>
              <w:right w:w="57" w:type="dxa"/>
            </w:tcMar>
            <w:vAlign w:val="center"/>
          </w:tcPr>
          <w:p w14:paraId="0DA84A70">
            <w:pPr>
              <w:jc w:val="center"/>
              <w:rPr>
                <w:snapToGrid w:val="0"/>
                <w:szCs w:val="24"/>
              </w:rPr>
            </w:pPr>
          </w:p>
        </w:tc>
        <w:tc>
          <w:tcPr>
            <w:tcW w:w="1328" w:type="dxa"/>
            <w:tcMar>
              <w:left w:w="57" w:type="dxa"/>
              <w:right w:w="57" w:type="dxa"/>
            </w:tcMar>
            <w:vAlign w:val="center"/>
          </w:tcPr>
          <w:p w14:paraId="62DD6597">
            <w:pPr>
              <w:jc w:val="center"/>
              <w:rPr>
                <w:snapToGrid w:val="0"/>
                <w:szCs w:val="24"/>
              </w:rPr>
            </w:pPr>
          </w:p>
        </w:tc>
        <w:tc>
          <w:tcPr>
            <w:tcW w:w="1218" w:type="dxa"/>
            <w:tcMar>
              <w:left w:w="57" w:type="dxa"/>
              <w:right w:w="57" w:type="dxa"/>
            </w:tcMar>
            <w:vAlign w:val="center"/>
          </w:tcPr>
          <w:p w14:paraId="63355DC2">
            <w:pPr>
              <w:jc w:val="center"/>
              <w:rPr>
                <w:snapToGrid w:val="0"/>
                <w:szCs w:val="24"/>
              </w:rPr>
            </w:pPr>
          </w:p>
        </w:tc>
        <w:tc>
          <w:tcPr>
            <w:tcW w:w="708" w:type="dxa"/>
            <w:tcMar>
              <w:left w:w="57" w:type="dxa"/>
              <w:right w:w="57" w:type="dxa"/>
            </w:tcMar>
            <w:vAlign w:val="center"/>
          </w:tcPr>
          <w:p w14:paraId="6B2F10B2">
            <w:pPr>
              <w:jc w:val="center"/>
              <w:rPr>
                <w:snapToGrid w:val="0"/>
                <w:szCs w:val="24"/>
              </w:rPr>
            </w:pPr>
          </w:p>
        </w:tc>
        <w:tc>
          <w:tcPr>
            <w:tcW w:w="1107" w:type="dxa"/>
            <w:tcMar>
              <w:left w:w="57" w:type="dxa"/>
              <w:right w:w="57" w:type="dxa"/>
            </w:tcMar>
            <w:vAlign w:val="center"/>
          </w:tcPr>
          <w:p w14:paraId="650BF962">
            <w:pPr>
              <w:jc w:val="center"/>
              <w:rPr>
                <w:snapToGrid w:val="0"/>
                <w:szCs w:val="24"/>
              </w:rPr>
            </w:pPr>
          </w:p>
        </w:tc>
        <w:tc>
          <w:tcPr>
            <w:tcW w:w="1562" w:type="dxa"/>
            <w:tcMar>
              <w:left w:w="57" w:type="dxa"/>
              <w:right w:w="57" w:type="dxa"/>
            </w:tcMar>
            <w:vAlign w:val="center"/>
          </w:tcPr>
          <w:p w14:paraId="33052BEE">
            <w:pPr>
              <w:jc w:val="center"/>
              <w:rPr>
                <w:snapToGrid w:val="0"/>
                <w:szCs w:val="24"/>
              </w:rPr>
            </w:pPr>
          </w:p>
        </w:tc>
        <w:tc>
          <w:tcPr>
            <w:tcW w:w="667" w:type="dxa"/>
            <w:tcMar>
              <w:left w:w="57" w:type="dxa"/>
              <w:right w:w="57" w:type="dxa"/>
            </w:tcMar>
            <w:vAlign w:val="center"/>
          </w:tcPr>
          <w:p w14:paraId="0157DA71">
            <w:pPr>
              <w:jc w:val="center"/>
              <w:rPr>
                <w:snapToGrid w:val="0"/>
                <w:szCs w:val="24"/>
              </w:rPr>
            </w:pPr>
          </w:p>
        </w:tc>
      </w:tr>
    </w:tbl>
    <w:p w14:paraId="66EBA506">
      <w:pPr>
        <w:ind w:firstLine="420" w:firstLineChars="200"/>
        <w:rPr>
          <w:snapToGrid w:val="0"/>
          <w:szCs w:val="24"/>
          <w:lang w:eastAsia="zh-CN"/>
        </w:rPr>
      </w:pPr>
      <w:r>
        <w:rPr>
          <w:snapToGrid w:val="0"/>
          <w:szCs w:val="24"/>
          <w:lang w:eastAsia="zh-CN"/>
        </w:rPr>
        <w:t>注：设备状况栏内填写该设备的新旧程度、购进时间、已使用小时数和最近一次大修时间。</w:t>
      </w:r>
    </w:p>
    <w:p w14:paraId="3611E1D3">
      <w:pPr>
        <w:ind w:firstLine="420" w:firstLineChars="200"/>
        <w:rPr>
          <w:snapToGrid w:val="0"/>
          <w:szCs w:val="24"/>
          <w:u w:val="single"/>
          <w:lang w:eastAsia="zh-CN"/>
        </w:rPr>
      </w:pPr>
      <w:r>
        <w:rPr>
          <w:snapToGrid w:val="0"/>
          <w:szCs w:val="24"/>
          <w:lang w:eastAsia="zh-CN"/>
        </w:rPr>
        <w:t>（2）发包人提供的临时设施：</w:t>
      </w:r>
    </w:p>
    <w:p w14:paraId="6CD069FE">
      <w:pPr>
        <w:ind w:firstLine="420" w:firstLineChars="200"/>
        <w:rPr>
          <w:snapToGrid w:val="0"/>
          <w:szCs w:val="24"/>
          <w:lang w:eastAsia="zh-CN"/>
        </w:rPr>
      </w:pPr>
    </w:p>
    <w:p w14:paraId="5234196E">
      <w:pPr>
        <w:pStyle w:val="4"/>
        <w:spacing w:before="0"/>
        <w:rPr>
          <w:snapToGrid w:val="0"/>
          <w:lang w:eastAsia="zh-CN"/>
        </w:rPr>
      </w:pPr>
      <w:bookmarkStart w:id="209" w:name="_Toc307478978"/>
      <w:bookmarkStart w:id="210" w:name="_Toc241374752"/>
      <w:bookmarkStart w:id="211" w:name="_Toc266998248"/>
      <w:bookmarkStart w:id="212" w:name="_Toc344282755"/>
      <w:bookmarkStart w:id="213" w:name="_Toc362883281"/>
      <w:bookmarkStart w:id="214" w:name="_Toc370459058"/>
      <w:r>
        <w:rPr>
          <w:snapToGrid w:val="0"/>
          <w:lang w:eastAsia="zh-CN"/>
        </w:rPr>
        <w:t>7 交通运输</w:t>
      </w:r>
      <w:bookmarkEnd w:id="209"/>
      <w:bookmarkEnd w:id="210"/>
      <w:bookmarkEnd w:id="211"/>
      <w:bookmarkEnd w:id="212"/>
      <w:bookmarkEnd w:id="213"/>
      <w:bookmarkEnd w:id="214"/>
    </w:p>
    <w:p w14:paraId="2541612C">
      <w:pPr>
        <w:pStyle w:val="5"/>
        <w:rPr>
          <w:lang w:eastAsia="zh-CN"/>
        </w:rPr>
      </w:pPr>
      <w:bookmarkStart w:id="215" w:name="_Toc245183538"/>
      <w:r>
        <w:rPr>
          <w:lang w:eastAsia="zh-CN"/>
        </w:rPr>
        <w:t>7.1  道路通行权和场外设施</w:t>
      </w:r>
      <w:bookmarkEnd w:id="215"/>
    </w:p>
    <w:p w14:paraId="3DFADA76">
      <w:pPr>
        <w:tabs>
          <w:tab w:val="left" w:pos="2790"/>
        </w:tabs>
        <w:ind w:firstLine="420" w:firstLineChars="200"/>
        <w:rPr>
          <w:snapToGrid w:val="0"/>
          <w:szCs w:val="24"/>
          <w:lang w:eastAsia="zh-CN"/>
        </w:rPr>
      </w:pPr>
      <w:r>
        <w:rPr>
          <w:snapToGrid w:val="0"/>
          <w:szCs w:val="24"/>
          <w:lang w:eastAsia="zh-CN"/>
        </w:rPr>
        <w:t>道路通行权和场外设施的约定：。</w:t>
      </w:r>
    </w:p>
    <w:p w14:paraId="06C5B70D">
      <w:pPr>
        <w:tabs>
          <w:tab w:val="left" w:pos="2790"/>
        </w:tabs>
        <w:ind w:firstLine="420" w:firstLineChars="200"/>
        <w:rPr>
          <w:snapToGrid w:val="0"/>
          <w:szCs w:val="21"/>
          <w:lang w:eastAsia="zh-CN"/>
        </w:rPr>
      </w:pPr>
    </w:p>
    <w:p w14:paraId="77B404D3">
      <w:pPr>
        <w:pStyle w:val="4"/>
        <w:spacing w:before="0"/>
        <w:rPr>
          <w:snapToGrid w:val="0"/>
          <w:lang w:eastAsia="zh-CN"/>
        </w:rPr>
      </w:pPr>
      <w:bookmarkStart w:id="216" w:name="_Toc140637786"/>
      <w:bookmarkStart w:id="217" w:name="_Toc217819050"/>
      <w:bookmarkStart w:id="218" w:name="_Toc266998249"/>
      <w:bookmarkStart w:id="219" w:name="_Toc42486664"/>
      <w:bookmarkStart w:id="220" w:name="_Toc45083852"/>
      <w:bookmarkStart w:id="221" w:name="_Toc211414973"/>
      <w:bookmarkStart w:id="222" w:name="_Toc344282756"/>
      <w:bookmarkStart w:id="223" w:name="_Toc139938722"/>
      <w:bookmarkStart w:id="224" w:name="_Toc307478979"/>
      <w:bookmarkStart w:id="225" w:name="_Toc205630997"/>
      <w:bookmarkStart w:id="226" w:name="_Toc180571570"/>
      <w:bookmarkStart w:id="227" w:name="_Toc362883282"/>
      <w:bookmarkStart w:id="228" w:name="_Toc370459059"/>
      <w:r>
        <w:rPr>
          <w:snapToGrid w:val="0"/>
          <w:lang w:eastAsia="zh-CN"/>
        </w:rPr>
        <w:t>8 测量放线</w:t>
      </w:r>
      <w:bookmarkEnd w:id="216"/>
      <w:bookmarkEnd w:id="217"/>
      <w:bookmarkEnd w:id="218"/>
      <w:bookmarkEnd w:id="219"/>
      <w:bookmarkEnd w:id="220"/>
      <w:bookmarkEnd w:id="221"/>
      <w:bookmarkEnd w:id="222"/>
      <w:bookmarkEnd w:id="223"/>
      <w:bookmarkEnd w:id="224"/>
      <w:bookmarkEnd w:id="225"/>
      <w:bookmarkEnd w:id="226"/>
      <w:bookmarkEnd w:id="227"/>
      <w:bookmarkEnd w:id="228"/>
    </w:p>
    <w:p w14:paraId="44F8E8D0">
      <w:pPr>
        <w:pStyle w:val="5"/>
        <w:rPr>
          <w:lang w:eastAsia="zh-CN"/>
        </w:rPr>
      </w:pPr>
      <w:bookmarkStart w:id="229" w:name="_Toc45083853"/>
      <w:bookmarkStart w:id="230" w:name="_Toc139938723"/>
      <w:bookmarkStart w:id="231" w:name="_Toc140637787"/>
      <w:bookmarkStart w:id="232" w:name="_Toc180571571"/>
      <w:bookmarkStart w:id="233" w:name="_Toc42486665"/>
      <w:r>
        <w:rPr>
          <w:lang w:eastAsia="zh-CN"/>
        </w:rPr>
        <w:t>8.1 施工控制网</w:t>
      </w:r>
      <w:bookmarkEnd w:id="229"/>
      <w:bookmarkEnd w:id="230"/>
      <w:bookmarkEnd w:id="231"/>
      <w:bookmarkEnd w:id="232"/>
      <w:bookmarkEnd w:id="233"/>
    </w:p>
    <w:p w14:paraId="06BCCA85">
      <w:pPr>
        <w:ind w:firstLine="420" w:firstLineChars="200"/>
        <w:rPr>
          <w:snapToGrid w:val="0"/>
          <w:szCs w:val="24"/>
          <w:u w:val="single"/>
          <w:lang w:eastAsia="zh-CN"/>
        </w:rPr>
      </w:pPr>
      <w:r>
        <w:rPr>
          <w:snapToGrid w:val="0"/>
          <w:szCs w:val="24"/>
          <w:lang w:eastAsia="zh-CN"/>
        </w:rPr>
        <w:t>8.1.1 施工控制网的约定：。</w:t>
      </w:r>
    </w:p>
    <w:p w14:paraId="08B186D1">
      <w:pPr>
        <w:pStyle w:val="4"/>
        <w:spacing w:before="0"/>
        <w:rPr>
          <w:snapToGrid w:val="0"/>
          <w:lang w:eastAsia="zh-CN"/>
        </w:rPr>
      </w:pPr>
      <w:bookmarkStart w:id="234" w:name="_Toc362883283"/>
      <w:bookmarkStart w:id="235" w:name="_Toc266998250"/>
      <w:bookmarkStart w:id="236" w:name="_Toc370459060"/>
      <w:bookmarkStart w:id="237" w:name="_Toc307478980"/>
      <w:bookmarkStart w:id="238" w:name="_Toc344282757"/>
      <w:bookmarkStart w:id="239" w:name="_Toc259802231"/>
      <w:r>
        <w:rPr>
          <w:snapToGrid w:val="0"/>
          <w:lang w:eastAsia="zh-CN"/>
        </w:rPr>
        <w:t>9 施工安全、治安保卫和环境保护</w:t>
      </w:r>
      <w:bookmarkEnd w:id="234"/>
      <w:bookmarkEnd w:id="235"/>
      <w:bookmarkEnd w:id="236"/>
      <w:bookmarkEnd w:id="237"/>
      <w:bookmarkEnd w:id="238"/>
      <w:bookmarkEnd w:id="239"/>
    </w:p>
    <w:p w14:paraId="761998D1">
      <w:pPr>
        <w:pStyle w:val="5"/>
        <w:rPr>
          <w:lang w:eastAsia="zh-CN"/>
        </w:rPr>
      </w:pPr>
      <w:r>
        <w:rPr>
          <w:lang w:eastAsia="zh-CN"/>
        </w:rPr>
        <w:t>9.1 发包人的施工安全责任</w:t>
      </w:r>
    </w:p>
    <w:p w14:paraId="0C76209D">
      <w:pPr>
        <w:ind w:firstLine="420" w:firstLineChars="200"/>
        <w:rPr>
          <w:snapToGrid w:val="0"/>
          <w:szCs w:val="24"/>
          <w:lang w:eastAsia="zh-CN"/>
        </w:rPr>
      </w:pPr>
      <w:r>
        <w:rPr>
          <w:snapToGrid w:val="0"/>
          <w:szCs w:val="24"/>
          <w:lang w:eastAsia="zh-CN"/>
        </w:rPr>
        <w:t>9.1.4 发包人提供资料，其余资料由承包人负责收集。</w:t>
      </w:r>
    </w:p>
    <w:p w14:paraId="48A4F4E8">
      <w:pPr>
        <w:pStyle w:val="5"/>
        <w:rPr>
          <w:lang w:eastAsia="zh-CN"/>
        </w:rPr>
      </w:pPr>
      <w:r>
        <w:rPr>
          <w:lang w:eastAsia="zh-CN"/>
        </w:rPr>
        <w:t>9.2 承包人的施工安全责任</w:t>
      </w:r>
    </w:p>
    <w:p w14:paraId="27ED6E0C">
      <w:pPr>
        <w:ind w:firstLine="420" w:firstLineChars="200"/>
        <w:rPr>
          <w:snapToGrid w:val="0"/>
          <w:szCs w:val="21"/>
          <w:lang w:eastAsia="zh-CN"/>
        </w:rPr>
      </w:pPr>
      <w:r>
        <w:rPr>
          <w:snapToGrid w:val="0"/>
          <w:szCs w:val="21"/>
          <w:lang w:eastAsia="zh-CN"/>
        </w:rPr>
        <w:t xml:space="preserve">9.1.1 </w:t>
      </w:r>
      <w:r>
        <w:rPr>
          <w:snapToGrid w:val="0"/>
          <w:lang w:eastAsia="zh-CN"/>
        </w:rPr>
        <w:t>发包人应按合同约定履行安全职责。发包人委托监理人根据国家有关安全的法律、法规、强制性标准以及部门规章，对承包人的安全责任履行情况进行监督和检查。监理人的监督检查不减轻承包人应负的安全责任。</w:t>
      </w:r>
    </w:p>
    <w:p w14:paraId="4A0C3D15">
      <w:pPr>
        <w:ind w:firstLine="420" w:firstLineChars="200"/>
        <w:rPr>
          <w:snapToGrid w:val="0"/>
          <w:szCs w:val="21"/>
          <w:lang w:eastAsia="zh-CN"/>
        </w:rPr>
      </w:pPr>
      <w:r>
        <w:rPr>
          <w:snapToGrid w:val="0"/>
          <w:szCs w:val="21"/>
          <w:lang w:eastAsia="zh-CN"/>
        </w:rPr>
        <w:t>9.1.2 发包人应对其现场机构雇佣的全部人员的工伤事故承担责任，但由于承包人原因造成发包人人员工伤的，应由承包人承担责任。</w:t>
      </w:r>
    </w:p>
    <w:p w14:paraId="5649B212">
      <w:pPr>
        <w:ind w:firstLine="420" w:firstLineChars="200"/>
        <w:rPr>
          <w:snapToGrid w:val="0"/>
          <w:szCs w:val="21"/>
          <w:lang w:eastAsia="zh-CN"/>
        </w:rPr>
      </w:pPr>
      <w:r>
        <w:rPr>
          <w:snapToGrid w:val="0"/>
          <w:szCs w:val="21"/>
          <w:lang w:eastAsia="zh-CN"/>
        </w:rPr>
        <w:t>9.1.3 发包人应负责赔偿以下各种情况造成的第三者人身伤亡和财产损失：</w:t>
      </w:r>
    </w:p>
    <w:p w14:paraId="0D72E7FF">
      <w:pPr>
        <w:ind w:firstLine="420" w:firstLineChars="200"/>
        <w:rPr>
          <w:snapToGrid w:val="0"/>
          <w:szCs w:val="21"/>
          <w:lang w:eastAsia="zh-CN"/>
        </w:rPr>
      </w:pPr>
      <w:r>
        <w:rPr>
          <w:snapToGrid w:val="0"/>
          <w:szCs w:val="21"/>
          <w:lang w:eastAsia="zh-CN"/>
        </w:rPr>
        <w:t>（l）工程或工程的任何部分对土地的占用所造成的第三者财产损失；</w:t>
      </w:r>
    </w:p>
    <w:p w14:paraId="39E30C64">
      <w:pPr>
        <w:ind w:firstLine="420" w:firstLineChars="200"/>
        <w:rPr>
          <w:snapToGrid w:val="0"/>
          <w:szCs w:val="21"/>
          <w:lang w:eastAsia="zh-CN"/>
        </w:rPr>
      </w:pPr>
      <w:r>
        <w:rPr>
          <w:snapToGrid w:val="0"/>
          <w:szCs w:val="21"/>
          <w:lang w:eastAsia="zh-CN"/>
        </w:rPr>
        <w:t>（2）由于发包人原因在施工场地及其毗邻地带造成的第三者人身伤亡和财产损失。</w:t>
      </w:r>
    </w:p>
    <w:p w14:paraId="5D0F0744">
      <w:pPr>
        <w:ind w:firstLine="420" w:firstLineChars="200"/>
        <w:rPr>
          <w:snapToGrid w:val="0"/>
          <w:lang w:eastAsia="zh-CN"/>
        </w:rPr>
      </w:pPr>
      <w:r>
        <w:rPr>
          <w:snapToGrid w:val="0"/>
          <w:szCs w:val="21"/>
          <w:lang w:eastAsia="zh-CN"/>
        </w:rPr>
        <w:t xml:space="preserve">9.1.4 </w:t>
      </w:r>
      <w:r>
        <w:rPr>
          <w:snapToGrid w:val="0"/>
          <w:lang w:eastAsia="zh-CN"/>
        </w:rPr>
        <w:t>除专用合同条款另有约定外，发包人负责向承包人提供施工现场及施工可能影响的毗邻区域内供水、排水、供电、供气、供热、通信、广播电视等地下管线资料，气象和水文观测资料，拟建工程可能影响的相邻建筑物地下工程的有关资料，并保证有关资料的真实、准确、完整，满足有关技术规程的要求。</w:t>
      </w:r>
    </w:p>
    <w:p w14:paraId="76E75DD7">
      <w:pPr>
        <w:ind w:firstLine="420" w:firstLineChars="200"/>
        <w:rPr>
          <w:snapToGrid w:val="0"/>
          <w:lang w:eastAsia="zh-CN"/>
        </w:rPr>
      </w:pPr>
      <w:r>
        <w:rPr>
          <w:snapToGrid w:val="0"/>
          <w:lang w:eastAsia="zh-CN"/>
        </w:rPr>
        <w:t>9.1.5 发包人按照已标价工程量清单所列金额和合同约定的计量支付规定，支付安全作业环境及安全施工措施所需费用。</w:t>
      </w:r>
    </w:p>
    <w:p w14:paraId="1E2090DC">
      <w:pPr>
        <w:ind w:firstLine="420" w:firstLineChars="200"/>
        <w:rPr>
          <w:snapToGrid w:val="0"/>
          <w:lang w:eastAsia="zh-CN"/>
        </w:rPr>
      </w:pPr>
      <w:r>
        <w:rPr>
          <w:snapToGrid w:val="0"/>
          <w:lang w:eastAsia="zh-CN"/>
        </w:rPr>
        <w:t>9.1.6 发包人负责组织工程参建单位编制保证安全生产的措施方案。工程开工前，就落实保证安全生产的措施进行全面系统的布置，进一步明确承包人的安全生产责任。</w:t>
      </w:r>
    </w:p>
    <w:p w14:paraId="7FF8A244">
      <w:pPr>
        <w:ind w:firstLine="420" w:firstLineChars="200"/>
        <w:rPr>
          <w:snapToGrid w:val="0"/>
          <w:szCs w:val="21"/>
          <w:lang w:eastAsia="zh-CN"/>
        </w:rPr>
      </w:pPr>
      <w:r>
        <w:rPr>
          <w:snapToGrid w:val="0"/>
          <w:lang w:eastAsia="zh-CN"/>
        </w:rPr>
        <w:t>9.1.7 发包人负责在拆除工程和爆破工程施工14天前向有关部门或机构报送相关备案资料。</w:t>
      </w:r>
    </w:p>
    <w:p w14:paraId="1AAA5191">
      <w:pPr>
        <w:pStyle w:val="5"/>
        <w:rPr>
          <w:lang w:eastAsia="zh-CN"/>
        </w:rPr>
      </w:pPr>
      <w:r>
        <w:rPr>
          <w:lang w:eastAsia="zh-CN"/>
        </w:rPr>
        <w:t>9.2 承包人的施工安全责任</w:t>
      </w:r>
    </w:p>
    <w:p w14:paraId="360B0BEA">
      <w:pPr>
        <w:ind w:firstLine="420" w:firstLineChars="200"/>
        <w:rPr>
          <w:snapToGrid w:val="0"/>
          <w:szCs w:val="21"/>
          <w:lang w:eastAsia="zh-CN"/>
        </w:rPr>
      </w:pPr>
      <w:r>
        <w:rPr>
          <w:snapToGrid w:val="0"/>
          <w:szCs w:val="21"/>
          <w:lang w:eastAsia="zh-CN"/>
        </w:rPr>
        <w:t xml:space="preserve">9.2.1 </w:t>
      </w:r>
      <w:r>
        <w:rPr>
          <w:snapToGrid w:val="0"/>
          <w:lang w:eastAsia="zh-CN"/>
        </w:rPr>
        <w:t>承包人应按合同约定履行安全职责，执行监理人有关安全工作的指示。承包人应按技术标准和要求（合同技术条款）约定的内容和期限，以及监理人的指示，编制施工安全技术措施提交监理人审批。监理人应在技术标准和要求（合同技术条款）约定的期限内批复承包人。</w:t>
      </w:r>
    </w:p>
    <w:p w14:paraId="5F2774EB">
      <w:pPr>
        <w:ind w:firstLine="420" w:firstLineChars="200"/>
        <w:rPr>
          <w:snapToGrid w:val="0"/>
          <w:szCs w:val="21"/>
          <w:lang w:eastAsia="zh-CN"/>
        </w:rPr>
      </w:pPr>
      <w:r>
        <w:rPr>
          <w:snapToGrid w:val="0"/>
          <w:szCs w:val="21"/>
          <w:lang w:eastAsia="zh-CN"/>
        </w:rPr>
        <w:t>9.2.2 承包人应加强施工作业安全管理，特别应加强易燃、易爆材料、火工器材、有毒与腐蚀性材料和其他危险品的管理，以及对爆破作业和地下工程施工等危险作业的管理。</w:t>
      </w:r>
    </w:p>
    <w:p w14:paraId="230351CF">
      <w:pPr>
        <w:ind w:firstLine="420" w:firstLineChars="200"/>
        <w:rPr>
          <w:snapToGrid w:val="0"/>
          <w:szCs w:val="21"/>
          <w:lang w:eastAsia="zh-CN"/>
        </w:rPr>
      </w:pPr>
      <w:r>
        <w:rPr>
          <w:snapToGrid w:val="0"/>
          <w:szCs w:val="21"/>
          <w:lang w:eastAsia="zh-CN"/>
        </w:rPr>
        <w:t>9.2.3 承包人应严格按照国家安全标准制定施工安全操作规程，配备必要的安全生产和劳动保护设施，加强对承包人人员的安全教育，并发放安全工作手册和劳动保护用具。</w:t>
      </w:r>
    </w:p>
    <w:p w14:paraId="442E3CE8">
      <w:pPr>
        <w:ind w:firstLine="420" w:firstLineChars="200"/>
        <w:rPr>
          <w:snapToGrid w:val="0"/>
          <w:szCs w:val="21"/>
          <w:lang w:eastAsia="zh-CN"/>
        </w:rPr>
      </w:pPr>
      <w:r>
        <w:rPr>
          <w:snapToGrid w:val="0"/>
          <w:szCs w:val="21"/>
          <w:lang w:eastAsia="zh-CN"/>
        </w:rPr>
        <w:t>9.2.4 承包人应按监理人的指示制定应对灾害的紧急预案，报送监理人审批。承包人还应按预案做好安全检查，配置必要的救助物资和器材，切实保护好有关人员的人身和财产安全。</w:t>
      </w:r>
    </w:p>
    <w:p w14:paraId="36360ED7">
      <w:pPr>
        <w:ind w:firstLine="420" w:firstLineChars="200"/>
        <w:rPr>
          <w:snapToGrid w:val="0"/>
          <w:szCs w:val="21"/>
          <w:lang w:eastAsia="zh-CN"/>
        </w:rPr>
      </w:pPr>
      <w:r>
        <w:rPr>
          <w:snapToGrid w:val="0"/>
          <w:szCs w:val="21"/>
          <w:lang w:eastAsia="zh-CN"/>
        </w:rPr>
        <w:t>9.2.5 合同约定的安全作业环境及安全施工措施所需费用应遵守有关规定，并包括在相关工作的合同价格中。因采取合同未约定的安全作业环境及安全施工措施增加的费用，由监理人按第3.5款商定或确定。</w:t>
      </w:r>
    </w:p>
    <w:p w14:paraId="52AF4E1F">
      <w:pPr>
        <w:ind w:firstLine="420" w:firstLineChars="200"/>
        <w:rPr>
          <w:snapToGrid w:val="0"/>
          <w:szCs w:val="21"/>
          <w:lang w:eastAsia="zh-CN"/>
        </w:rPr>
      </w:pPr>
      <w:r>
        <w:rPr>
          <w:snapToGrid w:val="0"/>
          <w:szCs w:val="21"/>
          <w:lang w:eastAsia="zh-CN"/>
        </w:rPr>
        <w:t>9.2.6 承包人应对其履行合同所雇佣的全部人员，包括分包人人员的工伤事故承担责任，但由于发包人原因造成承包人人员工伤事故的，应由发包人承担责任。</w:t>
      </w:r>
    </w:p>
    <w:p w14:paraId="64B14051">
      <w:pPr>
        <w:ind w:firstLine="420" w:firstLineChars="200"/>
        <w:rPr>
          <w:snapToGrid w:val="0"/>
          <w:szCs w:val="21"/>
          <w:lang w:eastAsia="zh-CN"/>
        </w:rPr>
      </w:pPr>
      <w:r>
        <w:rPr>
          <w:snapToGrid w:val="0"/>
          <w:szCs w:val="21"/>
          <w:lang w:eastAsia="zh-CN"/>
        </w:rPr>
        <w:t>9.2.7 由于承包人原因在施工场地内及其毗邻地带造成的第三者人员伤亡和财产损失，由承包人负责赔偿。</w:t>
      </w:r>
    </w:p>
    <w:p w14:paraId="7CBD2982">
      <w:pPr>
        <w:ind w:firstLine="420" w:firstLineChars="200"/>
        <w:rPr>
          <w:snapToGrid w:val="0"/>
          <w:szCs w:val="21"/>
          <w:lang w:eastAsia="zh-CN"/>
        </w:rPr>
      </w:pPr>
      <w:r>
        <w:rPr>
          <w:snapToGrid w:val="0"/>
          <w:szCs w:val="21"/>
          <w:lang w:eastAsia="zh-CN"/>
        </w:rPr>
        <w:t xml:space="preserve">9.2.8 </w:t>
      </w:r>
      <w:r>
        <w:rPr>
          <w:snapToGrid w:val="0"/>
          <w:lang w:eastAsia="zh-CN"/>
        </w:rPr>
        <w:t>承包人已标价工程量清单应包含工程安全作业环境及安全施工措施所需费用。</w:t>
      </w:r>
    </w:p>
    <w:p w14:paraId="3256C452">
      <w:pPr>
        <w:ind w:firstLine="420" w:firstLineChars="200"/>
        <w:rPr>
          <w:snapToGrid w:val="0"/>
          <w:szCs w:val="21"/>
          <w:lang w:eastAsia="zh-CN"/>
        </w:rPr>
      </w:pPr>
      <w:r>
        <w:rPr>
          <w:snapToGrid w:val="0"/>
          <w:szCs w:val="21"/>
          <w:lang w:eastAsia="zh-CN"/>
        </w:rPr>
        <w:t xml:space="preserve">9.2.9 </w:t>
      </w:r>
      <w:r>
        <w:rPr>
          <w:snapToGrid w:val="0"/>
          <w:lang w:eastAsia="zh-CN"/>
        </w:rPr>
        <w:t>承包人应建立健全安全生产责任制度和安全生产教育培训制度，制定安全生产规章制度和操作规程，保证本单位建立和完善安全生产条件所需资金的投入，对本工程进行定期和专项安全检查，并做好安全检查记录。</w:t>
      </w:r>
    </w:p>
    <w:p w14:paraId="4B5AE2D6">
      <w:pPr>
        <w:ind w:firstLine="420" w:firstLineChars="200"/>
        <w:rPr>
          <w:snapToGrid w:val="0"/>
          <w:szCs w:val="21"/>
          <w:lang w:eastAsia="zh-CN"/>
        </w:rPr>
      </w:pPr>
      <w:r>
        <w:rPr>
          <w:snapToGrid w:val="0"/>
          <w:szCs w:val="21"/>
          <w:lang w:eastAsia="zh-CN"/>
        </w:rPr>
        <w:t xml:space="preserve">9.2.10 </w:t>
      </w:r>
      <w:r>
        <w:rPr>
          <w:snapToGrid w:val="0"/>
          <w:lang w:eastAsia="zh-CN"/>
        </w:rPr>
        <w:t>承包人应设立安全生产管理机构，施工现场应有专职安全生产管理人员。</w:t>
      </w:r>
    </w:p>
    <w:p w14:paraId="46D49F2D">
      <w:pPr>
        <w:ind w:firstLine="420" w:firstLineChars="200"/>
        <w:rPr>
          <w:snapToGrid w:val="0"/>
          <w:szCs w:val="21"/>
          <w:lang w:eastAsia="zh-CN"/>
        </w:rPr>
      </w:pPr>
      <w:r>
        <w:rPr>
          <w:snapToGrid w:val="0"/>
          <w:szCs w:val="21"/>
          <w:lang w:eastAsia="zh-CN"/>
        </w:rPr>
        <w:t xml:space="preserve">9.2.11 </w:t>
      </w:r>
      <w:r>
        <w:rPr>
          <w:snapToGrid w:val="0"/>
          <w:lang w:eastAsia="zh-CN"/>
        </w:rPr>
        <w:t>承包人应负责对特种作业人员进行专门的安全作业培训，并保证特种作业人员持证上岗。</w:t>
      </w:r>
    </w:p>
    <w:p w14:paraId="54938EB6">
      <w:pPr>
        <w:ind w:firstLine="420" w:firstLineChars="200"/>
        <w:rPr>
          <w:snapToGrid w:val="0"/>
          <w:lang w:eastAsia="zh-CN"/>
        </w:rPr>
      </w:pPr>
      <w:r>
        <w:rPr>
          <w:snapToGrid w:val="0"/>
          <w:szCs w:val="21"/>
          <w:lang w:eastAsia="zh-CN"/>
        </w:rPr>
        <w:t xml:space="preserve">9.2.12 </w:t>
      </w:r>
      <w:r>
        <w:rPr>
          <w:snapToGrid w:val="0"/>
          <w:lang w:eastAsia="zh-CN"/>
        </w:rPr>
        <w:t>承包人应在施工组织设计中编制安全技术措施和施工现场临时用电方案。对专用合同条款约定的工程，应编制专项施工方案报监理人批准。对专用合同条款约定的专项施工方案，还应组织专家进行论证、审查，其中专家1/2人员应经发包人同意。</w:t>
      </w:r>
    </w:p>
    <w:p w14:paraId="5447AF55">
      <w:pPr>
        <w:ind w:firstLine="420" w:firstLineChars="200"/>
        <w:rPr>
          <w:snapToGrid w:val="0"/>
          <w:lang w:eastAsia="zh-CN"/>
        </w:rPr>
      </w:pPr>
      <w:r>
        <w:rPr>
          <w:snapToGrid w:val="0"/>
          <w:lang w:eastAsia="zh-CN"/>
        </w:rPr>
        <w:t>9.2.13 承包人在使用施工起重机械和整体提升脚手架、模板等自升式架设设施前，应组织有关单位进行验收。</w:t>
      </w:r>
    </w:p>
    <w:p w14:paraId="384524BD">
      <w:pPr>
        <w:ind w:firstLine="420" w:firstLineChars="200"/>
        <w:rPr>
          <w:snapToGrid w:val="0"/>
          <w:lang w:eastAsia="zh-CN"/>
        </w:rPr>
      </w:pPr>
      <w:r>
        <w:rPr>
          <w:rFonts w:hint="eastAsia"/>
          <w:snapToGrid w:val="0"/>
          <w:lang w:eastAsia="zh-CN"/>
        </w:rPr>
        <w:t>9.2.14安全施工，做到零死无伤。</w:t>
      </w:r>
    </w:p>
    <w:p w14:paraId="394E3EC5">
      <w:pPr>
        <w:pStyle w:val="5"/>
        <w:rPr>
          <w:lang w:eastAsia="zh-CN"/>
        </w:rPr>
      </w:pPr>
      <w:r>
        <w:rPr>
          <w:lang w:eastAsia="zh-CN"/>
        </w:rPr>
        <w:t>9.7 文明工地</w:t>
      </w:r>
    </w:p>
    <w:p w14:paraId="3C071659">
      <w:pPr>
        <w:ind w:firstLine="420" w:firstLineChars="200"/>
        <w:rPr>
          <w:snapToGrid w:val="0"/>
          <w:szCs w:val="24"/>
          <w:u w:val="single"/>
          <w:lang w:eastAsia="zh-CN"/>
        </w:rPr>
      </w:pPr>
      <w:r>
        <w:rPr>
          <w:snapToGrid w:val="0"/>
          <w:szCs w:val="24"/>
          <w:lang w:eastAsia="zh-CN"/>
        </w:rPr>
        <w:t>本合同文明工地的约定：。</w:t>
      </w:r>
    </w:p>
    <w:p w14:paraId="0A9B60BB">
      <w:pPr>
        <w:pStyle w:val="4"/>
        <w:spacing w:before="0"/>
        <w:rPr>
          <w:snapToGrid w:val="0"/>
          <w:lang w:eastAsia="zh-CN"/>
        </w:rPr>
      </w:pPr>
      <w:bookmarkStart w:id="240" w:name="_Toc283728729"/>
      <w:bookmarkStart w:id="241" w:name="_Toc294467361"/>
      <w:bookmarkStart w:id="242" w:name="_Toc307478981"/>
      <w:bookmarkStart w:id="243" w:name="_Toc281852088"/>
      <w:bookmarkStart w:id="244" w:name="_Toc344282758"/>
      <w:bookmarkStart w:id="245" w:name="_Toc281852224"/>
      <w:bookmarkStart w:id="246" w:name="_Toc362883284"/>
      <w:bookmarkStart w:id="247" w:name="_Toc370459061"/>
      <w:r>
        <w:rPr>
          <w:snapToGrid w:val="0"/>
          <w:lang w:eastAsia="zh-CN"/>
        </w:rPr>
        <w:t>11 开工和竣工（完工</w:t>
      </w:r>
      <w:bookmarkEnd w:id="240"/>
      <w:bookmarkEnd w:id="241"/>
      <w:bookmarkEnd w:id="242"/>
      <w:bookmarkEnd w:id="243"/>
      <w:bookmarkEnd w:id="244"/>
      <w:bookmarkEnd w:id="245"/>
      <w:r>
        <w:rPr>
          <w:snapToGrid w:val="0"/>
          <w:lang w:eastAsia="zh-CN"/>
        </w:rPr>
        <w:t>）</w:t>
      </w:r>
      <w:bookmarkEnd w:id="246"/>
      <w:bookmarkEnd w:id="247"/>
    </w:p>
    <w:p w14:paraId="31AF957C">
      <w:pPr>
        <w:keepLines/>
        <w:outlineLvl w:val="0"/>
        <w:rPr>
          <w:b/>
          <w:snapToGrid w:val="0"/>
          <w:szCs w:val="24"/>
          <w:lang w:eastAsia="zh-CN"/>
        </w:rPr>
      </w:pPr>
      <w:bookmarkStart w:id="248" w:name="_Toc370459062"/>
      <w:bookmarkStart w:id="249" w:name="_Toc362883285"/>
      <w:bookmarkStart w:id="250" w:name="_Toc283728730"/>
      <w:r>
        <w:rPr>
          <w:b/>
          <w:snapToGrid w:val="0"/>
          <w:szCs w:val="24"/>
          <w:lang w:eastAsia="zh-CN"/>
        </w:rPr>
        <w:t>11.4 异常恶劣的气候条件</w:t>
      </w:r>
      <w:bookmarkEnd w:id="248"/>
      <w:bookmarkEnd w:id="249"/>
      <w:bookmarkEnd w:id="250"/>
    </w:p>
    <w:p w14:paraId="1EC5ABC9">
      <w:pPr>
        <w:ind w:firstLine="420" w:firstLineChars="200"/>
        <w:rPr>
          <w:snapToGrid w:val="0"/>
          <w:szCs w:val="24"/>
          <w:lang w:eastAsia="zh-CN"/>
        </w:rPr>
      </w:pPr>
      <w:r>
        <w:rPr>
          <w:snapToGrid w:val="0"/>
          <w:szCs w:val="24"/>
          <w:lang w:eastAsia="zh-CN"/>
        </w:rPr>
        <w:t>11.4.3 本合同工程界定异常恶劣的气候条件的范围为：</w:t>
      </w:r>
    </w:p>
    <w:p w14:paraId="4A3D89F2">
      <w:pPr>
        <w:ind w:firstLine="420" w:firstLineChars="200"/>
        <w:rPr>
          <w:snapToGrid w:val="0"/>
          <w:szCs w:val="24"/>
          <w:lang w:eastAsia="zh-CN"/>
        </w:rPr>
      </w:pPr>
      <w:r>
        <w:rPr>
          <w:snapToGrid w:val="0"/>
          <w:szCs w:val="24"/>
          <w:lang w:eastAsia="zh-CN"/>
        </w:rPr>
        <w:t>（1） 日降雨量大于mm的雨日超过天；</w:t>
      </w:r>
    </w:p>
    <w:p w14:paraId="72AB49C3">
      <w:pPr>
        <w:ind w:firstLine="420" w:firstLineChars="200"/>
        <w:rPr>
          <w:snapToGrid w:val="0"/>
          <w:szCs w:val="24"/>
          <w:lang w:eastAsia="zh-CN"/>
        </w:rPr>
      </w:pPr>
      <w:r>
        <w:rPr>
          <w:snapToGrid w:val="0"/>
          <w:szCs w:val="24"/>
          <w:lang w:eastAsia="zh-CN"/>
        </w:rPr>
        <w:t>（2） 风速大于m/s的级以上台风灾害；</w:t>
      </w:r>
    </w:p>
    <w:p w14:paraId="002FFA72">
      <w:pPr>
        <w:ind w:firstLine="420" w:firstLineChars="200"/>
        <w:rPr>
          <w:snapToGrid w:val="0"/>
          <w:szCs w:val="24"/>
          <w:lang w:eastAsia="zh-CN"/>
        </w:rPr>
      </w:pPr>
      <w:r>
        <w:rPr>
          <w:snapToGrid w:val="0"/>
          <w:szCs w:val="24"/>
          <w:lang w:eastAsia="zh-CN"/>
        </w:rPr>
        <w:t>（3） 日气温超过</w:t>
      </w:r>
      <w:r>
        <w:rPr>
          <w:rFonts w:hint="eastAsia" w:ascii="宋体" w:hAnsi="宋体" w:eastAsia="宋体" w:cs="宋体"/>
          <w:snapToGrid w:val="0"/>
          <w:szCs w:val="24"/>
          <w:lang w:eastAsia="zh-CN"/>
        </w:rPr>
        <w:t>℃</w:t>
      </w:r>
      <w:r>
        <w:rPr>
          <w:snapToGrid w:val="0"/>
          <w:szCs w:val="24"/>
          <w:lang w:eastAsia="zh-CN"/>
        </w:rPr>
        <w:t>的高温大于天；</w:t>
      </w:r>
    </w:p>
    <w:p w14:paraId="34FC0064">
      <w:pPr>
        <w:ind w:firstLine="420" w:firstLineChars="200"/>
        <w:rPr>
          <w:snapToGrid w:val="0"/>
          <w:szCs w:val="24"/>
          <w:lang w:eastAsia="zh-CN"/>
        </w:rPr>
      </w:pPr>
      <w:r>
        <w:rPr>
          <w:snapToGrid w:val="0"/>
          <w:szCs w:val="24"/>
          <w:lang w:eastAsia="zh-CN"/>
        </w:rPr>
        <w:t>（4） 日气温低于</w:t>
      </w:r>
      <w:r>
        <w:rPr>
          <w:rFonts w:hint="eastAsia" w:ascii="宋体" w:hAnsi="宋体" w:eastAsia="宋体" w:cs="宋体"/>
          <w:snapToGrid w:val="0"/>
          <w:szCs w:val="24"/>
          <w:lang w:eastAsia="zh-CN"/>
        </w:rPr>
        <w:t>℃</w:t>
      </w:r>
      <w:r>
        <w:rPr>
          <w:snapToGrid w:val="0"/>
          <w:szCs w:val="24"/>
          <w:lang w:eastAsia="zh-CN"/>
        </w:rPr>
        <w:t>的严寒大于天；</w:t>
      </w:r>
    </w:p>
    <w:p w14:paraId="2840A457">
      <w:pPr>
        <w:ind w:firstLine="420" w:firstLineChars="200"/>
        <w:rPr>
          <w:snapToGrid w:val="0"/>
          <w:szCs w:val="24"/>
          <w:lang w:eastAsia="zh-CN"/>
        </w:rPr>
      </w:pPr>
      <w:r>
        <w:rPr>
          <w:snapToGrid w:val="0"/>
          <w:szCs w:val="24"/>
          <w:lang w:eastAsia="zh-CN"/>
        </w:rPr>
        <w:t>（5） 造成工程损失的冰雹和大雪灾害：；</w:t>
      </w:r>
    </w:p>
    <w:p w14:paraId="6DCC7096">
      <w:pPr>
        <w:ind w:firstLine="420" w:firstLineChars="200"/>
        <w:rPr>
          <w:snapToGrid w:val="0"/>
          <w:szCs w:val="24"/>
          <w:lang w:eastAsia="zh-CN"/>
        </w:rPr>
      </w:pPr>
      <w:r>
        <w:rPr>
          <w:snapToGrid w:val="0"/>
          <w:szCs w:val="24"/>
          <w:lang w:eastAsia="zh-CN"/>
        </w:rPr>
        <w:t>（6） 其它异常恶劣气候灾害。</w:t>
      </w:r>
    </w:p>
    <w:p w14:paraId="5F0A0A3B">
      <w:pPr>
        <w:keepLines/>
        <w:outlineLvl w:val="0"/>
        <w:rPr>
          <w:b/>
          <w:snapToGrid w:val="0"/>
          <w:szCs w:val="24"/>
          <w:lang w:eastAsia="zh-CN"/>
        </w:rPr>
      </w:pPr>
      <w:bookmarkStart w:id="251" w:name="_Toc283728731"/>
      <w:bookmarkStart w:id="252" w:name="_Toc370459063"/>
      <w:bookmarkStart w:id="253" w:name="_Toc362883286"/>
      <w:r>
        <w:rPr>
          <w:b/>
          <w:snapToGrid w:val="0"/>
          <w:szCs w:val="24"/>
          <w:lang w:eastAsia="zh-CN"/>
        </w:rPr>
        <w:t>11.5 承包人的工期延误</w:t>
      </w:r>
      <w:bookmarkEnd w:id="251"/>
      <w:bookmarkEnd w:id="252"/>
      <w:bookmarkEnd w:id="253"/>
    </w:p>
    <w:p w14:paraId="14493AC3">
      <w:pPr>
        <w:ind w:firstLine="420" w:firstLineChars="200"/>
        <w:rPr>
          <w:snapToGrid w:val="0"/>
          <w:szCs w:val="24"/>
          <w:lang w:eastAsia="zh-CN"/>
        </w:rPr>
      </w:pPr>
      <w:r>
        <w:rPr>
          <w:snapToGrid w:val="0"/>
          <w:szCs w:val="24"/>
          <w:lang w:eastAsia="zh-CN"/>
        </w:rPr>
        <w:t>（1） 逾期完工违约金表。</w:t>
      </w:r>
    </w:p>
    <w:p w14:paraId="39EC6D4F">
      <w:pPr>
        <w:ind w:firstLine="420" w:firstLineChars="200"/>
        <w:rPr>
          <w:snapToGrid w:val="0"/>
          <w:szCs w:val="24"/>
          <w:lang w:eastAsia="zh-CN"/>
        </w:rPr>
      </w:pPr>
    </w:p>
    <w:p w14:paraId="0A4DB91B">
      <w:pPr>
        <w:ind w:firstLine="422" w:firstLineChars="200"/>
        <w:jc w:val="center"/>
        <w:rPr>
          <w:b/>
          <w:snapToGrid w:val="0"/>
          <w:szCs w:val="24"/>
        </w:rPr>
      </w:pPr>
      <w:r>
        <w:rPr>
          <w:b/>
          <w:snapToGrid w:val="0"/>
          <w:szCs w:val="24"/>
        </w:rPr>
        <w:t>逾期完工违约金表</w:t>
      </w:r>
    </w:p>
    <w:tbl>
      <w:tblPr>
        <w:tblStyle w:val="11"/>
        <w:tblW w:w="0" w:type="auto"/>
        <w:tblInd w:w="2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957"/>
        <w:gridCol w:w="2670"/>
        <w:gridCol w:w="2479"/>
        <w:gridCol w:w="2934"/>
      </w:tblGrid>
      <w:tr w14:paraId="1FFFBA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957" w:type="dxa"/>
            <w:vAlign w:val="center"/>
          </w:tcPr>
          <w:p w14:paraId="2C850810">
            <w:pPr>
              <w:jc w:val="center"/>
              <w:rPr>
                <w:snapToGrid w:val="0"/>
                <w:szCs w:val="24"/>
              </w:rPr>
            </w:pPr>
            <w:r>
              <w:rPr>
                <w:snapToGrid w:val="0"/>
                <w:szCs w:val="24"/>
              </w:rPr>
              <w:t>序号</w:t>
            </w:r>
          </w:p>
        </w:tc>
        <w:tc>
          <w:tcPr>
            <w:tcW w:w="2670" w:type="dxa"/>
            <w:vAlign w:val="center"/>
          </w:tcPr>
          <w:p w14:paraId="2C13671A">
            <w:pPr>
              <w:jc w:val="center"/>
              <w:rPr>
                <w:snapToGrid w:val="0"/>
                <w:szCs w:val="24"/>
              </w:rPr>
            </w:pPr>
            <w:r>
              <w:rPr>
                <w:snapToGrid w:val="0"/>
                <w:szCs w:val="24"/>
              </w:rPr>
              <w:t>项目及其说明</w:t>
            </w:r>
          </w:p>
        </w:tc>
        <w:tc>
          <w:tcPr>
            <w:tcW w:w="2479" w:type="dxa"/>
            <w:vAlign w:val="center"/>
          </w:tcPr>
          <w:p w14:paraId="77F40B28">
            <w:pPr>
              <w:jc w:val="center"/>
              <w:rPr>
                <w:snapToGrid w:val="0"/>
                <w:szCs w:val="24"/>
              </w:rPr>
            </w:pPr>
            <w:r>
              <w:rPr>
                <w:snapToGrid w:val="0"/>
                <w:szCs w:val="24"/>
              </w:rPr>
              <w:t>要求完工日期</w:t>
            </w:r>
          </w:p>
        </w:tc>
        <w:tc>
          <w:tcPr>
            <w:tcW w:w="2934" w:type="dxa"/>
            <w:vAlign w:val="center"/>
          </w:tcPr>
          <w:p w14:paraId="19FFB7D4">
            <w:pPr>
              <w:jc w:val="center"/>
              <w:rPr>
                <w:snapToGrid w:val="0"/>
                <w:szCs w:val="24"/>
              </w:rPr>
            </w:pPr>
            <w:r>
              <w:rPr>
                <w:snapToGrid w:val="0"/>
                <w:szCs w:val="24"/>
              </w:rPr>
              <w:t>违约金（元/天）</w:t>
            </w:r>
          </w:p>
        </w:tc>
      </w:tr>
      <w:tr w14:paraId="67D0EB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957" w:type="dxa"/>
            <w:vAlign w:val="center"/>
          </w:tcPr>
          <w:p w14:paraId="2B02019D">
            <w:pPr>
              <w:jc w:val="center"/>
              <w:rPr>
                <w:snapToGrid w:val="0"/>
                <w:szCs w:val="24"/>
              </w:rPr>
            </w:pPr>
            <w:r>
              <w:rPr>
                <w:rFonts w:hint="eastAsia"/>
                <w:snapToGrid w:val="0"/>
                <w:szCs w:val="24"/>
              </w:rPr>
              <w:t>1</w:t>
            </w:r>
          </w:p>
        </w:tc>
        <w:tc>
          <w:tcPr>
            <w:tcW w:w="2670" w:type="dxa"/>
            <w:vAlign w:val="center"/>
          </w:tcPr>
          <w:p w14:paraId="2C6BE79E">
            <w:pPr>
              <w:jc w:val="center"/>
              <w:rPr>
                <w:snapToGrid w:val="0"/>
                <w:szCs w:val="24"/>
              </w:rPr>
            </w:pPr>
            <w:r>
              <w:rPr>
                <w:rFonts w:hint="eastAsia"/>
                <w:snapToGrid w:val="0"/>
                <w:szCs w:val="24"/>
              </w:rPr>
              <w:t>全部工程</w:t>
            </w:r>
          </w:p>
        </w:tc>
        <w:tc>
          <w:tcPr>
            <w:tcW w:w="2479" w:type="dxa"/>
            <w:vAlign w:val="center"/>
          </w:tcPr>
          <w:p w14:paraId="6365A2CF">
            <w:pPr>
              <w:jc w:val="center"/>
              <w:rPr>
                <w:snapToGrid w:val="0"/>
                <w:szCs w:val="24"/>
              </w:rPr>
            </w:pPr>
            <w:r>
              <w:rPr>
                <w:rFonts w:hint="eastAsia"/>
                <w:snapToGrid w:val="0"/>
                <w:szCs w:val="24"/>
              </w:rPr>
              <w:t>/</w:t>
            </w:r>
          </w:p>
        </w:tc>
        <w:tc>
          <w:tcPr>
            <w:tcW w:w="2934" w:type="dxa"/>
            <w:vAlign w:val="center"/>
          </w:tcPr>
          <w:p w14:paraId="0CC3379E">
            <w:pPr>
              <w:jc w:val="center"/>
              <w:rPr>
                <w:snapToGrid w:val="0"/>
                <w:szCs w:val="24"/>
              </w:rPr>
            </w:pPr>
            <w:r>
              <w:rPr>
                <w:rFonts w:hint="eastAsia"/>
                <w:snapToGrid w:val="0"/>
                <w:szCs w:val="24"/>
              </w:rPr>
              <w:t>2000</w:t>
            </w:r>
          </w:p>
        </w:tc>
      </w:tr>
      <w:tr w14:paraId="75FB01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957" w:type="dxa"/>
            <w:vAlign w:val="center"/>
          </w:tcPr>
          <w:p w14:paraId="05EFB16A">
            <w:pPr>
              <w:jc w:val="center"/>
              <w:rPr>
                <w:snapToGrid w:val="0"/>
                <w:szCs w:val="24"/>
              </w:rPr>
            </w:pPr>
          </w:p>
        </w:tc>
        <w:tc>
          <w:tcPr>
            <w:tcW w:w="2670" w:type="dxa"/>
            <w:vAlign w:val="center"/>
          </w:tcPr>
          <w:p w14:paraId="1FB0C177">
            <w:pPr>
              <w:jc w:val="center"/>
              <w:rPr>
                <w:snapToGrid w:val="0"/>
                <w:szCs w:val="24"/>
              </w:rPr>
            </w:pPr>
          </w:p>
        </w:tc>
        <w:tc>
          <w:tcPr>
            <w:tcW w:w="2479" w:type="dxa"/>
            <w:vAlign w:val="center"/>
          </w:tcPr>
          <w:p w14:paraId="5E24B783">
            <w:pPr>
              <w:jc w:val="center"/>
              <w:rPr>
                <w:snapToGrid w:val="0"/>
                <w:szCs w:val="24"/>
              </w:rPr>
            </w:pPr>
          </w:p>
        </w:tc>
        <w:tc>
          <w:tcPr>
            <w:tcW w:w="2934" w:type="dxa"/>
            <w:vAlign w:val="center"/>
          </w:tcPr>
          <w:p w14:paraId="68B41AFB">
            <w:pPr>
              <w:jc w:val="center"/>
              <w:rPr>
                <w:snapToGrid w:val="0"/>
                <w:szCs w:val="24"/>
              </w:rPr>
            </w:pPr>
          </w:p>
        </w:tc>
      </w:tr>
      <w:tr w14:paraId="6AD8B7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957" w:type="dxa"/>
            <w:vAlign w:val="center"/>
          </w:tcPr>
          <w:p w14:paraId="02E06ABA">
            <w:pPr>
              <w:jc w:val="center"/>
              <w:rPr>
                <w:snapToGrid w:val="0"/>
                <w:szCs w:val="24"/>
              </w:rPr>
            </w:pPr>
          </w:p>
        </w:tc>
        <w:tc>
          <w:tcPr>
            <w:tcW w:w="2670" w:type="dxa"/>
            <w:vAlign w:val="center"/>
          </w:tcPr>
          <w:p w14:paraId="06FEC120">
            <w:pPr>
              <w:jc w:val="center"/>
              <w:rPr>
                <w:snapToGrid w:val="0"/>
                <w:szCs w:val="24"/>
              </w:rPr>
            </w:pPr>
          </w:p>
        </w:tc>
        <w:tc>
          <w:tcPr>
            <w:tcW w:w="2479" w:type="dxa"/>
            <w:vAlign w:val="center"/>
          </w:tcPr>
          <w:p w14:paraId="0FA8E846">
            <w:pPr>
              <w:jc w:val="center"/>
              <w:rPr>
                <w:snapToGrid w:val="0"/>
                <w:szCs w:val="24"/>
              </w:rPr>
            </w:pPr>
          </w:p>
        </w:tc>
        <w:tc>
          <w:tcPr>
            <w:tcW w:w="2934" w:type="dxa"/>
            <w:vAlign w:val="center"/>
          </w:tcPr>
          <w:p w14:paraId="76D84A0C">
            <w:pPr>
              <w:jc w:val="center"/>
              <w:rPr>
                <w:snapToGrid w:val="0"/>
                <w:szCs w:val="24"/>
              </w:rPr>
            </w:pPr>
          </w:p>
        </w:tc>
      </w:tr>
    </w:tbl>
    <w:p w14:paraId="0E178144">
      <w:pPr>
        <w:ind w:firstLine="420" w:firstLineChars="200"/>
        <w:rPr>
          <w:snapToGrid w:val="0"/>
          <w:szCs w:val="24"/>
        </w:rPr>
      </w:pPr>
    </w:p>
    <w:p w14:paraId="22D9863C">
      <w:pPr>
        <w:ind w:firstLine="420" w:firstLineChars="200"/>
        <w:rPr>
          <w:snapToGrid w:val="0"/>
          <w:szCs w:val="24"/>
        </w:rPr>
      </w:pPr>
    </w:p>
    <w:p w14:paraId="4421BDEE">
      <w:pPr>
        <w:ind w:firstLine="420" w:firstLineChars="200"/>
        <w:rPr>
          <w:snapToGrid w:val="0"/>
          <w:szCs w:val="24"/>
          <w:lang w:eastAsia="zh-CN"/>
        </w:rPr>
      </w:pPr>
      <w:r>
        <w:rPr>
          <w:snapToGrid w:val="0"/>
          <w:szCs w:val="24"/>
          <w:lang w:eastAsia="zh-CN"/>
        </w:rPr>
        <w:t xml:space="preserve"> （2） 全部逾期完工违约金的总限额为不超过签约合同价的</w:t>
      </w:r>
      <w:r>
        <w:rPr>
          <w:rFonts w:hint="eastAsia"/>
          <w:snapToGrid w:val="0"/>
          <w:szCs w:val="24"/>
          <w:u w:val="single"/>
          <w:lang w:eastAsia="zh-CN"/>
        </w:rPr>
        <w:t>2</w:t>
      </w:r>
      <w:r>
        <w:rPr>
          <w:snapToGrid w:val="0"/>
          <w:szCs w:val="24"/>
          <w:lang w:eastAsia="zh-CN"/>
        </w:rPr>
        <w:t>%。</w:t>
      </w:r>
    </w:p>
    <w:p w14:paraId="698B34DF">
      <w:pPr>
        <w:keepLines/>
        <w:outlineLvl w:val="0"/>
        <w:rPr>
          <w:b/>
          <w:snapToGrid w:val="0"/>
          <w:szCs w:val="24"/>
          <w:lang w:eastAsia="zh-CN"/>
        </w:rPr>
      </w:pPr>
      <w:bookmarkStart w:id="254" w:name="_Toc370459064"/>
      <w:bookmarkStart w:id="255" w:name="_Toc362883287"/>
      <w:bookmarkStart w:id="256" w:name="_Toc283728732"/>
      <w:r>
        <w:rPr>
          <w:b/>
          <w:snapToGrid w:val="0"/>
          <w:szCs w:val="24"/>
          <w:lang w:eastAsia="zh-CN"/>
        </w:rPr>
        <w:t>11.6 工期提前</w:t>
      </w:r>
      <w:bookmarkEnd w:id="254"/>
      <w:bookmarkEnd w:id="255"/>
      <w:bookmarkEnd w:id="256"/>
    </w:p>
    <w:p w14:paraId="0471A967">
      <w:pPr>
        <w:ind w:firstLine="420" w:firstLineChars="200"/>
        <w:rPr>
          <w:snapToGrid w:val="0"/>
          <w:szCs w:val="24"/>
          <w:lang w:eastAsia="zh-CN"/>
        </w:rPr>
      </w:pPr>
      <w:r>
        <w:rPr>
          <w:snapToGrid w:val="0"/>
          <w:szCs w:val="24"/>
          <w:lang w:eastAsia="zh-CN"/>
        </w:rPr>
        <w:t>工期提前的奖金约定：</w:t>
      </w:r>
      <w:r>
        <w:rPr>
          <w:rFonts w:hint="eastAsia"/>
          <w:snapToGrid w:val="0"/>
          <w:szCs w:val="24"/>
          <w:u w:val="single"/>
          <w:lang w:val="en-US" w:eastAsia="zh-CN"/>
        </w:rPr>
        <w:t xml:space="preserve">  / </w:t>
      </w:r>
      <w:r>
        <w:rPr>
          <w:snapToGrid w:val="0"/>
          <w:szCs w:val="24"/>
          <w:lang w:eastAsia="zh-CN"/>
        </w:rPr>
        <w:t>。</w:t>
      </w:r>
    </w:p>
    <w:p w14:paraId="3C90938E">
      <w:pPr>
        <w:pStyle w:val="4"/>
        <w:spacing w:before="0"/>
        <w:rPr>
          <w:snapToGrid w:val="0"/>
          <w:lang w:eastAsia="zh-CN"/>
        </w:rPr>
      </w:pPr>
      <w:bookmarkStart w:id="257" w:name="_Toc266998253"/>
      <w:bookmarkStart w:id="258" w:name="_Toc259802233"/>
      <w:bookmarkStart w:id="259" w:name="_Toc370459065"/>
      <w:bookmarkStart w:id="260" w:name="_Toc344282759"/>
      <w:bookmarkStart w:id="261" w:name="_Toc307478982"/>
      <w:bookmarkStart w:id="262" w:name="_Toc362883288"/>
      <w:bookmarkStart w:id="263" w:name="_Toc217819052"/>
      <w:r>
        <w:rPr>
          <w:snapToGrid w:val="0"/>
          <w:lang w:eastAsia="zh-CN"/>
        </w:rPr>
        <w:t>12 暂停施工</w:t>
      </w:r>
      <w:bookmarkEnd w:id="257"/>
      <w:bookmarkEnd w:id="258"/>
      <w:bookmarkEnd w:id="259"/>
      <w:bookmarkEnd w:id="260"/>
      <w:bookmarkEnd w:id="261"/>
      <w:bookmarkEnd w:id="262"/>
    </w:p>
    <w:p w14:paraId="00059D01">
      <w:pPr>
        <w:pStyle w:val="5"/>
        <w:rPr>
          <w:lang w:eastAsia="zh-CN"/>
        </w:rPr>
      </w:pPr>
      <w:r>
        <w:rPr>
          <w:lang w:eastAsia="zh-CN"/>
        </w:rPr>
        <w:t>12.1 承包人暂停施工的责任</w:t>
      </w:r>
    </w:p>
    <w:p w14:paraId="0A36F990">
      <w:pPr>
        <w:ind w:firstLine="420" w:firstLineChars="200"/>
        <w:rPr>
          <w:snapToGrid w:val="0"/>
          <w:szCs w:val="24"/>
          <w:lang w:eastAsia="zh-CN"/>
        </w:rPr>
      </w:pPr>
      <w:r>
        <w:rPr>
          <w:snapToGrid w:val="0"/>
          <w:szCs w:val="24"/>
          <w:lang w:eastAsia="zh-CN"/>
        </w:rPr>
        <w:t>（5） 承包人承担暂停施工责任的其他情形：。</w:t>
      </w:r>
    </w:p>
    <w:p w14:paraId="1DAF8259">
      <w:pPr>
        <w:pStyle w:val="5"/>
        <w:rPr>
          <w:lang w:eastAsia="zh-CN"/>
        </w:rPr>
      </w:pPr>
      <w:r>
        <w:rPr>
          <w:lang w:eastAsia="zh-CN"/>
        </w:rPr>
        <w:t>12.2 发包人暂停施工的责任</w:t>
      </w:r>
    </w:p>
    <w:p w14:paraId="786BCEEB">
      <w:pPr>
        <w:ind w:firstLine="420" w:firstLineChars="200"/>
        <w:rPr>
          <w:snapToGrid w:val="0"/>
          <w:szCs w:val="24"/>
          <w:lang w:eastAsia="zh-CN"/>
        </w:rPr>
      </w:pPr>
      <w:r>
        <w:rPr>
          <w:snapToGrid w:val="0"/>
          <w:szCs w:val="24"/>
          <w:lang w:eastAsia="zh-CN"/>
        </w:rPr>
        <w:t>（3） 发包人承担暂停施工责任的其他情形：。</w:t>
      </w:r>
    </w:p>
    <w:p w14:paraId="33DAF2C3">
      <w:pPr>
        <w:pStyle w:val="4"/>
        <w:spacing w:before="0"/>
        <w:rPr>
          <w:snapToGrid w:val="0"/>
          <w:lang w:eastAsia="zh-CN"/>
        </w:rPr>
      </w:pPr>
      <w:bookmarkStart w:id="264" w:name="_Toc266998254"/>
      <w:bookmarkStart w:id="265" w:name="_Toc370459066"/>
      <w:bookmarkStart w:id="266" w:name="_Toc344282760"/>
      <w:bookmarkStart w:id="267" w:name="_Toc307478983"/>
      <w:bookmarkStart w:id="268" w:name="_Toc362883289"/>
      <w:r>
        <w:rPr>
          <w:snapToGrid w:val="0"/>
          <w:lang w:eastAsia="zh-CN"/>
        </w:rPr>
        <w:t>13 工程质量</w:t>
      </w:r>
      <w:bookmarkEnd w:id="263"/>
      <w:bookmarkEnd w:id="264"/>
      <w:bookmarkEnd w:id="265"/>
      <w:bookmarkEnd w:id="266"/>
      <w:bookmarkEnd w:id="267"/>
      <w:bookmarkEnd w:id="268"/>
    </w:p>
    <w:p w14:paraId="6C72439C">
      <w:pPr>
        <w:keepLines/>
        <w:outlineLvl w:val="0"/>
        <w:rPr>
          <w:rFonts w:eastAsia="楷体_GB2312"/>
          <w:b/>
          <w:snapToGrid w:val="0"/>
          <w:szCs w:val="24"/>
          <w:lang w:eastAsia="zh-CN"/>
        </w:rPr>
      </w:pPr>
      <w:bookmarkStart w:id="269" w:name="_Toc362883290"/>
      <w:bookmarkStart w:id="270" w:name="_Toc370459067"/>
      <w:bookmarkStart w:id="271" w:name="_Toc217819053"/>
      <w:r>
        <w:rPr>
          <w:rFonts w:eastAsia="楷体_GB2312"/>
          <w:b/>
          <w:snapToGrid w:val="0"/>
          <w:szCs w:val="24"/>
          <w:lang w:eastAsia="zh-CN"/>
        </w:rPr>
        <w:t>13.7 质量评定</w:t>
      </w:r>
      <w:bookmarkEnd w:id="269"/>
      <w:bookmarkEnd w:id="270"/>
    </w:p>
    <w:p w14:paraId="614A3173">
      <w:pPr>
        <w:ind w:firstLine="420" w:firstLineChars="200"/>
        <w:rPr>
          <w:snapToGrid w:val="0"/>
          <w:szCs w:val="24"/>
          <w:lang w:eastAsia="zh-CN"/>
        </w:rPr>
      </w:pPr>
      <w:r>
        <w:rPr>
          <w:snapToGrid w:val="0"/>
          <w:szCs w:val="24"/>
          <w:lang w:eastAsia="zh-CN"/>
        </w:rPr>
        <w:t>13.7.4 重要隐蔽单元工程和关键部位单元工程质量评定的约定：</w:t>
      </w:r>
      <w:r>
        <w:rPr>
          <w:rFonts w:hint="eastAsia"/>
          <w:snapToGrid w:val="0"/>
          <w:szCs w:val="24"/>
          <w:u w:val="single"/>
          <w:lang w:eastAsia="zh-CN"/>
        </w:rPr>
        <w:t>优良</w:t>
      </w:r>
      <w:r>
        <w:rPr>
          <w:snapToGrid w:val="0"/>
          <w:szCs w:val="24"/>
          <w:lang w:eastAsia="zh-CN"/>
        </w:rPr>
        <w:t>。</w:t>
      </w:r>
    </w:p>
    <w:p w14:paraId="31A9E87F">
      <w:pPr>
        <w:ind w:firstLine="525" w:firstLineChars="250"/>
        <w:rPr>
          <w:snapToGrid w:val="0"/>
          <w:szCs w:val="24"/>
          <w:lang w:eastAsia="zh-CN"/>
        </w:rPr>
      </w:pPr>
      <w:r>
        <w:rPr>
          <w:snapToGrid w:val="0"/>
          <w:szCs w:val="24"/>
          <w:lang w:eastAsia="zh-CN"/>
        </w:rPr>
        <w:t>13.7.7 工程合格标准为</w:t>
      </w:r>
      <w:r>
        <w:rPr>
          <w:snapToGrid w:val="0"/>
          <w:szCs w:val="24"/>
          <w:u w:val="single"/>
          <w:lang w:eastAsia="zh-CN"/>
        </w:rPr>
        <w:t xml:space="preserve"> ①单位工程质量全部合格；②工程施工期及试运行期，各单位工程观测资料分析结果均符合国家和行业技术标准以及合同约定的标准要求 </w:t>
      </w:r>
      <w:r>
        <w:rPr>
          <w:snapToGrid w:val="0"/>
          <w:szCs w:val="24"/>
          <w:lang w:eastAsia="zh-CN"/>
        </w:rPr>
        <w:t>；优良标准为</w:t>
      </w:r>
      <w:r>
        <w:rPr>
          <w:snapToGrid w:val="0"/>
          <w:szCs w:val="24"/>
          <w:u w:val="single"/>
          <w:lang w:eastAsia="zh-CN"/>
        </w:rPr>
        <w:t xml:space="preserve"> ①单位工程质量全部合格，其中70%以上单位工程质量达到优良等级，且主要单位工程质量全部优良；②工程施工期及试运行期，各单位工程观测资料分析结果均符合国家和行业技术标准以及合同约定的标准要求 </w:t>
      </w:r>
      <w:r>
        <w:rPr>
          <w:snapToGrid w:val="0"/>
          <w:szCs w:val="24"/>
          <w:lang w:eastAsia="zh-CN"/>
        </w:rPr>
        <w:t>。达到优良的奖金为</w:t>
      </w:r>
      <w:r>
        <w:rPr>
          <w:rFonts w:hint="eastAsia"/>
          <w:snapToGrid w:val="0"/>
          <w:szCs w:val="24"/>
          <w:u w:val="single"/>
          <w:lang w:eastAsia="zh-CN"/>
        </w:rPr>
        <w:t>/</w:t>
      </w:r>
      <w:r>
        <w:rPr>
          <w:snapToGrid w:val="0"/>
          <w:szCs w:val="24"/>
          <w:lang w:eastAsia="zh-CN"/>
        </w:rPr>
        <w:t xml:space="preserve">。 </w:t>
      </w:r>
    </w:p>
    <w:p w14:paraId="46583127">
      <w:pPr>
        <w:pStyle w:val="4"/>
        <w:spacing w:before="0"/>
        <w:rPr>
          <w:snapToGrid w:val="0"/>
          <w:lang w:eastAsia="zh-CN"/>
        </w:rPr>
      </w:pPr>
      <w:bookmarkStart w:id="272" w:name="_Toc362883291"/>
      <w:bookmarkStart w:id="273" w:name="_Toc259802235"/>
      <w:bookmarkStart w:id="274" w:name="_Toc266998255"/>
      <w:bookmarkStart w:id="275" w:name="_Toc307478984"/>
      <w:bookmarkStart w:id="276" w:name="_Toc370459068"/>
      <w:bookmarkStart w:id="277" w:name="_Toc344282761"/>
      <w:r>
        <w:rPr>
          <w:snapToGrid w:val="0"/>
          <w:lang w:eastAsia="zh-CN"/>
        </w:rPr>
        <w:t>14 试验和检验</w:t>
      </w:r>
      <w:bookmarkEnd w:id="272"/>
      <w:bookmarkEnd w:id="273"/>
      <w:bookmarkEnd w:id="274"/>
      <w:bookmarkEnd w:id="275"/>
      <w:bookmarkEnd w:id="276"/>
      <w:bookmarkEnd w:id="277"/>
    </w:p>
    <w:p w14:paraId="69ADCB4A">
      <w:pPr>
        <w:pStyle w:val="5"/>
        <w:rPr>
          <w:lang w:eastAsia="zh-CN"/>
        </w:rPr>
      </w:pPr>
      <w:r>
        <w:rPr>
          <w:lang w:eastAsia="zh-CN"/>
        </w:rPr>
        <w:t>14.1 材料、工程设备和工程的试验和检验</w:t>
      </w:r>
    </w:p>
    <w:p w14:paraId="52738887">
      <w:pPr>
        <w:ind w:firstLine="420" w:firstLineChars="200"/>
        <w:rPr>
          <w:snapToGrid w:val="0"/>
          <w:szCs w:val="24"/>
          <w:lang w:eastAsia="zh-CN"/>
        </w:rPr>
      </w:pPr>
      <w:r>
        <w:rPr>
          <w:snapToGrid w:val="0"/>
          <w:szCs w:val="24"/>
          <w:lang w:eastAsia="zh-CN"/>
        </w:rPr>
        <w:t>14.1.5 水工金属结构、启闭机及机电产品进场后的交货检查和验收中，承包人负责。</w:t>
      </w:r>
    </w:p>
    <w:p w14:paraId="61BC0FCC">
      <w:pPr>
        <w:ind w:firstLine="420" w:firstLineChars="200"/>
        <w:rPr>
          <w:snapToGrid w:val="0"/>
          <w:szCs w:val="24"/>
          <w:lang w:eastAsia="zh-CN"/>
        </w:rPr>
      </w:pPr>
      <w:r>
        <w:rPr>
          <w:snapToGrid w:val="0"/>
          <w:szCs w:val="24"/>
          <w:lang w:eastAsia="zh-CN"/>
        </w:rPr>
        <w:t>14.1.6 本工程实行见证取样的试块、试件及有关材料：。</w:t>
      </w:r>
    </w:p>
    <w:p w14:paraId="5AB8072D">
      <w:pPr>
        <w:pStyle w:val="4"/>
        <w:spacing w:before="0"/>
        <w:rPr>
          <w:snapToGrid w:val="0"/>
          <w:lang w:eastAsia="zh-CN"/>
        </w:rPr>
      </w:pPr>
      <w:bookmarkStart w:id="278" w:name="_Toc266998256"/>
      <w:bookmarkStart w:id="279" w:name="_Toc370459069"/>
      <w:bookmarkStart w:id="280" w:name="_Toc362883292"/>
      <w:bookmarkStart w:id="281" w:name="_Toc307478985"/>
      <w:bookmarkStart w:id="282" w:name="_Toc344282762"/>
      <w:r>
        <w:rPr>
          <w:snapToGrid w:val="0"/>
          <w:lang w:eastAsia="zh-CN"/>
        </w:rPr>
        <w:t>15 变更</w:t>
      </w:r>
      <w:bookmarkEnd w:id="271"/>
      <w:bookmarkEnd w:id="278"/>
      <w:bookmarkEnd w:id="279"/>
      <w:bookmarkEnd w:id="280"/>
      <w:bookmarkEnd w:id="281"/>
      <w:bookmarkEnd w:id="282"/>
    </w:p>
    <w:p w14:paraId="166A3885">
      <w:pPr>
        <w:pStyle w:val="5"/>
        <w:rPr>
          <w:lang w:eastAsia="zh-CN"/>
        </w:rPr>
      </w:pPr>
      <w:r>
        <w:rPr>
          <w:lang w:eastAsia="zh-CN"/>
        </w:rPr>
        <w:t>15.1 变更的范围和内容</w:t>
      </w:r>
    </w:p>
    <w:p w14:paraId="75FDB963">
      <w:pPr>
        <w:ind w:firstLine="420" w:firstLineChars="200"/>
        <w:rPr>
          <w:snapToGrid w:val="0"/>
          <w:szCs w:val="24"/>
          <w:lang w:eastAsia="zh-CN"/>
        </w:rPr>
      </w:pPr>
      <w:r>
        <w:rPr>
          <w:snapToGrid w:val="0"/>
          <w:szCs w:val="24"/>
          <w:lang w:eastAsia="zh-CN"/>
        </w:rPr>
        <w:t>（6）</w:t>
      </w:r>
      <w:r>
        <w:rPr>
          <w:rFonts w:hint="eastAsia"/>
          <w:snapToGrid w:val="0"/>
          <w:szCs w:val="24"/>
          <w:lang w:eastAsia="zh-CN"/>
        </w:rPr>
        <w:t>关于变更的范围的约定：执行《淳安县政府投资项目工程变更管理实施细则》和《淳安县政府投资项目工程违规变更责任追究暂行办法》（淳监〔2015〕25号）的规定。 如有违反，则按照如下约定，由交易单位追究成交人的违约责任。</w:t>
      </w:r>
    </w:p>
    <w:p w14:paraId="013C2B5D">
      <w:pPr>
        <w:ind w:firstLine="420" w:firstLineChars="200"/>
        <w:rPr>
          <w:snapToGrid w:val="0"/>
          <w:szCs w:val="24"/>
          <w:lang w:eastAsia="zh-CN"/>
        </w:rPr>
      </w:pPr>
      <w:r>
        <w:rPr>
          <w:rFonts w:hint="eastAsia"/>
          <w:snapToGrid w:val="0"/>
          <w:szCs w:val="24"/>
          <w:lang w:eastAsia="zh-CN"/>
        </w:rPr>
        <w:t>项目工程建设成交单位（施工单位）如有淳监【2015】25号《淳安县政府投资项目工程违规变更责任追究暂行办法（试行）》第六条第4、第6、第7款情形之一的，造成工程变更数额较大的，由成交单位按淳监【2015】25号《淳安县政府投资项目工程违规变更责任追究暂行办法（试行）》第十一条规定，向交易发起人承担如下违约责任，并按如下办法结算：</w:t>
      </w:r>
    </w:p>
    <w:p w14:paraId="3E718BAD">
      <w:pPr>
        <w:ind w:firstLine="420" w:firstLineChars="200"/>
        <w:rPr>
          <w:snapToGrid w:val="0"/>
          <w:szCs w:val="24"/>
          <w:lang w:eastAsia="zh-CN"/>
        </w:rPr>
      </w:pPr>
      <w:r>
        <w:rPr>
          <w:rFonts w:hint="eastAsia"/>
          <w:snapToGrid w:val="0"/>
          <w:szCs w:val="24"/>
          <w:lang w:eastAsia="zh-CN"/>
        </w:rPr>
        <w:t>①大于3%小于10%（含本数）的，增加的工程量不予计算，同时向交易发起人支付成交合同款的5%的违约金；</w:t>
      </w:r>
    </w:p>
    <w:p w14:paraId="78C854D2">
      <w:pPr>
        <w:ind w:firstLine="420" w:firstLineChars="200"/>
        <w:rPr>
          <w:snapToGrid w:val="0"/>
          <w:szCs w:val="24"/>
          <w:lang w:eastAsia="zh-CN"/>
        </w:rPr>
      </w:pPr>
      <w:r>
        <w:rPr>
          <w:rFonts w:hint="eastAsia"/>
          <w:snapToGrid w:val="0"/>
          <w:szCs w:val="24"/>
          <w:lang w:eastAsia="zh-CN"/>
        </w:rPr>
        <w:t>②大于10%小于20%（含本数）的，增加的工程量不予计算，同时向交易发起人支付合同款的10%的违约金；</w:t>
      </w:r>
    </w:p>
    <w:p w14:paraId="1D5227C3">
      <w:pPr>
        <w:ind w:firstLine="420" w:firstLineChars="200"/>
        <w:rPr>
          <w:snapToGrid w:val="0"/>
          <w:szCs w:val="24"/>
          <w:lang w:eastAsia="zh-CN"/>
        </w:rPr>
      </w:pPr>
      <w:r>
        <w:rPr>
          <w:rFonts w:hint="eastAsia"/>
          <w:snapToGrid w:val="0"/>
          <w:szCs w:val="24"/>
          <w:lang w:eastAsia="zh-CN"/>
        </w:rPr>
        <w:t>③大于20%小于30%（含本数）的，增加的工程量不予计算，同时向交易发起人支付成交合同款的20%的违约金；</w:t>
      </w:r>
    </w:p>
    <w:p w14:paraId="3836AFD5">
      <w:pPr>
        <w:ind w:firstLine="420" w:firstLineChars="200"/>
        <w:rPr>
          <w:snapToGrid w:val="0"/>
          <w:szCs w:val="24"/>
          <w:lang w:eastAsia="zh-CN"/>
        </w:rPr>
      </w:pPr>
      <w:r>
        <w:rPr>
          <w:rFonts w:hint="eastAsia"/>
          <w:snapToGrid w:val="0"/>
          <w:szCs w:val="24"/>
          <w:lang w:eastAsia="zh-CN"/>
        </w:rPr>
        <w:t>④大于30%小于40%（含本数）的，增加的工程量不予计算，同时向交易发起人支付成交合同款的30%的违约金；</w:t>
      </w:r>
    </w:p>
    <w:p w14:paraId="47BF6E41">
      <w:pPr>
        <w:ind w:firstLine="420" w:firstLineChars="200"/>
        <w:rPr>
          <w:snapToGrid w:val="0"/>
          <w:szCs w:val="24"/>
          <w:lang w:eastAsia="zh-CN"/>
        </w:rPr>
      </w:pPr>
      <w:r>
        <w:rPr>
          <w:rFonts w:hint="eastAsia"/>
          <w:snapToGrid w:val="0"/>
          <w:szCs w:val="24"/>
          <w:lang w:eastAsia="zh-CN"/>
        </w:rPr>
        <w:t>⑤大于40%的，增加的工程量不予计算，同时向交易发起人支付成交合同款的40%的违约金。</w:t>
      </w:r>
    </w:p>
    <w:p w14:paraId="2930B0A5">
      <w:pPr>
        <w:pStyle w:val="5"/>
        <w:rPr>
          <w:lang w:eastAsia="zh-CN"/>
        </w:rPr>
      </w:pPr>
      <w:r>
        <w:rPr>
          <w:lang w:eastAsia="zh-CN"/>
        </w:rPr>
        <w:t>15.4 变更的估价原则</w:t>
      </w:r>
    </w:p>
    <w:p w14:paraId="7E77A516">
      <w:pPr>
        <w:ind w:firstLine="420" w:firstLineChars="200"/>
        <w:rPr>
          <w:snapToGrid w:val="0"/>
          <w:szCs w:val="24"/>
          <w:lang w:eastAsia="zh-CN"/>
        </w:rPr>
      </w:pPr>
      <w:r>
        <w:rPr>
          <w:snapToGrid w:val="0"/>
          <w:szCs w:val="24"/>
          <w:lang w:eastAsia="zh-CN"/>
        </w:rPr>
        <w:t>15.4.3 细化为：本合同在实施过程中，如遇到设计变更出现新增或变更项目时，则该新增或变更项目的单价由承包人按以下原则提出变更单价，监理人审核，发包人同意后进入工程结算，支付方式执行原合同约定的支付条款。</w:t>
      </w:r>
    </w:p>
    <w:p w14:paraId="30EFD3B3">
      <w:pPr>
        <w:ind w:firstLine="420" w:firstLineChars="200"/>
        <w:rPr>
          <w:snapToGrid w:val="0"/>
          <w:szCs w:val="24"/>
          <w:lang w:eastAsia="zh-CN"/>
        </w:rPr>
      </w:pPr>
      <w:r>
        <w:rPr>
          <w:snapToGrid w:val="0"/>
          <w:szCs w:val="24"/>
          <w:lang w:eastAsia="zh-CN"/>
        </w:rPr>
        <w:t>（1）人工预算单价采用</w:t>
      </w:r>
      <w:r>
        <w:rPr>
          <w:rFonts w:hint="eastAsia"/>
          <w:snapToGrid w:val="0"/>
          <w:lang w:eastAsia="zh-CN"/>
        </w:rPr>
        <w:t>交易响应</w:t>
      </w:r>
      <w:r>
        <w:rPr>
          <w:snapToGrid w:val="0"/>
          <w:lang w:eastAsia="zh-CN"/>
        </w:rPr>
        <w:t>期浙江省现行水利行业人工预算单价；</w:t>
      </w:r>
    </w:p>
    <w:p w14:paraId="07514B0A">
      <w:pPr>
        <w:ind w:firstLine="480"/>
        <w:rPr>
          <w:snapToGrid w:val="0"/>
          <w:lang w:eastAsia="zh-CN"/>
        </w:rPr>
      </w:pPr>
      <w:r>
        <w:rPr>
          <w:snapToGrid w:val="0"/>
          <w:lang w:eastAsia="zh-CN"/>
        </w:rPr>
        <w:t>（2）材料预算价格采用</w:t>
      </w:r>
      <w:r>
        <w:rPr>
          <w:rFonts w:hint="eastAsia"/>
          <w:snapToGrid w:val="0"/>
          <w:lang w:eastAsia="zh-CN"/>
        </w:rPr>
        <w:t>交易响应</w:t>
      </w:r>
      <w:r>
        <w:rPr>
          <w:snapToGrid w:val="0"/>
          <w:lang w:eastAsia="zh-CN"/>
        </w:rPr>
        <w:t>期基价（</w:t>
      </w:r>
      <w:r>
        <w:rPr>
          <w:rFonts w:hint="eastAsia"/>
          <w:snapToGrid w:val="0"/>
          <w:szCs w:val="24"/>
          <w:lang w:eastAsia="zh-CN"/>
        </w:rPr>
        <w:t>交易响应</w:t>
      </w:r>
      <w:r>
        <w:rPr>
          <w:snapToGrid w:val="0"/>
          <w:szCs w:val="24"/>
          <w:lang w:eastAsia="zh-CN"/>
        </w:rPr>
        <w:t>文件截止日前一个月项目所在地造价管理部门发布的信息价</w:t>
      </w:r>
      <w:r>
        <w:rPr>
          <w:snapToGrid w:val="0"/>
          <w:lang w:eastAsia="zh-CN"/>
        </w:rPr>
        <w:t xml:space="preserve">），如无信息价，则根据项目实施时的材料市场价由相关部门组织询价确定材料预算价格； </w:t>
      </w:r>
    </w:p>
    <w:p w14:paraId="5D5A9F40">
      <w:pPr>
        <w:ind w:firstLine="480"/>
        <w:rPr>
          <w:snapToGrid w:val="0"/>
          <w:lang w:eastAsia="zh-CN"/>
        </w:rPr>
      </w:pPr>
      <w:r>
        <w:rPr>
          <w:snapToGrid w:val="0"/>
          <w:lang w:eastAsia="zh-CN"/>
        </w:rPr>
        <w:t>（3）机械台班单价按</w:t>
      </w:r>
      <w:r>
        <w:rPr>
          <w:rFonts w:hint="eastAsia"/>
          <w:snapToGrid w:val="0"/>
          <w:lang w:eastAsia="zh-CN"/>
        </w:rPr>
        <w:t>交易响应</w:t>
      </w:r>
      <w:r>
        <w:rPr>
          <w:snapToGrid w:val="0"/>
          <w:lang w:eastAsia="zh-CN"/>
        </w:rPr>
        <w:t>期浙江省现行水利水电工程施工机械台班定额和有关规定计算；</w:t>
      </w:r>
    </w:p>
    <w:p w14:paraId="4D391B86">
      <w:pPr>
        <w:ind w:firstLine="420" w:firstLineChars="200"/>
        <w:rPr>
          <w:snapToGrid w:val="0"/>
          <w:lang w:eastAsia="zh-CN"/>
        </w:rPr>
      </w:pPr>
      <w:r>
        <w:rPr>
          <w:snapToGrid w:val="0"/>
          <w:lang w:eastAsia="zh-CN"/>
        </w:rPr>
        <w:t>（4）定额采用</w:t>
      </w:r>
      <w:r>
        <w:rPr>
          <w:rFonts w:hint="eastAsia"/>
          <w:snapToGrid w:val="0"/>
          <w:lang w:eastAsia="zh-CN"/>
        </w:rPr>
        <w:t>交易响应</w:t>
      </w:r>
      <w:r>
        <w:rPr>
          <w:snapToGrid w:val="0"/>
          <w:lang w:eastAsia="zh-CN"/>
        </w:rPr>
        <w:t>期浙江省现行水利水电工程定额和有关规定，如浙江省水利工程定额不能满足计价，可采用部颁水利定额及其他相关行业定额的定额含量计价；</w:t>
      </w:r>
    </w:p>
    <w:p w14:paraId="113AE81D">
      <w:pPr>
        <w:ind w:firstLine="420" w:firstLineChars="200"/>
        <w:rPr>
          <w:snapToGrid w:val="0"/>
          <w:lang w:eastAsia="zh-CN"/>
        </w:rPr>
      </w:pPr>
      <w:r>
        <w:rPr>
          <w:snapToGrid w:val="0"/>
          <w:lang w:eastAsia="zh-CN"/>
        </w:rPr>
        <w:t>（5）取费费率采用</w:t>
      </w:r>
      <w:r>
        <w:rPr>
          <w:rFonts w:hint="eastAsia"/>
          <w:snapToGrid w:val="0"/>
          <w:lang w:eastAsia="zh-CN"/>
        </w:rPr>
        <w:t>交易响应</w:t>
      </w:r>
      <w:r>
        <w:rPr>
          <w:snapToGrid w:val="0"/>
          <w:lang w:eastAsia="zh-CN"/>
        </w:rPr>
        <w:t>期浙江省现行水利行业取费标准按工程类别选取费率，对各项弹性区间费率取中间值；</w:t>
      </w:r>
    </w:p>
    <w:p w14:paraId="384C85AB">
      <w:pPr>
        <w:ind w:firstLine="503"/>
        <w:rPr>
          <w:snapToGrid w:val="0"/>
          <w:szCs w:val="24"/>
          <w:lang w:eastAsia="zh-CN"/>
        </w:rPr>
      </w:pPr>
      <w:r>
        <w:rPr>
          <w:snapToGrid w:val="0"/>
          <w:szCs w:val="24"/>
          <w:lang w:eastAsia="zh-CN"/>
        </w:rPr>
        <w:t>（6）上述单价按以下计算的综合优惠率进行优惠。</w:t>
      </w:r>
    </w:p>
    <w:p w14:paraId="19B5AE89">
      <w:pPr>
        <w:ind w:firstLine="420" w:firstLineChars="200"/>
        <w:rPr>
          <w:snapToGrid w:val="0"/>
          <w:szCs w:val="24"/>
          <w:lang w:eastAsia="zh-CN"/>
        </w:rPr>
      </w:pPr>
      <w:r>
        <w:rPr>
          <w:snapToGrid w:val="0"/>
          <w:szCs w:val="24"/>
          <w:lang w:eastAsia="zh-CN"/>
        </w:rPr>
        <w:t>综合优惠率=[1-（（</w:t>
      </w:r>
      <w:r>
        <w:rPr>
          <w:rFonts w:hint="eastAsia"/>
          <w:snapToGrid w:val="0"/>
          <w:szCs w:val="24"/>
          <w:lang w:eastAsia="zh-CN"/>
        </w:rPr>
        <w:t>交易响应</w:t>
      </w:r>
      <w:r>
        <w:rPr>
          <w:snapToGrid w:val="0"/>
          <w:szCs w:val="24"/>
          <w:lang w:eastAsia="zh-CN"/>
        </w:rPr>
        <w:t>人</w:t>
      </w:r>
      <w:r>
        <w:rPr>
          <w:rFonts w:hint="eastAsia"/>
          <w:snapToGrid w:val="0"/>
          <w:szCs w:val="24"/>
          <w:lang w:eastAsia="zh-CN"/>
        </w:rPr>
        <w:t>交易响应</w:t>
      </w:r>
      <w:r>
        <w:rPr>
          <w:snapToGrid w:val="0"/>
          <w:szCs w:val="24"/>
          <w:lang w:eastAsia="zh-CN"/>
        </w:rPr>
        <w:t>价-暂列金）/（本标段</w:t>
      </w:r>
      <w:r>
        <w:rPr>
          <w:rFonts w:hint="eastAsia"/>
          <w:snapToGrid w:val="0"/>
          <w:szCs w:val="24"/>
          <w:lang w:eastAsia="zh-CN"/>
        </w:rPr>
        <w:t>交易</w:t>
      </w:r>
      <w:r>
        <w:rPr>
          <w:snapToGrid w:val="0"/>
          <w:szCs w:val="24"/>
          <w:lang w:eastAsia="zh-CN"/>
        </w:rPr>
        <w:t>预算价-暂列金））]*100%。</w:t>
      </w:r>
    </w:p>
    <w:p w14:paraId="2C0CBDCF">
      <w:pPr>
        <w:ind w:firstLine="480"/>
        <w:rPr>
          <w:snapToGrid w:val="0"/>
          <w:lang w:eastAsia="zh-CN"/>
        </w:rPr>
      </w:pPr>
      <w:r>
        <w:rPr>
          <w:snapToGrid w:val="0"/>
          <w:lang w:eastAsia="zh-CN"/>
        </w:rPr>
        <w:t>（7）按照上述仍无法组价的，根据市场</w:t>
      </w:r>
      <w:r>
        <w:rPr>
          <w:rFonts w:hint="eastAsia"/>
          <w:snapToGrid w:val="0"/>
          <w:lang w:eastAsia="zh-CN"/>
        </w:rPr>
        <w:t>交易</w:t>
      </w:r>
      <w:r>
        <w:rPr>
          <w:snapToGrid w:val="0"/>
          <w:lang w:eastAsia="zh-CN"/>
        </w:rPr>
        <w:t>或询价确定。</w:t>
      </w:r>
    </w:p>
    <w:p w14:paraId="14EAF9FA">
      <w:pPr>
        <w:pStyle w:val="5"/>
        <w:rPr>
          <w:lang w:eastAsia="zh-CN"/>
        </w:rPr>
      </w:pPr>
      <w:r>
        <w:rPr>
          <w:lang w:eastAsia="zh-CN"/>
        </w:rPr>
        <w:t>15.5 承包人的合理化建议</w:t>
      </w:r>
    </w:p>
    <w:p w14:paraId="6240E5A3">
      <w:pPr>
        <w:ind w:firstLine="420" w:firstLineChars="200"/>
        <w:rPr>
          <w:snapToGrid w:val="0"/>
          <w:szCs w:val="24"/>
          <w:lang w:eastAsia="zh-CN"/>
        </w:rPr>
      </w:pPr>
      <w:r>
        <w:rPr>
          <w:snapToGrid w:val="0"/>
          <w:szCs w:val="24"/>
          <w:lang w:eastAsia="zh-CN"/>
        </w:rPr>
        <w:t>15.5.2 承包人实现合理化建议的奖励金额为：。</w:t>
      </w:r>
    </w:p>
    <w:p w14:paraId="5EFBCD87">
      <w:pPr>
        <w:pStyle w:val="5"/>
        <w:rPr>
          <w:lang w:eastAsia="zh-CN"/>
        </w:rPr>
      </w:pPr>
      <w:r>
        <w:rPr>
          <w:lang w:eastAsia="zh-CN"/>
        </w:rPr>
        <w:t>15.8 暂估价</w:t>
      </w:r>
    </w:p>
    <w:p w14:paraId="777B27A4">
      <w:pPr>
        <w:ind w:firstLine="420" w:firstLineChars="200"/>
        <w:rPr>
          <w:snapToGrid w:val="0"/>
          <w:szCs w:val="24"/>
          <w:u w:val="single"/>
          <w:lang w:eastAsia="zh-CN"/>
        </w:rPr>
      </w:pPr>
      <w:r>
        <w:rPr>
          <w:snapToGrid w:val="0"/>
          <w:szCs w:val="24"/>
          <w:lang w:eastAsia="zh-CN"/>
        </w:rPr>
        <w:t>15.8.1 （1）发包人和承包人组织</w:t>
      </w:r>
      <w:r>
        <w:rPr>
          <w:rFonts w:hint="eastAsia"/>
          <w:snapToGrid w:val="0"/>
          <w:szCs w:val="24"/>
          <w:lang w:eastAsia="zh-CN"/>
        </w:rPr>
        <w:t>交易</w:t>
      </w:r>
      <w:r>
        <w:rPr>
          <w:snapToGrid w:val="0"/>
          <w:szCs w:val="24"/>
          <w:lang w:eastAsia="zh-CN"/>
        </w:rPr>
        <w:t>的暂估价项目：</w:t>
      </w:r>
      <w:r>
        <w:rPr>
          <w:snapToGrid w:val="0"/>
          <w:szCs w:val="24"/>
          <w:u w:val="single"/>
          <w:lang w:eastAsia="zh-CN"/>
        </w:rPr>
        <w:t xml:space="preserve">  （签约后填入）  </w:t>
      </w:r>
      <w:r>
        <w:rPr>
          <w:snapToGrid w:val="0"/>
          <w:szCs w:val="24"/>
          <w:lang w:eastAsia="zh-CN"/>
        </w:rPr>
        <w:t>；发包人组织</w:t>
      </w:r>
      <w:r>
        <w:rPr>
          <w:rFonts w:hint="eastAsia"/>
          <w:snapToGrid w:val="0"/>
          <w:szCs w:val="24"/>
          <w:lang w:eastAsia="zh-CN"/>
        </w:rPr>
        <w:t>交易</w:t>
      </w:r>
      <w:r>
        <w:rPr>
          <w:snapToGrid w:val="0"/>
          <w:szCs w:val="24"/>
          <w:lang w:eastAsia="zh-CN"/>
        </w:rPr>
        <w:t>的暂估价项目：</w:t>
      </w:r>
      <w:r>
        <w:rPr>
          <w:snapToGrid w:val="0"/>
          <w:szCs w:val="24"/>
          <w:u w:val="single"/>
          <w:lang w:eastAsia="zh-CN"/>
        </w:rPr>
        <w:t xml:space="preserve">  （签约后填入）  </w:t>
      </w:r>
      <w:r>
        <w:rPr>
          <w:snapToGrid w:val="0"/>
          <w:szCs w:val="24"/>
          <w:lang w:eastAsia="zh-CN"/>
        </w:rPr>
        <w:t>。</w:t>
      </w:r>
    </w:p>
    <w:p w14:paraId="6E73818F">
      <w:pPr>
        <w:ind w:firstLine="420" w:firstLineChars="200"/>
        <w:rPr>
          <w:snapToGrid w:val="0"/>
          <w:szCs w:val="24"/>
          <w:lang w:eastAsia="zh-CN"/>
        </w:rPr>
      </w:pPr>
      <w:r>
        <w:rPr>
          <w:snapToGrid w:val="0"/>
          <w:szCs w:val="24"/>
          <w:lang w:eastAsia="zh-CN"/>
        </w:rPr>
        <w:t>（2） 发包人和承包人以</w:t>
      </w:r>
      <w:r>
        <w:rPr>
          <w:rFonts w:hint="eastAsia"/>
          <w:snapToGrid w:val="0"/>
          <w:szCs w:val="24"/>
          <w:lang w:eastAsia="zh-CN"/>
        </w:rPr>
        <w:t>交易</w:t>
      </w:r>
      <w:r>
        <w:rPr>
          <w:snapToGrid w:val="0"/>
          <w:szCs w:val="24"/>
          <w:lang w:eastAsia="zh-CN"/>
        </w:rPr>
        <w:t>方式选择暂估价项目供应商或分包人时，双方的权利义务系：。</w:t>
      </w:r>
    </w:p>
    <w:p w14:paraId="74C815AC">
      <w:pPr>
        <w:pStyle w:val="4"/>
        <w:spacing w:before="0"/>
        <w:rPr>
          <w:snapToGrid w:val="0"/>
          <w:lang w:eastAsia="zh-CN"/>
        </w:rPr>
      </w:pPr>
      <w:bookmarkStart w:id="283" w:name="_Toc217819054"/>
      <w:bookmarkStart w:id="284" w:name="_Toc344282763"/>
      <w:bookmarkStart w:id="285" w:name="_Toc362883293"/>
      <w:bookmarkStart w:id="286" w:name="_Toc370459070"/>
      <w:bookmarkStart w:id="287" w:name="_Toc307478986"/>
      <w:bookmarkStart w:id="288" w:name="_Toc266998257"/>
      <w:r>
        <w:rPr>
          <w:snapToGrid w:val="0"/>
          <w:lang w:eastAsia="zh-CN"/>
        </w:rPr>
        <w:t>16 价格调整</w:t>
      </w:r>
      <w:bookmarkEnd w:id="283"/>
      <w:bookmarkEnd w:id="284"/>
      <w:bookmarkEnd w:id="285"/>
      <w:bookmarkEnd w:id="286"/>
      <w:bookmarkEnd w:id="287"/>
      <w:bookmarkEnd w:id="288"/>
    </w:p>
    <w:p w14:paraId="6974390A">
      <w:pPr>
        <w:pStyle w:val="5"/>
        <w:rPr>
          <w:lang w:eastAsia="zh-CN"/>
        </w:rPr>
      </w:pPr>
      <w:r>
        <w:rPr>
          <w:lang w:eastAsia="zh-CN"/>
        </w:rPr>
        <w:t>16.1 物价波动引起的价格调整</w:t>
      </w:r>
    </w:p>
    <w:p w14:paraId="0FC99F9F">
      <w:pPr>
        <w:ind w:firstLine="488"/>
        <w:rPr>
          <w:snapToGrid w:val="0"/>
          <w:szCs w:val="21"/>
          <w:lang w:eastAsia="zh-CN"/>
        </w:rPr>
      </w:pPr>
      <w:bookmarkStart w:id="289" w:name="_Toc217819055"/>
      <w:r>
        <w:rPr>
          <w:snapToGrid w:val="0"/>
          <w:szCs w:val="21"/>
          <w:lang w:eastAsia="zh-CN"/>
        </w:rPr>
        <w:t>物价波动引起的价格调整方式：</w:t>
      </w:r>
      <w:r>
        <w:rPr>
          <w:rFonts w:hint="eastAsia"/>
          <w:snapToGrid w:val="0"/>
          <w:szCs w:val="21"/>
          <w:u w:val="single"/>
          <w:lang w:eastAsia="zh-CN"/>
        </w:rPr>
        <w:t>不调整</w:t>
      </w:r>
      <w:r>
        <w:rPr>
          <w:snapToGrid w:val="0"/>
          <w:szCs w:val="21"/>
          <w:lang w:eastAsia="zh-CN"/>
        </w:rPr>
        <w:t>。</w:t>
      </w:r>
    </w:p>
    <w:p w14:paraId="374790D8">
      <w:pPr>
        <w:ind w:firstLine="488"/>
        <w:rPr>
          <w:snapToGrid w:val="0"/>
          <w:szCs w:val="21"/>
          <w:lang w:eastAsia="zh-CN"/>
        </w:rPr>
      </w:pPr>
      <w:r>
        <w:rPr>
          <w:snapToGrid w:val="0"/>
          <w:szCs w:val="21"/>
          <w:lang w:eastAsia="zh-CN"/>
        </w:rPr>
        <w:t>16.1.2 约定为：</w:t>
      </w:r>
      <w:r>
        <w:rPr>
          <w:rFonts w:hint="eastAsia"/>
          <w:snapToGrid w:val="0"/>
          <w:szCs w:val="21"/>
          <w:u w:val="single"/>
          <w:lang w:eastAsia="zh-CN"/>
        </w:rPr>
        <w:t>不调整</w:t>
      </w:r>
      <w:r>
        <w:rPr>
          <w:snapToGrid w:val="0"/>
          <w:szCs w:val="21"/>
          <w:lang w:eastAsia="zh-CN"/>
        </w:rPr>
        <w:t>。</w:t>
      </w:r>
    </w:p>
    <w:bookmarkEnd w:id="289"/>
    <w:p w14:paraId="7E125BDF">
      <w:pPr>
        <w:pStyle w:val="4"/>
        <w:spacing w:before="0"/>
        <w:rPr>
          <w:snapToGrid w:val="0"/>
          <w:lang w:eastAsia="zh-CN"/>
        </w:rPr>
      </w:pPr>
      <w:bookmarkStart w:id="290" w:name="_Toc307478987"/>
      <w:bookmarkStart w:id="291" w:name="_Toc266998258"/>
      <w:bookmarkStart w:id="292" w:name="_Toc370459071"/>
      <w:bookmarkStart w:id="293" w:name="_Toc362883294"/>
      <w:bookmarkStart w:id="294" w:name="_Toc344282764"/>
      <w:bookmarkStart w:id="295" w:name="_Toc241374758"/>
      <w:r>
        <w:rPr>
          <w:snapToGrid w:val="0"/>
          <w:lang w:eastAsia="zh-CN"/>
        </w:rPr>
        <w:t>17 计量与支付</w:t>
      </w:r>
      <w:bookmarkEnd w:id="290"/>
      <w:bookmarkEnd w:id="291"/>
      <w:bookmarkEnd w:id="292"/>
      <w:bookmarkEnd w:id="293"/>
      <w:bookmarkEnd w:id="294"/>
      <w:bookmarkEnd w:id="295"/>
    </w:p>
    <w:p w14:paraId="2A1D2A6C">
      <w:pPr>
        <w:pStyle w:val="5"/>
        <w:rPr>
          <w:lang w:eastAsia="zh-CN"/>
        </w:rPr>
      </w:pPr>
      <w:r>
        <w:rPr>
          <w:lang w:eastAsia="zh-CN"/>
        </w:rPr>
        <w:t>17.2 预付款</w:t>
      </w:r>
    </w:p>
    <w:p w14:paraId="4A8A3404">
      <w:pPr>
        <w:ind w:firstLine="420" w:firstLineChars="200"/>
        <w:rPr>
          <w:snapToGrid w:val="0"/>
          <w:szCs w:val="24"/>
          <w:lang w:eastAsia="zh-CN"/>
        </w:rPr>
      </w:pPr>
      <w:r>
        <w:rPr>
          <w:snapToGrid w:val="0"/>
          <w:szCs w:val="24"/>
          <w:lang w:eastAsia="zh-CN"/>
        </w:rPr>
        <w:t>（1）工程预付款的总金额为签约合同价（扣除预留金后）的%，分</w:t>
      </w:r>
      <w:r>
        <w:rPr>
          <w:rFonts w:hint="eastAsia"/>
          <w:snapToGrid w:val="0"/>
          <w:szCs w:val="24"/>
          <w:u w:val="single"/>
          <w:lang w:eastAsia="zh-CN"/>
        </w:rPr>
        <w:t>一</w:t>
      </w:r>
      <w:r>
        <w:rPr>
          <w:snapToGrid w:val="0"/>
          <w:szCs w:val="24"/>
          <w:lang w:eastAsia="zh-CN"/>
        </w:rPr>
        <w:t>次支付给承包人。</w:t>
      </w:r>
    </w:p>
    <w:p w14:paraId="2953EEC6">
      <w:pPr>
        <w:ind w:firstLine="420" w:firstLineChars="200"/>
        <w:rPr>
          <w:snapToGrid w:val="0"/>
          <w:szCs w:val="24"/>
          <w:lang w:eastAsia="zh-CN"/>
        </w:rPr>
      </w:pPr>
      <w:r>
        <w:rPr>
          <w:snapToGrid w:val="0"/>
          <w:szCs w:val="24"/>
          <w:lang w:eastAsia="zh-CN"/>
        </w:rPr>
        <w:t>各次预付款的支付额度和付款时间为：</w:t>
      </w:r>
    </w:p>
    <w:p w14:paraId="18728062">
      <w:pPr>
        <w:ind w:firstLine="420" w:firstLineChars="200"/>
        <w:rPr>
          <w:snapToGrid w:val="0"/>
          <w:szCs w:val="24"/>
          <w:lang w:eastAsia="zh-CN"/>
        </w:rPr>
      </w:pPr>
      <w:r>
        <w:rPr>
          <w:snapToGrid w:val="0"/>
          <w:szCs w:val="24"/>
          <w:lang w:eastAsia="zh-CN"/>
        </w:rPr>
        <w:t>1） 第一次预付款金额为工程预付款总金额的%，付款时间应在合同协议书订后，由承包人向发包人提交了发包人认可的工程预付款担保，并经监理人出具付款证书报送发包人批准后14天内予以支付。</w:t>
      </w:r>
    </w:p>
    <w:p w14:paraId="35ACCD1C">
      <w:pPr>
        <w:ind w:firstLine="420" w:firstLineChars="200"/>
        <w:rPr>
          <w:snapToGrid w:val="0"/>
          <w:szCs w:val="24"/>
          <w:lang w:eastAsia="zh-CN"/>
        </w:rPr>
      </w:pPr>
      <w:r>
        <w:rPr>
          <w:snapToGrid w:val="0"/>
          <w:szCs w:val="24"/>
          <w:lang w:eastAsia="zh-CN"/>
        </w:rPr>
        <w:t>2） 第二次预付款金额为工程预付款总金额的%。付款时间需待承包人主要设备进入工地后，其估算价值已达到本次预付款金额时，由承包人提出书面申请，经监理人核实后出具付款证书报送发包人批准后14天内予以支付。</w:t>
      </w:r>
    </w:p>
    <w:p w14:paraId="6A34A421">
      <w:pPr>
        <w:ind w:firstLine="420" w:firstLineChars="200"/>
        <w:rPr>
          <w:snapToGrid w:val="0"/>
          <w:szCs w:val="24"/>
          <w:lang w:eastAsia="zh-CN"/>
        </w:rPr>
      </w:pPr>
      <w:r>
        <w:rPr>
          <w:snapToGrid w:val="0"/>
          <w:szCs w:val="24"/>
          <w:lang w:eastAsia="zh-CN"/>
        </w:rPr>
        <w:t>3）第三次预付款 ……。</w:t>
      </w:r>
    </w:p>
    <w:p w14:paraId="5407EC1B">
      <w:pPr>
        <w:ind w:firstLine="420" w:firstLineChars="200"/>
        <w:rPr>
          <w:snapToGrid w:val="0"/>
          <w:szCs w:val="24"/>
          <w:lang w:eastAsia="zh-CN"/>
        </w:rPr>
      </w:pPr>
      <w:r>
        <w:rPr>
          <w:snapToGrid w:val="0"/>
          <w:szCs w:val="24"/>
          <w:lang w:eastAsia="zh-CN"/>
        </w:rPr>
        <w:t>……</w:t>
      </w:r>
    </w:p>
    <w:p w14:paraId="14F39176">
      <w:pPr>
        <w:ind w:firstLine="420" w:firstLineChars="200"/>
        <w:rPr>
          <w:snapToGrid w:val="0"/>
          <w:szCs w:val="24"/>
          <w:lang w:eastAsia="zh-CN"/>
        </w:rPr>
      </w:pPr>
      <w:r>
        <w:rPr>
          <w:snapToGrid w:val="0"/>
          <w:szCs w:val="24"/>
          <w:lang w:eastAsia="zh-CN"/>
        </w:rPr>
        <w:t>（2） 工程材料预付款的额度和预付办法约定为：。</w:t>
      </w:r>
    </w:p>
    <w:p w14:paraId="1DB9F199">
      <w:pPr>
        <w:ind w:firstLine="420" w:firstLineChars="200"/>
        <w:outlineLvl w:val="0"/>
        <w:rPr>
          <w:snapToGrid w:val="0"/>
          <w:szCs w:val="24"/>
          <w:lang w:eastAsia="zh-CN"/>
        </w:rPr>
      </w:pPr>
      <w:bookmarkStart w:id="296" w:name="_Toc362883295"/>
      <w:bookmarkStart w:id="297" w:name="_Toc370459072"/>
      <w:r>
        <w:rPr>
          <w:snapToGrid w:val="0"/>
          <w:szCs w:val="24"/>
          <w:lang w:eastAsia="zh-CN"/>
        </w:rPr>
        <w:t>17.2. 2 预付款保函（担保）</w:t>
      </w:r>
      <w:bookmarkEnd w:id="296"/>
      <w:bookmarkEnd w:id="297"/>
    </w:p>
    <w:p w14:paraId="5EA2E837">
      <w:pPr>
        <w:ind w:firstLine="420" w:firstLineChars="200"/>
        <w:rPr>
          <w:snapToGrid w:val="0"/>
          <w:szCs w:val="24"/>
          <w:lang w:eastAsia="zh-CN"/>
        </w:rPr>
      </w:pPr>
      <w:r>
        <w:rPr>
          <w:snapToGrid w:val="0"/>
          <w:szCs w:val="24"/>
          <w:lang w:eastAsia="zh-CN"/>
        </w:rPr>
        <w:t>（2） 工程材料预付款的担保约定为：。</w:t>
      </w:r>
    </w:p>
    <w:p w14:paraId="6F154B6A">
      <w:pPr>
        <w:ind w:firstLine="420" w:firstLineChars="200"/>
        <w:rPr>
          <w:snapToGrid w:val="0"/>
          <w:szCs w:val="24"/>
          <w:lang w:eastAsia="zh-CN"/>
        </w:rPr>
      </w:pPr>
      <w:r>
        <w:rPr>
          <w:snapToGrid w:val="0"/>
          <w:szCs w:val="24"/>
          <w:lang w:eastAsia="zh-CN"/>
        </w:rPr>
        <w:t>17.2.3 预付款的扣回与还清</w:t>
      </w:r>
    </w:p>
    <w:p w14:paraId="0DC04DFC">
      <w:pPr>
        <w:ind w:firstLine="420" w:firstLineChars="200"/>
        <w:rPr>
          <w:snapToGrid w:val="0"/>
          <w:szCs w:val="24"/>
          <w:lang w:eastAsia="zh-CN"/>
        </w:rPr>
      </w:pPr>
      <w:r>
        <w:rPr>
          <w:snapToGrid w:val="0"/>
          <w:szCs w:val="24"/>
          <w:lang w:eastAsia="zh-CN"/>
        </w:rPr>
        <w:t>（1） 工程预付款在合同累计完成金额达到签约合同价（扣除预留金后）的%时开始扣款，直至合同累计完成金额达到签约合同价（扣除预留金后）的%时全部扣清。</w:t>
      </w:r>
    </w:p>
    <w:p w14:paraId="474DA85C">
      <w:pPr>
        <w:ind w:firstLine="420" w:firstLineChars="200"/>
        <w:rPr>
          <w:snapToGrid w:val="0"/>
          <w:szCs w:val="24"/>
          <w:lang w:eastAsia="zh-CN"/>
        </w:rPr>
      </w:pPr>
      <w:r>
        <w:rPr>
          <w:snapToGrid w:val="0"/>
          <w:szCs w:val="24"/>
          <w:lang w:eastAsia="zh-CN"/>
        </w:rPr>
        <w:t>（2） 工程材料预付款的扣回与还清约定为：</w:t>
      </w:r>
      <w:r>
        <w:rPr>
          <w:rFonts w:hint="eastAsia"/>
          <w:snapToGrid w:val="0"/>
          <w:szCs w:val="24"/>
          <w:u w:val="single"/>
          <w:lang w:eastAsia="zh-CN"/>
        </w:rPr>
        <w:t>进度款中分三次扣回</w:t>
      </w:r>
      <w:r>
        <w:rPr>
          <w:snapToGrid w:val="0"/>
          <w:szCs w:val="24"/>
          <w:lang w:eastAsia="zh-CN"/>
        </w:rPr>
        <w:t>。</w:t>
      </w:r>
    </w:p>
    <w:p w14:paraId="7B130170">
      <w:pPr>
        <w:pStyle w:val="5"/>
        <w:rPr>
          <w:lang w:eastAsia="zh-CN"/>
        </w:rPr>
      </w:pPr>
      <w:r>
        <w:rPr>
          <w:lang w:eastAsia="zh-CN"/>
        </w:rPr>
        <w:t>17.3 工程进度付款</w:t>
      </w:r>
    </w:p>
    <w:p w14:paraId="26EF86C1">
      <w:pPr>
        <w:ind w:left="220" w:hanging="210" w:hangingChars="100"/>
        <w:rPr>
          <w:snapToGrid w:val="0"/>
          <w:szCs w:val="24"/>
          <w:u w:val="single"/>
          <w:lang w:eastAsia="zh-CN"/>
        </w:rPr>
      </w:pPr>
      <w:r>
        <w:rPr>
          <w:snapToGrid w:val="0"/>
          <w:szCs w:val="24"/>
          <w:lang w:eastAsia="zh-CN"/>
        </w:rPr>
        <w:t>17.3.2 承包人在每个付款周期末向监理人提交进度付款申请单的份数：份。</w:t>
      </w:r>
    </w:p>
    <w:p w14:paraId="5D5DF370">
      <w:pPr>
        <w:ind w:firstLine="420" w:firstLineChars="200"/>
        <w:rPr>
          <w:snapToGrid w:val="0"/>
          <w:szCs w:val="24"/>
          <w:lang w:eastAsia="zh-CN"/>
        </w:rPr>
      </w:pPr>
      <w:r>
        <w:rPr>
          <w:snapToGrid w:val="0"/>
          <w:szCs w:val="24"/>
          <w:lang w:eastAsia="zh-CN"/>
        </w:rPr>
        <w:t>17.3.3 进度付款证书和支付时间</w:t>
      </w:r>
    </w:p>
    <w:p w14:paraId="2F10E6B7">
      <w:pPr>
        <w:ind w:firstLine="420" w:firstLineChars="200"/>
        <w:rPr>
          <w:snapToGrid w:val="0"/>
          <w:szCs w:val="24"/>
          <w:lang w:eastAsia="zh-CN"/>
        </w:rPr>
      </w:pPr>
      <w:r>
        <w:rPr>
          <w:snapToGrid w:val="0"/>
          <w:szCs w:val="24"/>
          <w:lang w:eastAsia="zh-CN"/>
        </w:rPr>
        <w:t xml:space="preserve"> （1）细化为：</w:t>
      </w:r>
    </w:p>
    <w:p w14:paraId="1E7CDA78">
      <w:pPr>
        <w:ind w:firstLine="420" w:firstLineChars="200"/>
        <w:rPr>
          <w:snapToGrid w:val="0"/>
          <w:szCs w:val="24"/>
          <w:lang w:eastAsia="zh-CN"/>
        </w:rPr>
      </w:pPr>
      <w:r>
        <w:rPr>
          <w:snapToGrid w:val="0"/>
          <w:szCs w:val="24"/>
          <w:lang w:eastAsia="zh-CN"/>
        </w:rPr>
        <w:t>工程进度款按工程进度付款申请的</w:t>
      </w:r>
      <w:r>
        <w:rPr>
          <w:rFonts w:hint="eastAsia"/>
          <w:b/>
          <w:snapToGrid w:val="0"/>
          <w:szCs w:val="24"/>
          <w:u w:val="single"/>
          <w:lang w:eastAsia="zh-CN"/>
        </w:rPr>
        <w:t>80</w:t>
      </w:r>
      <w:r>
        <w:rPr>
          <w:snapToGrid w:val="0"/>
          <w:szCs w:val="24"/>
          <w:lang w:eastAsia="zh-CN"/>
        </w:rPr>
        <w:t>%进行支付，其余</w:t>
      </w:r>
      <w:r>
        <w:rPr>
          <w:rFonts w:hint="eastAsia"/>
          <w:snapToGrid w:val="0"/>
          <w:szCs w:val="24"/>
          <w:u w:val="single"/>
          <w:lang w:eastAsia="zh-CN"/>
        </w:rPr>
        <w:t>20</w:t>
      </w:r>
      <w:r>
        <w:rPr>
          <w:snapToGrid w:val="0"/>
          <w:szCs w:val="24"/>
          <w:lang w:eastAsia="zh-CN"/>
        </w:rPr>
        <w:t>%作为工程结算暂扣款，待工程完工验收合格，</w:t>
      </w:r>
      <w:r>
        <w:rPr>
          <w:rFonts w:hint="eastAsia"/>
          <w:snapToGrid w:val="0"/>
          <w:szCs w:val="24"/>
          <w:lang w:eastAsia="zh-CN"/>
        </w:rPr>
        <w:t>工程</w:t>
      </w:r>
      <w:r>
        <w:rPr>
          <w:snapToGrid w:val="0"/>
          <w:szCs w:val="24"/>
          <w:lang w:eastAsia="zh-CN"/>
        </w:rPr>
        <w:t>结算审计</w:t>
      </w:r>
      <w:r>
        <w:rPr>
          <w:rFonts w:hint="eastAsia" w:ascii="隶书" w:eastAsia="隶书"/>
          <w:snapToGrid w:val="0"/>
          <w:szCs w:val="24"/>
          <w:lang w:eastAsia="zh-CN"/>
        </w:rPr>
        <w:t>（或审价）</w:t>
      </w:r>
      <w:r>
        <w:rPr>
          <w:snapToGrid w:val="0"/>
          <w:szCs w:val="24"/>
          <w:lang w:eastAsia="zh-CN"/>
        </w:rPr>
        <w:t>后，再支付</w:t>
      </w:r>
      <w:r>
        <w:rPr>
          <w:rFonts w:hint="eastAsia"/>
          <w:snapToGrid w:val="0"/>
          <w:szCs w:val="24"/>
          <w:lang w:eastAsia="zh-CN"/>
        </w:rPr>
        <w:t>至合同价</w:t>
      </w:r>
      <w:r>
        <w:rPr>
          <w:snapToGrid w:val="0"/>
          <w:szCs w:val="24"/>
          <w:lang w:eastAsia="zh-CN"/>
        </w:rPr>
        <w:t>的</w:t>
      </w:r>
      <w:r>
        <w:rPr>
          <w:rFonts w:hint="eastAsia"/>
          <w:b/>
          <w:snapToGrid w:val="0"/>
          <w:szCs w:val="24"/>
          <w:u w:val="single"/>
          <w:lang w:eastAsia="zh-CN"/>
        </w:rPr>
        <w:t>98.5</w:t>
      </w:r>
      <w:r>
        <w:rPr>
          <w:snapToGrid w:val="0"/>
          <w:szCs w:val="24"/>
          <w:lang w:eastAsia="zh-CN"/>
        </w:rPr>
        <w:t>%，剩余</w:t>
      </w:r>
      <w:r>
        <w:rPr>
          <w:rFonts w:hint="eastAsia"/>
          <w:snapToGrid w:val="0"/>
          <w:szCs w:val="24"/>
          <w:u w:val="single"/>
          <w:lang w:eastAsia="zh-CN"/>
        </w:rPr>
        <w:t>1.5</w:t>
      </w:r>
      <w:r>
        <w:rPr>
          <w:snapToGrid w:val="0"/>
          <w:szCs w:val="24"/>
          <w:lang w:eastAsia="zh-CN"/>
        </w:rPr>
        <w:t>%作为质量保证金（即17.4.1项的质量保证金）。（如承包人提交质量保证金保函，可以对剩下的</w:t>
      </w:r>
      <w:r>
        <w:rPr>
          <w:rFonts w:hint="eastAsia"/>
          <w:snapToGrid w:val="0"/>
          <w:szCs w:val="24"/>
          <w:lang w:eastAsia="zh-CN"/>
        </w:rPr>
        <w:t>1.5%质量保证金进行结算）</w:t>
      </w:r>
    </w:p>
    <w:p w14:paraId="68D6D6A0">
      <w:pPr>
        <w:ind w:firstLine="420" w:firstLineChars="200"/>
        <w:rPr>
          <w:snapToGrid w:val="0"/>
          <w:szCs w:val="24"/>
          <w:lang w:eastAsia="zh-CN"/>
        </w:rPr>
      </w:pPr>
      <w:r>
        <w:rPr>
          <w:snapToGrid w:val="0"/>
          <w:szCs w:val="24"/>
          <w:lang w:eastAsia="zh-CN"/>
        </w:rPr>
        <w:t>（2）本款中规定的逾期付款违约金为按中国人民银行规定的同期贷款基准利率计算的逾期付款金额的利息。</w:t>
      </w:r>
    </w:p>
    <w:p w14:paraId="56D2DEA8">
      <w:pPr>
        <w:pStyle w:val="5"/>
        <w:rPr>
          <w:lang w:eastAsia="zh-CN"/>
        </w:rPr>
      </w:pPr>
      <w:r>
        <w:rPr>
          <w:lang w:eastAsia="zh-CN"/>
        </w:rPr>
        <w:t>17.4 质量保证金</w:t>
      </w:r>
    </w:p>
    <w:p w14:paraId="52D2D9EE">
      <w:pPr>
        <w:ind w:firstLine="420" w:firstLineChars="200"/>
        <w:rPr>
          <w:snapToGrid w:val="0"/>
          <w:szCs w:val="24"/>
          <w:lang w:eastAsia="zh-CN"/>
        </w:rPr>
      </w:pPr>
      <w:r>
        <w:rPr>
          <w:snapToGrid w:val="0"/>
          <w:szCs w:val="24"/>
          <w:lang w:eastAsia="zh-CN"/>
        </w:rPr>
        <w:t>17.4.1 每个付款周期扣留的质量保证金额度及质量保证金总额见17.3.3（1）目。</w:t>
      </w:r>
    </w:p>
    <w:p w14:paraId="7136E4DD">
      <w:pPr>
        <w:pStyle w:val="5"/>
        <w:rPr>
          <w:lang w:eastAsia="zh-CN"/>
        </w:rPr>
      </w:pPr>
      <w:bookmarkStart w:id="298" w:name="_Toc241374759"/>
      <w:r>
        <w:rPr>
          <w:lang w:eastAsia="zh-CN"/>
        </w:rPr>
        <w:t>17.5 竣工（完工）结算</w:t>
      </w:r>
    </w:p>
    <w:p w14:paraId="7F6507B3">
      <w:pPr>
        <w:ind w:firstLine="420" w:firstLineChars="200"/>
        <w:rPr>
          <w:snapToGrid w:val="0"/>
          <w:szCs w:val="24"/>
          <w:lang w:eastAsia="zh-CN"/>
        </w:rPr>
      </w:pPr>
      <w:r>
        <w:rPr>
          <w:snapToGrid w:val="0"/>
          <w:szCs w:val="24"/>
          <w:lang w:eastAsia="zh-CN"/>
        </w:rPr>
        <w:t>17.5.1 竣工（完工）付款申请单</w:t>
      </w:r>
    </w:p>
    <w:p w14:paraId="7327AA03">
      <w:pPr>
        <w:ind w:firstLine="420" w:firstLineChars="200"/>
        <w:rPr>
          <w:snapToGrid w:val="0"/>
          <w:szCs w:val="24"/>
          <w:lang w:eastAsia="zh-CN"/>
        </w:rPr>
      </w:pPr>
      <w:r>
        <w:rPr>
          <w:snapToGrid w:val="0"/>
          <w:szCs w:val="24"/>
          <w:lang w:eastAsia="zh-CN"/>
        </w:rPr>
        <w:t>（1） 承包人应提交完工付款申请单一式</w:t>
      </w:r>
      <w:r>
        <w:rPr>
          <w:rFonts w:hint="eastAsia"/>
          <w:snapToGrid w:val="0"/>
          <w:szCs w:val="24"/>
          <w:u w:val="single"/>
          <w:lang w:eastAsia="zh-CN"/>
        </w:rPr>
        <w:t>4</w:t>
      </w:r>
      <w:r>
        <w:rPr>
          <w:snapToGrid w:val="0"/>
          <w:szCs w:val="24"/>
          <w:lang w:eastAsia="zh-CN"/>
        </w:rPr>
        <w:t>份。</w:t>
      </w:r>
    </w:p>
    <w:p w14:paraId="6F543E91">
      <w:pPr>
        <w:pStyle w:val="5"/>
        <w:rPr>
          <w:lang w:eastAsia="zh-CN"/>
        </w:rPr>
      </w:pPr>
      <w:r>
        <w:rPr>
          <w:lang w:eastAsia="zh-CN"/>
        </w:rPr>
        <w:t>17.6 最终结清</w:t>
      </w:r>
    </w:p>
    <w:p w14:paraId="4202BACC">
      <w:pPr>
        <w:ind w:firstLine="420" w:firstLineChars="200"/>
        <w:rPr>
          <w:snapToGrid w:val="0"/>
          <w:szCs w:val="24"/>
          <w:lang w:eastAsia="zh-CN"/>
        </w:rPr>
      </w:pPr>
      <w:r>
        <w:rPr>
          <w:snapToGrid w:val="0"/>
          <w:szCs w:val="24"/>
          <w:lang w:eastAsia="zh-CN"/>
        </w:rPr>
        <w:t>17. 6.1 最终结清申请单</w:t>
      </w:r>
    </w:p>
    <w:p w14:paraId="4BBAB1F0">
      <w:pPr>
        <w:ind w:firstLine="420" w:firstLineChars="200"/>
        <w:rPr>
          <w:snapToGrid w:val="0"/>
          <w:szCs w:val="24"/>
          <w:lang w:eastAsia="zh-CN"/>
        </w:rPr>
      </w:pPr>
      <w:r>
        <w:rPr>
          <w:snapToGrid w:val="0"/>
          <w:szCs w:val="24"/>
          <w:lang w:eastAsia="zh-CN"/>
        </w:rPr>
        <w:t>（1） 承包人应提交最终结清申请单一式</w:t>
      </w:r>
      <w:r>
        <w:rPr>
          <w:rFonts w:hint="eastAsia"/>
          <w:snapToGrid w:val="0"/>
          <w:szCs w:val="24"/>
          <w:u w:val="single"/>
          <w:lang w:eastAsia="zh-CN"/>
        </w:rPr>
        <w:t>4</w:t>
      </w:r>
      <w:r>
        <w:rPr>
          <w:snapToGrid w:val="0"/>
          <w:szCs w:val="24"/>
          <w:lang w:eastAsia="zh-CN"/>
        </w:rPr>
        <w:t>份。</w:t>
      </w:r>
    </w:p>
    <w:p w14:paraId="4253F57B">
      <w:pPr>
        <w:pStyle w:val="5"/>
        <w:rPr>
          <w:lang w:eastAsia="zh-CN"/>
        </w:rPr>
      </w:pPr>
      <w:r>
        <w:rPr>
          <w:lang w:eastAsia="zh-CN"/>
        </w:rPr>
        <w:t>17.7 竣工财务决算</w:t>
      </w:r>
    </w:p>
    <w:p w14:paraId="39211D6B">
      <w:pPr>
        <w:ind w:firstLine="420" w:firstLineChars="200"/>
        <w:rPr>
          <w:snapToGrid w:val="0"/>
          <w:szCs w:val="24"/>
          <w:lang w:eastAsia="zh-CN"/>
        </w:rPr>
      </w:pPr>
      <w:r>
        <w:rPr>
          <w:snapToGrid w:val="0"/>
          <w:szCs w:val="24"/>
          <w:lang w:eastAsia="zh-CN"/>
        </w:rPr>
        <w:t>承包人应为竣工财务决算编制提供的资料：。</w:t>
      </w:r>
    </w:p>
    <w:p w14:paraId="168F7551">
      <w:pPr>
        <w:ind w:firstLine="420" w:firstLineChars="200"/>
        <w:rPr>
          <w:snapToGrid w:val="0"/>
          <w:szCs w:val="24"/>
          <w:lang w:eastAsia="zh-CN"/>
        </w:rPr>
      </w:pPr>
    </w:p>
    <w:p w14:paraId="54646BFD">
      <w:pPr>
        <w:pStyle w:val="4"/>
        <w:spacing w:before="0"/>
        <w:rPr>
          <w:snapToGrid w:val="0"/>
          <w:lang w:eastAsia="zh-CN"/>
        </w:rPr>
      </w:pPr>
      <w:bookmarkStart w:id="299" w:name="_Toc370459073"/>
      <w:bookmarkStart w:id="300" w:name="_Toc266998259"/>
      <w:bookmarkStart w:id="301" w:name="_Toc307478988"/>
      <w:bookmarkStart w:id="302" w:name="_Toc362883296"/>
      <w:bookmarkStart w:id="303" w:name="_Toc344282765"/>
      <w:bookmarkStart w:id="304" w:name="_Toc259802239"/>
      <w:r>
        <w:rPr>
          <w:snapToGrid w:val="0"/>
          <w:lang w:eastAsia="zh-CN"/>
        </w:rPr>
        <w:t>18 工程验收</w:t>
      </w:r>
      <w:bookmarkEnd w:id="299"/>
      <w:bookmarkEnd w:id="300"/>
      <w:bookmarkEnd w:id="301"/>
      <w:bookmarkEnd w:id="302"/>
      <w:bookmarkEnd w:id="303"/>
      <w:bookmarkEnd w:id="304"/>
    </w:p>
    <w:p w14:paraId="3B4EEB53">
      <w:pPr>
        <w:pStyle w:val="5"/>
        <w:rPr>
          <w:lang w:eastAsia="zh-CN"/>
        </w:rPr>
      </w:pPr>
      <w:r>
        <w:rPr>
          <w:lang w:eastAsia="zh-CN"/>
        </w:rPr>
        <w:t>18.1 验收工作分类</w:t>
      </w:r>
    </w:p>
    <w:p w14:paraId="511F1C1D">
      <w:pPr>
        <w:ind w:firstLine="420" w:firstLineChars="200"/>
        <w:rPr>
          <w:snapToGrid w:val="0"/>
          <w:szCs w:val="24"/>
          <w:lang w:eastAsia="zh-CN"/>
        </w:rPr>
      </w:pPr>
      <w:r>
        <w:rPr>
          <w:snapToGrid w:val="0"/>
          <w:szCs w:val="24"/>
          <w:lang w:eastAsia="zh-CN"/>
        </w:rPr>
        <w:t>本工程法人验收包括：；政府验收包括：。验收条件为：，验收程序为：。</w:t>
      </w:r>
    </w:p>
    <w:p w14:paraId="7A756230">
      <w:pPr>
        <w:pStyle w:val="5"/>
        <w:rPr>
          <w:lang w:eastAsia="zh-CN"/>
        </w:rPr>
      </w:pPr>
      <w:r>
        <w:rPr>
          <w:lang w:eastAsia="zh-CN"/>
        </w:rPr>
        <w:t>18.2 分部工程验收</w:t>
      </w:r>
    </w:p>
    <w:p w14:paraId="146A88C3">
      <w:pPr>
        <w:ind w:firstLine="420" w:firstLineChars="200"/>
        <w:rPr>
          <w:snapToGrid w:val="0"/>
          <w:szCs w:val="24"/>
          <w:lang w:eastAsia="zh-CN"/>
        </w:rPr>
      </w:pPr>
      <w:r>
        <w:rPr>
          <w:snapToGrid w:val="0"/>
          <w:szCs w:val="24"/>
          <w:lang w:eastAsia="zh-CN"/>
        </w:rPr>
        <w:t>18.2.2 本工程由监理人主持的分部工程验收在监理合同中约定，其余由发包人主持。</w:t>
      </w:r>
    </w:p>
    <w:p w14:paraId="7BBE3228">
      <w:pPr>
        <w:pStyle w:val="5"/>
        <w:rPr>
          <w:lang w:eastAsia="zh-CN"/>
        </w:rPr>
      </w:pPr>
      <w:r>
        <w:rPr>
          <w:lang w:eastAsia="zh-CN"/>
        </w:rPr>
        <w:t>18.3 单位工程验收</w:t>
      </w:r>
    </w:p>
    <w:p w14:paraId="64019FC9">
      <w:pPr>
        <w:ind w:firstLine="420" w:firstLineChars="200"/>
        <w:rPr>
          <w:snapToGrid w:val="0"/>
          <w:szCs w:val="24"/>
          <w:lang w:eastAsia="zh-CN"/>
        </w:rPr>
      </w:pPr>
      <w:r>
        <w:rPr>
          <w:snapToGrid w:val="0"/>
          <w:szCs w:val="24"/>
          <w:lang w:eastAsia="zh-CN"/>
        </w:rPr>
        <w:t>18.3.4 提前投入使用的单位工程包括：、、。</w:t>
      </w:r>
    </w:p>
    <w:p w14:paraId="3BE0731F">
      <w:pPr>
        <w:pStyle w:val="5"/>
        <w:rPr>
          <w:lang w:eastAsia="zh-CN"/>
        </w:rPr>
      </w:pPr>
      <w:r>
        <w:rPr>
          <w:lang w:eastAsia="zh-CN"/>
        </w:rPr>
        <w:t>18.5 阶段验收</w:t>
      </w:r>
    </w:p>
    <w:p w14:paraId="5006FF6E">
      <w:pPr>
        <w:ind w:firstLine="420" w:firstLineChars="200"/>
        <w:rPr>
          <w:snapToGrid w:val="0"/>
          <w:szCs w:val="24"/>
          <w:lang w:eastAsia="zh-CN"/>
        </w:rPr>
      </w:pPr>
      <w:r>
        <w:rPr>
          <w:snapToGrid w:val="0"/>
          <w:szCs w:val="24"/>
          <w:lang w:eastAsia="zh-CN"/>
        </w:rPr>
        <w:t>18.5.1 本合同工程阶段验收类别包括：、、。</w:t>
      </w:r>
    </w:p>
    <w:p w14:paraId="49CB64DC">
      <w:pPr>
        <w:pStyle w:val="5"/>
        <w:rPr>
          <w:lang w:eastAsia="zh-CN"/>
        </w:rPr>
      </w:pPr>
      <w:r>
        <w:rPr>
          <w:lang w:eastAsia="zh-CN"/>
        </w:rPr>
        <w:t>18.6 专项验收</w:t>
      </w:r>
    </w:p>
    <w:p w14:paraId="4546473A">
      <w:pPr>
        <w:ind w:firstLine="420" w:firstLineChars="200"/>
        <w:rPr>
          <w:snapToGrid w:val="0"/>
          <w:szCs w:val="24"/>
          <w:lang w:eastAsia="zh-CN"/>
        </w:rPr>
      </w:pPr>
      <w:r>
        <w:rPr>
          <w:snapToGrid w:val="0"/>
          <w:szCs w:val="24"/>
          <w:lang w:eastAsia="zh-CN"/>
        </w:rPr>
        <w:t>18.6.2 本合同工程专项验收类别包括：、、。</w:t>
      </w:r>
    </w:p>
    <w:p w14:paraId="2626400A">
      <w:pPr>
        <w:pStyle w:val="5"/>
        <w:rPr>
          <w:lang w:eastAsia="zh-CN"/>
        </w:rPr>
      </w:pPr>
      <w:r>
        <w:rPr>
          <w:lang w:eastAsia="zh-CN"/>
        </w:rPr>
        <w:t>18.7 竣工验收</w:t>
      </w:r>
    </w:p>
    <w:p w14:paraId="6F3D1904">
      <w:pPr>
        <w:ind w:firstLine="420" w:firstLineChars="200"/>
        <w:rPr>
          <w:snapToGrid w:val="0"/>
          <w:szCs w:val="24"/>
          <w:lang w:eastAsia="zh-CN"/>
        </w:rPr>
      </w:pPr>
      <w:r>
        <w:rPr>
          <w:snapToGrid w:val="0"/>
          <w:szCs w:val="24"/>
          <w:lang w:eastAsia="zh-CN"/>
        </w:rPr>
        <w:t>18.7.3 本工程（需要、不需要）竣工验收技术鉴定（蓄水安全鉴定）。</w:t>
      </w:r>
    </w:p>
    <w:p w14:paraId="633907A2">
      <w:pPr>
        <w:pStyle w:val="5"/>
        <w:rPr>
          <w:lang w:eastAsia="zh-CN"/>
        </w:rPr>
      </w:pPr>
      <w:r>
        <w:rPr>
          <w:lang w:eastAsia="zh-CN"/>
        </w:rPr>
        <w:t>18.8 施工期运行</w:t>
      </w:r>
    </w:p>
    <w:p w14:paraId="74173561">
      <w:pPr>
        <w:ind w:firstLine="420" w:firstLineChars="200"/>
        <w:rPr>
          <w:snapToGrid w:val="0"/>
          <w:szCs w:val="24"/>
          <w:lang w:eastAsia="zh-CN"/>
        </w:rPr>
      </w:pPr>
      <w:r>
        <w:rPr>
          <w:snapToGrid w:val="0"/>
          <w:szCs w:val="24"/>
          <w:lang w:eastAsia="zh-CN"/>
        </w:rPr>
        <w:t>18.8.1 需要在施工期运行的单位工程或工程设备为：、、。</w:t>
      </w:r>
    </w:p>
    <w:p w14:paraId="1CB2F2BC">
      <w:pPr>
        <w:pStyle w:val="5"/>
        <w:rPr>
          <w:lang w:eastAsia="zh-CN"/>
        </w:rPr>
      </w:pPr>
      <w:r>
        <w:rPr>
          <w:lang w:eastAsia="zh-CN"/>
        </w:rPr>
        <w:t>18.9 试运行</w:t>
      </w:r>
    </w:p>
    <w:p w14:paraId="41B02B59">
      <w:pPr>
        <w:ind w:firstLine="420" w:firstLineChars="200"/>
        <w:rPr>
          <w:snapToGrid w:val="0"/>
          <w:szCs w:val="24"/>
          <w:lang w:eastAsia="zh-CN"/>
        </w:rPr>
      </w:pPr>
      <w:r>
        <w:rPr>
          <w:snapToGrid w:val="0"/>
          <w:szCs w:val="24"/>
          <w:lang w:eastAsia="zh-CN"/>
        </w:rPr>
        <w:t>18.9.1 试运行的组织：；费用承担：。</w:t>
      </w:r>
    </w:p>
    <w:p w14:paraId="7D659364">
      <w:pPr>
        <w:pStyle w:val="4"/>
        <w:spacing w:before="0"/>
        <w:rPr>
          <w:snapToGrid w:val="0"/>
          <w:lang w:eastAsia="zh-CN"/>
        </w:rPr>
      </w:pPr>
      <w:bookmarkStart w:id="305" w:name="_Toc307478989"/>
      <w:bookmarkStart w:id="306" w:name="_Toc266998260"/>
      <w:bookmarkStart w:id="307" w:name="_Toc362883297"/>
      <w:bookmarkStart w:id="308" w:name="_Toc344282766"/>
      <w:bookmarkStart w:id="309" w:name="_Toc370459074"/>
      <w:r>
        <w:rPr>
          <w:snapToGrid w:val="0"/>
          <w:lang w:eastAsia="zh-CN"/>
        </w:rPr>
        <w:t>19 缺陷责任与保修责任</w:t>
      </w:r>
      <w:bookmarkEnd w:id="298"/>
      <w:bookmarkEnd w:id="305"/>
      <w:bookmarkEnd w:id="306"/>
      <w:bookmarkEnd w:id="307"/>
      <w:bookmarkEnd w:id="308"/>
      <w:bookmarkEnd w:id="309"/>
    </w:p>
    <w:p w14:paraId="37473BCA">
      <w:pPr>
        <w:pStyle w:val="5"/>
        <w:rPr>
          <w:lang w:eastAsia="zh-CN"/>
        </w:rPr>
      </w:pPr>
      <w:r>
        <w:rPr>
          <w:lang w:eastAsia="zh-CN"/>
        </w:rPr>
        <w:t>19.1 缺陷责任期（工程质量保修期）的起算时间</w:t>
      </w:r>
    </w:p>
    <w:p w14:paraId="341C3064">
      <w:pPr>
        <w:ind w:firstLine="420" w:firstLineChars="200"/>
        <w:rPr>
          <w:snapToGrid w:val="0"/>
          <w:szCs w:val="24"/>
          <w:lang w:eastAsia="zh-CN"/>
        </w:rPr>
      </w:pPr>
      <w:r>
        <w:rPr>
          <w:snapToGrid w:val="0"/>
          <w:szCs w:val="24"/>
          <w:lang w:eastAsia="zh-CN"/>
        </w:rPr>
        <w:t>本工程缺陷责任期（工程质量保修期）为</w:t>
      </w:r>
      <w:r>
        <w:rPr>
          <w:rFonts w:hint="eastAsia"/>
          <w:snapToGrid w:val="0"/>
          <w:szCs w:val="24"/>
          <w:u w:val="single"/>
          <w:lang w:eastAsia="zh-CN"/>
        </w:rPr>
        <w:t>1</w:t>
      </w:r>
      <w:r>
        <w:rPr>
          <w:snapToGrid w:val="0"/>
          <w:szCs w:val="24"/>
          <w:lang w:eastAsia="zh-CN"/>
        </w:rPr>
        <w:t>年。</w:t>
      </w:r>
    </w:p>
    <w:p w14:paraId="75F48102">
      <w:pPr>
        <w:pStyle w:val="4"/>
        <w:spacing w:before="0"/>
        <w:rPr>
          <w:snapToGrid w:val="0"/>
          <w:lang w:eastAsia="zh-CN"/>
        </w:rPr>
      </w:pPr>
      <w:bookmarkStart w:id="310" w:name="_Toc344282767"/>
      <w:bookmarkStart w:id="311" w:name="_Toc370459075"/>
      <w:bookmarkStart w:id="312" w:name="_Toc266998261"/>
      <w:bookmarkStart w:id="313" w:name="_Toc362883298"/>
      <w:bookmarkStart w:id="314" w:name="_Toc307478990"/>
      <w:bookmarkStart w:id="315" w:name="_Toc259802241"/>
      <w:r>
        <w:rPr>
          <w:snapToGrid w:val="0"/>
          <w:lang w:eastAsia="zh-CN"/>
        </w:rPr>
        <w:t>20 保险</w:t>
      </w:r>
      <w:bookmarkEnd w:id="310"/>
      <w:bookmarkEnd w:id="311"/>
      <w:bookmarkEnd w:id="312"/>
      <w:bookmarkEnd w:id="313"/>
      <w:bookmarkEnd w:id="314"/>
      <w:bookmarkEnd w:id="315"/>
    </w:p>
    <w:p w14:paraId="392B4739">
      <w:pPr>
        <w:pStyle w:val="5"/>
        <w:rPr>
          <w:lang w:eastAsia="zh-CN"/>
        </w:rPr>
      </w:pPr>
      <w:r>
        <w:rPr>
          <w:lang w:eastAsia="zh-CN"/>
        </w:rPr>
        <w:t>20.1 工程保险</w:t>
      </w:r>
    </w:p>
    <w:p w14:paraId="0549391F">
      <w:pPr>
        <w:ind w:firstLine="420" w:firstLineChars="200"/>
        <w:rPr>
          <w:snapToGrid w:val="0"/>
          <w:szCs w:val="24"/>
          <w:lang w:eastAsia="zh-CN"/>
        </w:rPr>
      </w:pPr>
      <w:r>
        <w:rPr>
          <w:snapToGrid w:val="0"/>
          <w:szCs w:val="24"/>
          <w:lang w:eastAsia="zh-CN"/>
        </w:rPr>
        <w:t>建筑工程一切险和（或）安装工程一切险投保人：；</w:t>
      </w:r>
    </w:p>
    <w:p w14:paraId="766A3FAF">
      <w:pPr>
        <w:ind w:firstLine="420" w:firstLineChars="200"/>
        <w:rPr>
          <w:snapToGrid w:val="0"/>
          <w:szCs w:val="24"/>
          <w:lang w:eastAsia="zh-CN"/>
        </w:rPr>
      </w:pPr>
      <w:r>
        <w:rPr>
          <w:snapToGrid w:val="0"/>
          <w:szCs w:val="24"/>
          <w:lang w:eastAsia="zh-CN"/>
        </w:rPr>
        <w:t>投保内容：；</w:t>
      </w:r>
    </w:p>
    <w:p w14:paraId="03C68AB4">
      <w:pPr>
        <w:tabs>
          <w:tab w:val="left" w:pos="2790"/>
        </w:tabs>
        <w:ind w:firstLine="420" w:firstLineChars="200"/>
        <w:rPr>
          <w:snapToGrid w:val="0"/>
          <w:szCs w:val="24"/>
          <w:lang w:eastAsia="zh-CN"/>
        </w:rPr>
      </w:pPr>
      <w:r>
        <w:rPr>
          <w:snapToGrid w:val="0"/>
          <w:szCs w:val="24"/>
          <w:lang w:eastAsia="zh-CN"/>
        </w:rPr>
        <w:t>保险金额、保险费率和保险期限：。</w:t>
      </w:r>
    </w:p>
    <w:p w14:paraId="6F27AF87">
      <w:pPr>
        <w:pStyle w:val="5"/>
        <w:rPr>
          <w:lang w:eastAsia="zh-CN"/>
        </w:rPr>
      </w:pPr>
      <w:r>
        <w:rPr>
          <w:lang w:eastAsia="zh-CN"/>
        </w:rPr>
        <w:t>20.4 第三者责任险</w:t>
      </w:r>
    </w:p>
    <w:p w14:paraId="6BEF0250">
      <w:pPr>
        <w:ind w:firstLine="420" w:firstLineChars="200"/>
        <w:rPr>
          <w:snapToGrid w:val="0"/>
          <w:szCs w:val="24"/>
          <w:lang w:eastAsia="zh-CN"/>
        </w:rPr>
      </w:pPr>
      <w:r>
        <w:rPr>
          <w:snapToGrid w:val="0"/>
          <w:szCs w:val="24"/>
          <w:lang w:eastAsia="zh-CN"/>
        </w:rPr>
        <w:t>20.4.2 第三者责任险保险费率：；第三者责任险保险金额：。</w:t>
      </w:r>
    </w:p>
    <w:p w14:paraId="649B66D8">
      <w:pPr>
        <w:ind w:firstLine="420" w:firstLineChars="200"/>
        <w:rPr>
          <w:snapToGrid w:val="0"/>
          <w:szCs w:val="24"/>
          <w:lang w:eastAsia="zh-CN"/>
        </w:rPr>
      </w:pPr>
    </w:p>
    <w:p w14:paraId="4B2D3627">
      <w:pPr>
        <w:pStyle w:val="5"/>
        <w:rPr>
          <w:lang w:eastAsia="zh-CN"/>
        </w:rPr>
      </w:pPr>
      <w:r>
        <w:rPr>
          <w:lang w:eastAsia="zh-CN"/>
        </w:rPr>
        <w:t xml:space="preserve">20.5 其他保险 </w:t>
      </w:r>
    </w:p>
    <w:p w14:paraId="73A9CB4A">
      <w:pPr>
        <w:ind w:firstLine="480"/>
        <w:rPr>
          <w:snapToGrid w:val="0"/>
          <w:szCs w:val="24"/>
          <w:lang w:eastAsia="zh-CN"/>
        </w:rPr>
      </w:pPr>
      <w:r>
        <w:rPr>
          <w:snapToGrid w:val="0"/>
          <w:szCs w:val="24"/>
          <w:lang w:eastAsia="zh-CN"/>
        </w:rPr>
        <w:t>需要投保的其他内容：；</w:t>
      </w:r>
    </w:p>
    <w:p w14:paraId="38FC0C43">
      <w:pPr>
        <w:ind w:firstLine="480"/>
        <w:rPr>
          <w:b/>
          <w:snapToGrid w:val="0"/>
          <w:szCs w:val="24"/>
          <w:lang w:eastAsia="zh-CN"/>
        </w:rPr>
      </w:pPr>
      <w:r>
        <w:rPr>
          <w:snapToGrid w:val="0"/>
          <w:szCs w:val="24"/>
          <w:lang w:eastAsia="zh-CN"/>
        </w:rPr>
        <w:t>保险金额、保险费率和保险期限：。</w:t>
      </w:r>
    </w:p>
    <w:p w14:paraId="09186440">
      <w:pPr>
        <w:pStyle w:val="5"/>
        <w:rPr>
          <w:lang w:eastAsia="zh-CN"/>
        </w:rPr>
      </w:pPr>
      <w:r>
        <w:rPr>
          <w:lang w:eastAsia="zh-CN"/>
        </w:rPr>
        <w:t>20.6 对各项保险的一般要求</w:t>
      </w:r>
    </w:p>
    <w:p w14:paraId="3A1F6BEA">
      <w:pPr>
        <w:ind w:firstLine="420" w:firstLineChars="200"/>
        <w:rPr>
          <w:snapToGrid w:val="0"/>
          <w:szCs w:val="24"/>
          <w:lang w:eastAsia="zh-CN"/>
        </w:rPr>
      </w:pPr>
      <w:r>
        <w:rPr>
          <w:snapToGrid w:val="0"/>
          <w:szCs w:val="24"/>
          <w:lang w:eastAsia="zh-CN"/>
        </w:rPr>
        <w:t>20. 6.1 保险凭证</w:t>
      </w:r>
    </w:p>
    <w:p w14:paraId="0C8406CF">
      <w:pPr>
        <w:ind w:firstLine="420" w:firstLineChars="200"/>
        <w:rPr>
          <w:snapToGrid w:val="0"/>
          <w:szCs w:val="24"/>
          <w:lang w:eastAsia="zh-CN"/>
        </w:rPr>
      </w:pPr>
      <w:r>
        <w:rPr>
          <w:snapToGrid w:val="0"/>
          <w:szCs w:val="24"/>
          <w:lang w:eastAsia="zh-CN"/>
        </w:rPr>
        <w:t>承包人提交保险凭证的期限：保险手续办理完毕后天内提交；</w:t>
      </w:r>
    </w:p>
    <w:p w14:paraId="4038E803">
      <w:pPr>
        <w:ind w:firstLine="420" w:firstLineChars="200"/>
        <w:rPr>
          <w:snapToGrid w:val="0"/>
          <w:szCs w:val="24"/>
          <w:lang w:eastAsia="zh-CN"/>
        </w:rPr>
      </w:pPr>
      <w:r>
        <w:rPr>
          <w:snapToGrid w:val="0"/>
          <w:szCs w:val="24"/>
          <w:lang w:eastAsia="zh-CN"/>
        </w:rPr>
        <w:t>保险条件：。</w:t>
      </w:r>
    </w:p>
    <w:p w14:paraId="77F7B7F1">
      <w:pPr>
        <w:ind w:firstLine="420" w:firstLineChars="200"/>
        <w:rPr>
          <w:snapToGrid w:val="0"/>
          <w:szCs w:val="24"/>
          <w:lang w:eastAsia="zh-CN"/>
        </w:rPr>
      </w:pPr>
      <w:r>
        <w:rPr>
          <w:snapToGrid w:val="0"/>
          <w:szCs w:val="24"/>
          <w:lang w:eastAsia="zh-CN"/>
        </w:rPr>
        <w:t>20.6.4 保险金不足的补偿</w:t>
      </w:r>
    </w:p>
    <w:p w14:paraId="0EFFA94C">
      <w:pPr>
        <w:ind w:firstLine="420" w:firstLineChars="200"/>
        <w:rPr>
          <w:snapToGrid w:val="0"/>
          <w:szCs w:val="24"/>
          <w:lang w:eastAsia="zh-CN"/>
        </w:rPr>
      </w:pPr>
      <w:r>
        <w:rPr>
          <w:snapToGrid w:val="0"/>
          <w:szCs w:val="24"/>
          <w:lang w:eastAsia="zh-CN"/>
        </w:rPr>
        <w:t>承包人负责补偿的范围与金额：；</w:t>
      </w:r>
    </w:p>
    <w:p w14:paraId="53BD649D">
      <w:pPr>
        <w:ind w:firstLine="420" w:firstLineChars="200"/>
        <w:rPr>
          <w:snapToGrid w:val="0"/>
          <w:u w:val="single"/>
          <w:lang w:eastAsia="zh-CN"/>
        </w:rPr>
      </w:pPr>
      <w:r>
        <w:rPr>
          <w:snapToGrid w:val="0"/>
          <w:szCs w:val="24"/>
          <w:lang w:eastAsia="zh-CN"/>
        </w:rPr>
        <w:t>发包人负责补偿的范围与金额：。</w:t>
      </w:r>
    </w:p>
    <w:p w14:paraId="2D6925B1">
      <w:pPr>
        <w:pStyle w:val="4"/>
        <w:spacing w:before="0"/>
        <w:rPr>
          <w:snapToGrid w:val="0"/>
          <w:lang w:eastAsia="zh-CN"/>
        </w:rPr>
      </w:pPr>
      <w:bookmarkStart w:id="316" w:name="_Toc370459076"/>
      <w:bookmarkStart w:id="317" w:name="_Toc362883299"/>
      <w:r>
        <w:rPr>
          <w:snapToGrid w:val="0"/>
          <w:lang w:eastAsia="zh-CN"/>
        </w:rPr>
        <w:t>24 争议的解决</w:t>
      </w:r>
      <w:bookmarkEnd w:id="316"/>
      <w:bookmarkEnd w:id="317"/>
    </w:p>
    <w:p w14:paraId="0AC99448">
      <w:pPr>
        <w:pStyle w:val="5"/>
        <w:rPr>
          <w:lang w:eastAsia="zh-CN"/>
        </w:rPr>
      </w:pPr>
      <w:r>
        <w:rPr>
          <w:lang w:eastAsia="zh-CN"/>
        </w:rPr>
        <w:t>24.1 争议的解决方式</w:t>
      </w:r>
    </w:p>
    <w:p w14:paraId="36436DE4">
      <w:pPr>
        <w:ind w:firstLine="411" w:firstLineChars="196"/>
        <w:rPr>
          <w:snapToGrid w:val="0"/>
          <w:szCs w:val="24"/>
          <w:lang w:eastAsia="zh-CN"/>
        </w:rPr>
      </w:pPr>
      <w:r>
        <w:rPr>
          <w:snapToGrid w:val="0"/>
          <w:szCs w:val="24"/>
          <w:lang w:eastAsia="zh-CN"/>
        </w:rPr>
        <w:t>合同当事人友好协商解决不成、不愿提请争议评审或不接受争议评审组意见的，约定的合同争议解决方式：。</w:t>
      </w:r>
    </w:p>
    <w:p w14:paraId="316CF4F8">
      <w:pPr>
        <w:ind w:firstLine="411" w:firstLineChars="196"/>
        <w:jc w:val="center"/>
        <w:rPr>
          <w:rStyle w:val="15"/>
          <w:sz w:val="30"/>
          <w:szCs w:val="30"/>
          <w:lang w:eastAsia="zh-CN"/>
        </w:rPr>
      </w:pPr>
      <w:r>
        <w:rPr>
          <w:snapToGrid w:val="0"/>
          <w:szCs w:val="24"/>
          <w:lang w:eastAsia="zh-CN"/>
        </w:rPr>
        <w:br w:type="page"/>
      </w:r>
      <w:bookmarkStart w:id="318" w:name="_Toc362883118"/>
      <w:bookmarkEnd w:id="318"/>
      <w:bookmarkStart w:id="319" w:name="_Toc362883300"/>
      <w:bookmarkEnd w:id="319"/>
      <w:bookmarkStart w:id="320" w:name="_Toc362880706"/>
      <w:bookmarkEnd w:id="320"/>
      <w:bookmarkStart w:id="321" w:name="_Toc362883301"/>
      <w:bookmarkStart w:id="322" w:name="_Toc370459077"/>
      <w:r>
        <w:rPr>
          <w:rStyle w:val="15"/>
          <w:sz w:val="30"/>
          <w:szCs w:val="30"/>
          <w:lang w:eastAsia="zh-CN"/>
        </w:rPr>
        <w:t>合同附件格式</w:t>
      </w:r>
      <w:bookmarkEnd w:id="321"/>
      <w:bookmarkEnd w:id="322"/>
    </w:p>
    <w:p w14:paraId="0E925DEE">
      <w:pPr>
        <w:pStyle w:val="4"/>
        <w:tabs>
          <w:tab w:val="left" w:pos="5355"/>
        </w:tabs>
        <w:spacing w:before="0"/>
        <w:rPr>
          <w:rFonts w:eastAsia="宋体"/>
          <w:snapToGrid w:val="0"/>
          <w:lang w:eastAsia="zh-CN"/>
        </w:rPr>
      </w:pPr>
      <w:bookmarkStart w:id="323" w:name="_Toc362883302"/>
      <w:bookmarkStart w:id="324" w:name="_Toc370459078"/>
      <w:r>
        <w:rPr>
          <w:rFonts w:eastAsia="宋体"/>
          <w:snapToGrid w:val="0"/>
          <w:lang w:eastAsia="zh-CN"/>
        </w:rPr>
        <w:t>附件一  合同协议书</w:t>
      </w:r>
      <w:bookmarkEnd w:id="323"/>
      <w:bookmarkEnd w:id="324"/>
      <w:r>
        <w:rPr>
          <w:rFonts w:eastAsia="宋体"/>
          <w:snapToGrid w:val="0"/>
          <w:lang w:eastAsia="zh-CN"/>
        </w:rPr>
        <w:tab/>
      </w:r>
    </w:p>
    <w:p w14:paraId="04DA8F07">
      <w:pPr>
        <w:pStyle w:val="8"/>
        <w:adjustRightInd w:val="0"/>
        <w:jc w:val="center"/>
        <w:rPr>
          <w:rFonts w:ascii="Times New Roman" w:hAnsi="Times New Roman"/>
          <w:snapToGrid w:val="0"/>
          <w:sz w:val="24"/>
          <w:lang w:eastAsia="zh-CN"/>
        </w:rPr>
      </w:pPr>
      <w:r>
        <w:rPr>
          <w:rFonts w:ascii="Times New Roman" w:hAnsi="Times New Roman"/>
          <w:b/>
          <w:snapToGrid w:val="0"/>
          <w:sz w:val="30"/>
          <w:szCs w:val="30"/>
          <w:lang w:eastAsia="zh-CN"/>
        </w:rPr>
        <w:t>合同协议书</w:t>
      </w:r>
    </w:p>
    <w:p w14:paraId="5F452B7D">
      <w:pPr>
        <w:ind w:firstLine="420" w:firstLineChars="200"/>
        <w:rPr>
          <w:snapToGrid w:val="0"/>
          <w:lang w:eastAsia="zh-CN"/>
        </w:rPr>
      </w:pPr>
      <w:r>
        <w:rPr>
          <w:snapToGrid w:val="0"/>
          <w:szCs w:val="21"/>
          <w:lang w:eastAsia="zh-CN"/>
        </w:rPr>
        <w:t>（发包人名称，以下简称“发包人”）为实施</w:t>
      </w:r>
      <w:r>
        <w:rPr>
          <w:snapToGrid w:val="0"/>
          <w:lang w:eastAsia="zh-CN"/>
        </w:rPr>
        <w:t>（项目名称），已接受（承包人名称，以下简称“承包人”）对（项目名称）（标段名称）的</w:t>
      </w:r>
      <w:r>
        <w:rPr>
          <w:rFonts w:hint="eastAsia"/>
          <w:snapToGrid w:val="0"/>
          <w:lang w:eastAsia="zh-CN"/>
        </w:rPr>
        <w:t>交易响应</w:t>
      </w:r>
      <w:r>
        <w:rPr>
          <w:snapToGrid w:val="0"/>
          <w:lang w:eastAsia="zh-CN"/>
        </w:rPr>
        <w:t>。发包人和承包人共同达成如下协议。</w:t>
      </w:r>
    </w:p>
    <w:p w14:paraId="77B91B3C">
      <w:pPr>
        <w:ind w:firstLine="420" w:firstLineChars="200"/>
        <w:rPr>
          <w:snapToGrid w:val="0"/>
          <w:szCs w:val="21"/>
          <w:lang w:eastAsia="zh-CN"/>
        </w:rPr>
      </w:pPr>
      <w:r>
        <w:rPr>
          <w:snapToGrid w:val="0"/>
          <w:szCs w:val="21"/>
          <w:lang w:eastAsia="zh-CN"/>
        </w:rPr>
        <w:t>1．本协议书与下列文件一起构成合同文件：</w:t>
      </w:r>
    </w:p>
    <w:p w14:paraId="5AFAAB02">
      <w:pPr>
        <w:ind w:firstLine="420" w:firstLineChars="200"/>
        <w:rPr>
          <w:snapToGrid w:val="0"/>
          <w:szCs w:val="21"/>
          <w:lang w:eastAsia="zh-CN"/>
        </w:rPr>
      </w:pPr>
      <w:r>
        <w:rPr>
          <w:snapToGrid w:val="0"/>
          <w:szCs w:val="21"/>
          <w:lang w:eastAsia="zh-CN"/>
        </w:rPr>
        <w:t xml:space="preserve">（1） </w:t>
      </w:r>
      <w:r>
        <w:rPr>
          <w:rFonts w:hint="eastAsia"/>
          <w:snapToGrid w:val="0"/>
          <w:szCs w:val="21"/>
          <w:lang w:eastAsia="zh-CN"/>
        </w:rPr>
        <w:t>成交</w:t>
      </w:r>
      <w:r>
        <w:rPr>
          <w:snapToGrid w:val="0"/>
          <w:szCs w:val="21"/>
          <w:lang w:eastAsia="zh-CN"/>
        </w:rPr>
        <w:t>通知书；</w:t>
      </w:r>
    </w:p>
    <w:p w14:paraId="1A244CC5">
      <w:pPr>
        <w:ind w:firstLine="420" w:firstLineChars="200"/>
        <w:rPr>
          <w:snapToGrid w:val="0"/>
          <w:szCs w:val="21"/>
          <w:lang w:eastAsia="zh-CN"/>
        </w:rPr>
      </w:pPr>
      <w:r>
        <w:rPr>
          <w:snapToGrid w:val="0"/>
          <w:szCs w:val="21"/>
          <w:lang w:eastAsia="zh-CN"/>
        </w:rPr>
        <w:t xml:space="preserve">（2） </w:t>
      </w:r>
      <w:r>
        <w:rPr>
          <w:rFonts w:hint="eastAsia"/>
          <w:snapToGrid w:val="0"/>
          <w:szCs w:val="21"/>
          <w:lang w:eastAsia="zh-CN"/>
        </w:rPr>
        <w:t>交易响应</w:t>
      </w:r>
      <w:r>
        <w:rPr>
          <w:snapToGrid w:val="0"/>
          <w:szCs w:val="21"/>
          <w:lang w:eastAsia="zh-CN"/>
        </w:rPr>
        <w:t>函及</w:t>
      </w:r>
      <w:r>
        <w:rPr>
          <w:rFonts w:hint="eastAsia"/>
          <w:snapToGrid w:val="0"/>
          <w:szCs w:val="21"/>
          <w:lang w:eastAsia="zh-CN"/>
        </w:rPr>
        <w:t>交易响应</w:t>
      </w:r>
      <w:r>
        <w:rPr>
          <w:snapToGrid w:val="0"/>
          <w:szCs w:val="21"/>
          <w:lang w:eastAsia="zh-CN"/>
        </w:rPr>
        <w:t>函附录；</w:t>
      </w:r>
    </w:p>
    <w:p w14:paraId="21E11169">
      <w:pPr>
        <w:ind w:firstLine="420" w:firstLineChars="200"/>
        <w:rPr>
          <w:snapToGrid w:val="0"/>
          <w:szCs w:val="21"/>
          <w:lang w:eastAsia="zh-CN"/>
        </w:rPr>
      </w:pPr>
      <w:r>
        <w:rPr>
          <w:snapToGrid w:val="0"/>
          <w:szCs w:val="21"/>
          <w:lang w:eastAsia="zh-CN"/>
        </w:rPr>
        <w:t>（3） 专用合同条款；</w:t>
      </w:r>
    </w:p>
    <w:p w14:paraId="0271BB95">
      <w:pPr>
        <w:ind w:firstLine="420" w:firstLineChars="200"/>
        <w:rPr>
          <w:snapToGrid w:val="0"/>
          <w:szCs w:val="21"/>
          <w:lang w:eastAsia="zh-CN"/>
        </w:rPr>
      </w:pPr>
      <w:r>
        <w:rPr>
          <w:snapToGrid w:val="0"/>
          <w:szCs w:val="21"/>
          <w:lang w:eastAsia="zh-CN"/>
        </w:rPr>
        <w:t>（4） 通用合同条款；</w:t>
      </w:r>
    </w:p>
    <w:p w14:paraId="34BAD8E0">
      <w:pPr>
        <w:ind w:firstLine="420" w:firstLineChars="200"/>
        <w:rPr>
          <w:snapToGrid w:val="0"/>
          <w:szCs w:val="21"/>
          <w:lang w:eastAsia="zh-CN"/>
        </w:rPr>
      </w:pPr>
      <w:r>
        <w:rPr>
          <w:snapToGrid w:val="0"/>
          <w:szCs w:val="21"/>
          <w:lang w:eastAsia="zh-CN"/>
        </w:rPr>
        <w:t>（5） 技术标准和要求（合同技术条款）；</w:t>
      </w:r>
    </w:p>
    <w:p w14:paraId="00240D68">
      <w:pPr>
        <w:ind w:firstLine="420" w:firstLineChars="200"/>
        <w:rPr>
          <w:snapToGrid w:val="0"/>
          <w:szCs w:val="21"/>
          <w:lang w:eastAsia="zh-CN"/>
        </w:rPr>
      </w:pPr>
      <w:r>
        <w:rPr>
          <w:snapToGrid w:val="0"/>
          <w:szCs w:val="21"/>
          <w:lang w:eastAsia="zh-CN"/>
        </w:rPr>
        <w:t>（6） 图纸；</w:t>
      </w:r>
    </w:p>
    <w:p w14:paraId="44D84755">
      <w:pPr>
        <w:ind w:firstLine="420" w:firstLineChars="200"/>
        <w:rPr>
          <w:snapToGrid w:val="0"/>
          <w:szCs w:val="21"/>
          <w:lang w:eastAsia="zh-CN"/>
        </w:rPr>
      </w:pPr>
      <w:r>
        <w:rPr>
          <w:snapToGrid w:val="0"/>
          <w:szCs w:val="21"/>
          <w:lang w:eastAsia="zh-CN"/>
        </w:rPr>
        <w:t>（7） 已标价工程量清单；</w:t>
      </w:r>
    </w:p>
    <w:p w14:paraId="551E9230">
      <w:pPr>
        <w:ind w:firstLine="420" w:firstLineChars="200"/>
        <w:rPr>
          <w:snapToGrid w:val="0"/>
          <w:szCs w:val="21"/>
          <w:lang w:eastAsia="zh-CN"/>
        </w:rPr>
      </w:pPr>
      <w:r>
        <w:rPr>
          <w:snapToGrid w:val="0"/>
          <w:szCs w:val="21"/>
          <w:lang w:eastAsia="zh-CN"/>
        </w:rPr>
        <w:t>（8）</w:t>
      </w:r>
      <w:r>
        <w:rPr>
          <w:snapToGrid w:val="0"/>
          <w:szCs w:val="24"/>
          <w:lang w:eastAsia="zh-CN"/>
        </w:rPr>
        <w:t xml:space="preserve"> 其它合同文件</w:t>
      </w:r>
      <w:r>
        <w:rPr>
          <w:snapToGrid w:val="0"/>
          <w:szCs w:val="21"/>
          <w:lang w:eastAsia="zh-CN"/>
        </w:rPr>
        <w:t>。</w:t>
      </w:r>
    </w:p>
    <w:p w14:paraId="0845AF02">
      <w:pPr>
        <w:ind w:firstLine="420" w:firstLineChars="200"/>
        <w:rPr>
          <w:snapToGrid w:val="0"/>
          <w:szCs w:val="21"/>
          <w:lang w:eastAsia="zh-CN"/>
        </w:rPr>
      </w:pPr>
      <w:r>
        <w:rPr>
          <w:snapToGrid w:val="0"/>
          <w:szCs w:val="21"/>
          <w:lang w:eastAsia="zh-CN"/>
        </w:rPr>
        <w:t>2．上述文件互相补充和解释，如有不明确或不一致之处，以合同约定次序在先者为准。</w:t>
      </w:r>
    </w:p>
    <w:p w14:paraId="3326DF0F">
      <w:pPr>
        <w:ind w:firstLine="420" w:firstLineChars="200"/>
        <w:rPr>
          <w:snapToGrid w:val="0"/>
          <w:szCs w:val="21"/>
          <w:lang w:eastAsia="zh-CN"/>
        </w:rPr>
      </w:pPr>
      <w:r>
        <w:rPr>
          <w:snapToGrid w:val="0"/>
          <w:szCs w:val="21"/>
          <w:lang w:eastAsia="zh-CN"/>
        </w:rPr>
        <w:t>3．签约合同价：人民币（大写）元（￥）。</w:t>
      </w:r>
    </w:p>
    <w:p w14:paraId="062A8A3D">
      <w:pPr>
        <w:ind w:firstLine="420" w:firstLineChars="200"/>
        <w:rPr>
          <w:snapToGrid w:val="0"/>
          <w:szCs w:val="21"/>
          <w:u w:val="single"/>
          <w:lang w:eastAsia="zh-CN"/>
        </w:rPr>
      </w:pPr>
      <w:r>
        <w:rPr>
          <w:snapToGrid w:val="0"/>
          <w:szCs w:val="21"/>
          <w:lang w:eastAsia="zh-CN"/>
        </w:rPr>
        <w:t>4．承包人项目负责人：，项目技术负责人：。</w:t>
      </w:r>
    </w:p>
    <w:p w14:paraId="2034ADBA">
      <w:pPr>
        <w:ind w:firstLine="420" w:firstLineChars="200"/>
        <w:rPr>
          <w:snapToGrid w:val="0"/>
          <w:szCs w:val="21"/>
          <w:lang w:eastAsia="zh-CN"/>
        </w:rPr>
      </w:pPr>
      <w:r>
        <w:rPr>
          <w:snapToGrid w:val="0"/>
          <w:szCs w:val="21"/>
          <w:lang w:eastAsia="zh-CN"/>
        </w:rPr>
        <w:t>5．工程质量符合标准。</w:t>
      </w:r>
    </w:p>
    <w:p w14:paraId="6A9727AE">
      <w:pPr>
        <w:ind w:firstLine="420" w:firstLineChars="200"/>
        <w:rPr>
          <w:snapToGrid w:val="0"/>
          <w:szCs w:val="21"/>
          <w:lang w:eastAsia="zh-CN"/>
        </w:rPr>
      </w:pPr>
      <w:r>
        <w:rPr>
          <w:snapToGrid w:val="0"/>
          <w:szCs w:val="21"/>
          <w:lang w:eastAsia="zh-CN"/>
        </w:rPr>
        <w:t>6．承包人承诺按合同约定承担工程的实施、完成及缺陷修复。</w:t>
      </w:r>
    </w:p>
    <w:p w14:paraId="134F5CFD">
      <w:pPr>
        <w:ind w:firstLine="420" w:firstLineChars="200"/>
        <w:rPr>
          <w:snapToGrid w:val="0"/>
          <w:szCs w:val="21"/>
          <w:lang w:eastAsia="zh-CN"/>
        </w:rPr>
      </w:pPr>
      <w:r>
        <w:rPr>
          <w:snapToGrid w:val="0"/>
          <w:szCs w:val="21"/>
          <w:lang w:eastAsia="zh-CN"/>
        </w:rPr>
        <w:t>7．发包人承诺按合同约定的条件、时间和方式向承包人支付合同价款。</w:t>
      </w:r>
    </w:p>
    <w:p w14:paraId="34B42D3E">
      <w:pPr>
        <w:ind w:firstLine="420" w:firstLineChars="200"/>
        <w:rPr>
          <w:snapToGrid w:val="0"/>
          <w:szCs w:val="21"/>
          <w:lang w:eastAsia="zh-CN"/>
        </w:rPr>
      </w:pPr>
      <w:r>
        <w:rPr>
          <w:snapToGrid w:val="0"/>
          <w:szCs w:val="21"/>
          <w:lang w:eastAsia="zh-CN"/>
        </w:rPr>
        <w:t>8．承包人承诺执行监理人开工通知，计划工期为个月</w:t>
      </w:r>
      <w:r>
        <w:rPr>
          <w:rFonts w:eastAsia="华文隶书"/>
          <w:snapToGrid w:val="0"/>
          <w:szCs w:val="21"/>
          <w:lang w:eastAsia="zh-CN"/>
        </w:rPr>
        <w:t>（日历天）</w:t>
      </w:r>
      <w:r>
        <w:rPr>
          <w:snapToGrid w:val="0"/>
          <w:szCs w:val="21"/>
          <w:lang w:eastAsia="zh-CN"/>
        </w:rPr>
        <w:t>。</w:t>
      </w:r>
    </w:p>
    <w:p w14:paraId="0565DA6E">
      <w:pPr>
        <w:ind w:firstLine="420" w:firstLineChars="200"/>
        <w:rPr>
          <w:snapToGrid w:val="0"/>
          <w:szCs w:val="21"/>
          <w:lang w:eastAsia="zh-CN"/>
        </w:rPr>
      </w:pPr>
      <w:r>
        <w:rPr>
          <w:snapToGrid w:val="0"/>
          <w:szCs w:val="21"/>
          <w:lang w:eastAsia="zh-CN"/>
        </w:rPr>
        <w:t>9．本协议书正本一式</w:t>
      </w:r>
      <w:r>
        <w:rPr>
          <w:snapToGrid w:val="0"/>
          <w:szCs w:val="21"/>
          <w:u w:val="single"/>
          <w:lang w:eastAsia="zh-CN"/>
        </w:rPr>
        <w:t xml:space="preserve"> 贰 </w:t>
      </w:r>
      <w:r>
        <w:rPr>
          <w:snapToGrid w:val="0"/>
          <w:szCs w:val="21"/>
          <w:lang w:eastAsia="zh-CN"/>
        </w:rPr>
        <w:t>份，合同双方各执</w:t>
      </w:r>
      <w:r>
        <w:rPr>
          <w:snapToGrid w:val="0"/>
          <w:szCs w:val="21"/>
          <w:u w:val="single"/>
          <w:lang w:eastAsia="zh-CN"/>
        </w:rPr>
        <w:t xml:space="preserve"> 壹 </w:t>
      </w:r>
      <w:r>
        <w:rPr>
          <w:snapToGrid w:val="0"/>
          <w:szCs w:val="21"/>
          <w:lang w:eastAsia="zh-CN"/>
        </w:rPr>
        <w:t>份，副本份，双方各执份。</w:t>
      </w:r>
    </w:p>
    <w:p w14:paraId="7D485E03">
      <w:pPr>
        <w:ind w:firstLine="420" w:firstLineChars="200"/>
        <w:rPr>
          <w:snapToGrid w:val="0"/>
          <w:szCs w:val="21"/>
          <w:lang w:eastAsia="zh-CN"/>
        </w:rPr>
      </w:pPr>
      <w:r>
        <w:rPr>
          <w:snapToGrid w:val="0"/>
          <w:szCs w:val="21"/>
          <w:lang w:eastAsia="zh-CN"/>
        </w:rPr>
        <w:t>10．合同未尽事宜，双方另行签订补充协议。补充协议是合同的组成部分。</w:t>
      </w:r>
    </w:p>
    <w:p w14:paraId="7DF24883">
      <w:pPr>
        <w:rPr>
          <w:snapToGrid w:val="0"/>
          <w:szCs w:val="21"/>
          <w:u w:val="single"/>
          <w:lang w:eastAsia="zh-CN"/>
        </w:rPr>
      </w:pPr>
      <w:r>
        <w:rPr>
          <w:snapToGrid w:val="0"/>
          <w:spacing w:val="131"/>
          <w:kern w:val="0"/>
          <w:szCs w:val="21"/>
          <w:fitText w:val="1155" w:id="388835727"/>
          <w:lang w:eastAsia="zh-CN"/>
        </w:rPr>
        <w:t>发包</w:t>
      </w:r>
      <w:r>
        <w:rPr>
          <w:snapToGrid w:val="0"/>
          <w:spacing w:val="0"/>
          <w:kern w:val="0"/>
          <w:szCs w:val="21"/>
          <w:fitText w:val="1155" w:id="388835727"/>
          <w:lang w:eastAsia="zh-CN"/>
        </w:rPr>
        <w:t>人</w:t>
      </w:r>
      <w:r>
        <w:rPr>
          <w:snapToGrid w:val="0"/>
          <w:szCs w:val="21"/>
          <w:lang w:eastAsia="zh-CN"/>
        </w:rPr>
        <w:t>：</w:t>
      </w:r>
      <w:r>
        <w:rPr>
          <w:snapToGrid w:val="0"/>
          <w:szCs w:val="21"/>
          <w:u w:val="single"/>
          <w:lang w:eastAsia="zh-CN"/>
        </w:rPr>
        <w:t xml:space="preserve">   （盖单位章）   </w:t>
      </w:r>
      <w:r>
        <w:rPr>
          <w:snapToGrid w:val="0"/>
          <w:spacing w:val="131"/>
          <w:kern w:val="0"/>
          <w:szCs w:val="21"/>
          <w:fitText w:val="1155" w:id="640318926"/>
          <w:lang w:eastAsia="zh-CN"/>
        </w:rPr>
        <w:t>承包</w:t>
      </w:r>
      <w:r>
        <w:rPr>
          <w:snapToGrid w:val="0"/>
          <w:spacing w:val="0"/>
          <w:kern w:val="0"/>
          <w:szCs w:val="21"/>
          <w:fitText w:val="1155" w:id="640318926"/>
          <w:lang w:eastAsia="zh-CN"/>
        </w:rPr>
        <w:t>人</w:t>
      </w:r>
      <w:r>
        <w:rPr>
          <w:snapToGrid w:val="0"/>
          <w:szCs w:val="21"/>
          <w:lang w:eastAsia="zh-CN"/>
        </w:rPr>
        <w:t>：</w:t>
      </w:r>
      <w:r>
        <w:rPr>
          <w:snapToGrid w:val="0"/>
          <w:szCs w:val="21"/>
          <w:u w:val="single"/>
          <w:lang w:eastAsia="zh-CN"/>
        </w:rPr>
        <w:t xml:space="preserve">    （盖单位章）    </w:t>
      </w:r>
    </w:p>
    <w:p w14:paraId="13B9F610">
      <w:pPr>
        <w:rPr>
          <w:snapToGrid w:val="0"/>
          <w:szCs w:val="21"/>
          <w:lang w:eastAsia="zh-CN"/>
        </w:rPr>
      </w:pPr>
      <w:r>
        <w:rPr>
          <w:snapToGrid w:val="0"/>
          <w:spacing w:val="13"/>
          <w:kern w:val="0"/>
          <w:szCs w:val="21"/>
          <w:fitText w:val="1155" w:id="1082464329"/>
          <w:lang w:eastAsia="zh-CN"/>
        </w:rPr>
        <w:t>法定代表</w:t>
      </w:r>
      <w:r>
        <w:rPr>
          <w:snapToGrid w:val="0"/>
          <w:spacing w:val="0"/>
          <w:kern w:val="0"/>
          <w:szCs w:val="21"/>
          <w:fitText w:val="1155" w:id="1082464329"/>
          <w:lang w:eastAsia="zh-CN"/>
        </w:rPr>
        <w:t>人</w:t>
      </w:r>
      <w:r>
        <w:rPr>
          <w:snapToGrid w:val="0"/>
          <w:spacing w:val="1"/>
          <w:w w:val="78"/>
          <w:kern w:val="0"/>
          <w:szCs w:val="21"/>
          <w:fitText w:val="1155" w:id="1633831799"/>
          <w:lang w:eastAsia="zh-CN"/>
        </w:rPr>
        <w:t>或其委托代理</w:t>
      </w:r>
      <w:r>
        <w:rPr>
          <w:snapToGrid w:val="0"/>
          <w:spacing w:val="3"/>
          <w:w w:val="78"/>
          <w:kern w:val="0"/>
          <w:szCs w:val="21"/>
          <w:fitText w:val="1155" w:id="1633831799"/>
          <w:lang w:eastAsia="zh-CN"/>
        </w:rPr>
        <w:t>人</w:t>
      </w:r>
      <w:r>
        <w:rPr>
          <w:snapToGrid w:val="0"/>
          <w:szCs w:val="21"/>
          <w:lang w:eastAsia="zh-CN"/>
        </w:rPr>
        <w:t>：</w:t>
      </w:r>
      <w:r>
        <w:rPr>
          <w:rFonts w:hint="eastAsia"/>
          <w:snapToGrid w:val="0"/>
          <w:szCs w:val="21"/>
          <w:u w:val="single"/>
          <w:lang w:eastAsia="zh-CN"/>
        </w:rPr>
        <w:t>（盖章或签字）</w:t>
      </w:r>
      <w:r>
        <w:rPr>
          <w:snapToGrid w:val="0"/>
          <w:spacing w:val="13"/>
          <w:kern w:val="0"/>
          <w:szCs w:val="21"/>
          <w:fitText w:val="1155" w:id="46167628"/>
          <w:lang w:eastAsia="zh-CN"/>
        </w:rPr>
        <w:t>法定代表</w:t>
      </w:r>
      <w:r>
        <w:rPr>
          <w:snapToGrid w:val="0"/>
          <w:spacing w:val="0"/>
          <w:kern w:val="0"/>
          <w:szCs w:val="21"/>
          <w:fitText w:val="1155" w:id="46167628"/>
          <w:lang w:eastAsia="zh-CN"/>
        </w:rPr>
        <w:t>人</w:t>
      </w:r>
      <w:r>
        <w:rPr>
          <w:snapToGrid w:val="0"/>
          <w:spacing w:val="1"/>
          <w:w w:val="78"/>
          <w:kern w:val="0"/>
          <w:szCs w:val="21"/>
          <w:fitText w:val="1155" w:id="1642221119"/>
          <w:lang w:eastAsia="zh-CN"/>
        </w:rPr>
        <w:t>或其委托代理</w:t>
      </w:r>
      <w:r>
        <w:rPr>
          <w:snapToGrid w:val="0"/>
          <w:spacing w:val="3"/>
          <w:w w:val="78"/>
          <w:kern w:val="0"/>
          <w:szCs w:val="21"/>
          <w:fitText w:val="1155" w:id="1642221119"/>
          <w:lang w:eastAsia="zh-CN"/>
        </w:rPr>
        <w:t>人</w:t>
      </w:r>
      <w:r>
        <w:rPr>
          <w:snapToGrid w:val="0"/>
          <w:szCs w:val="21"/>
          <w:lang w:eastAsia="zh-CN"/>
        </w:rPr>
        <w:t>：</w:t>
      </w:r>
      <w:r>
        <w:rPr>
          <w:rFonts w:hint="eastAsia"/>
          <w:snapToGrid w:val="0"/>
          <w:szCs w:val="21"/>
          <w:u w:val="single"/>
          <w:lang w:eastAsia="zh-CN"/>
        </w:rPr>
        <w:t>（盖章或签字）</w:t>
      </w:r>
    </w:p>
    <w:p w14:paraId="271CA13E">
      <w:pPr>
        <w:pStyle w:val="8"/>
        <w:adjustRightInd w:val="0"/>
        <w:ind w:firstLine="720" w:firstLineChars="300"/>
        <w:rPr>
          <w:rFonts w:ascii="Times New Roman" w:hAnsi="Times New Roman"/>
          <w:snapToGrid w:val="0"/>
          <w:sz w:val="24"/>
          <w:szCs w:val="24"/>
          <w:lang w:eastAsia="zh-CN"/>
        </w:rPr>
      </w:pPr>
      <w:r>
        <w:rPr>
          <w:rFonts w:ascii="Times New Roman" w:hAnsi="Times New Roman"/>
          <w:snapToGrid w:val="0"/>
          <w:sz w:val="24"/>
          <w:szCs w:val="24"/>
          <w:lang w:eastAsia="zh-CN"/>
        </w:rPr>
        <w:t>年月日                        年月日</w:t>
      </w:r>
    </w:p>
    <w:p w14:paraId="201B9974">
      <w:pPr>
        <w:pStyle w:val="4"/>
        <w:spacing w:before="0"/>
        <w:rPr>
          <w:rFonts w:eastAsia="宋体"/>
          <w:snapToGrid w:val="0"/>
          <w:lang w:eastAsia="zh-CN"/>
        </w:rPr>
      </w:pPr>
      <w:bookmarkStart w:id="325" w:name="_Toc362883303"/>
      <w:bookmarkStart w:id="326" w:name="_Toc370459079"/>
    </w:p>
    <w:p w14:paraId="1A96128B">
      <w:pPr>
        <w:pStyle w:val="4"/>
        <w:spacing w:before="0"/>
        <w:rPr>
          <w:rFonts w:eastAsia="宋体"/>
          <w:snapToGrid w:val="0"/>
          <w:lang w:eastAsia="zh-CN"/>
        </w:rPr>
      </w:pPr>
      <w:r>
        <w:rPr>
          <w:rFonts w:eastAsia="宋体"/>
          <w:snapToGrid w:val="0"/>
          <w:lang w:eastAsia="zh-CN"/>
        </w:rPr>
        <w:t>附件二  履约担保</w:t>
      </w:r>
      <w:bookmarkEnd w:id="325"/>
      <w:bookmarkEnd w:id="326"/>
    </w:p>
    <w:p w14:paraId="17968ADE">
      <w:pPr>
        <w:jc w:val="center"/>
        <w:rPr>
          <w:b/>
          <w:bCs/>
          <w:snapToGrid w:val="0"/>
          <w:sz w:val="30"/>
          <w:szCs w:val="30"/>
          <w:lang w:eastAsia="zh-CN"/>
        </w:rPr>
      </w:pPr>
      <w:r>
        <w:rPr>
          <w:b/>
          <w:bCs/>
          <w:snapToGrid w:val="0"/>
          <w:sz w:val="30"/>
          <w:szCs w:val="30"/>
          <w:lang w:eastAsia="zh-CN"/>
        </w:rPr>
        <w:t>履 约 担 保</w:t>
      </w:r>
    </w:p>
    <w:p w14:paraId="5051CD7D">
      <w:pPr>
        <w:rPr>
          <w:snapToGrid w:val="0"/>
          <w:szCs w:val="21"/>
          <w:u w:val="single"/>
          <w:lang w:eastAsia="zh-CN"/>
        </w:rPr>
      </w:pPr>
    </w:p>
    <w:p w14:paraId="4796107C">
      <w:pPr>
        <w:rPr>
          <w:snapToGrid w:val="0"/>
          <w:szCs w:val="21"/>
          <w:lang w:eastAsia="zh-CN"/>
        </w:rPr>
      </w:pPr>
      <w:r>
        <w:rPr>
          <w:snapToGrid w:val="0"/>
          <w:szCs w:val="21"/>
          <w:lang w:eastAsia="zh-CN"/>
        </w:rPr>
        <w:t xml:space="preserve">（发包人名称）： </w:t>
      </w:r>
    </w:p>
    <w:p w14:paraId="4ED92825">
      <w:pPr>
        <w:ind w:firstLine="420" w:firstLineChars="200"/>
        <w:rPr>
          <w:snapToGrid w:val="0"/>
          <w:szCs w:val="21"/>
          <w:lang w:eastAsia="zh-CN"/>
        </w:rPr>
      </w:pPr>
      <w:r>
        <w:rPr>
          <w:snapToGrid w:val="0"/>
          <w:szCs w:val="21"/>
          <w:lang w:eastAsia="zh-CN"/>
        </w:rPr>
        <w:t>鉴于（发包人名称，以下简称“发包人</w:t>
      </w:r>
      <w:r>
        <w:rPr>
          <w:snapToGrid w:val="0"/>
          <w:lang w:eastAsia="zh-CN"/>
        </w:rPr>
        <w:t>”）</w:t>
      </w:r>
      <w:r>
        <w:rPr>
          <w:snapToGrid w:val="0"/>
          <w:szCs w:val="21"/>
          <w:lang w:eastAsia="zh-CN"/>
        </w:rPr>
        <w:t>接受（承包人名称，以下称“承包人</w:t>
      </w:r>
      <w:r>
        <w:rPr>
          <w:snapToGrid w:val="0"/>
          <w:lang w:eastAsia="zh-CN"/>
        </w:rPr>
        <w:t>”</w:t>
      </w:r>
      <w:r>
        <w:rPr>
          <w:snapToGrid w:val="0"/>
          <w:szCs w:val="21"/>
          <w:lang w:eastAsia="zh-CN"/>
        </w:rPr>
        <w:t>）于年</w:t>
      </w:r>
      <w:r>
        <w:rPr>
          <w:snapToGrid w:val="0"/>
          <w:szCs w:val="21"/>
          <w:u w:val="single"/>
          <w:lang w:eastAsia="zh-CN"/>
        </w:rPr>
        <w:t xml:space="preserve">＿ </w:t>
      </w:r>
      <w:r>
        <w:rPr>
          <w:snapToGrid w:val="0"/>
          <w:szCs w:val="21"/>
          <w:lang w:eastAsia="zh-CN"/>
        </w:rPr>
        <w:t>月</w:t>
      </w:r>
      <w:r>
        <w:rPr>
          <w:snapToGrid w:val="0"/>
          <w:szCs w:val="21"/>
          <w:u w:val="single"/>
          <w:lang w:eastAsia="zh-CN"/>
        </w:rPr>
        <w:t xml:space="preserve">＿ </w:t>
      </w:r>
      <w:r>
        <w:rPr>
          <w:snapToGrid w:val="0"/>
          <w:szCs w:val="21"/>
          <w:lang w:eastAsia="zh-CN"/>
        </w:rPr>
        <w:t>日递交的（项目名称）（标段名称）的</w:t>
      </w:r>
      <w:r>
        <w:rPr>
          <w:rFonts w:hint="eastAsia"/>
          <w:snapToGrid w:val="0"/>
          <w:szCs w:val="21"/>
          <w:lang w:eastAsia="zh-CN"/>
        </w:rPr>
        <w:t>交易响应</w:t>
      </w:r>
      <w:r>
        <w:rPr>
          <w:snapToGrid w:val="0"/>
          <w:szCs w:val="21"/>
          <w:lang w:eastAsia="zh-CN"/>
        </w:rPr>
        <w:t>文件。我方愿意无条件地、不可撤销地就承包人履行与你方订立的合同，向你方提供担保。</w:t>
      </w:r>
    </w:p>
    <w:p w14:paraId="6BB43052">
      <w:pPr>
        <w:ind w:firstLine="420" w:firstLineChars="200"/>
        <w:rPr>
          <w:snapToGrid w:val="0"/>
          <w:szCs w:val="21"/>
          <w:lang w:eastAsia="zh-CN"/>
        </w:rPr>
      </w:pPr>
      <w:r>
        <w:rPr>
          <w:snapToGrid w:val="0"/>
          <w:szCs w:val="21"/>
          <w:lang w:eastAsia="zh-CN"/>
        </w:rPr>
        <w:t>1．担保金额人民币（大写）元（￥）。</w:t>
      </w:r>
    </w:p>
    <w:p w14:paraId="4F7D0DF3">
      <w:pPr>
        <w:ind w:firstLine="420" w:firstLineChars="200"/>
        <w:rPr>
          <w:snapToGrid w:val="0"/>
          <w:szCs w:val="21"/>
          <w:lang w:eastAsia="zh-CN"/>
        </w:rPr>
      </w:pPr>
      <w:r>
        <w:rPr>
          <w:snapToGrid w:val="0"/>
          <w:szCs w:val="21"/>
          <w:lang w:eastAsia="zh-CN"/>
        </w:rPr>
        <w:t>2．担保有效期自发包人与承包人签订的合同生效之日起至发包人签发合同工程完工证书之日止。</w:t>
      </w:r>
    </w:p>
    <w:p w14:paraId="67FA304D">
      <w:pPr>
        <w:ind w:firstLine="420" w:firstLineChars="200"/>
        <w:rPr>
          <w:snapToGrid w:val="0"/>
          <w:szCs w:val="21"/>
          <w:lang w:eastAsia="zh-CN"/>
        </w:rPr>
      </w:pPr>
      <w:r>
        <w:rPr>
          <w:snapToGrid w:val="0"/>
          <w:szCs w:val="21"/>
          <w:lang w:eastAsia="zh-CN"/>
        </w:rPr>
        <w:t>3．在本担保有效期内，因承包人违反合同约定的义务给你方造成经济损失时，我方在收到你方以书面形式提出的在担保金额内的赔偿要求后，无条件地在7天内予以支付。</w:t>
      </w:r>
    </w:p>
    <w:p w14:paraId="3A8EF9AE">
      <w:pPr>
        <w:ind w:firstLine="420" w:firstLineChars="200"/>
        <w:rPr>
          <w:snapToGrid w:val="0"/>
          <w:szCs w:val="21"/>
          <w:lang w:eastAsia="zh-CN"/>
        </w:rPr>
      </w:pPr>
      <w:r>
        <w:rPr>
          <w:snapToGrid w:val="0"/>
          <w:szCs w:val="21"/>
          <w:lang w:eastAsia="zh-CN"/>
        </w:rPr>
        <w:t>4．发包人和承包人按《通用合同条款》第15条变更合同时，我方承担本担保规定的义务不变。</w:t>
      </w:r>
    </w:p>
    <w:p w14:paraId="05E4762E">
      <w:pPr>
        <w:ind w:firstLine="420" w:firstLineChars="200"/>
        <w:rPr>
          <w:snapToGrid w:val="0"/>
          <w:szCs w:val="21"/>
          <w:lang w:eastAsia="zh-CN"/>
        </w:rPr>
      </w:pPr>
    </w:p>
    <w:p w14:paraId="0AED38ED">
      <w:pPr>
        <w:ind w:firstLine="420" w:firstLineChars="200"/>
        <w:rPr>
          <w:snapToGrid w:val="0"/>
          <w:szCs w:val="21"/>
          <w:lang w:eastAsia="zh-CN"/>
        </w:rPr>
      </w:pPr>
    </w:p>
    <w:p w14:paraId="3030249C">
      <w:pPr>
        <w:ind w:firstLine="3045" w:firstLineChars="1450"/>
        <w:rPr>
          <w:snapToGrid w:val="0"/>
          <w:szCs w:val="21"/>
          <w:lang w:eastAsia="zh-CN"/>
        </w:rPr>
      </w:pPr>
      <w:r>
        <w:rPr>
          <w:snapToGrid w:val="0"/>
          <w:szCs w:val="21"/>
          <w:lang w:eastAsia="zh-CN"/>
        </w:rPr>
        <w:t>担保人：（盖单位章）</w:t>
      </w:r>
    </w:p>
    <w:p w14:paraId="635303CA">
      <w:pPr>
        <w:ind w:firstLine="420" w:firstLineChars="200"/>
        <w:rPr>
          <w:snapToGrid w:val="0"/>
          <w:szCs w:val="21"/>
          <w:lang w:eastAsia="zh-CN"/>
        </w:rPr>
      </w:pPr>
    </w:p>
    <w:p w14:paraId="5E5A4CC3">
      <w:pPr>
        <w:ind w:firstLine="2902" w:firstLineChars="1382"/>
        <w:rPr>
          <w:snapToGrid w:val="0"/>
          <w:szCs w:val="21"/>
          <w:lang w:eastAsia="zh-CN"/>
        </w:rPr>
      </w:pPr>
      <w:r>
        <w:rPr>
          <w:snapToGrid w:val="0"/>
          <w:szCs w:val="21"/>
          <w:lang w:eastAsia="zh-CN"/>
        </w:rPr>
        <w:t>法定代表人或其委托代理人：</w:t>
      </w:r>
      <w:r>
        <w:rPr>
          <w:rFonts w:hint="eastAsia"/>
          <w:snapToGrid w:val="0"/>
          <w:szCs w:val="21"/>
          <w:lang w:eastAsia="zh-CN"/>
        </w:rPr>
        <w:t>（盖章或签字）</w:t>
      </w:r>
    </w:p>
    <w:p w14:paraId="314CC19F">
      <w:pPr>
        <w:ind w:firstLine="420" w:firstLineChars="200"/>
        <w:rPr>
          <w:snapToGrid w:val="0"/>
          <w:szCs w:val="21"/>
          <w:lang w:eastAsia="zh-CN"/>
        </w:rPr>
      </w:pPr>
    </w:p>
    <w:p w14:paraId="01828B00">
      <w:pPr>
        <w:ind w:firstLine="3045" w:firstLineChars="1450"/>
        <w:rPr>
          <w:snapToGrid w:val="0"/>
          <w:szCs w:val="21"/>
          <w:lang w:eastAsia="zh-CN"/>
        </w:rPr>
      </w:pPr>
      <w:r>
        <w:rPr>
          <w:snapToGrid w:val="0"/>
          <w:szCs w:val="21"/>
          <w:lang w:eastAsia="zh-CN"/>
        </w:rPr>
        <w:t>地    址：</w:t>
      </w:r>
    </w:p>
    <w:p w14:paraId="56CD80E2">
      <w:pPr>
        <w:ind w:firstLine="3045" w:firstLineChars="1450"/>
        <w:rPr>
          <w:snapToGrid w:val="0"/>
          <w:szCs w:val="21"/>
          <w:lang w:eastAsia="zh-CN"/>
        </w:rPr>
      </w:pPr>
      <w:r>
        <w:rPr>
          <w:snapToGrid w:val="0"/>
          <w:szCs w:val="21"/>
          <w:lang w:eastAsia="zh-CN"/>
        </w:rPr>
        <w:t>邮政编码：</w:t>
      </w:r>
    </w:p>
    <w:p w14:paraId="46A7BDAB">
      <w:pPr>
        <w:ind w:firstLine="3045" w:firstLineChars="1450"/>
        <w:rPr>
          <w:snapToGrid w:val="0"/>
          <w:szCs w:val="21"/>
          <w:lang w:eastAsia="zh-CN"/>
        </w:rPr>
      </w:pPr>
      <w:r>
        <w:rPr>
          <w:snapToGrid w:val="0"/>
          <w:szCs w:val="21"/>
          <w:lang w:eastAsia="zh-CN"/>
        </w:rPr>
        <w:t>电    话：</w:t>
      </w:r>
    </w:p>
    <w:p w14:paraId="429D0808">
      <w:pPr>
        <w:ind w:firstLine="3045" w:firstLineChars="1450"/>
        <w:rPr>
          <w:snapToGrid w:val="0"/>
          <w:szCs w:val="21"/>
          <w:lang w:eastAsia="zh-CN"/>
        </w:rPr>
      </w:pPr>
      <w:r>
        <w:rPr>
          <w:snapToGrid w:val="0"/>
          <w:szCs w:val="21"/>
          <w:lang w:eastAsia="zh-CN"/>
        </w:rPr>
        <w:t>传    真：</w:t>
      </w:r>
    </w:p>
    <w:p w14:paraId="2365EE53">
      <w:pPr>
        <w:ind w:firstLine="3885" w:firstLineChars="1850"/>
        <w:rPr>
          <w:snapToGrid w:val="0"/>
          <w:szCs w:val="21"/>
          <w:u w:val="single"/>
          <w:lang w:eastAsia="zh-CN"/>
        </w:rPr>
      </w:pPr>
    </w:p>
    <w:p w14:paraId="17581CFD">
      <w:pPr>
        <w:ind w:firstLine="4105" w:firstLineChars="1955"/>
        <w:rPr>
          <w:snapToGrid w:val="0"/>
          <w:szCs w:val="21"/>
          <w:lang w:eastAsia="zh-CN"/>
        </w:rPr>
      </w:pPr>
      <w:r>
        <w:rPr>
          <w:snapToGrid w:val="0"/>
          <w:szCs w:val="21"/>
          <w:lang w:eastAsia="zh-CN"/>
        </w:rPr>
        <w:t>年月日</w:t>
      </w:r>
    </w:p>
    <w:p w14:paraId="4466098E">
      <w:pPr>
        <w:pStyle w:val="6"/>
        <w:ind w:firstLine="0"/>
        <w:rPr>
          <w:snapToGrid w:val="0"/>
          <w:lang w:eastAsia="zh-CN"/>
        </w:rPr>
      </w:pPr>
      <w:r>
        <w:rPr>
          <w:snapToGrid w:val="0"/>
          <w:lang w:eastAsia="zh-CN"/>
        </w:rPr>
        <w:t>注：委托代理人应附授权委托书。</w:t>
      </w:r>
      <w:bookmarkStart w:id="327" w:name="_Toc370459080"/>
      <w:bookmarkStart w:id="328" w:name="_Toc362883304"/>
    </w:p>
    <w:p w14:paraId="39EAAE21">
      <w:pPr>
        <w:pStyle w:val="6"/>
        <w:ind w:firstLine="0"/>
        <w:rPr>
          <w:snapToGrid w:val="0"/>
          <w:lang w:eastAsia="zh-CN"/>
        </w:rPr>
      </w:pPr>
    </w:p>
    <w:p w14:paraId="7CD7B9E0">
      <w:pPr>
        <w:pStyle w:val="6"/>
        <w:ind w:firstLine="0"/>
        <w:rPr>
          <w:snapToGrid w:val="0"/>
          <w:lang w:eastAsia="zh-CN"/>
        </w:rPr>
      </w:pPr>
    </w:p>
    <w:p w14:paraId="3958E3E6">
      <w:pPr>
        <w:pStyle w:val="4"/>
        <w:spacing w:before="0"/>
        <w:rPr>
          <w:rFonts w:eastAsia="宋体"/>
          <w:snapToGrid w:val="0"/>
          <w:lang w:eastAsia="zh-CN"/>
        </w:rPr>
      </w:pPr>
    </w:p>
    <w:p w14:paraId="6FB5CF15">
      <w:pPr>
        <w:pStyle w:val="4"/>
        <w:spacing w:before="0"/>
        <w:rPr>
          <w:rFonts w:eastAsia="宋体"/>
          <w:snapToGrid w:val="0"/>
          <w:lang w:eastAsia="zh-CN"/>
        </w:rPr>
      </w:pPr>
    </w:p>
    <w:p w14:paraId="0DBBB7D3">
      <w:pPr>
        <w:pStyle w:val="4"/>
        <w:spacing w:before="0"/>
        <w:rPr>
          <w:rFonts w:eastAsia="宋体"/>
          <w:snapToGrid w:val="0"/>
          <w:lang w:eastAsia="zh-CN"/>
        </w:rPr>
      </w:pPr>
      <w:r>
        <w:rPr>
          <w:rFonts w:eastAsia="宋体"/>
          <w:snapToGrid w:val="0"/>
          <w:lang w:eastAsia="zh-CN"/>
        </w:rPr>
        <w:t>附件三  预付款担保格式（供参考）</w:t>
      </w:r>
      <w:bookmarkEnd w:id="327"/>
      <w:bookmarkEnd w:id="328"/>
    </w:p>
    <w:p w14:paraId="29F08BE2">
      <w:pPr>
        <w:jc w:val="center"/>
        <w:rPr>
          <w:b/>
          <w:bCs/>
          <w:snapToGrid w:val="0"/>
          <w:sz w:val="30"/>
          <w:szCs w:val="30"/>
          <w:lang w:eastAsia="zh-CN"/>
        </w:rPr>
      </w:pPr>
      <w:r>
        <w:rPr>
          <w:b/>
          <w:bCs/>
          <w:snapToGrid w:val="0"/>
          <w:sz w:val="30"/>
          <w:szCs w:val="30"/>
          <w:lang w:eastAsia="zh-CN"/>
        </w:rPr>
        <w:t>预付款担保</w:t>
      </w:r>
    </w:p>
    <w:p w14:paraId="768FBE0E">
      <w:pPr>
        <w:ind w:firstLine="420" w:firstLineChars="200"/>
        <w:rPr>
          <w:snapToGrid w:val="0"/>
          <w:szCs w:val="24"/>
          <w:lang w:eastAsia="zh-CN"/>
        </w:rPr>
      </w:pPr>
    </w:p>
    <w:p w14:paraId="76A8C3E8">
      <w:pPr>
        <w:rPr>
          <w:snapToGrid w:val="0"/>
          <w:szCs w:val="24"/>
          <w:lang w:eastAsia="zh-CN"/>
        </w:rPr>
      </w:pPr>
      <w:r>
        <w:rPr>
          <w:snapToGrid w:val="0"/>
          <w:szCs w:val="24"/>
          <w:lang w:eastAsia="zh-CN"/>
        </w:rPr>
        <w:t>（发包人名称）：</w:t>
      </w:r>
    </w:p>
    <w:p w14:paraId="7C333866">
      <w:pPr>
        <w:ind w:firstLine="420" w:firstLineChars="200"/>
        <w:rPr>
          <w:snapToGrid w:val="0"/>
          <w:szCs w:val="24"/>
          <w:u w:val="single"/>
          <w:lang w:eastAsia="zh-CN"/>
        </w:rPr>
      </w:pPr>
      <w:r>
        <w:rPr>
          <w:snapToGrid w:val="0"/>
          <w:szCs w:val="24"/>
          <w:lang w:eastAsia="zh-CN"/>
        </w:rPr>
        <w:t>根据（承包人名称，以下称“承包人</w:t>
      </w:r>
      <w:r>
        <w:rPr>
          <w:snapToGrid w:val="0"/>
          <w:lang w:eastAsia="zh-CN"/>
        </w:rPr>
        <w:t>”</w:t>
      </w:r>
      <w:r>
        <w:rPr>
          <w:snapToGrid w:val="0"/>
          <w:szCs w:val="24"/>
          <w:lang w:eastAsia="zh-CN"/>
        </w:rPr>
        <w:t>）与</w:t>
      </w:r>
    </w:p>
    <w:p w14:paraId="4E181A23">
      <w:pPr>
        <w:rPr>
          <w:snapToGrid w:val="0"/>
          <w:szCs w:val="24"/>
          <w:lang w:eastAsia="zh-CN"/>
        </w:rPr>
      </w:pPr>
      <w:r>
        <w:rPr>
          <w:snapToGrid w:val="0"/>
          <w:szCs w:val="24"/>
          <w:lang w:eastAsia="zh-CN"/>
        </w:rPr>
        <w:t>（发包人名称，以下简称“发包人</w:t>
      </w:r>
      <w:r>
        <w:rPr>
          <w:snapToGrid w:val="0"/>
          <w:lang w:eastAsia="zh-CN"/>
        </w:rPr>
        <w:t>”</w:t>
      </w:r>
      <w:r>
        <w:rPr>
          <w:snapToGrid w:val="0"/>
          <w:szCs w:val="24"/>
          <w:lang w:eastAsia="zh-CN"/>
        </w:rPr>
        <w:t>）于年月日签订的（项目名称）（标段名称）合同协议书，承包人按约定的金额向发包人提交一份预付款担保，即有权得到发包人支付相等金额的预付款。我方愿意就你方提供给承包人的预付款提供担保。</w:t>
      </w:r>
    </w:p>
    <w:p w14:paraId="04F30E9C">
      <w:pPr>
        <w:ind w:firstLine="420" w:firstLineChars="200"/>
        <w:rPr>
          <w:snapToGrid w:val="0"/>
          <w:szCs w:val="24"/>
          <w:lang w:eastAsia="zh-CN"/>
        </w:rPr>
      </w:pPr>
      <w:r>
        <w:rPr>
          <w:snapToGrid w:val="0"/>
          <w:szCs w:val="24"/>
          <w:lang w:eastAsia="zh-CN"/>
        </w:rPr>
        <w:t>1．担保金额人民币（大写）元（￥）。</w:t>
      </w:r>
    </w:p>
    <w:p w14:paraId="412B3339">
      <w:pPr>
        <w:ind w:firstLine="420" w:firstLineChars="200"/>
        <w:rPr>
          <w:snapToGrid w:val="0"/>
          <w:szCs w:val="24"/>
          <w:lang w:eastAsia="zh-CN"/>
        </w:rPr>
      </w:pPr>
      <w:r>
        <w:rPr>
          <w:snapToGrid w:val="0"/>
          <w:szCs w:val="24"/>
          <w:lang w:eastAsia="zh-CN"/>
        </w:rPr>
        <w:t>2．担保有效期自预付款支付给承包人起生效，至发包人签发的进度付款证书说明预付款已完全扣清止。</w:t>
      </w:r>
    </w:p>
    <w:p w14:paraId="2F45F9FD">
      <w:pPr>
        <w:ind w:firstLine="420" w:firstLineChars="200"/>
        <w:rPr>
          <w:snapToGrid w:val="0"/>
          <w:szCs w:val="24"/>
          <w:lang w:eastAsia="zh-CN"/>
        </w:rPr>
      </w:pPr>
      <w:r>
        <w:rPr>
          <w:snapToGrid w:val="0"/>
          <w:szCs w:val="24"/>
          <w:lang w:eastAsia="zh-CN"/>
        </w:rPr>
        <w:t>3．在本担保有效期内，因承包人违反合同约定的义务而要求收回预付款时，我方在收到你方的书面通知后，无条件地在7天内予以支付。但本担保的担保金额，在任何时候不应超过预付款金额减去发包人按合同约定在向承包人签发的进度付款证书中扣回的金额。</w:t>
      </w:r>
    </w:p>
    <w:p w14:paraId="6ABCD8C8">
      <w:pPr>
        <w:ind w:firstLine="420" w:firstLineChars="200"/>
        <w:rPr>
          <w:snapToGrid w:val="0"/>
          <w:szCs w:val="24"/>
          <w:lang w:eastAsia="zh-CN"/>
        </w:rPr>
      </w:pPr>
      <w:r>
        <w:rPr>
          <w:snapToGrid w:val="0"/>
          <w:szCs w:val="24"/>
          <w:lang w:eastAsia="zh-CN"/>
        </w:rPr>
        <w:t>4．发包人和承包人按《通用合同条款》第15条变更合同时，我方承担本担保规定的义务不变。</w:t>
      </w:r>
    </w:p>
    <w:p w14:paraId="068C0818">
      <w:pPr>
        <w:ind w:firstLine="420" w:firstLineChars="200"/>
        <w:rPr>
          <w:snapToGrid w:val="0"/>
          <w:szCs w:val="24"/>
          <w:lang w:eastAsia="zh-CN"/>
        </w:rPr>
      </w:pPr>
    </w:p>
    <w:p w14:paraId="5BA1A51D">
      <w:pPr>
        <w:ind w:firstLine="3675" w:firstLineChars="1750"/>
        <w:rPr>
          <w:snapToGrid w:val="0"/>
          <w:szCs w:val="24"/>
          <w:lang w:eastAsia="zh-CN"/>
        </w:rPr>
      </w:pPr>
      <w:r>
        <w:rPr>
          <w:snapToGrid w:val="0"/>
          <w:szCs w:val="24"/>
          <w:lang w:eastAsia="zh-CN"/>
        </w:rPr>
        <w:t>担保人：（盖单位章）</w:t>
      </w:r>
    </w:p>
    <w:p w14:paraId="07D911C1">
      <w:pPr>
        <w:ind w:firstLine="3009" w:firstLineChars="1433"/>
        <w:rPr>
          <w:snapToGrid w:val="0"/>
          <w:szCs w:val="24"/>
          <w:lang w:eastAsia="zh-CN"/>
        </w:rPr>
      </w:pPr>
      <w:r>
        <w:rPr>
          <w:snapToGrid w:val="0"/>
          <w:szCs w:val="24"/>
          <w:lang w:eastAsia="zh-CN"/>
        </w:rPr>
        <w:t>法定代表人或其委托代理人：</w:t>
      </w:r>
      <w:r>
        <w:rPr>
          <w:rFonts w:hint="eastAsia"/>
          <w:snapToGrid w:val="0"/>
          <w:szCs w:val="24"/>
          <w:lang w:eastAsia="zh-CN"/>
        </w:rPr>
        <w:t>（盖章或签字）</w:t>
      </w:r>
    </w:p>
    <w:p w14:paraId="471F12E1">
      <w:pPr>
        <w:ind w:firstLine="4200" w:firstLineChars="2000"/>
        <w:rPr>
          <w:snapToGrid w:val="0"/>
          <w:szCs w:val="24"/>
          <w:lang w:eastAsia="zh-CN"/>
        </w:rPr>
      </w:pPr>
      <w:r>
        <w:rPr>
          <w:snapToGrid w:val="0"/>
          <w:szCs w:val="24"/>
          <w:lang w:eastAsia="zh-CN"/>
        </w:rPr>
        <w:t>地    址：</w:t>
      </w:r>
    </w:p>
    <w:p w14:paraId="74E5ACBE">
      <w:pPr>
        <w:ind w:firstLine="4200" w:firstLineChars="2000"/>
        <w:rPr>
          <w:snapToGrid w:val="0"/>
          <w:szCs w:val="24"/>
          <w:lang w:eastAsia="zh-CN"/>
        </w:rPr>
      </w:pPr>
      <w:r>
        <w:rPr>
          <w:snapToGrid w:val="0"/>
          <w:szCs w:val="24"/>
          <w:lang w:eastAsia="zh-CN"/>
        </w:rPr>
        <w:t>邮政编码：</w:t>
      </w:r>
    </w:p>
    <w:p w14:paraId="0D14D271">
      <w:pPr>
        <w:ind w:firstLine="4200" w:firstLineChars="2000"/>
        <w:rPr>
          <w:snapToGrid w:val="0"/>
          <w:szCs w:val="24"/>
          <w:lang w:eastAsia="zh-CN"/>
        </w:rPr>
      </w:pPr>
      <w:r>
        <w:rPr>
          <w:snapToGrid w:val="0"/>
          <w:szCs w:val="24"/>
          <w:lang w:eastAsia="zh-CN"/>
        </w:rPr>
        <w:t>电    话：</w:t>
      </w:r>
    </w:p>
    <w:p w14:paraId="3A5C45A7">
      <w:pPr>
        <w:ind w:firstLine="4200" w:firstLineChars="2000"/>
        <w:rPr>
          <w:snapToGrid w:val="0"/>
          <w:szCs w:val="24"/>
          <w:u w:val="single"/>
          <w:lang w:eastAsia="zh-CN"/>
        </w:rPr>
      </w:pPr>
      <w:r>
        <w:rPr>
          <w:snapToGrid w:val="0"/>
          <w:szCs w:val="24"/>
          <w:lang w:eastAsia="zh-CN"/>
        </w:rPr>
        <w:t>传     真:</w:t>
      </w:r>
    </w:p>
    <w:p w14:paraId="20E39099">
      <w:pPr>
        <w:pStyle w:val="8"/>
        <w:adjustRightInd w:val="0"/>
        <w:ind w:firstLine="5880" w:firstLineChars="2450"/>
        <w:rPr>
          <w:rFonts w:ascii="Times New Roman" w:hAnsi="Times New Roman"/>
          <w:snapToGrid w:val="0"/>
          <w:sz w:val="24"/>
          <w:szCs w:val="24"/>
          <w:lang w:eastAsia="zh-CN"/>
        </w:rPr>
      </w:pPr>
      <w:r>
        <w:rPr>
          <w:rFonts w:ascii="Times New Roman" w:hAnsi="Times New Roman"/>
          <w:snapToGrid w:val="0"/>
          <w:sz w:val="24"/>
          <w:szCs w:val="24"/>
          <w:lang w:eastAsia="zh-CN"/>
        </w:rPr>
        <w:t>年月日</w:t>
      </w:r>
    </w:p>
    <w:p w14:paraId="73EB2308">
      <w:pPr>
        <w:pStyle w:val="6"/>
        <w:ind w:firstLine="0"/>
        <w:rPr>
          <w:snapToGrid w:val="0"/>
          <w:szCs w:val="21"/>
          <w:lang w:eastAsia="zh-CN"/>
        </w:rPr>
      </w:pPr>
      <w:r>
        <w:rPr>
          <w:snapToGrid w:val="0"/>
          <w:szCs w:val="21"/>
          <w:lang w:eastAsia="zh-CN"/>
        </w:rPr>
        <w:t>注：委托代理人应附授权委托书。</w:t>
      </w:r>
    </w:p>
    <w:p w14:paraId="5CC8A9AD">
      <w:pPr>
        <w:pStyle w:val="6"/>
        <w:ind w:firstLine="0"/>
        <w:rPr>
          <w:snapToGrid w:val="0"/>
          <w:szCs w:val="21"/>
          <w:lang w:eastAsia="zh-CN"/>
        </w:rPr>
      </w:pPr>
    </w:p>
    <w:p w14:paraId="2F4108A0">
      <w:pPr>
        <w:ind w:firstLine="420" w:firstLineChars="200"/>
        <w:rPr>
          <w:b/>
          <w:snapToGrid w:val="0"/>
          <w:sz w:val="32"/>
          <w:szCs w:val="32"/>
          <w:lang w:eastAsia="zh-CN"/>
        </w:rPr>
      </w:pPr>
      <w:bookmarkStart w:id="329" w:name="_Toc362883305"/>
      <w:bookmarkStart w:id="330" w:name="_Toc370459081"/>
      <w:r>
        <w:rPr>
          <w:rFonts w:eastAsia="宋体"/>
          <w:snapToGrid w:val="0"/>
          <w:lang w:eastAsia="zh-CN"/>
        </w:rPr>
        <w:br w:type="page"/>
      </w:r>
      <w:r>
        <w:rPr>
          <w:rFonts w:eastAsia="宋体"/>
          <w:b/>
          <w:snapToGrid w:val="0"/>
          <w:sz w:val="32"/>
          <w:szCs w:val="32"/>
          <w:lang w:eastAsia="zh-CN"/>
        </w:rPr>
        <w:t>附件四  工程廉政责任书（格式）</w:t>
      </w:r>
      <w:bookmarkEnd w:id="329"/>
      <w:bookmarkEnd w:id="330"/>
    </w:p>
    <w:p w14:paraId="7286F45E">
      <w:pPr>
        <w:ind w:firstLine="420" w:firstLineChars="200"/>
        <w:jc w:val="center"/>
        <w:rPr>
          <w:rFonts w:ascii="Times New Roman" w:hAnsi="Times New Roman"/>
          <w:snapToGrid w:val="0"/>
          <w:kern w:val="2"/>
          <w:szCs w:val="24"/>
          <w:lang w:eastAsia="zh-CN"/>
        </w:rPr>
      </w:pPr>
      <w:r>
        <w:rPr>
          <w:rFonts w:ascii="Times New Roman" w:hAnsi="Times New Roman"/>
          <w:snapToGrid w:val="0"/>
          <w:kern w:val="2"/>
          <w:szCs w:val="24"/>
          <w:lang w:eastAsia="zh-CN"/>
        </w:rPr>
        <w:t>（本格式为工程廉政责任书标准格式，</w:t>
      </w:r>
      <w:r>
        <w:rPr>
          <w:rFonts w:hint="eastAsia" w:ascii="Times New Roman" w:hAnsi="Times New Roman"/>
          <w:snapToGrid w:val="0"/>
          <w:kern w:val="2"/>
          <w:szCs w:val="24"/>
          <w:lang w:eastAsia="zh-CN"/>
        </w:rPr>
        <w:t>交易响应</w:t>
      </w:r>
      <w:r>
        <w:rPr>
          <w:rFonts w:ascii="Times New Roman" w:hAnsi="Times New Roman"/>
          <w:snapToGrid w:val="0"/>
          <w:kern w:val="2"/>
          <w:szCs w:val="24"/>
          <w:lang w:eastAsia="zh-CN"/>
        </w:rPr>
        <w:t>人不需填写）</w:t>
      </w:r>
    </w:p>
    <w:p w14:paraId="562CFD08">
      <w:pPr>
        <w:jc w:val="center"/>
        <w:rPr>
          <w:b/>
          <w:snapToGrid w:val="0"/>
          <w:szCs w:val="21"/>
          <w:lang w:eastAsia="zh-CN"/>
        </w:rPr>
      </w:pPr>
      <w:r>
        <w:rPr>
          <w:b/>
          <w:snapToGrid w:val="0"/>
          <w:szCs w:val="21"/>
          <w:lang w:eastAsia="zh-CN"/>
        </w:rPr>
        <w:t>工程廉政责任书（格式）</w:t>
      </w:r>
    </w:p>
    <w:p w14:paraId="10CF628D">
      <w:pPr>
        <w:ind w:firstLine="420" w:firstLineChars="200"/>
        <w:rPr>
          <w:snapToGrid w:val="0"/>
          <w:szCs w:val="24"/>
          <w:lang w:eastAsia="zh-CN"/>
        </w:rPr>
      </w:pPr>
      <w:r>
        <w:rPr>
          <w:snapToGrid w:val="0"/>
          <w:szCs w:val="24"/>
          <w:lang w:eastAsia="zh-CN"/>
        </w:rPr>
        <w:t>为加强工程建设中的廉政建设，保证工程建设高效优质完成，保证建设资金的安全和有效使用，（项目名称）的发包人（以下称甲方）与承包人（以下称乙方），特订立如下责任书。</w:t>
      </w:r>
    </w:p>
    <w:p w14:paraId="3634E236">
      <w:pPr>
        <w:ind w:firstLine="420" w:firstLineChars="200"/>
        <w:rPr>
          <w:snapToGrid w:val="0"/>
          <w:szCs w:val="24"/>
          <w:lang w:eastAsia="zh-CN"/>
        </w:rPr>
      </w:pPr>
      <w:r>
        <w:rPr>
          <w:snapToGrid w:val="0"/>
          <w:szCs w:val="24"/>
          <w:lang w:eastAsia="zh-CN"/>
        </w:rPr>
        <w:t>第一条  甲乙双方的权利和义务</w:t>
      </w:r>
    </w:p>
    <w:p w14:paraId="1F07F0EC">
      <w:pPr>
        <w:numPr>
          <w:ilvl w:val="0"/>
          <w:numId w:val="3"/>
        </w:numPr>
        <w:adjustRightInd w:val="0"/>
        <w:ind w:left="0" w:firstLine="420" w:firstLineChars="200"/>
        <w:rPr>
          <w:snapToGrid w:val="0"/>
          <w:szCs w:val="24"/>
          <w:lang w:eastAsia="zh-CN"/>
        </w:rPr>
      </w:pPr>
      <w:r>
        <w:rPr>
          <w:snapToGrid w:val="0"/>
          <w:szCs w:val="24"/>
          <w:lang w:eastAsia="zh-CN"/>
        </w:rPr>
        <w:t>严格遵守党和国家工程建设的有关法律法规及水利部门的有关规定。</w:t>
      </w:r>
    </w:p>
    <w:p w14:paraId="6E25C360">
      <w:pPr>
        <w:numPr>
          <w:ilvl w:val="0"/>
          <w:numId w:val="3"/>
        </w:numPr>
        <w:adjustRightInd w:val="0"/>
        <w:ind w:left="0" w:firstLine="420" w:firstLineChars="200"/>
        <w:rPr>
          <w:snapToGrid w:val="0"/>
          <w:szCs w:val="24"/>
          <w:lang w:eastAsia="zh-CN"/>
        </w:rPr>
      </w:pPr>
      <w:r>
        <w:rPr>
          <w:snapToGrid w:val="0"/>
          <w:szCs w:val="24"/>
          <w:lang w:eastAsia="zh-CN"/>
        </w:rPr>
        <w:t>严格执行的合同文件，自觉按合同办事。</w:t>
      </w:r>
    </w:p>
    <w:p w14:paraId="7208E673">
      <w:pPr>
        <w:numPr>
          <w:ilvl w:val="0"/>
          <w:numId w:val="3"/>
        </w:numPr>
        <w:adjustRightInd w:val="0"/>
        <w:ind w:left="0" w:firstLine="420" w:firstLineChars="200"/>
        <w:rPr>
          <w:snapToGrid w:val="0"/>
          <w:szCs w:val="24"/>
          <w:lang w:eastAsia="zh-CN"/>
        </w:rPr>
      </w:pPr>
      <w:r>
        <w:rPr>
          <w:snapToGrid w:val="0"/>
          <w:szCs w:val="24"/>
          <w:lang w:eastAsia="zh-CN"/>
        </w:rPr>
        <w:t>双方的业务活动坚持公开、公平、公正、诚信、透明的原则（除法律认定的商业秘密和合同文件另有规定之外），不得损害国家和集体利益，违反工程建设管理规定。</w:t>
      </w:r>
    </w:p>
    <w:p w14:paraId="6A2F1A36">
      <w:pPr>
        <w:numPr>
          <w:ilvl w:val="0"/>
          <w:numId w:val="3"/>
        </w:numPr>
        <w:adjustRightInd w:val="0"/>
        <w:ind w:left="0" w:firstLine="420" w:firstLineChars="200"/>
        <w:rPr>
          <w:snapToGrid w:val="0"/>
          <w:szCs w:val="24"/>
          <w:lang w:eastAsia="zh-CN"/>
        </w:rPr>
      </w:pPr>
      <w:r>
        <w:rPr>
          <w:snapToGrid w:val="0"/>
          <w:szCs w:val="24"/>
          <w:lang w:eastAsia="zh-CN"/>
        </w:rPr>
        <w:t>建立健全廉政制度、监督制度和处罚制度，开展廉政教育，设立廉政告示牌，公布举报电话。</w:t>
      </w:r>
    </w:p>
    <w:p w14:paraId="4BE604F0">
      <w:pPr>
        <w:numPr>
          <w:ilvl w:val="0"/>
          <w:numId w:val="3"/>
        </w:numPr>
        <w:adjustRightInd w:val="0"/>
        <w:ind w:left="0" w:firstLine="420" w:firstLineChars="200"/>
        <w:rPr>
          <w:snapToGrid w:val="0"/>
          <w:szCs w:val="24"/>
          <w:lang w:eastAsia="zh-CN"/>
        </w:rPr>
      </w:pPr>
      <w:r>
        <w:rPr>
          <w:snapToGrid w:val="0"/>
          <w:szCs w:val="24"/>
          <w:lang w:eastAsia="zh-CN"/>
        </w:rPr>
        <w:t>发现对方在业务活动中有违反廉政规定的行为，有及时提醒对方纠正的权利和义务。</w:t>
      </w:r>
    </w:p>
    <w:p w14:paraId="6B701407">
      <w:pPr>
        <w:numPr>
          <w:ilvl w:val="0"/>
          <w:numId w:val="3"/>
        </w:numPr>
        <w:adjustRightInd w:val="0"/>
        <w:ind w:left="0" w:firstLine="420" w:firstLineChars="200"/>
        <w:rPr>
          <w:snapToGrid w:val="0"/>
          <w:szCs w:val="24"/>
          <w:lang w:eastAsia="zh-CN"/>
        </w:rPr>
      </w:pPr>
      <w:r>
        <w:rPr>
          <w:snapToGrid w:val="0"/>
          <w:szCs w:val="24"/>
          <w:lang w:eastAsia="zh-CN"/>
        </w:rPr>
        <w:t>发现对方严重违反本责任书义务条款的行为，有向其上级有关部门举报、建议给予处理并要求告知处理结果的权利。</w:t>
      </w:r>
    </w:p>
    <w:p w14:paraId="577B22D7">
      <w:pPr>
        <w:ind w:firstLine="420" w:firstLineChars="200"/>
        <w:rPr>
          <w:snapToGrid w:val="0"/>
          <w:szCs w:val="24"/>
        </w:rPr>
      </w:pPr>
      <w:r>
        <w:rPr>
          <w:snapToGrid w:val="0"/>
          <w:szCs w:val="24"/>
        </w:rPr>
        <w:t>第二条  甲方的义务</w:t>
      </w:r>
    </w:p>
    <w:p w14:paraId="5EF918B1">
      <w:pPr>
        <w:numPr>
          <w:ilvl w:val="0"/>
          <w:numId w:val="4"/>
        </w:numPr>
        <w:adjustRightInd w:val="0"/>
        <w:ind w:left="0" w:firstLine="420" w:firstLineChars="200"/>
        <w:rPr>
          <w:snapToGrid w:val="0"/>
          <w:szCs w:val="24"/>
          <w:lang w:eastAsia="zh-CN"/>
        </w:rPr>
      </w:pPr>
      <w:r>
        <w:rPr>
          <w:snapToGrid w:val="0"/>
          <w:szCs w:val="24"/>
          <w:lang w:eastAsia="zh-CN"/>
        </w:rPr>
        <w:t>甲方及其工作人员不得索要或接受乙方的礼金、礼券、有价证券和物品，不得到乙方报销任何由甲方或个人支付的费用等。</w:t>
      </w:r>
    </w:p>
    <w:p w14:paraId="3BD5C14D">
      <w:pPr>
        <w:numPr>
          <w:ilvl w:val="0"/>
          <w:numId w:val="4"/>
        </w:numPr>
        <w:adjustRightInd w:val="0"/>
        <w:ind w:left="0" w:firstLine="420" w:firstLineChars="200"/>
        <w:rPr>
          <w:snapToGrid w:val="0"/>
          <w:szCs w:val="24"/>
          <w:lang w:eastAsia="zh-CN"/>
        </w:rPr>
      </w:pPr>
      <w:r>
        <w:rPr>
          <w:snapToGrid w:val="0"/>
          <w:szCs w:val="24"/>
          <w:lang w:eastAsia="zh-CN"/>
        </w:rPr>
        <w:t>甲方不得有意刁难、拖延承包商工程款，不得违反规定批拨工程建设费用等。</w:t>
      </w:r>
    </w:p>
    <w:p w14:paraId="5C61587C">
      <w:pPr>
        <w:numPr>
          <w:ilvl w:val="0"/>
          <w:numId w:val="4"/>
        </w:numPr>
        <w:adjustRightInd w:val="0"/>
        <w:ind w:left="0" w:firstLine="420" w:firstLineChars="200"/>
        <w:rPr>
          <w:snapToGrid w:val="0"/>
          <w:szCs w:val="24"/>
          <w:lang w:eastAsia="zh-CN"/>
        </w:rPr>
      </w:pPr>
      <w:r>
        <w:rPr>
          <w:snapToGrid w:val="0"/>
          <w:szCs w:val="24"/>
          <w:lang w:eastAsia="zh-CN"/>
        </w:rPr>
        <w:t>甲方工作人员不得参加乙方安排的宴请和娱乐活动；不得接受乙方提供的通讯工具、交通工具和高档办公用品等。</w:t>
      </w:r>
    </w:p>
    <w:p w14:paraId="70D3AE40">
      <w:pPr>
        <w:numPr>
          <w:ilvl w:val="0"/>
          <w:numId w:val="4"/>
        </w:numPr>
        <w:adjustRightInd w:val="0"/>
        <w:ind w:left="0" w:firstLine="420" w:firstLineChars="200"/>
        <w:rPr>
          <w:snapToGrid w:val="0"/>
          <w:szCs w:val="24"/>
          <w:lang w:eastAsia="zh-CN"/>
        </w:rPr>
      </w:pPr>
      <w:r>
        <w:rPr>
          <w:snapToGrid w:val="0"/>
          <w:szCs w:val="24"/>
          <w:lang w:eastAsia="zh-CN"/>
        </w:rPr>
        <w:t>甲方及其工作人员不得要求或者接受乙方为其住房装修、操办婚丧嫁娶、安排配偶子女的工作以及出国出境、旅游等。</w:t>
      </w:r>
    </w:p>
    <w:p w14:paraId="6FD7103A">
      <w:pPr>
        <w:numPr>
          <w:ilvl w:val="0"/>
          <w:numId w:val="4"/>
        </w:numPr>
        <w:adjustRightInd w:val="0"/>
        <w:ind w:left="0" w:firstLine="420" w:firstLineChars="200"/>
        <w:rPr>
          <w:snapToGrid w:val="0"/>
          <w:szCs w:val="24"/>
          <w:lang w:eastAsia="zh-CN"/>
        </w:rPr>
      </w:pPr>
      <w:r>
        <w:rPr>
          <w:snapToGrid w:val="0"/>
          <w:szCs w:val="24"/>
          <w:lang w:eastAsia="zh-CN"/>
        </w:rPr>
        <w:t>甲方工作人员的配偶、子女及下属单位不得从事与甲方工程有关的材料设备供应、工程分包、劳务等经济活动。</w:t>
      </w:r>
    </w:p>
    <w:p w14:paraId="6BD70F48">
      <w:pPr>
        <w:numPr>
          <w:ilvl w:val="0"/>
          <w:numId w:val="4"/>
        </w:numPr>
        <w:adjustRightInd w:val="0"/>
        <w:ind w:left="0" w:firstLine="420" w:firstLineChars="200"/>
        <w:rPr>
          <w:snapToGrid w:val="0"/>
          <w:szCs w:val="24"/>
          <w:lang w:eastAsia="zh-CN"/>
        </w:rPr>
      </w:pPr>
      <w:r>
        <w:rPr>
          <w:snapToGrid w:val="0"/>
          <w:szCs w:val="24"/>
          <w:lang w:eastAsia="zh-CN"/>
        </w:rPr>
        <w:t>甲方及其工作人员不得以任何理由向乙方推荐分包单位，不得要求乙方购买合同规定外的材料和设备。</w:t>
      </w:r>
    </w:p>
    <w:p w14:paraId="0E34968B">
      <w:pPr>
        <w:ind w:firstLine="420" w:firstLineChars="200"/>
        <w:rPr>
          <w:snapToGrid w:val="0"/>
          <w:szCs w:val="24"/>
        </w:rPr>
      </w:pPr>
      <w:r>
        <w:rPr>
          <w:snapToGrid w:val="0"/>
          <w:szCs w:val="24"/>
        </w:rPr>
        <w:t>第三条  乙方义务</w:t>
      </w:r>
    </w:p>
    <w:p w14:paraId="1559BCD9">
      <w:pPr>
        <w:numPr>
          <w:ilvl w:val="1"/>
          <w:numId w:val="3"/>
        </w:numPr>
        <w:adjustRightInd w:val="0"/>
        <w:ind w:left="0" w:firstLine="502"/>
        <w:rPr>
          <w:snapToGrid w:val="0"/>
          <w:szCs w:val="24"/>
          <w:lang w:eastAsia="zh-CN"/>
        </w:rPr>
      </w:pPr>
      <w:r>
        <w:rPr>
          <w:snapToGrid w:val="0"/>
          <w:szCs w:val="24"/>
          <w:lang w:eastAsia="zh-CN"/>
        </w:rPr>
        <w:t>乙方不得以任何理由向甲方及其工作人员行贿或馈赠礼金、礼券、有价证券、礼品。</w:t>
      </w:r>
    </w:p>
    <w:p w14:paraId="369874EF">
      <w:pPr>
        <w:numPr>
          <w:ilvl w:val="1"/>
          <w:numId w:val="3"/>
        </w:numPr>
        <w:adjustRightInd w:val="0"/>
        <w:ind w:left="0" w:firstLine="502"/>
        <w:rPr>
          <w:snapToGrid w:val="0"/>
          <w:szCs w:val="24"/>
          <w:lang w:eastAsia="zh-CN"/>
        </w:rPr>
      </w:pPr>
      <w:r>
        <w:rPr>
          <w:snapToGrid w:val="0"/>
          <w:szCs w:val="24"/>
          <w:lang w:eastAsia="zh-CN"/>
        </w:rPr>
        <w:t>乙方不得以任何名义为甲方及其工作人员报销应由甲方单位或个人支付的任何费用。</w:t>
      </w:r>
    </w:p>
    <w:p w14:paraId="6F5C9B68">
      <w:pPr>
        <w:numPr>
          <w:ilvl w:val="1"/>
          <w:numId w:val="3"/>
        </w:numPr>
        <w:adjustRightInd w:val="0"/>
        <w:ind w:left="0" w:firstLine="502"/>
        <w:rPr>
          <w:snapToGrid w:val="0"/>
          <w:szCs w:val="24"/>
          <w:lang w:eastAsia="zh-CN"/>
        </w:rPr>
      </w:pPr>
      <w:r>
        <w:rPr>
          <w:snapToGrid w:val="0"/>
          <w:szCs w:val="24"/>
          <w:lang w:eastAsia="zh-CN"/>
        </w:rPr>
        <w:t>乙方不得要求甲方违反规定，批拨、追加工程建设费用等。</w:t>
      </w:r>
    </w:p>
    <w:p w14:paraId="6CF8F473">
      <w:pPr>
        <w:numPr>
          <w:ilvl w:val="1"/>
          <w:numId w:val="3"/>
        </w:numPr>
        <w:adjustRightInd w:val="0"/>
        <w:ind w:left="0" w:firstLine="502"/>
        <w:rPr>
          <w:snapToGrid w:val="0"/>
          <w:szCs w:val="24"/>
          <w:lang w:eastAsia="zh-CN"/>
        </w:rPr>
      </w:pPr>
      <w:r>
        <w:rPr>
          <w:snapToGrid w:val="0"/>
          <w:szCs w:val="24"/>
          <w:lang w:eastAsia="zh-CN"/>
        </w:rPr>
        <w:t>乙方不得以任何理由安排甲方工作人员参加宴请及娱乐活动。</w:t>
      </w:r>
    </w:p>
    <w:p w14:paraId="6FE20CA6">
      <w:pPr>
        <w:numPr>
          <w:ilvl w:val="1"/>
          <w:numId w:val="3"/>
        </w:numPr>
        <w:adjustRightInd w:val="0"/>
        <w:ind w:left="0" w:firstLine="502"/>
        <w:rPr>
          <w:snapToGrid w:val="0"/>
          <w:szCs w:val="24"/>
          <w:lang w:eastAsia="zh-CN"/>
        </w:rPr>
      </w:pPr>
      <w:r>
        <w:rPr>
          <w:snapToGrid w:val="0"/>
          <w:szCs w:val="24"/>
          <w:lang w:eastAsia="zh-CN"/>
        </w:rPr>
        <w:t>乙方不得为甲方单位和个人购置或提供通讯工具、交通工具和高档办公室用品等。</w:t>
      </w:r>
    </w:p>
    <w:p w14:paraId="721B35E5">
      <w:pPr>
        <w:ind w:firstLine="420" w:firstLineChars="200"/>
        <w:rPr>
          <w:snapToGrid w:val="0"/>
          <w:szCs w:val="24"/>
          <w:lang w:eastAsia="zh-CN"/>
        </w:rPr>
      </w:pPr>
      <w:r>
        <w:rPr>
          <w:snapToGrid w:val="0"/>
          <w:szCs w:val="24"/>
          <w:lang w:eastAsia="zh-CN"/>
        </w:rPr>
        <w:t>第四条  违约责任</w:t>
      </w:r>
    </w:p>
    <w:p w14:paraId="369506F8">
      <w:pPr>
        <w:ind w:firstLine="420" w:firstLineChars="200"/>
        <w:rPr>
          <w:snapToGrid w:val="0"/>
          <w:szCs w:val="24"/>
          <w:lang w:eastAsia="zh-CN"/>
        </w:rPr>
      </w:pPr>
      <w:r>
        <w:rPr>
          <w:snapToGrid w:val="0"/>
          <w:szCs w:val="24"/>
          <w:lang w:eastAsia="zh-CN"/>
        </w:rPr>
        <w:t>（一）甲方及其工作人员违反本责任书第一、二条，按管理权限，依据有关规定给予党纪、政纪或组织处理；涉嫌犯罪的，移送司法机关追究刑事责任；给乙方单位造成经济损失的，应予以赔偿。</w:t>
      </w:r>
    </w:p>
    <w:p w14:paraId="6CFEA73B">
      <w:pPr>
        <w:ind w:firstLine="420" w:firstLineChars="200"/>
        <w:rPr>
          <w:snapToGrid w:val="0"/>
          <w:szCs w:val="24"/>
          <w:lang w:eastAsia="zh-CN"/>
        </w:rPr>
      </w:pPr>
      <w:r>
        <w:rPr>
          <w:snapToGrid w:val="0"/>
          <w:szCs w:val="24"/>
          <w:lang w:eastAsia="zh-CN"/>
        </w:rPr>
        <w:t>（二）乙方及其工作人员违反本责任书第一、三条，按管理权限，依据有关规定，给予党纪、政纪、组织处理或停止承接业务处理；给甲方单位造成经济损失的，应予以赔偿；情节严重的，甲方建议有关工程建设主管部门给予乙方一至三年内不得参与工程建设项目</w:t>
      </w:r>
      <w:r>
        <w:rPr>
          <w:rFonts w:hint="eastAsia"/>
          <w:snapToGrid w:val="0"/>
          <w:szCs w:val="24"/>
          <w:lang w:eastAsia="zh-CN"/>
        </w:rPr>
        <w:t>交易响应</w:t>
      </w:r>
      <w:r>
        <w:rPr>
          <w:snapToGrid w:val="0"/>
          <w:szCs w:val="24"/>
          <w:lang w:eastAsia="zh-CN"/>
        </w:rPr>
        <w:t>的处罚。</w:t>
      </w:r>
    </w:p>
    <w:p w14:paraId="6E2B2965">
      <w:pPr>
        <w:ind w:firstLine="420" w:firstLineChars="200"/>
        <w:rPr>
          <w:snapToGrid w:val="0"/>
          <w:szCs w:val="24"/>
          <w:lang w:eastAsia="zh-CN"/>
        </w:rPr>
      </w:pPr>
      <w:r>
        <w:rPr>
          <w:snapToGrid w:val="0"/>
          <w:szCs w:val="24"/>
          <w:lang w:eastAsia="zh-CN"/>
        </w:rPr>
        <w:t>第五条  双方约定</w:t>
      </w:r>
    </w:p>
    <w:p w14:paraId="0AD41017">
      <w:pPr>
        <w:ind w:firstLine="420" w:firstLineChars="200"/>
        <w:rPr>
          <w:snapToGrid w:val="0"/>
          <w:szCs w:val="24"/>
          <w:lang w:eastAsia="zh-CN"/>
        </w:rPr>
      </w:pPr>
      <w:r>
        <w:rPr>
          <w:snapToGrid w:val="0"/>
          <w:szCs w:val="24"/>
          <w:lang w:eastAsia="zh-CN"/>
        </w:rPr>
        <w:t>本责任书由纪检监察机关负责监督执行。纪检监察机关对本责任书执行情况进行抽查。提出属于本责任书规定范围的处理意见。</w:t>
      </w:r>
    </w:p>
    <w:p w14:paraId="07D3858B">
      <w:pPr>
        <w:ind w:firstLine="388" w:firstLineChars="200"/>
        <w:rPr>
          <w:snapToGrid w:val="0"/>
          <w:spacing w:val="-8"/>
          <w:szCs w:val="24"/>
          <w:lang w:eastAsia="zh-CN"/>
        </w:rPr>
      </w:pPr>
      <w:r>
        <w:rPr>
          <w:snapToGrid w:val="0"/>
          <w:spacing w:val="-8"/>
          <w:szCs w:val="24"/>
          <w:lang w:eastAsia="zh-CN"/>
        </w:rPr>
        <w:t>第六条  本责任书有效期同甲乙双方签署之日起至该工程项目工程款支付完结时止。</w:t>
      </w:r>
    </w:p>
    <w:p w14:paraId="1183B8E2">
      <w:pPr>
        <w:ind w:firstLine="420" w:firstLineChars="200"/>
        <w:rPr>
          <w:snapToGrid w:val="0"/>
          <w:szCs w:val="24"/>
          <w:lang w:eastAsia="zh-CN"/>
        </w:rPr>
      </w:pPr>
      <w:r>
        <w:rPr>
          <w:snapToGrid w:val="0"/>
          <w:szCs w:val="24"/>
          <w:lang w:eastAsia="zh-CN"/>
        </w:rPr>
        <w:t>第七条  本责任书作为本工程施工承包合同的附件，与工程施工合同具有同等的法律效力，经甲、乙双方签署后生效。</w:t>
      </w:r>
    </w:p>
    <w:p w14:paraId="613A0825">
      <w:pPr>
        <w:ind w:firstLine="420" w:firstLineChars="200"/>
        <w:rPr>
          <w:snapToGrid w:val="0"/>
          <w:szCs w:val="24"/>
          <w:lang w:eastAsia="zh-CN"/>
        </w:rPr>
      </w:pPr>
      <w:r>
        <w:rPr>
          <w:snapToGrid w:val="0"/>
          <w:szCs w:val="24"/>
          <w:lang w:eastAsia="zh-CN"/>
        </w:rPr>
        <w:t>第八条  本责任书甲、乙双方各执一份，送交监督单位一份。</w:t>
      </w:r>
    </w:p>
    <w:p w14:paraId="73EC0D5A">
      <w:pPr>
        <w:ind w:firstLine="420" w:firstLineChars="200"/>
        <w:rPr>
          <w:snapToGrid w:val="0"/>
          <w:szCs w:val="24"/>
          <w:lang w:eastAsia="zh-CN"/>
        </w:rPr>
      </w:pPr>
      <w:r>
        <w:rPr>
          <w:snapToGrid w:val="0"/>
          <w:szCs w:val="24"/>
          <w:lang w:eastAsia="zh-CN"/>
        </w:rPr>
        <w:t>甲方：                  （盖章）          乙方：             （盖章）</w:t>
      </w:r>
    </w:p>
    <w:p w14:paraId="57F5DE38">
      <w:pPr>
        <w:ind w:firstLine="420" w:firstLineChars="200"/>
        <w:rPr>
          <w:snapToGrid w:val="0"/>
          <w:szCs w:val="24"/>
        </w:rPr>
      </w:pPr>
      <w:r>
        <w:rPr>
          <w:snapToGrid w:val="0"/>
          <w:szCs w:val="24"/>
        </w:rPr>
        <w:t>法定代表人：                              法定代表人：</w:t>
      </w:r>
    </w:p>
    <w:p w14:paraId="351440B0">
      <w:pPr>
        <w:ind w:firstLine="420" w:firstLineChars="200"/>
        <w:rPr>
          <w:snapToGrid w:val="0"/>
          <w:szCs w:val="24"/>
        </w:rPr>
      </w:pPr>
      <w:r>
        <w:rPr>
          <w:snapToGrid w:val="0"/>
          <w:szCs w:val="24"/>
        </w:rPr>
        <w:t>地址：                                    地址：</w:t>
      </w:r>
    </w:p>
    <w:p w14:paraId="7BA6405E">
      <w:pPr>
        <w:ind w:firstLine="420" w:firstLineChars="200"/>
        <w:rPr>
          <w:snapToGrid w:val="0"/>
          <w:szCs w:val="24"/>
          <w:lang w:eastAsia="zh-CN"/>
        </w:rPr>
      </w:pPr>
      <w:r>
        <w:rPr>
          <w:snapToGrid w:val="0"/>
          <w:szCs w:val="24"/>
          <w:lang w:eastAsia="zh-CN"/>
        </w:rPr>
        <w:t>电话：                                    电话：</w:t>
      </w:r>
    </w:p>
    <w:p w14:paraId="73A44724">
      <w:pPr>
        <w:pStyle w:val="6"/>
        <w:ind w:firstLine="1560" w:firstLineChars="650"/>
        <w:rPr>
          <w:snapToGrid w:val="0"/>
          <w:szCs w:val="24"/>
          <w:lang w:eastAsia="zh-CN"/>
        </w:rPr>
      </w:pPr>
      <w:bookmarkStart w:id="331" w:name="_Toc55455449"/>
      <w:r>
        <w:rPr>
          <w:snapToGrid w:val="0"/>
          <w:szCs w:val="24"/>
          <w:lang w:eastAsia="zh-CN"/>
        </w:rPr>
        <w:t>年    月    日                            年    月    日</w:t>
      </w:r>
      <w:bookmarkEnd w:id="331"/>
    </w:p>
    <w:p w14:paraId="4C404394">
      <w:pPr>
        <w:pStyle w:val="6"/>
        <w:ind w:firstLine="1560" w:firstLineChars="650"/>
        <w:rPr>
          <w:snapToGrid w:val="0"/>
          <w:szCs w:val="24"/>
          <w:lang w:eastAsia="zh-CN"/>
        </w:rPr>
      </w:pPr>
    </w:p>
    <w:p w14:paraId="0CE680DA">
      <w:pPr>
        <w:pStyle w:val="6"/>
        <w:ind w:firstLine="1560" w:firstLineChars="650"/>
        <w:rPr>
          <w:snapToGrid w:val="0"/>
          <w:szCs w:val="24"/>
          <w:lang w:eastAsia="zh-CN"/>
        </w:rPr>
      </w:pPr>
    </w:p>
    <w:p w14:paraId="22212941">
      <w:pPr>
        <w:pStyle w:val="6"/>
        <w:ind w:firstLine="1560" w:firstLineChars="650"/>
        <w:rPr>
          <w:snapToGrid w:val="0"/>
          <w:szCs w:val="24"/>
          <w:lang w:eastAsia="zh-CN"/>
        </w:rPr>
      </w:pPr>
    </w:p>
    <w:p w14:paraId="551D7975">
      <w:pPr>
        <w:pStyle w:val="6"/>
        <w:ind w:firstLine="1560" w:firstLineChars="650"/>
        <w:rPr>
          <w:snapToGrid w:val="0"/>
          <w:szCs w:val="24"/>
          <w:lang w:eastAsia="zh-CN"/>
        </w:rPr>
      </w:pPr>
    </w:p>
    <w:p w14:paraId="0649C54C">
      <w:pPr>
        <w:pStyle w:val="6"/>
        <w:ind w:firstLine="1560" w:firstLineChars="650"/>
        <w:rPr>
          <w:snapToGrid w:val="0"/>
          <w:szCs w:val="24"/>
          <w:lang w:eastAsia="zh-CN"/>
        </w:rPr>
      </w:pPr>
    </w:p>
    <w:p w14:paraId="3CB79AD9">
      <w:pPr>
        <w:pStyle w:val="6"/>
        <w:ind w:firstLine="1560" w:firstLineChars="650"/>
        <w:rPr>
          <w:snapToGrid w:val="0"/>
          <w:lang w:eastAsia="zh-CN"/>
        </w:rPr>
      </w:pPr>
    </w:p>
    <w:p w14:paraId="1D4D8302">
      <w:pPr>
        <w:pStyle w:val="4"/>
        <w:spacing w:before="0"/>
        <w:rPr>
          <w:rFonts w:eastAsia="宋体"/>
          <w:snapToGrid w:val="0"/>
          <w:lang w:eastAsia="zh-CN"/>
        </w:rPr>
      </w:pPr>
      <w:bookmarkStart w:id="332" w:name="_Toc370459082"/>
      <w:bookmarkStart w:id="333" w:name="_Toc362883306"/>
    </w:p>
    <w:p w14:paraId="346C22E2">
      <w:pPr>
        <w:pStyle w:val="4"/>
        <w:spacing w:before="0"/>
        <w:rPr>
          <w:rFonts w:eastAsia="宋体"/>
          <w:snapToGrid w:val="0"/>
          <w:lang w:eastAsia="zh-CN"/>
        </w:rPr>
      </w:pPr>
    </w:p>
    <w:p w14:paraId="187FDFB2">
      <w:pPr>
        <w:pStyle w:val="4"/>
        <w:spacing w:before="0"/>
        <w:rPr>
          <w:rFonts w:eastAsia="宋体"/>
          <w:snapToGrid w:val="0"/>
          <w:lang w:eastAsia="zh-CN"/>
        </w:rPr>
      </w:pPr>
      <w:r>
        <w:rPr>
          <w:rFonts w:eastAsia="宋体"/>
          <w:snapToGrid w:val="0"/>
          <w:lang w:eastAsia="zh-CN"/>
        </w:rPr>
        <w:t>附件五  安全生产协议书</w:t>
      </w:r>
      <w:bookmarkEnd w:id="332"/>
      <w:bookmarkEnd w:id="333"/>
    </w:p>
    <w:p w14:paraId="3C4F9EB6">
      <w:pPr>
        <w:pStyle w:val="8"/>
        <w:rPr>
          <w:rFonts w:ascii="Times New Roman" w:hAnsi="Times New Roman"/>
          <w:b/>
          <w:bCs/>
          <w:snapToGrid w:val="0"/>
          <w:lang w:eastAsia="zh-CN"/>
        </w:rPr>
      </w:pPr>
      <w:r>
        <w:rPr>
          <w:rFonts w:ascii="Times New Roman" w:hAnsi="Times New Roman"/>
          <w:snapToGrid w:val="0"/>
          <w:lang w:eastAsia="zh-CN"/>
        </w:rPr>
        <w:t>（本格式为安全生产协议书标准格式，</w:t>
      </w:r>
      <w:r>
        <w:rPr>
          <w:rFonts w:hint="eastAsia" w:ascii="Times New Roman" w:hAnsi="Times New Roman"/>
          <w:snapToGrid w:val="0"/>
          <w:lang w:eastAsia="zh-CN"/>
        </w:rPr>
        <w:t>交易响应</w:t>
      </w:r>
      <w:r>
        <w:rPr>
          <w:rFonts w:ascii="Times New Roman" w:hAnsi="Times New Roman"/>
          <w:snapToGrid w:val="0"/>
          <w:lang w:eastAsia="zh-CN"/>
        </w:rPr>
        <w:t>人不需填写）</w:t>
      </w:r>
    </w:p>
    <w:p w14:paraId="1401C135">
      <w:pPr>
        <w:jc w:val="center"/>
        <w:rPr>
          <w:b/>
          <w:snapToGrid w:val="0"/>
          <w:szCs w:val="21"/>
          <w:lang w:eastAsia="zh-CN"/>
        </w:rPr>
      </w:pPr>
      <w:r>
        <w:rPr>
          <w:b/>
          <w:snapToGrid w:val="0"/>
          <w:szCs w:val="21"/>
          <w:lang w:eastAsia="zh-CN"/>
        </w:rPr>
        <w:t>安全生产协议书（格式）</w:t>
      </w:r>
    </w:p>
    <w:p w14:paraId="5A92FF86">
      <w:pPr>
        <w:ind w:firstLine="420" w:firstLineChars="200"/>
        <w:rPr>
          <w:snapToGrid w:val="0"/>
          <w:szCs w:val="24"/>
          <w:lang w:eastAsia="zh-CN"/>
        </w:rPr>
      </w:pPr>
      <w:r>
        <w:rPr>
          <w:snapToGrid w:val="0"/>
          <w:szCs w:val="24"/>
          <w:lang w:eastAsia="zh-CN"/>
        </w:rPr>
        <w:t>为在（项目名称）施工合同的实施过程中创造安全、高效的施工环境，切实搞好本项目的安全管理工作，本项目的发包人（以下简称“甲方”）与承包人（以下简称“乙方”），特此签订安全生产协议书：</w:t>
      </w:r>
    </w:p>
    <w:p w14:paraId="5D52E599">
      <w:pPr>
        <w:ind w:firstLine="422" w:firstLineChars="200"/>
        <w:rPr>
          <w:snapToGrid w:val="0"/>
          <w:szCs w:val="24"/>
          <w:lang w:eastAsia="zh-CN"/>
        </w:rPr>
      </w:pPr>
      <w:r>
        <w:rPr>
          <w:rFonts w:hint="eastAsia"/>
          <w:b/>
          <w:snapToGrid w:val="0"/>
          <w:szCs w:val="24"/>
          <w:lang w:eastAsia="zh-CN"/>
        </w:rPr>
        <w:t>第一条</w:t>
      </w:r>
      <w:r>
        <w:rPr>
          <w:b/>
          <w:snapToGrid w:val="0"/>
          <w:szCs w:val="24"/>
          <w:lang w:eastAsia="zh-CN"/>
        </w:rPr>
        <w:t>甲方职责</w:t>
      </w:r>
    </w:p>
    <w:p w14:paraId="4614F3EB">
      <w:pPr>
        <w:ind w:firstLine="420" w:firstLineChars="200"/>
        <w:rPr>
          <w:snapToGrid w:val="0"/>
          <w:szCs w:val="24"/>
          <w:lang w:eastAsia="zh-CN"/>
        </w:rPr>
      </w:pPr>
      <w:r>
        <w:rPr>
          <w:snapToGrid w:val="0"/>
          <w:szCs w:val="24"/>
          <w:lang w:eastAsia="zh-CN"/>
        </w:rPr>
        <w:t>（一）遵守国家有关安全生产的法律法规，认真执行工程承包合同中的有关安全要求。</w:t>
      </w:r>
    </w:p>
    <w:p w14:paraId="17A9DA81">
      <w:pPr>
        <w:ind w:firstLine="420" w:firstLineChars="200"/>
        <w:rPr>
          <w:snapToGrid w:val="0"/>
          <w:szCs w:val="24"/>
          <w:lang w:eastAsia="zh-CN"/>
        </w:rPr>
      </w:pPr>
      <w:r>
        <w:rPr>
          <w:snapToGrid w:val="0"/>
          <w:szCs w:val="24"/>
          <w:lang w:eastAsia="zh-CN"/>
        </w:rPr>
        <w:t>（二）按照“安全第一、预防为主、综合治理”和坚持“管生产必须管安全”的原则进行安全生产管理，做到生产与安全工作同时计划、布置、检查、总结和评比。</w:t>
      </w:r>
    </w:p>
    <w:p w14:paraId="2AAEC86A">
      <w:pPr>
        <w:rPr>
          <w:snapToGrid w:val="0"/>
          <w:szCs w:val="24"/>
          <w:lang w:eastAsia="zh-CN"/>
        </w:rPr>
      </w:pPr>
      <w:r>
        <w:rPr>
          <w:snapToGrid w:val="0"/>
          <w:szCs w:val="24"/>
          <w:lang w:eastAsia="zh-CN"/>
        </w:rPr>
        <w:t xml:space="preserve">    （三）重要的安全设施必须坚持与主体工程“三同时”的原则，即：同时设计、审批，同时施工，同时验收、投入使用。</w:t>
      </w:r>
    </w:p>
    <w:p w14:paraId="287C036D">
      <w:pPr>
        <w:rPr>
          <w:snapToGrid w:val="0"/>
          <w:szCs w:val="24"/>
          <w:lang w:eastAsia="zh-CN"/>
        </w:rPr>
      </w:pPr>
      <w:r>
        <w:rPr>
          <w:snapToGrid w:val="0"/>
          <w:szCs w:val="24"/>
          <w:lang w:eastAsia="zh-CN"/>
        </w:rPr>
        <w:t xml:space="preserve">    （四）定期召开安全生产调度会，及时传达中央及地方有关安全生产的精神。</w:t>
      </w:r>
    </w:p>
    <w:p w14:paraId="2B3B8390">
      <w:pPr>
        <w:rPr>
          <w:snapToGrid w:val="0"/>
          <w:spacing w:val="-8"/>
          <w:szCs w:val="24"/>
          <w:lang w:eastAsia="zh-CN"/>
        </w:rPr>
      </w:pPr>
      <w:r>
        <w:rPr>
          <w:snapToGrid w:val="0"/>
          <w:szCs w:val="24"/>
          <w:lang w:eastAsia="zh-CN"/>
        </w:rPr>
        <w:t xml:space="preserve">    （五）</w:t>
      </w:r>
      <w:r>
        <w:rPr>
          <w:snapToGrid w:val="0"/>
          <w:spacing w:val="-8"/>
          <w:szCs w:val="24"/>
          <w:lang w:eastAsia="zh-CN"/>
        </w:rPr>
        <w:t>组织对乙方施工现场安全生产检查，监督乙方及时处理发现的各种安全隐患。</w:t>
      </w:r>
    </w:p>
    <w:p w14:paraId="342E3076">
      <w:pPr>
        <w:ind w:left="482"/>
        <w:rPr>
          <w:b/>
          <w:snapToGrid w:val="0"/>
          <w:szCs w:val="24"/>
          <w:lang w:eastAsia="zh-CN"/>
        </w:rPr>
      </w:pPr>
      <w:r>
        <w:rPr>
          <w:rFonts w:hint="eastAsia"/>
          <w:b/>
          <w:snapToGrid w:val="0"/>
          <w:szCs w:val="24"/>
          <w:lang w:eastAsia="zh-CN"/>
        </w:rPr>
        <w:t xml:space="preserve">第二条  </w:t>
      </w:r>
      <w:r>
        <w:rPr>
          <w:b/>
          <w:snapToGrid w:val="0"/>
          <w:szCs w:val="24"/>
          <w:lang w:eastAsia="zh-CN"/>
        </w:rPr>
        <w:t>乙方职责</w:t>
      </w:r>
    </w:p>
    <w:p w14:paraId="5C7E11C7">
      <w:pPr>
        <w:ind w:firstLine="420" w:firstLineChars="200"/>
        <w:rPr>
          <w:snapToGrid w:val="0"/>
          <w:szCs w:val="24"/>
          <w:lang w:eastAsia="zh-CN"/>
        </w:rPr>
      </w:pPr>
      <w:r>
        <w:rPr>
          <w:snapToGrid w:val="0"/>
          <w:szCs w:val="24"/>
          <w:lang w:eastAsia="zh-CN"/>
        </w:rPr>
        <w:t>（一）严格遵守国家有关安全生产的法律法规、水利部颁发的有关工程施工安全技术规程的安全生产规定，认真执行工程承包合同中的有关安全要求。</w:t>
      </w:r>
    </w:p>
    <w:p w14:paraId="4B3AE7A5">
      <w:pPr>
        <w:rPr>
          <w:snapToGrid w:val="0"/>
          <w:szCs w:val="24"/>
          <w:lang w:eastAsia="zh-CN"/>
        </w:rPr>
      </w:pPr>
      <w:r>
        <w:rPr>
          <w:snapToGrid w:val="0"/>
          <w:szCs w:val="24"/>
          <w:lang w:eastAsia="zh-CN"/>
        </w:rPr>
        <w:t xml:space="preserve">    （二）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6B53B228">
      <w:pPr>
        <w:rPr>
          <w:snapToGrid w:val="0"/>
          <w:szCs w:val="24"/>
          <w:lang w:eastAsia="zh-CN"/>
        </w:rPr>
      </w:pPr>
      <w:r>
        <w:rPr>
          <w:snapToGrid w:val="0"/>
          <w:szCs w:val="24"/>
          <w:lang w:eastAsia="zh-CN"/>
        </w:rPr>
        <w:t xml:space="preserve">    （三）建立健全安全生产责任制。从派往项目实施的项目负责人到生产工人（包括临时雇请的民工）的安全生产管理系统必须做到纵向到底，一环不漏；各职能部门、人员的安全生产责任制做到横向到边，人人有责。项目负责人是安全生产的第一责任人。现场设置的安全机构，应按施工人员的１％～３％配备</w:t>
      </w:r>
      <w:r>
        <w:rPr>
          <w:rFonts w:hint="eastAsia"/>
          <w:snapToGrid w:val="0"/>
          <w:szCs w:val="24"/>
          <w:lang w:eastAsia="zh-CN"/>
        </w:rPr>
        <w:t>专职</w:t>
      </w:r>
      <w:r>
        <w:rPr>
          <w:snapToGrid w:val="0"/>
          <w:szCs w:val="24"/>
          <w:lang w:eastAsia="zh-CN"/>
        </w:rPr>
        <w:t>安全员，专职负责所有员工的安全和治安保卫工作及预防事故的发生。安全机构人员，有权按有关规定发布指令，并采取保护性措施防止事故发生。</w:t>
      </w:r>
    </w:p>
    <w:p w14:paraId="1EC9BD89">
      <w:pPr>
        <w:rPr>
          <w:snapToGrid w:val="0"/>
          <w:szCs w:val="24"/>
          <w:lang w:eastAsia="zh-CN"/>
        </w:rPr>
      </w:pPr>
      <w:r>
        <w:rPr>
          <w:snapToGrid w:val="0"/>
          <w:szCs w:val="24"/>
          <w:lang w:eastAsia="zh-CN"/>
        </w:rPr>
        <w:t xml:space="preserve">    （四）乙方在任何时候都应采取各种合理的预防措施，防止其员工发生任何违法、违禁、暴力或妨碍治安的行为。</w:t>
      </w:r>
    </w:p>
    <w:p w14:paraId="1276ED06">
      <w:pPr>
        <w:rPr>
          <w:snapToGrid w:val="0"/>
          <w:szCs w:val="24"/>
          <w:lang w:eastAsia="zh-CN"/>
        </w:rPr>
      </w:pPr>
      <w:r>
        <w:rPr>
          <w:snapToGrid w:val="0"/>
          <w:szCs w:val="24"/>
          <w:lang w:eastAsia="zh-CN"/>
        </w:rPr>
        <w:t xml:space="preserve">    （五）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驾驶、爆破等特殊工种的人员，需经过专业培训，获得《安全操作合格证》后，方准持证上岗。施工现场如出现特种作业无证操作现象时，项目负责人必须承担管理责任。</w:t>
      </w:r>
    </w:p>
    <w:p w14:paraId="51D06718">
      <w:pPr>
        <w:rPr>
          <w:snapToGrid w:val="0"/>
          <w:szCs w:val="24"/>
          <w:lang w:eastAsia="zh-CN"/>
        </w:rPr>
      </w:pPr>
      <w:r>
        <w:rPr>
          <w:snapToGrid w:val="0"/>
          <w:szCs w:val="24"/>
          <w:lang w:eastAsia="zh-CN"/>
        </w:rPr>
        <w:t xml:space="preserve">    （六）对于易燃易爆的材料除应专门妥善保管之外，还应配备有足够的消防设施，所有施工人员都应熟悉消防设备的性能和使用方法；乙方不得将任何种类的给予、易货或以其他方式转让给任何人，或允许、容忍上述同样行为。</w:t>
      </w:r>
    </w:p>
    <w:p w14:paraId="082E61C1">
      <w:pPr>
        <w:rPr>
          <w:snapToGrid w:val="0"/>
          <w:szCs w:val="24"/>
          <w:lang w:eastAsia="zh-CN"/>
        </w:rPr>
      </w:pPr>
      <w:r>
        <w:rPr>
          <w:snapToGrid w:val="0"/>
          <w:szCs w:val="24"/>
          <w:lang w:eastAsia="zh-CN"/>
        </w:rPr>
        <w:t xml:space="preserve">    （七）操作人员上岗，必须按规定穿戴防护用品。施工负责人和安全检查员应随时检查劳动防护用品的穿戴情况，不按规定穿戴防护用品的人员不得上岗。</w:t>
      </w:r>
    </w:p>
    <w:p w14:paraId="0A37FE3E">
      <w:pPr>
        <w:rPr>
          <w:snapToGrid w:val="0"/>
          <w:szCs w:val="24"/>
          <w:lang w:eastAsia="zh-CN"/>
        </w:rPr>
      </w:pPr>
      <w:r>
        <w:rPr>
          <w:snapToGrid w:val="0"/>
          <w:szCs w:val="24"/>
          <w:lang w:eastAsia="zh-CN"/>
        </w:rPr>
        <w:t xml:space="preserve">    （八）所有施工机具设备和高空作业的设备均应定期检查，并有</w:t>
      </w:r>
      <w:r>
        <w:rPr>
          <w:rFonts w:hint="eastAsia"/>
          <w:snapToGrid w:val="0"/>
          <w:szCs w:val="24"/>
          <w:lang w:eastAsia="zh-CN"/>
        </w:rPr>
        <w:t>专职</w:t>
      </w:r>
      <w:r>
        <w:rPr>
          <w:snapToGrid w:val="0"/>
          <w:szCs w:val="24"/>
          <w:lang w:eastAsia="zh-CN"/>
        </w:rPr>
        <w:t>安全员的签字记录，保证其经常处于完好状态；不合格的机具、设备和劳动保护用品严禁使用。</w:t>
      </w:r>
    </w:p>
    <w:p w14:paraId="4440B37B">
      <w:pPr>
        <w:rPr>
          <w:snapToGrid w:val="0"/>
          <w:szCs w:val="24"/>
          <w:lang w:eastAsia="zh-CN"/>
        </w:rPr>
      </w:pPr>
      <w:r>
        <w:rPr>
          <w:snapToGrid w:val="0"/>
          <w:szCs w:val="24"/>
          <w:lang w:eastAsia="zh-CN"/>
        </w:rPr>
        <w:t xml:space="preserve">    （九）所有施工中采用新技术，新工艺、新设备、新材料时，必须制定相应的安全技术措施，施工现场必须具有相关的安全标志牌。</w:t>
      </w:r>
    </w:p>
    <w:p w14:paraId="613E05AE">
      <w:pPr>
        <w:rPr>
          <w:snapToGrid w:val="0"/>
          <w:szCs w:val="24"/>
          <w:lang w:eastAsia="zh-CN"/>
        </w:rPr>
      </w:pPr>
      <w:r>
        <w:rPr>
          <w:snapToGrid w:val="0"/>
          <w:szCs w:val="24"/>
          <w:lang w:eastAsia="zh-CN"/>
        </w:rPr>
        <w:t xml:space="preserve">    （十）乙方必须按照本工程项目特点，组织制定本工程实施中的生产安全事故应急救援预案；如果发生安全事故，应按照《国务院关于特大安全事故行政责任追究的规定》以及其它有关规定，及时上报有关部门，并坚持“四不放过”的原则，严肃处理相关责任人。</w:t>
      </w:r>
    </w:p>
    <w:p w14:paraId="38582433">
      <w:pPr>
        <w:rPr>
          <w:b/>
          <w:snapToGrid w:val="0"/>
          <w:szCs w:val="24"/>
          <w:lang w:eastAsia="zh-CN"/>
        </w:rPr>
      </w:pPr>
      <w:r>
        <w:rPr>
          <w:b/>
          <w:snapToGrid w:val="0"/>
          <w:szCs w:val="24"/>
          <w:lang w:eastAsia="zh-CN"/>
        </w:rPr>
        <w:t>第三条  违约责任</w:t>
      </w:r>
    </w:p>
    <w:p w14:paraId="66126347">
      <w:pPr>
        <w:rPr>
          <w:snapToGrid w:val="0"/>
          <w:szCs w:val="24"/>
          <w:lang w:eastAsia="zh-CN"/>
        </w:rPr>
      </w:pPr>
      <w:r>
        <w:rPr>
          <w:snapToGrid w:val="0"/>
          <w:szCs w:val="24"/>
          <w:lang w:eastAsia="zh-CN"/>
        </w:rPr>
        <w:t>如因甲方或乙方违约造成安全事故，将依法追究责任，并视事故轻重扣除一定比例的安全保证金。</w:t>
      </w:r>
    </w:p>
    <w:p w14:paraId="7BF3573C">
      <w:pPr>
        <w:rPr>
          <w:snapToGrid w:val="0"/>
          <w:szCs w:val="24"/>
          <w:lang w:eastAsia="zh-CN"/>
        </w:rPr>
      </w:pPr>
      <w:r>
        <w:rPr>
          <w:snapToGrid w:val="0"/>
          <w:szCs w:val="24"/>
          <w:lang w:eastAsia="zh-CN"/>
        </w:rPr>
        <w:t xml:space="preserve">    本合同正本一式二份，副本八份，合同双方各执正本一份，副本四份。由双方法定代表人或其授权的代理人签署与加盖公章后生效，全部工程竣工验收后失效。</w:t>
      </w:r>
    </w:p>
    <w:p w14:paraId="440C64FF">
      <w:pPr>
        <w:rPr>
          <w:snapToGrid w:val="0"/>
          <w:szCs w:val="24"/>
          <w:u w:val="single"/>
          <w:lang w:eastAsia="zh-CN"/>
        </w:rPr>
      </w:pPr>
      <w:r>
        <w:rPr>
          <w:snapToGrid w:val="0"/>
          <w:szCs w:val="24"/>
          <w:lang w:eastAsia="zh-CN"/>
        </w:rPr>
        <w:t xml:space="preserve">   甲方：</w:t>
      </w:r>
      <w:r>
        <w:rPr>
          <w:snapToGrid w:val="0"/>
          <w:szCs w:val="24"/>
          <w:u w:val="single"/>
          <w:lang w:eastAsia="zh-CN"/>
        </w:rPr>
        <w:t xml:space="preserve">       （盖单位章）     </w:t>
      </w:r>
      <w:r>
        <w:rPr>
          <w:snapToGrid w:val="0"/>
          <w:szCs w:val="24"/>
          <w:lang w:eastAsia="zh-CN"/>
        </w:rPr>
        <w:t xml:space="preserve">      乙方：</w:t>
      </w:r>
      <w:r>
        <w:rPr>
          <w:snapToGrid w:val="0"/>
          <w:szCs w:val="24"/>
          <w:u w:val="single"/>
          <w:lang w:eastAsia="zh-CN"/>
        </w:rPr>
        <w:t xml:space="preserve">        （盖单位章）      </w:t>
      </w:r>
    </w:p>
    <w:p w14:paraId="6E627FB7">
      <w:pPr>
        <w:rPr>
          <w:snapToGrid w:val="0"/>
          <w:szCs w:val="24"/>
          <w:lang w:eastAsia="zh-CN"/>
        </w:rPr>
      </w:pPr>
      <w:r>
        <w:rPr>
          <w:snapToGrid w:val="0"/>
          <w:spacing w:val="13"/>
          <w:kern w:val="0"/>
          <w:szCs w:val="24"/>
          <w:fitText w:val="1155" w:id="1411328646"/>
          <w:lang w:eastAsia="zh-CN"/>
        </w:rPr>
        <w:t>法定代表</w:t>
      </w:r>
      <w:r>
        <w:rPr>
          <w:snapToGrid w:val="0"/>
          <w:spacing w:val="0"/>
          <w:kern w:val="0"/>
          <w:szCs w:val="24"/>
          <w:fitText w:val="1155" w:id="1411328646"/>
          <w:lang w:eastAsia="zh-CN"/>
        </w:rPr>
        <w:t>人</w:t>
      </w:r>
      <w:r>
        <w:rPr>
          <w:snapToGrid w:val="0"/>
          <w:szCs w:val="24"/>
          <w:lang w:eastAsia="zh-CN"/>
        </w:rPr>
        <w:t>：</w:t>
      </w:r>
      <w:r>
        <w:rPr>
          <w:rFonts w:hint="eastAsia"/>
          <w:snapToGrid w:val="0"/>
          <w:szCs w:val="24"/>
          <w:u w:val="single"/>
          <w:lang w:eastAsia="zh-CN"/>
        </w:rPr>
        <w:t>（盖章或签字）</w:t>
      </w:r>
      <w:r>
        <w:rPr>
          <w:snapToGrid w:val="0"/>
          <w:spacing w:val="13"/>
          <w:kern w:val="0"/>
          <w:szCs w:val="24"/>
          <w:fitText w:val="1155" w:id="387408433"/>
          <w:lang w:eastAsia="zh-CN"/>
        </w:rPr>
        <w:t>法定代表</w:t>
      </w:r>
      <w:r>
        <w:rPr>
          <w:snapToGrid w:val="0"/>
          <w:spacing w:val="0"/>
          <w:kern w:val="0"/>
          <w:szCs w:val="24"/>
          <w:fitText w:val="1155" w:id="387408433"/>
          <w:lang w:eastAsia="zh-CN"/>
        </w:rPr>
        <w:t>人</w:t>
      </w:r>
      <w:r>
        <w:rPr>
          <w:snapToGrid w:val="0"/>
          <w:szCs w:val="24"/>
          <w:lang w:eastAsia="zh-CN"/>
        </w:rPr>
        <w:t>：</w:t>
      </w:r>
      <w:r>
        <w:rPr>
          <w:rFonts w:hint="eastAsia"/>
          <w:snapToGrid w:val="0"/>
          <w:szCs w:val="24"/>
          <w:u w:val="single"/>
          <w:lang w:eastAsia="zh-CN"/>
        </w:rPr>
        <w:t>（盖章或签字）</w:t>
      </w:r>
    </w:p>
    <w:p w14:paraId="3E306B67">
      <w:pPr>
        <w:pStyle w:val="8"/>
        <w:adjustRightInd w:val="0"/>
        <w:rPr>
          <w:rFonts w:ascii="Times New Roman" w:hAnsi="Times New Roman"/>
          <w:snapToGrid w:val="0"/>
          <w:sz w:val="24"/>
          <w:szCs w:val="24"/>
        </w:rPr>
      </w:pPr>
      <w:r>
        <w:rPr>
          <w:rFonts w:ascii="Times New Roman" w:hAnsi="Times New Roman"/>
          <w:snapToGrid w:val="0"/>
          <w:spacing w:val="1"/>
          <w:w w:val="68"/>
          <w:kern w:val="0"/>
          <w:sz w:val="24"/>
          <w:szCs w:val="24"/>
          <w:fitText w:val="1155" w:id="530193410"/>
        </w:rPr>
        <w:t>或其委托代理人</w:t>
      </w:r>
      <w:r>
        <w:rPr>
          <w:rFonts w:ascii="Times New Roman" w:hAnsi="Times New Roman"/>
          <w:snapToGrid w:val="0"/>
          <w:spacing w:val="1"/>
          <w:w w:val="68"/>
          <w:kern w:val="0"/>
          <w:sz w:val="24"/>
          <w:szCs w:val="24"/>
          <w:fitText w:val="1155" w:id="1153836605"/>
        </w:rPr>
        <w:t>或其委托代理人</w:t>
      </w:r>
    </w:p>
    <w:p w14:paraId="3FF626BF">
      <w:pPr>
        <w:pStyle w:val="8"/>
        <w:adjustRightInd w:val="0"/>
        <w:ind w:firstLine="1764" w:firstLineChars="840"/>
        <w:rPr>
          <w:rFonts w:ascii="Times New Roman" w:hAnsi="Times New Roman"/>
          <w:snapToGrid w:val="0"/>
          <w:lang w:eastAsia="zh-CN"/>
        </w:rPr>
      </w:pPr>
      <w:r>
        <w:rPr>
          <w:rFonts w:ascii="Times New Roman" w:hAnsi="Times New Roman"/>
          <w:snapToGrid w:val="0"/>
          <w:lang w:eastAsia="zh-CN"/>
        </w:rPr>
        <w:t>年月＿日                        年月＿日</w:t>
      </w:r>
    </w:p>
    <w:p w14:paraId="1B477904">
      <w:pPr>
        <w:pStyle w:val="3"/>
        <w:jc w:val="center"/>
        <w:rPr>
          <w:rStyle w:val="15"/>
          <w:b w:val="0"/>
          <w:sz w:val="30"/>
          <w:szCs w:val="30"/>
          <w:lang w:eastAsia="zh-CN"/>
        </w:rPr>
      </w:pPr>
      <w:r>
        <w:rPr>
          <w:rStyle w:val="15"/>
          <w:b w:val="0"/>
          <w:sz w:val="30"/>
          <w:szCs w:val="30"/>
          <w:lang w:eastAsia="zh-CN"/>
        </w:rPr>
        <w:br w:type="page"/>
      </w:r>
    </w:p>
    <w:p w14:paraId="524A410B">
      <w:pPr>
        <w:pStyle w:val="8"/>
        <w:spacing w:line="440" w:lineRule="exact"/>
        <w:jc w:val="center"/>
        <w:outlineLvl w:val="0"/>
        <w:rPr>
          <w:sz w:val="32"/>
          <w:szCs w:val="32"/>
          <w:lang w:eastAsia="zh-CN"/>
        </w:rPr>
      </w:pPr>
      <w:bookmarkStart w:id="334" w:name="_Toc330288446"/>
      <w:bookmarkStart w:id="335" w:name="_Toc330378507"/>
      <w:bookmarkStart w:id="336" w:name="_Toc18611"/>
      <w:r>
        <w:rPr>
          <w:rFonts w:hint="eastAsia"/>
          <w:sz w:val="32"/>
          <w:szCs w:val="32"/>
          <w:lang w:eastAsia="zh-CN"/>
        </w:rPr>
        <w:t>六、交易响应文件</w:t>
      </w:r>
      <w:bookmarkEnd w:id="334"/>
      <w:bookmarkEnd w:id="335"/>
      <w:r>
        <w:rPr>
          <w:rFonts w:hint="eastAsia"/>
          <w:sz w:val="32"/>
          <w:szCs w:val="32"/>
          <w:lang w:eastAsia="zh-CN"/>
        </w:rPr>
        <w:t>格式</w:t>
      </w:r>
      <w:bookmarkEnd w:id="336"/>
    </w:p>
    <w:p w14:paraId="0484FD83">
      <w:pPr>
        <w:pStyle w:val="8"/>
        <w:spacing w:line="360" w:lineRule="auto"/>
        <w:jc w:val="center"/>
        <w:rPr>
          <w:sz w:val="32"/>
          <w:szCs w:val="32"/>
          <w:lang w:eastAsia="zh-CN"/>
        </w:rPr>
      </w:pPr>
      <w:r>
        <w:rPr>
          <w:rFonts w:hint="eastAsia"/>
          <w:sz w:val="32"/>
          <w:szCs w:val="32"/>
          <w:lang w:eastAsia="zh-CN"/>
        </w:rPr>
        <w:t>目录</w:t>
      </w:r>
    </w:p>
    <w:p w14:paraId="1C871812">
      <w:pPr>
        <w:pStyle w:val="8"/>
        <w:rPr>
          <w:sz w:val="24"/>
          <w:szCs w:val="24"/>
          <w:lang w:eastAsia="zh-CN"/>
        </w:rPr>
      </w:pPr>
      <w:r>
        <w:rPr>
          <w:rFonts w:hint="eastAsia"/>
          <w:sz w:val="24"/>
          <w:szCs w:val="24"/>
          <w:lang w:eastAsia="zh-CN"/>
        </w:rPr>
        <w:t>（一）交易响应文件交易响应函格式</w:t>
      </w:r>
    </w:p>
    <w:p w14:paraId="62052EF5">
      <w:pPr>
        <w:pStyle w:val="8"/>
        <w:rPr>
          <w:sz w:val="24"/>
          <w:szCs w:val="24"/>
          <w:lang w:eastAsia="zh-CN"/>
        </w:rPr>
      </w:pPr>
      <w:r>
        <w:rPr>
          <w:rFonts w:hint="eastAsia"/>
          <w:sz w:val="24"/>
          <w:szCs w:val="24"/>
          <w:lang w:eastAsia="zh-CN"/>
        </w:rPr>
        <w:t>（二）交易响应文件技术部分格式</w:t>
      </w:r>
    </w:p>
    <w:p w14:paraId="0E4AB5F1">
      <w:pPr>
        <w:pStyle w:val="8"/>
        <w:jc w:val="center"/>
        <w:rPr>
          <w:b/>
          <w:sz w:val="44"/>
          <w:szCs w:val="44"/>
          <w:lang w:eastAsia="zh-CN"/>
        </w:rPr>
      </w:pPr>
      <w:r>
        <w:rPr>
          <w:b/>
          <w:sz w:val="44"/>
          <w:szCs w:val="44"/>
          <w:lang w:eastAsia="zh-CN"/>
        </w:rPr>
        <w:br w:type="page"/>
      </w:r>
      <w:r>
        <w:rPr>
          <w:rFonts w:hint="eastAsia"/>
          <w:b/>
          <w:sz w:val="44"/>
          <w:szCs w:val="44"/>
          <w:lang w:eastAsia="zh-CN"/>
        </w:rPr>
        <w:t>（一）交易响应文件格式（封面）</w:t>
      </w:r>
    </w:p>
    <w:p w14:paraId="66D2E45C">
      <w:pPr>
        <w:pStyle w:val="8"/>
        <w:jc w:val="center"/>
        <w:rPr>
          <w:b/>
          <w:sz w:val="44"/>
          <w:szCs w:val="44"/>
          <w:lang w:eastAsia="zh-CN"/>
        </w:rPr>
      </w:pPr>
    </w:p>
    <w:p w14:paraId="2EBB6320">
      <w:pPr>
        <w:pStyle w:val="8"/>
        <w:jc w:val="center"/>
        <w:rPr>
          <w:b/>
          <w:sz w:val="44"/>
          <w:szCs w:val="44"/>
          <w:lang w:eastAsia="zh-CN"/>
        </w:rPr>
      </w:pPr>
      <w:r>
        <w:rPr>
          <w:rFonts w:hint="eastAsia"/>
          <w:b/>
          <w:sz w:val="44"/>
          <w:szCs w:val="44"/>
          <w:lang w:eastAsia="zh-CN"/>
        </w:rPr>
        <w:t>建设工程施工交易响应文件</w:t>
      </w:r>
    </w:p>
    <w:p w14:paraId="57CF4147">
      <w:pPr>
        <w:pStyle w:val="8"/>
        <w:jc w:val="center"/>
        <w:rPr>
          <w:lang w:eastAsia="zh-CN"/>
        </w:rPr>
      </w:pPr>
    </w:p>
    <w:p w14:paraId="0279AE1C">
      <w:pPr>
        <w:pStyle w:val="8"/>
        <w:ind w:firstLine="3360" w:firstLineChars="1400"/>
        <w:rPr>
          <w:sz w:val="24"/>
          <w:szCs w:val="24"/>
          <w:lang w:eastAsia="zh-CN"/>
        </w:rPr>
      </w:pPr>
      <w:r>
        <w:rPr>
          <w:rFonts w:hint="eastAsia"/>
          <w:sz w:val="24"/>
          <w:szCs w:val="24"/>
          <w:lang w:eastAsia="zh-CN"/>
        </w:rPr>
        <w:t>交易编号:</w:t>
      </w:r>
    </w:p>
    <w:p w14:paraId="1DEE0D25">
      <w:pPr>
        <w:pStyle w:val="8"/>
        <w:rPr>
          <w:sz w:val="28"/>
          <w:szCs w:val="28"/>
          <w:lang w:eastAsia="zh-CN"/>
        </w:rPr>
      </w:pPr>
    </w:p>
    <w:p w14:paraId="79D3D167">
      <w:pPr>
        <w:pStyle w:val="8"/>
        <w:rPr>
          <w:sz w:val="28"/>
          <w:szCs w:val="28"/>
          <w:lang w:eastAsia="zh-CN"/>
        </w:rPr>
      </w:pPr>
    </w:p>
    <w:p w14:paraId="211BDD4D">
      <w:pPr>
        <w:pStyle w:val="8"/>
        <w:rPr>
          <w:sz w:val="28"/>
          <w:szCs w:val="28"/>
          <w:lang w:eastAsia="zh-CN"/>
        </w:rPr>
      </w:pPr>
    </w:p>
    <w:p w14:paraId="3E8B3063">
      <w:pPr>
        <w:pStyle w:val="8"/>
        <w:rPr>
          <w:sz w:val="28"/>
          <w:szCs w:val="28"/>
          <w:lang w:eastAsia="zh-CN"/>
        </w:rPr>
      </w:pPr>
      <w:r>
        <w:rPr>
          <w:rFonts w:hint="eastAsia"/>
          <w:sz w:val="28"/>
          <w:szCs w:val="28"/>
          <w:lang w:eastAsia="zh-CN"/>
        </w:rPr>
        <w:t>工程名称:</w:t>
      </w:r>
    </w:p>
    <w:p w14:paraId="3BD4692F">
      <w:pPr>
        <w:pStyle w:val="8"/>
        <w:rPr>
          <w:sz w:val="28"/>
          <w:szCs w:val="28"/>
          <w:lang w:eastAsia="zh-CN"/>
        </w:rPr>
      </w:pPr>
    </w:p>
    <w:p w14:paraId="17B31157">
      <w:pPr>
        <w:pStyle w:val="8"/>
        <w:rPr>
          <w:sz w:val="28"/>
          <w:szCs w:val="28"/>
          <w:lang w:eastAsia="zh-CN"/>
        </w:rPr>
      </w:pPr>
    </w:p>
    <w:p w14:paraId="20E61119">
      <w:pPr>
        <w:pStyle w:val="8"/>
        <w:rPr>
          <w:sz w:val="28"/>
          <w:szCs w:val="28"/>
          <w:lang w:eastAsia="zh-CN"/>
        </w:rPr>
      </w:pPr>
      <w:r>
        <w:rPr>
          <w:rFonts w:hint="eastAsia"/>
          <w:sz w:val="28"/>
          <w:szCs w:val="28"/>
          <w:lang w:eastAsia="zh-CN"/>
        </w:rPr>
        <w:t>交易响应人</w:t>
      </w:r>
      <w:r>
        <w:rPr>
          <w:sz w:val="28"/>
          <w:szCs w:val="28"/>
          <w:lang w:eastAsia="zh-CN"/>
        </w:rPr>
        <w:t>:</w:t>
      </w:r>
      <w:r>
        <w:rPr>
          <w:rFonts w:hint="eastAsia"/>
          <w:sz w:val="28"/>
          <w:szCs w:val="28"/>
          <w:u w:val="single"/>
          <w:lang w:eastAsia="zh-CN"/>
        </w:rPr>
        <w:t xml:space="preserve">                                   (盖公章)</w:t>
      </w:r>
    </w:p>
    <w:p w14:paraId="5D9846CE">
      <w:pPr>
        <w:pStyle w:val="8"/>
        <w:spacing w:afterLines="50" w:line="480" w:lineRule="auto"/>
        <w:rPr>
          <w:sz w:val="28"/>
          <w:szCs w:val="28"/>
          <w:lang w:eastAsia="zh-CN"/>
        </w:rPr>
      </w:pPr>
    </w:p>
    <w:p w14:paraId="68777A87">
      <w:pPr>
        <w:pStyle w:val="8"/>
        <w:spacing w:afterLines="50" w:line="480" w:lineRule="auto"/>
        <w:rPr>
          <w:sz w:val="28"/>
          <w:szCs w:val="28"/>
          <w:u w:val="single"/>
          <w:lang w:eastAsia="zh-CN"/>
        </w:rPr>
      </w:pPr>
      <w:r>
        <w:rPr>
          <w:rFonts w:hint="eastAsia"/>
          <w:sz w:val="28"/>
          <w:szCs w:val="28"/>
          <w:lang w:eastAsia="zh-CN"/>
        </w:rPr>
        <w:t>法定代表人或其委托代理人</w:t>
      </w:r>
      <w:r>
        <w:rPr>
          <w:sz w:val="28"/>
          <w:szCs w:val="28"/>
          <w:lang w:eastAsia="zh-CN"/>
        </w:rPr>
        <w:t>:</w:t>
      </w:r>
      <w:r>
        <w:rPr>
          <w:rFonts w:hint="eastAsia"/>
          <w:sz w:val="28"/>
          <w:szCs w:val="28"/>
          <w:u w:val="single"/>
          <w:lang w:eastAsia="zh-CN"/>
        </w:rPr>
        <w:t xml:space="preserve">               (签字或盖章)</w:t>
      </w:r>
    </w:p>
    <w:p w14:paraId="2E8BDCA1">
      <w:pPr>
        <w:pStyle w:val="8"/>
        <w:spacing w:afterLines="50" w:line="480" w:lineRule="auto"/>
        <w:rPr>
          <w:sz w:val="28"/>
          <w:szCs w:val="28"/>
          <w:lang w:eastAsia="zh-CN"/>
        </w:rPr>
      </w:pPr>
    </w:p>
    <w:p w14:paraId="07A81B0E">
      <w:pPr>
        <w:pStyle w:val="8"/>
        <w:spacing w:afterLines="50" w:line="480" w:lineRule="auto"/>
        <w:rPr>
          <w:sz w:val="28"/>
          <w:szCs w:val="28"/>
          <w:lang w:eastAsia="zh-CN"/>
        </w:rPr>
      </w:pPr>
    </w:p>
    <w:p w14:paraId="5AB710C9">
      <w:pPr>
        <w:pStyle w:val="8"/>
        <w:spacing w:afterLines="50" w:line="480" w:lineRule="auto"/>
        <w:rPr>
          <w:sz w:val="28"/>
          <w:szCs w:val="28"/>
          <w:lang w:eastAsia="zh-CN"/>
        </w:rPr>
      </w:pPr>
    </w:p>
    <w:p w14:paraId="2F7F217C">
      <w:pPr>
        <w:pStyle w:val="8"/>
        <w:spacing w:afterLines="50" w:line="480" w:lineRule="auto"/>
        <w:jc w:val="center"/>
        <w:rPr>
          <w:sz w:val="28"/>
          <w:szCs w:val="28"/>
          <w:lang w:eastAsia="zh-CN"/>
        </w:rPr>
      </w:pPr>
      <w:r>
        <w:rPr>
          <w:rFonts w:hint="eastAsia"/>
          <w:sz w:val="28"/>
          <w:szCs w:val="28"/>
          <w:lang w:eastAsia="zh-CN"/>
        </w:rPr>
        <w:t>日期：年</w:t>
      </w:r>
      <w:r>
        <w:rPr>
          <w:rFonts w:hint="eastAsia"/>
          <w:sz w:val="28"/>
          <w:szCs w:val="28"/>
          <w:lang w:val="en-US" w:eastAsia="zh-CN"/>
        </w:rPr>
        <w:t xml:space="preserve">   </w:t>
      </w:r>
      <w:r>
        <w:rPr>
          <w:rFonts w:hint="eastAsia"/>
          <w:sz w:val="28"/>
          <w:szCs w:val="28"/>
          <w:lang w:eastAsia="zh-CN"/>
        </w:rPr>
        <w:t>月</w:t>
      </w:r>
      <w:r>
        <w:rPr>
          <w:rFonts w:hint="eastAsia"/>
          <w:sz w:val="28"/>
          <w:szCs w:val="28"/>
          <w:lang w:val="en-US" w:eastAsia="zh-CN"/>
        </w:rPr>
        <w:t xml:space="preserve">    </w:t>
      </w:r>
      <w:r>
        <w:rPr>
          <w:rFonts w:hint="eastAsia"/>
          <w:sz w:val="28"/>
          <w:szCs w:val="28"/>
          <w:lang w:eastAsia="zh-CN"/>
        </w:rPr>
        <w:t>日</w:t>
      </w:r>
    </w:p>
    <w:p w14:paraId="591E2CC9">
      <w:pPr>
        <w:jc w:val="center"/>
        <w:rPr>
          <w:b/>
          <w:bCs/>
          <w:sz w:val="44"/>
          <w:szCs w:val="44"/>
          <w:lang w:eastAsia="zh-CN"/>
        </w:rPr>
      </w:pPr>
      <w:r>
        <w:rPr>
          <w:b/>
          <w:bCs/>
          <w:sz w:val="44"/>
          <w:szCs w:val="44"/>
          <w:lang w:eastAsia="zh-CN"/>
        </w:rPr>
        <w:br w:type="page"/>
      </w:r>
      <w:r>
        <w:rPr>
          <w:rFonts w:hint="eastAsia"/>
          <w:b/>
          <w:bCs/>
          <w:sz w:val="44"/>
          <w:szCs w:val="44"/>
          <w:lang w:eastAsia="zh-CN"/>
        </w:rPr>
        <w:t>施工交易响应文件</w:t>
      </w:r>
    </w:p>
    <w:p w14:paraId="63F35BFE">
      <w:pPr>
        <w:rPr>
          <w:szCs w:val="28"/>
          <w:lang w:eastAsia="zh-CN"/>
        </w:rPr>
      </w:pPr>
    </w:p>
    <w:p w14:paraId="559B6EFC">
      <w:pPr>
        <w:rPr>
          <w:szCs w:val="28"/>
          <w:lang w:eastAsia="zh-CN"/>
        </w:rPr>
      </w:pPr>
    </w:p>
    <w:p w14:paraId="0EE96A16">
      <w:pPr>
        <w:rPr>
          <w:szCs w:val="28"/>
          <w:lang w:eastAsia="zh-CN"/>
        </w:rPr>
      </w:pPr>
    </w:p>
    <w:p w14:paraId="404DEE37">
      <w:pPr>
        <w:rPr>
          <w:szCs w:val="28"/>
          <w:lang w:eastAsia="zh-CN"/>
        </w:rPr>
      </w:pPr>
    </w:p>
    <w:p w14:paraId="048ED0DF">
      <w:pPr>
        <w:rPr>
          <w:szCs w:val="28"/>
          <w:lang w:eastAsia="zh-CN"/>
        </w:rPr>
      </w:pPr>
    </w:p>
    <w:p w14:paraId="2B371493">
      <w:pPr>
        <w:rPr>
          <w:szCs w:val="28"/>
          <w:lang w:eastAsia="zh-CN"/>
        </w:rPr>
      </w:pPr>
    </w:p>
    <w:p w14:paraId="1C1439A5">
      <w:pPr>
        <w:spacing w:line="360" w:lineRule="auto"/>
        <w:rPr>
          <w:sz w:val="28"/>
          <w:szCs w:val="28"/>
          <w:lang w:eastAsia="zh-CN"/>
        </w:rPr>
      </w:pPr>
    </w:p>
    <w:p w14:paraId="504FCEF5">
      <w:pPr>
        <w:spacing w:line="360" w:lineRule="auto"/>
        <w:rPr>
          <w:sz w:val="28"/>
          <w:szCs w:val="28"/>
          <w:lang w:eastAsia="zh-CN"/>
        </w:rPr>
      </w:pPr>
      <w:r>
        <w:rPr>
          <w:rFonts w:hint="eastAsia"/>
          <w:sz w:val="28"/>
          <w:szCs w:val="28"/>
          <w:lang w:eastAsia="zh-CN"/>
        </w:rPr>
        <w:t>工程名称：</w:t>
      </w:r>
    </w:p>
    <w:p w14:paraId="1E169E8D">
      <w:pPr>
        <w:spacing w:line="360" w:lineRule="auto"/>
        <w:rPr>
          <w:sz w:val="28"/>
          <w:szCs w:val="28"/>
          <w:lang w:eastAsia="zh-CN"/>
        </w:rPr>
      </w:pPr>
    </w:p>
    <w:p w14:paraId="68B0E5A5">
      <w:pPr>
        <w:spacing w:line="360" w:lineRule="auto"/>
        <w:rPr>
          <w:sz w:val="28"/>
          <w:szCs w:val="28"/>
          <w:u w:val="single"/>
          <w:lang w:eastAsia="zh-CN"/>
        </w:rPr>
      </w:pPr>
      <w:r>
        <w:rPr>
          <w:rFonts w:hint="eastAsia"/>
          <w:sz w:val="28"/>
          <w:szCs w:val="28"/>
          <w:lang w:eastAsia="zh-CN"/>
        </w:rPr>
        <w:t>交易响应文件内容：</w:t>
      </w:r>
      <w:r>
        <w:rPr>
          <w:rFonts w:hint="eastAsia"/>
          <w:sz w:val="28"/>
          <w:szCs w:val="28"/>
          <w:u w:val="single"/>
          <w:lang w:eastAsia="zh-CN"/>
        </w:rPr>
        <w:t xml:space="preserve">         交易响应文件交易响应函格式          </w:t>
      </w:r>
    </w:p>
    <w:p w14:paraId="37D0D7BB">
      <w:pPr>
        <w:spacing w:line="360" w:lineRule="auto"/>
        <w:rPr>
          <w:sz w:val="28"/>
          <w:szCs w:val="28"/>
          <w:u w:val="single"/>
          <w:lang w:eastAsia="zh-CN"/>
        </w:rPr>
      </w:pPr>
    </w:p>
    <w:p w14:paraId="6E7E88C2">
      <w:pPr>
        <w:spacing w:line="360" w:lineRule="auto"/>
        <w:rPr>
          <w:sz w:val="28"/>
          <w:szCs w:val="28"/>
          <w:u w:val="single"/>
          <w:lang w:eastAsia="zh-CN"/>
        </w:rPr>
      </w:pPr>
    </w:p>
    <w:p w14:paraId="6F62706F">
      <w:pPr>
        <w:spacing w:line="360" w:lineRule="auto"/>
        <w:jc w:val="center"/>
        <w:rPr>
          <w:sz w:val="28"/>
          <w:szCs w:val="28"/>
          <w:lang w:eastAsia="zh-CN"/>
        </w:rPr>
      </w:pPr>
      <w:r>
        <w:rPr>
          <w:rFonts w:hint="eastAsia"/>
          <w:sz w:val="28"/>
          <w:szCs w:val="28"/>
          <w:lang w:eastAsia="zh-CN"/>
        </w:rPr>
        <w:t>日期：      年</w:t>
      </w:r>
      <w:r>
        <w:rPr>
          <w:rFonts w:hint="eastAsia"/>
          <w:sz w:val="28"/>
          <w:szCs w:val="28"/>
          <w:lang w:val="en-US" w:eastAsia="zh-CN"/>
        </w:rPr>
        <w:t xml:space="preserve"> </w:t>
      </w:r>
      <w:r>
        <w:rPr>
          <w:rFonts w:hint="eastAsia"/>
          <w:sz w:val="28"/>
          <w:szCs w:val="28"/>
          <w:lang w:eastAsia="zh-CN"/>
        </w:rPr>
        <w:t xml:space="preserve"> 月  日</w:t>
      </w:r>
    </w:p>
    <w:p w14:paraId="72AF0324">
      <w:pPr>
        <w:spacing w:line="360" w:lineRule="auto"/>
        <w:jc w:val="center"/>
        <w:rPr>
          <w:sz w:val="28"/>
          <w:szCs w:val="28"/>
          <w:lang w:eastAsia="zh-CN"/>
        </w:rPr>
      </w:pPr>
    </w:p>
    <w:p w14:paraId="64DA8C28">
      <w:pPr>
        <w:jc w:val="center"/>
        <w:rPr>
          <w:b/>
          <w:bCs/>
          <w:sz w:val="44"/>
          <w:szCs w:val="44"/>
          <w:lang w:eastAsia="zh-CN"/>
        </w:rPr>
      </w:pPr>
      <w:r>
        <w:rPr>
          <w:b/>
          <w:bCs/>
          <w:sz w:val="44"/>
          <w:szCs w:val="44"/>
          <w:lang w:eastAsia="zh-CN"/>
        </w:rPr>
        <w:br w:type="page"/>
      </w:r>
      <w:r>
        <w:rPr>
          <w:rFonts w:hint="eastAsia"/>
          <w:b/>
          <w:bCs/>
          <w:sz w:val="44"/>
          <w:szCs w:val="44"/>
          <w:lang w:eastAsia="zh-CN"/>
        </w:rPr>
        <w:t>目  录</w:t>
      </w:r>
    </w:p>
    <w:p w14:paraId="28CAB8F8">
      <w:pPr>
        <w:spacing w:line="360" w:lineRule="auto"/>
        <w:rPr>
          <w:rFonts w:ascii="宋体" w:hAnsi="宋体"/>
          <w:b/>
          <w:bCs/>
          <w:sz w:val="24"/>
          <w:lang w:eastAsia="zh-CN"/>
        </w:rPr>
      </w:pPr>
    </w:p>
    <w:p w14:paraId="104FBC0F">
      <w:pPr>
        <w:spacing w:line="360" w:lineRule="auto"/>
        <w:rPr>
          <w:rFonts w:ascii="宋体" w:hAnsi="宋体"/>
          <w:sz w:val="24"/>
          <w:lang w:eastAsia="zh-CN"/>
        </w:rPr>
      </w:pPr>
      <w:r>
        <w:rPr>
          <w:rFonts w:hint="eastAsia" w:ascii="宋体" w:hAnsi="宋体"/>
          <w:sz w:val="24"/>
          <w:lang w:eastAsia="zh-CN"/>
        </w:rPr>
        <w:t>(1)法定代表人资格证明书</w:t>
      </w:r>
    </w:p>
    <w:p w14:paraId="17737F36">
      <w:pPr>
        <w:spacing w:line="360" w:lineRule="auto"/>
        <w:rPr>
          <w:rFonts w:ascii="宋体" w:hAnsi="宋体"/>
          <w:sz w:val="24"/>
          <w:lang w:eastAsia="zh-CN"/>
        </w:rPr>
      </w:pPr>
      <w:r>
        <w:rPr>
          <w:rFonts w:hint="eastAsia" w:ascii="宋体" w:hAnsi="宋体"/>
          <w:sz w:val="24"/>
          <w:lang w:eastAsia="zh-CN"/>
        </w:rPr>
        <w:t>(2)交易响应文件签署授权委托书、参加交易会议委托书</w:t>
      </w:r>
    </w:p>
    <w:p w14:paraId="12A35A9C">
      <w:pPr>
        <w:spacing w:line="360" w:lineRule="auto"/>
        <w:rPr>
          <w:rFonts w:ascii="宋体" w:hAnsi="宋体"/>
          <w:sz w:val="24"/>
          <w:lang w:eastAsia="zh-CN"/>
        </w:rPr>
      </w:pPr>
      <w:r>
        <w:rPr>
          <w:rFonts w:hint="eastAsia" w:ascii="宋体" w:hAnsi="宋体"/>
          <w:sz w:val="24"/>
          <w:lang w:eastAsia="zh-CN"/>
        </w:rPr>
        <w:t>(3)授权委托人身份证复印件及交易文件规定的社会保险证明</w:t>
      </w:r>
    </w:p>
    <w:p w14:paraId="5E99CFEE">
      <w:pPr>
        <w:spacing w:line="360" w:lineRule="auto"/>
        <w:rPr>
          <w:rFonts w:ascii="宋体" w:hAnsi="宋体"/>
          <w:sz w:val="24"/>
          <w:lang w:eastAsia="zh-CN"/>
        </w:rPr>
      </w:pPr>
      <w:r>
        <w:rPr>
          <w:rFonts w:hint="eastAsia" w:ascii="宋体" w:hAnsi="宋体"/>
          <w:sz w:val="24"/>
          <w:lang w:eastAsia="zh-CN"/>
        </w:rPr>
        <w:t>(4)交易响应函</w:t>
      </w:r>
    </w:p>
    <w:p w14:paraId="2599DA04">
      <w:pPr>
        <w:spacing w:line="360" w:lineRule="auto"/>
        <w:rPr>
          <w:rFonts w:ascii="宋体" w:hAnsi="宋体"/>
          <w:sz w:val="24"/>
          <w:lang w:eastAsia="zh-CN"/>
        </w:rPr>
      </w:pPr>
      <w:r>
        <w:rPr>
          <w:rFonts w:hint="eastAsia" w:ascii="宋体" w:hAnsi="宋体"/>
          <w:sz w:val="24"/>
          <w:lang w:eastAsia="zh-CN"/>
        </w:rPr>
        <w:t>(5)交易响应函附录（附法定代表人安全生产考核合格证书复印件）</w:t>
      </w:r>
    </w:p>
    <w:p w14:paraId="470383A5">
      <w:pPr>
        <w:spacing w:line="360" w:lineRule="auto"/>
        <w:rPr>
          <w:rFonts w:ascii="宋体" w:hAnsi="宋体"/>
          <w:sz w:val="24"/>
          <w:lang w:eastAsia="zh-CN"/>
        </w:rPr>
      </w:pPr>
      <w:r>
        <w:rPr>
          <w:rFonts w:hint="eastAsia" w:ascii="宋体" w:hAnsi="宋体"/>
          <w:sz w:val="24"/>
          <w:lang w:eastAsia="zh-CN"/>
        </w:rPr>
        <w:t>(6)交易响应保证金缴存凭证或企业基本账户开户银行出具的银行保函（如有）</w:t>
      </w:r>
    </w:p>
    <w:p w14:paraId="43312EB1">
      <w:pPr>
        <w:spacing w:line="360" w:lineRule="auto"/>
        <w:rPr>
          <w:rFonts w:ascii="宋体" w:hAnsi="宋体"/>
          <w:sz w:val="24"/>
          <w:lang w:eastAsia="zh-CN"/>
        </w:rPr>
      </w:pPr>
      <w:r>
        <w:rPr>
          <w:rFonts w:hint="eastAsia" w:ascii="宋体" w:hAnsi="宋体"/>
          <w:sz w:val="24"/>
          <w:lang w:eastAsia="zh-CN"/>
        </w:rPr>
        <w:t>(7)交易响应人基本结算户开户许可证复印件或基本存款账户信息银行备案复印件</w:t>
      </w:r>
    </w:p>
    <w:p w14:paraId="5963D073">
      <w:pPr>
        <w:spacing w:line="360" w:lineRule="auto"/>
        <w:rPr>
          <w:rFonts w:ascii="宋体" w:hAnsi="宋体"/>
          <w:sz w:val="24"/>
          <w:lang w:eastAsia="zh-CN"/>
        </w:rPr>
      </w:pPr>
      <w:r>
        <w:rPr>
          <w:rFonts w:hint="eastAsia" w:ascii="宋体" w:hAnsi="宋体"/>
          <w:sz w:val="24"/>
          <w:lang w:eastAsia="zh-CN"/>
        </w:rPr>
        <w:t>(8)企业营业执照</w:t>
      </w:r>
    </w:p>
    <w:p w14:paraId="6E35CE02">
      <w:pPr>
        <w:spacing w:line="360" w:lineRule="auto"/>
        <w:rPr>
          <w:rFonts w:ascii="宋体" w:hAnsi="宋体"/>
          <w:sz w:val="24"/>
          <w:lang w:eastAsia="zh-CN"/>
        </w:rPr>
      </w:pPr>
      <w:r>
        <w:rPr>
          <w:rFonts w:hint="eastAsia" w:ascii="宋体" w:hAnsi="宋体"/>
          <w:sz w:val="24"/>
          <w:lang w:eastAsia="zh-CN"/>
        </w:rPr>
        <w:t>(9)企业资质证书（包括资质等级内容）</w:t>
      </w:r>
    </w:p>
    <w:p w14:paraId="7778F3AF">
      <w:pPr>
        <w:spacing w:line="360" w:lineRule="auto"/>
        <w:rPr>
          <w:rFonts w:ascii="宋体" w:hAnsi="宋体"/>
          <w:sz w:val="24"/>
          <w:lang w:eastAsia="zh-CN"/>
        </w:rPr>
      </w:pPr>
      <w:r>
        <w:rPr>
          <w:rFonts w:hint="eastAsia" w:ascii="宋体" w:hAnsi="宋体"/>
          <w:sz w:val="24"/>
          <w:lang w:eastAsia="zh-CN"/>
        </w:rPr>
        <w:t>(10)《安全生产许可证》副本（如行业规定不作要求的除外）</w:t>
      </w:r>
    </w:p>
    <w:p w14:paraId="75074545">
      <w:pPr>
        <w:spacing w:line="360" w:lineRule="auto"/>
        <w:rPr>
          <w:rFonts w:ascii="宋体" w:hAnsi="宋体"/>
          <w:sz w:val="24"/>
          <w:lang w:eastAsia="zh-CN"/>
        </w:rPr>
      </w:pPr>
      <w:r>
        <w:rPr>
          <w:rFonts w:hint="eastAsia" w:ascii="宋体" w:hAnsi="宋体"/>
          <w:sz w:val="24"/>
          <w:lang w:eastAsia="zh-CN"/>
        </w:rPr>
        <w:t>(11)交易响应承诺书</w:t>
      </w:r>
    </w:p>
    <w:p w14:paraId="364E5135">
      <w:pPr>
        <w:spacing w:line="360" w:lineRule="auto"/>
        <w:rPr>
          <w:rFonts w:ascii="宋体" w:hAnsi="宋体"/>
          <w:sz w:val="24"/>
          <w:lang w:eastAsia="zh-CN"/>
        </w:rPr>
      </w:pPr>
      <w:r>
        <w:rPr>
          <w:rFonts w:hint="eastAsia" w:ascii="宋体" w:hAnsi="宋体"/>
          <w:sz w:val="24"/>
          <w:lang w:eastAsia="zh-CN"/>
        </w:rPr>
        <w:t>(12)联合体协议书（如有）</w:t>
      </w:r>
    </w:p>
    <w:p w14:paraId="57C09542">
      <w:pPr>
        <w:spacing w:line="360" w:lineRule="auto"/>
        <w:rPr>
          <w:rFonts w:ascii="宋体" w:hAnsi="宋体"/>
          <w:sz w:val="24"/>
          <w:lang w:eastAsia="zh-CN"/>
        </w:rPr>
      </w:pPr>
      <w:r>
        <w:rPr>
          <w:rFonts w:hint="eastAsia" w:ascii="宋体" w:hAnsi="宋体"/>
          <w:sz w:val="24"/>
          <w:lang w:eastAsia="zh-CN"/>
        </w:rPr>
        <w:t>(13)项目经理有效的注册证书</w:t>
      </w:r>
    </w:p>
    <w:p w14:paraId="3DEC2F4C">
      <w:pPr>
        <w:spacing w:line="360" w:lineRule="auto"/>
        <w:rPr>
          <w:rFonts w:ascii="宋体" w:hAnsi="宋体"/>
          <w:sz w:val="24"/>
          <w:lang w:eastAsia="zh-CN"/>
        </w:rPr>
      </w:pPr>
      <w:r>
        <w:rPr>
          <w:rFonts w:hint="eastAsia" w:ascii="宋体" w:hAnsi="宋体"/>
          <w:sz w:val="24"/>
          <w:lang w:eastAsia="zh-CN"/>
        </w:rPr>
        <w:t>(14)项目经理安全生产考核证书（B证）（如行业规定不作要求的除外）</w:t>
      </w:r>
    </w:p>
    <w:p w14:paraId="68165CFA">
      <w:pPr>
        <w:spacing w:line="360" w:lineRule="auto"/>
        <w:rPr>
          <w:rFonts w:ascii="宋体" w:hAnsi="宋体"/>
          <w:sz w:val="24"/>
          <w:lang w:eastAsia="zh-CN"/>
        </w:rPr>
      </w:pPr>
      <w:r>
        <w:rPr>
          <w:rFonts w:hint="eastAsia" w:ascii="宋体" w:hAnsi="宋体"/>
          <w:sz w:val="24"/>
          <w:lang w:eastAsia="zh-CN"/>
        </w:rPr>
        <w:t>(15)符合交易文件规定的项目经理社会保险证明</w:t>
      </w:r>
    </w:p>
    <w:p w14:paraId="2C2BC25A">
      <w:pPr>
        <w:spacing w:line="360" w:lineRule="auto"/>
        <w:rPr>
          <w:rFonts w:ascii="宋体" w:hAnsi="宋体"/>
          <w:sz w:val="24"/>
          <w:lang w:eastAsia="zh-CN"/>
        </w:rPr>
      </w:pPr>
      <w:r>
        <w:rPr>
          <w:rFonts w:hint="eastAsia" w:ascii="宋体" w:hAnsi="宋体"/>
          <w:sz w:val="24"/>
          <w:lang w:eastAsia="zh-CN"/>
        </w:rPr>
        <w:t>(16)交易文件要求交易响应人提交的其它交易响应资料(本项无格式，需要时由交易发起人用文字提出)</w:t>
      </w:r>
    </w:p>
    <w:p w14:paraId="6AE139F8">
      <w:pPr>
        <w:spacing w:line="360" w:lineRule="auto"/>
        <w:jc w:val="center"/>
        <w:rPr>
          <w:sz w:val="36"/>
          <w:lang w:eastAsia="zh-CN"/>
        </w:rPr>
      </w:pPr>
      <w:r>
        <w:rPr>
          <w:b/>
          <w:bCs/>
          <w:sz w:val="36"/>
          <w:lang w:eastAsia="zh-CN"/>
        </w:rPr>
        <w:br w:type="page"/>
      </w:r>
      <w:r>
        <w:rPr>
          <w:rFonts w:hint="eastAsia"/>
          <w:b/>
          <w:bCs/>
          <w:sz w:val="36"/>
          <w:lang w:eastAsia="zh-CN"/>
        </w:rPr>
        <w:t>法定代表人资格证明书</w:t>
      </w:r>
    </w:p>
    <w:p w14:paraId="3E86FA27">
      <w:pPr>
        <w:rPr>
          <w:lang w:eastAsia="zh-CN"/>
        </w:rPr>
      </w:pPr>
    </w:p>
    <w:p w14:paraId="5494A261">
      <w:pPr>
        <w:rPr>
          <w:lang w:eastAsia="zh-CN"/>
        </w:rPr>
      </w:pPr>
    </w:p>
    <w:p w14:paraId="6477694D">
      <w:pPr>
        <w:spacing w:line="480" w:lineRule="auto"/>
        <w:rPr>
          <w:sz w:val="24"/>
          <w:lang w:eastAsia="zh-CN"/>
        </w:rPr>
      </w:pPr>
      <w:r>
        <w:rPr>
          <w:rFonts w:hint="eastAsia"/>
          <w:sz w:val="24"/>
          <w:lang w:eastAsia="zh-CN"/>
        </w:rPr>
        <w:t>单位名称：</w:t>
      </w:r>
    </w:p>
    <w:p w14:paraId="274A6DDB">
      <w:pPr>
        <w:spacing w:line="480" w:lineRule="auto"/>
        <w:rPr>
          <w:sz w:val="24"/>
          <w:lang w:eastAsia="zh-CN"/>
        </w:rPr>
      </w:pPr>
      <w:r>
        <w:rPr>
          <w:rFonts w:hint="eastAsia"/>
          <w:sz w:val="24"/>
          <w:lang w:eastAsia="zh-CN"/>
        </w:rPr>
        <w:t>地址：</w:t>
      </w:r>
    </w:p>
    <w:p w14:paraId="20822466">
      <w:pPr>
        <w:spacing w:line="480" w:lineRule="auto"/>
        <w:rPr>
          <w:sz w:val="24"/>
          <w:u w:val="single"/>
          <w:lang w:eastAsia="zh-CN"/>
        </w:rPr>
      </w:pPr>
      <w:r>
        <w:rPr>
          <w:rFonts w:hint="eastAsia"/>
          <w:sz w:val="24"/>
          <w:lang w:eastAsia="zh-CN"/>
        </w:rPr>
        <w:t>姓名：性别：年龄：职务：</w:t>
      </w:r>
    </w:p>
    <w:p w14:paraId="70ABD7F6">
      <w:pPr>
        <w:spacing w:line="480" w:lineRule="auto"/>
        <w:rPr>
          <w:sz w:val="24"/>
          <w:lang w:eastAsia="zh-CN"/>
        </w:rPr>
      </w:pPr>
      <w:r>
        <w:rPr>
          <w:rFonts w:hint="eastAsia"/>
          <w:sz w:val="24"/>
          <w:lang w:eastAsia="zh-CN"/>
        </w:rPr>
        <w:t>系的法定代表人。为施工、竣工和保修的工程，签署上述工程的交易响应文件，进行合同谈判、签署合同和处理与之有关的一切事务。</w:t>
      </w:r>
    </w:p>
    <w:p w14:paraId="5AEC356E">
      <w:pPr>
        <w:spacing w:line="480" w:lineRule="auto"/>
        <w:rPr>
          <w:sz w:val="24"/>
          <w:lang w:eastAsia="zh-CN"/>
        </w:rPr>
      </w:pPr>
      <w:r>
        <w:rPr>
          <w:rFonts w:hint="eastAsia"/>
          <w:sz w:val="24"/>
          <w:lang w:eastAsia="zh-CN"/>
        </w:rPr>
        <w:t>特此证明。</w:t>
      </w:r>
    </w:p>
    <w:p w14:paraId="69A1147B">
      <w:pPr>
        <w:spacing w:line="480" w:lineRule="auto"/>
        <w:rPr>
          <w:sz w:val="24"/>
          <w:u w:val="single"/>
          <w:lang w:eastAsia="zh-CN"/>
        </w:rPr>
      </w:pPr>
      <w:r>
        <w:rPr>
          <w:rFonts w:hint="eastAsia"/>
          <w:sz w:val="24"/>
          <w:lang w:eastAsia="zh-CN"/>
        </w:rPr>
        <w:t>交易响应人：</w:t>
      </w:r>
      <w:r>
        <w:rPr>
          <w:rFonts w:hint="eastAsia"/>
          <w:sz w:val="24"/>
          <w:u w:val="single"/>
          <w:lang w:eastAsia="zh-CN"/>
        </w:rPr>
        <w:t xml:space="preserve">           （盖公章）         </w:t>
      </w:r>
    </w:p>
    <w:p w14:paraId="3C4EF8CF">
      <w:pPr>
        <w:spacing w:line="480" w:lineRule="auto"/>
        <w:rPr>
          <w:sz w:val="24"/>
          <w:lang w:eastAsia="zh-CN"/>
        </w:rPr>
      </w:pPr>
      <w:r>
        <w:rPr>
          <w:rFonts w:hint="eastAsia"/>
          <w:sz w:val="24"/>
          <w:lang w:eastAsia="zh-CN"/>
        </w:rPr>
        <w:t>日期：年月日</w:t>
      </w:r>
    </w:p>
    <w:p w14:paraId="7D39B0C1">
      <w:pPr>
        <w:spacing w:line="480" w:lineRule="auto"/>
        <w:jc w:val="center"/>
        <w:rPr>
          <w:b/>
          <w:bCs/>
          <w:sz w:val="32"/>
          <w:lang w:eastAsia="zh-CN"/>
        </w:rPr>
      </w:pPr>
      <w:r>
        <w:rPr>
          <w:b/>
          <w:bCs/>
          <w:sz w:val="32"/>
          <w:lang w:eastAsia="zh-CN"/>
        </w:rPr>
        <w:br w:type="page"/>
      </w:r>
      <w:r>
        <w:rPr>
          <w:rFonts w:hint="eastAsia"/>
          <w:b/>
          <w:bCs/>
          <w:sz w:val="32"/>
          <w:lang w:eastAsia="zh-CN"/>
        </w:rPr>
        <w:t>交易响应文件签署授权委托书</w:t>
      </w:r>
    </w:p>
    <w:p w14:paraId="4648CEEA">
      <w:pPr>
        <w:spacing w:line="480" w:lineRule="auto"/>
        <w:rPr>
          <w:sz w:val="24"/>
          <w:lang w:eastAsia="zh-CN"/>
        </w:rPr>
      </w:pPr>
    </w:p>
    <w:p w14:paraId="7095410C">
      <w:pPr>
        <w:spacing w:line="480" w:lineRule="auto"/>
        <w:rPr>
          <w:sz w:val="24"/>
          <w:lang w:eastAsia="zh-CN"/>
        </w:rPr>
      </w:pPr>
    </w:p>
    <w:p w14:paraId="288E7516">
      <w:pPr>
        <w:spacing w:line="480" w:lineRule="auto"/>
        <w:ind w:firstLine="360" w:firstLineChars="150"/>
        <w:rPr>
          <w:sz w:val="24"/>
          <w:lang w:eastAsia="zh-CN"/>
        </w:rPr>
      </w:pPr>
      <w:r>
        <w:rPr>
          <w:rFonts w:hint="eastAsia"/>
          <w:sz w:val="24"/>
          <w:lang w:eastAsia="zh-CN"/>
        </w:rPr>
        <w:t xml:space="preserve">本授权委托书声明：我（姓名）系 </w:t>
      </w:r>
      <w:r>
        <w:rPr>
          <w:rFonts w:hint="eastAsia"/>
          <w:sz w:val="24"/>
          <w:u w:val="single"/>
          <w:lang w:eastAsia="zh-CN"/>
        </w:rPr>
        <w:t xml:space="preserve">                （交易响应人名称）  </w:t>
      </w:r>
      <w:r>
        <w:rPr>
          <w:rFonts w:hint="eastAsia"/>
          <w:sz w:val="24"/>
          <w:lang w:eastAsia="zh-CN"/>
        </w:rPr>
        <w:t xml:space="preserve">的法定代表人，现授权委托 </w:t>
      </w:r>
      <w:r>
        <w:rPr>
          <w:rFonts w:hint="eastAsia"/>
          <w:sz w:val="24"/>
          <w:u w:val="single"/>
          <w:lang w:eastAsia="zh-CN"/>
        </w:rPr>
        <w:t xml:space="preserve">    （单位名称）    </w:t>
      </w:r>
      <w:r>
        <w:rPr>
          <w:rFonts w:hint="eastAsia"/>
          <w:sz w:val="24"/>
          <w:lang w:eastAsia="zh-CN"/>
        </w:rPr>
        <w:t>的（姓名）为我公司签署本工程已递交的交易响应文件的法定代表人的授权委托代理人。代理人全权代表我所签署的本工程已递交的交易响应文件内容我均承认。</w:t>
      </w:r>
    </w:p>
    <w:p w14:paraId="0A33B269">
      <w:pPr>
        <w:spacing w:line="480" w:lineRule="auto"/>
        <w:rPr>
          <w:sz w:val="24"/>
          <w:lang w:eastAsia="zh-CN"/>
        </w:rPr>
      </w:pPr>
      <w:r>
        <w:rPr>
          <w:rFonts w:hint="eastAsia"/>
          <w:sz w:val="24"/>
          <w:lang w:eastAsia="zh-CN"/>
        </w:rPr>
        <w:t>代理人无转委托权，特此委托：</w:t>
      </w:r>
    </w:p>
    <w:p w14:paraId="4C36B32F">
      <w:pPr>
        <w:spacing w:line="480" w:lineRule="auto"/>
        <w:rPr>
          <w:sz w:val="24"/>
          <w:u w:val="single"/>
          <w:lang w:eastAsia="zh-CN"/>
        </w:rPr>
      </w:pPr>
      <w:r>
        <w:rPr>
          <w:rFonts w:hint="eastAsia"/>
          <w:sz w:val="24"/>
          <w:lang w:eastAsia="zh-CN"/>
        </w:rPr>
        <w:t>代理人姓名：性别：年龄：</w:t>
      </w:r>
    </w:p>
    <w:p w14:paraId="41163363">
      <w:pPr>
        <w:spacing w:line="480" w:lineRule="auto"/>
        <w:rPr>
          <w:sz w:val="24"/>
          <w:u w:val="single"/>
          <w:lang w:eastAsia="zh-CN"/>
        </w:rPr>
      </w:pPr>
      <w:r>
        <w:rPr>
          <w:rFonts w:hint="eastAsia"/>
          <w:sz w:val="24"/>
          <w:lang w:eastAsia="zh-CN"/>
        </w:rPr>
        <w:t>身份证号码：职务：</w:t>
      </w:r>
    </w:p>
    <w:p w14:paraId="15649878">
      <w:pPr>
        <w:spacing w:line="480" w:lineRule="auto"/>
        <w:rPr>
          <w:sz w:val="24"/>
          <w:u w:val="single"/>
          <w:lang w:eastAsia="zh-CN"/>
        </w:rPr>
      </w:pPr>
      <w:r>
        <w:rPr>
          <w:rFonts w:hint="eastAsia"/>
          <w:sz w:val="24"/>
          <w:lang w:eastAsia="zh-CN"/>
        </w:rPr>
        <w:t>交易响应人：</w:t>
      </w:r>
      <w:r>
        <w:rPr>
          <w:rFonts w:hint="eastAsia"/>
          <w:sz w:val="24"/>
          <w:u w:val="single"/>
          <w:lang w:eastAsia="zh-CN"/>
        </w:rPr>
        <w:t xml:space="preserve">                                         （盖公章）    </w:t>
      </w:r>
    </w:p>
    <w:p w14:paraId="0D734C81">
      <w:pPr>
        <w:spacing w:line="480" w:lineRule="auto"/>
        <w:rPr>
          <w:sz w:val="24"/>
          <w:u w:val="single"/>
          <w:lang w:eastAsia="zh-CN"/>
        </w:rPr>
      </w:pPr>
      <w:r>
        <w:rPr>
          <w:rFonts w:hint="eastAsia"/>
          <w:sz w:val="24"/>
          <w:lang w:eastAsia="zh-CN"/>
        </w:rPr>
        <w:t>法定代表人：</w:t>
      </w:r>
      <w:r>
        <w:rPr>
          <w:rFonts w:hint="eastAsia"/>
          <w:sz w:val="24"/>
          <w:u w:val="single"/>
          <w:lang w:eastAsia="zh-CN"/>
        </w:rPr>
        <w:t xml:space="preserve">                                   （签字或盖章）  </w:t>
      </w:r>
    </w:p>
    <w:p w14:paraId="687EF006">
      <w:pPr>
        <w:spacing w:line="480" w:lineRule="auto"/>
        <w:rPr>
          <w:sz w:val="24"/>
          <w:lang w:eastAsia="zh-CN"/>
        </w:rPr>
      </w:pPr>
    </w:p>
    <w:p w14:paraId="43B1E030">
      <w:pPr>
        <w:spacing w:line="480" w:lineRule="auto"/>
        <w:rPr>
          <w:sz w:val="24"/>
          <w:lang w:eastAsia="zh-CN"/>
        </w:rPr>
      </w:pPr>
      <w:r>
        <w:rPr>
          <w:rFonts w:hint="eastAsia"/>
          <w:sz w:val="24"/>
          <w:lang w:eastAsia="zh-CN"/>
        </w:rPr>
        <w:t>授权委托日期：</w:t>
      </w:r>
      <w:r>
        <w:rPr>
          <w:rFonts w:hint="eastAsia"/>
          <w:sz w:val="24"/>
          <w:lang w:val="en-US" w:eastAsia="zh-CN"/>
        </w:rPr>
        <w:t xml:space="preserve">  </w:t>
      </w:r>
      <w:r>
        <w:rPr>
          <w:rFonts w:hint="eastAsia"/>
          <w:sz w:val="24"/>
          <w:lang w:eastAsia="zh-CN"/>
        </w:rPr>
        <w:t>年</w:t>
      </w:r>
      <w:r>
        <w:rPr>
          <w:rFonts w:hint="eastAsia"/>
          <w:sz w:val="24"/>
          <w:lang w:val="en-US" w:eastAsia="zh-CN"/>
        </w:rPr>
        <w:t xml:space="preserve">  </w:t>
      </w:r>
      <w:r>
        <w:rPr>
          <w:rFonts w:hint="eastAsia"/>
          <w:sz w:val="24"/>
          <w:lang w:eastAsia="zh-CN"/>
        </w:rPr>
        <w:t>月</w:t>
      </w:r>
      <w:r>
        <w:rPr>
          <w:rFonts w:hint="eastAsia"/>
          <w:sz w:val="24"/>
          <w:lang w:val="en-US" w:eastAsia="zh-CN"/>
        </w:rPr>
        <w:t xml:space="preserve">   </w:t>
      </w:r>
      <w:r>
        <w:rPr>
          <w:rFonts w:hint="eastAsia"/>
          <w:sz w:val="24"/>
          <w:lang w:eastAsia="zh-CN"/>
        </w:rPr>
        <w:t>日</w:t>
      </w:r>
    </w:p>
    <w:p w14:paraId="311181B4">
      <w:pPr>
        <w:spacing w:line="480" w:lineRule="auto"/>
        <w:jc w:val="center"/>
        <w:rPr>
          <w:b/>
          <w:bCs/>
          <w:sz w:val="32"/>
          <w:highlight w:val="none"/>
          <w:lang w:eastAsia="zh-CN"/>
        </w:rPr>
      </w:pPr>
      <w:r>
        <w:rPr>
          <w:b/>
          <w:bCs/>
          <w:sz w:val="32"/>
          <w:lang w:eastAsia="zh-CN"/>
        </w:rPr>
        <w:br w:type="page"/>
      </w:r>
      <w:r>
        <w:rPr>
          <w:rFonts w:hint="eastAsia"/>
          <w:b/>
          <w:bCs/>
          <w:sz w:val="32"/>
          <w:highlight w:val="none"/>
          <w:lang w:eastAsia="zh-CN"/>
        </w:rPr>
        <w:t>交 易 会 议 委 托 书</w:t>
      </w:r>
    </w:p>
    <w:p w14:paraId="7D18B51D">
      <w:pPr>
        <w:spacing w:line="480" w:lineRule="auto"/>
        <w:rPr>
          <w:sz w:val="24"/>
          <w:lang w:eastAsia="zh-CN"/>
        </w:rPr>
      </w:pPr>
    </w:p>
    <w:p w14:paraId="6BD246ED">
      <w:pPr>
        <w:spacing w:line="480" w:lineRule="auto"/>
        <w:rPr>
          <w:sz w:val="24"/>
          <w:lang w:eastAsia="zh-CN"/>
        </w:rPr>
      </w:pPr>
    </w:p>
    <w:p w14:paraId="613F8DC2">
      <w:pPr>
        <w:spacing w:line="480" w:lineRule="auto"/>
        <w:ind w:firstLine="720" w:firstLineChars="300"/>
        <w:rPr>
          <w:sz w:val="24"/>
          <w:lang w:eastAsia="zh-CN"/>
        </w:rPr>
      </w:pPr>
      <w:r>
        <w:rPr>
          <w:rFonts w:hint="eastAsia"/>
          <w:sz w:val="24"/>
          <w:lang w:eastAsia="zh-CN"/>
        </w:rPr>
        <w:t>兹委托</w:t>
      </w:r>
      <w:r>
        <w:rPr>
          <w:rFonts w:hint="eastAsia"/>
          <w:sz w:val="24"/>
          <w:u w:val="single"/>
          <w:lang w:eastAsia="zh-CN"/>
        </w:rPr>
        <w:t xml:space="preserve">     （姓名）     </w:t>
      </w:r>
      <w:r>
        <w:rPr>
          <w:rFonts w:hint="eastAsia"/>
          <w:sz w:val="24"/>
          <w:lang w:eastAsia="zh-CN"/>
        </w:rPr>
        <w:t xml:space="preserve">（职务性别年龄身份证号），为我单位参加 </w:t>
      </w:r>
      <w:r>
        <w:rPr>
          <w:rFonts w:hint="eastAsia"/>
          <w:sz w:val="24"/>
          <w:u w:val="single"/>
          <w:lang w:eastAsia="zh-CN"/>
        </w:rPr>
        <w:t xml:space="preserve">    （交易发起人及工程名称）               </w:t>
      </w:r>
      <w:r>
        <w:rPr>
          <w:rFonts w:hint="eastAsia"/>
          <w:sz w:val="24"/>
          <w:lang w:eastAsia="zh-CN"/>
        </w:rPr>
        <w:t>交易会议的代理人，在代理范围内产生的民事法律责任由我单位承担。</w:t>
      </w:r>
    </w:p>
    <w:p w14:paraId="5FA7478B">
      <w:pPr>
        <w:spacing w:line="480" w:lineRule="auto"/>
        <w:ind w:firstLine="720" w:firstLineChars="300"/>
        <w:rPr>
          <w:sz w:val="24"/>
          <w:lang w:eastAsia="zh-CN"/>
        </w:rPr>
      </w:pPr>
      <w:r>
        <w:rPr>
          <w:rFonts w:hint="eastAsia"/>
          <w:sz w:val="24"/>
          <w:lang w:eastAsia="zh-CN"/>
        </w:rPr>
        <w:t>代理人无转委托权，特此委托。</w:t>
      </w:r>
    </w:p>
    <w:p w14:paraId="5A4B3870">
      <w:pPr>
        <w:spacing w:line="480" w:lineRule="auto"/>
        <w:ind w:firstLine="720" w:firstLineChars="300"/>
        <w:rPr>
          <w:sz w:val="24"/>
          <w:lang w:eastAsia="zh-CN"/>
        </w:rPr>
      </w:pPr>
      <w:r>
        <w:rPr>
          <w:rFonts w:hint="eastAsia"/>
          <w:sz w:val="24"/>
          <w:lang w:eastAsia="zh-CN"/>
        </w:rPr>
        <w:t>代理期限：自年月日至年月日</w:t>
      </w:r>
    </w:p>
    <w:p w14:paraId="4CB8A5E2">
      <w:pPr>
        <w:spacing w:line="480" w:lineRule="auto"/>
        <w:rPr>
          <w:sz w:val="24"/>
          <w:lang w:eastAsia="zh-CN"/>
        </w:rPr>
      </w:pPr>
    </w:p>
    <w:p w14:paraId="7813C8D2">
      <w:pPr>
        <w:spacing w:line="480" w:lineRule="auto"/>
        <w:rPr>
          <w:sz w:val="24"/>
          <w:u w:val="single"/>
          <w:lang w:eastAsia="zh-CN"/>
        </w:rPr>
      </w:pPr>
    </w:p>
    <w:p w14:paraId="01FBEBF4">
      <w:pPr>
        <w:spacing w:line="480" w:lineRule="auto"/>
        <w:rPr>
          <w:sz w:val="24"/>
          <w:u w:val="single"/>
          <w:lang w:eastAsia="zh-CN"/>
        </w:rPr>
      </w:pPr>
    </w:p>
    <w:p w14:paraId="43608F56">
      <w:pPr>
        <w:spacing w:line="480" w:lineRule="auto"/>
        <w:rPr>
          <w:sz w:val="24"/>
          <w:u w:val="single"/>
          <w:lang w:eastAsia="zh-CN"/>
        </w:rPr>
      </w:pPr>
    </w:p>
    <w:p w14:paraId="239F9D1F">
      <w:pPr>
        <w:spacing w:line="480" w:lineRule="auto"/>
        <w:rPr>
          <w:sz w:val="24"/>
          <w:u w:val="single"/>
          <w:lang w:eastAsia="zh-CN"/>
        </w:rPr>
      </w:pPr>
    </w:p>
    <w:p w14:paraId="7DAF5403">
      <w:pPr>
        <w:spacing w:line="480" w:lineRule="auto"/>
        <w:ind w:firstLine="720" w:firstLineChars="300"/>
        <w:rPr>
          <w:sz w:val="24"/>
          <w:lang w:eastAsia="zh-CN"/>
        </w:rPr>
      </w:pPr>
      <w:r>
        <w:rPr>
          <w:rFonts w:hint="eastAsia"/>
          <w:sz w:val="24"/>
          <w:lang w:eastAsia="zh-CN"/>
        </w:rPr>
        <w:t>委托人：（交易响应单位公章）                法定代表人：（签字或盖章）</w:t>
      </w:r>
    </w:p>
    <w:p w14:paraId="658F725A">
      <w:pPr>
        <w:spacing w:line="480" w:lineRule="auto"/>
        <w:rPr>
          <w:sz w:val="24"/>
          <w:lang w:eastAsia="zh-CN"/>
        </w:rPr>
      </w:pPr>
    </w:p>
    <w:p w14:paraId="3E8E32F5">
      <w:pPr>
        <w:spacing w:line="480" w:lineRule="auto"/>
        <w:ind w:left="5040" w:firstLine="420"/>
        <w:rPr>
          <w:sz w:val="24"/>
          <w:lang w:eastAsia="zh-CN"/>
        </w:rPr>
      </w:pPr>
      <w:r>
        <w:rPr>
          <w:rFonts w:hint="eastAsia"/>
          <w:sz w:val="24"/>
          <w:lang w:eastAsia="zh-CN"/>
        </w:rPr>
        <w:t>年    月    日</w:t>
      </w:r>
    </w:p>
    <w:p w14:paraId="052D0E69">
      <w:pPr>
        <w:spacing w:line="240" w:lineRule="auto"/>
        <w:jc w:val="center"/>
        <w:rPr>
          <w:b/>
          <w:bCs/>
          <w:sz w:val="32"/>
          <w:lang w:eastAsia="zh-CN"/>
        </w:rPr>
      </w:pPr>
      <w:r>
        <w:rPr>
          <w:sz w:val="24"/>
          <w:lang w:eastAsia="zh-CN"/>
        </w:rPr>
        <w:br w:type="page"/>
      </w:r>
      <w:r>
        <w:rPr>
          <w:rFonts w:hint="eastAsia"/>
          <w:b/>
          <w:bCs/>
          <w:sz w:val="32"/>
          <w:lang w:eastAsia="zh-CN"/>
        </w:rPr>
        <w:t>交易响应函</w:t>
      </w:r>
    </w:p>
    <w:p w14:paraId="775E3872">
      <w:pPr>
        <w:spacing w:line="240" w:lineRule="auto"/>
        <w:rPr>
          <w:sz w:val="24"/>
          <w:u w:val="single"/>
          <w:lang w:eastAsia="zh-CN"/>
        </w:rPr>
      </w:pPr>
      <w:r>
        <w:rPr>
          <w:rFonts w:hint="eastAsia"/>
          <w:sz w:val="24"/>
          <w:lang w:eastAsia="zh-CN"/>
        </w:rPr>
        <w:t>致：</w:t>
      </w:r>
      <w:r>
        <w:rPr>
          <w:rFonts w:hint="eastAsia"/>
          <w:sz w:val="24"/>
          <w:u w:val="single"/>
          <w:lang w:eastAsia="zh-CN"/>
        </w:rPr>
        <w:t xml:space="preserve">（交易发起人名称）    </w:t>
      </w:r>
    </w:p>
    <w:p w14:paraId="4E427FAB">
      <w:pPr>
        <w:spacing w:line="400" w:lineRule="exact"/>
        <w:ind w:firstLine="480" w:firstLineChars="200"/>
        <w:rPr>
          <w:sz w:val="24"/>
          <w:lang w:eastAsia="zh-CN"/>
        </w:rPr>
      </w:pPr>
      <w:r>
        <w:rPr>
          <w:rFonts w:hint="eastAsia"/>
          <w:sz w:val="24"/>
          <w:lang w:eastAsia="zh-CN"/>
        </w:rPr>
        <w:t>1、根据已收到贵方的交易编号为</w:t>
      </w:r>
      <w:r>
        <w:rPr>
          <w:rFonts w:hint="eastAsia"/>
          <w:sz w:val="24"/>
          <w:u w:val="single"/>
          <w:lang w:val="en-US" w:eastAsia="zh-CN"/>
        </w:rPr>
        <w:t xml:space="preserve">          </w:t>
      </w:r>
      <w:r>
        <w:rPr>
          <w:rFonts w:hint="eastAsia"/>
          <w:sz w:val="24"/>
          <w:lang w:eastAsia="zh-CN"/>
        </w:rPr>
        <w:t>的</w:t>
      </w:r>
      <w:r>
        <w:rPr>
          <w:rFonts w:hint="eastAsia"/>
          <w:sz w:val="24"/>
          <w:u w:val="single"/>
          <w:lang w:val="en-US" w:eastAsia="zh-CN"/>
        </w:rPr>
        <w:t xml:space="preserve">           </w:t>
      </w:r>
      <w:r>
        <w:rPr>
          <w:rFonts w:hint="eastAsia"/>
          <w:sz w:val="24"/>
          <w:lang w:val="en-US" w:eastAsia="zh-CN"/>
        </w:rPr>
        <w:t xml:space="preserve"> </w:t>
      </w:r>
      <w:r>
        <w:rPr>
          <w:rFonts w:hint="eastAsia"/>
          <w:sz w:val="24"/>
          <w:lang w:eastAsia="zh-CN"/>
        </w:rPr>
        <w:t>工程的交易文件，遵照《淳安县限额以下公共资源交易管理暂行办法》等有关规定，我单位经考察现场和研究上述交易文件的交易响应须知、合同条款、技术规范、图纸和工程量清单及其他有关文件后，我方愿以人民币（大写）</w:t>
      </w:r>
      <w:r>
        <w:rPr>
          <w:rFonts w:hint="eastAsia"/>
          <w:sz w:val="24"/>
          <w:u w:val="single"/>
          <w:lang w:val="en-US" w:eastAsia="zh-CN"/>
        </w:rPr>
        <w:t xml:space="preserve">     </w:t>
      </w:r>
      <w:r>
        <w:rPr>
          <w:rFonts w:hint="eastAsia"/>
          <w:sz w:val="24"/>
          <w:lang w:val="en-US" w:eastAsia="zh-CN"/>
        </w:rPr>
        <w:t xml:space="preserve"> </w:t>
      </w:r>
      <w:r>
        <w:rPr>
          <w:rFonts w:hint="eastAsia"/>
          <w:sz w:val="24"/>
          <w:lang w:eastAsia="zh-CN"/>
        </w:rPr>
        <w:t>元（RMB：</w:t>
      </w:r>
      <w:r>
        <w:rPr>
          <w:rFonts w:hint="eastAsia" w:hAnsi="宋体"/>
          <w:sz w:val="24"/>
          <w:lang w:eastAsia="zh-CN"/>
        </w:rPr>
        <w:t>¥</w:t>
      </w:r>
      <w:r>
        <w:rPr>
          <w:rFonts w:hint="eastAsia" w:hAnsi="宋体"/>
          <w:sz w:val="24"/>
          <w:u w:val="single"/>
          <w:lang w:val="en-US" w:eastAsia="zh-CN"/>
        </w:rPr>
        <w:t xml:space="preserve">     </w:t>
      </w:r>
      <w:r>
        <w:rPr>
          <w:rFonts w:hint="eastAsia" w:hAnsi="宋体"/>
          <w:sz w:val="24"/>
          <w:lang w:val="en-US" w:eastAsia="zh-CN"/>
        </w:rPr>
        <w:t xml:space="preserve"> </w:t>
      </w:r>
      <w:r>
        <w:rPr>
          <w:rFonts w:hint="eastAsia"/>
          <w:sz w:val="24"/>
          <w:lang w:eastAsia="zh-CN"/>
        </w:rPr>
        <w:t>元）的交易响应报价并按上述图纸、合同条款、技术规范和工程量清单的条件要求承包上述工程的施工、竣工并承担任何质量缺陷保修责任。</w:t>
      </w:r>
    </w:p>
    <w:p w14:paraId="4D2D54CB">
      <w:pPr>
        <w:spacing w:line="400" w:lineRule="exact"/>
        <w:ind w:firstLine="480" w:firstLineChars="200"/>
        <w:rPr>
          <w:sz w:val="24"/>
          <w:lang w:eastAsia="zh-CN"/>
        </w:rPr>
      </w:pPr>
      <w:r>
        <w:rPr>
          <w:rFonts w:hint="eastAsia"/>
          <w:sz w:val="24"/>
          <w:lang w:eastAsia="zh-CN"/>
        </w:rPr>
        <w:t>2、我方已详细审核全部交易文件，包括修改文件（如果有的话），及有关附件，我方完全知道必须放弃提出含糊不清或误解的权力。</w:t>
      </w:r>
    </w:p>
    <w:p w14:paraId="4C52D155">
      <w:pPr>
        <w:spacing w:line="400" w:lineRule="exact"/>
        <w:ind w:firstLine="480" w:firstLineChars="200"/>
        <w:rPr>
          <w:sz w:val="24"/>
          <w:lang w:eastAsia="zh-CN"/>
        </w:rPr>
      </w:pPr>
      <w:r>
        <w:rPr>
          <w:rFonts w:hint="eastAsia"/>
          <w:sz w:val="24"/>
          <w:lang w:eastAsia="zh-CN"/>
        </w:rPr>
        <w:t>3、我方承认交易响应函附录是我方交易响应函的组成部分。</w:t>
      </w:r>
    </w:p>
    <w:p w14:paraId="0556A58A">
      <w:pPr>
        <w:spacing w:line="400" w:lineRule="exact"/>
        <w:ind w:firstLine="480" w:firstLineChars="200"/>
        <w:rPr>
          <w:sz w:val="24"/>
          <w:lang w:eastAsia="zh-CN"/>
        </w:rPr>
      </w:pPr>
      <w:r>
        <w:rPr>
          <w:rFonts w:hint="eastAsia"/>
          <w:sz w:val="24"/>
          <w:lang w:eastAsia="zh-CN"/>
        </w:rPr>
        <w:t>4、一旦我方成交，我方保证在合同协议书中规定的开工日期开始施工，并在合同协议书中规定的预计竣工日期完成和交付全部工程，共计</w:t>
      </w:r>
      <w:r>
        <w:rPr>
          <w:rFonts w:hint="eastAsia"/>
          <w:sz w:val="24"/>
          <w:u w:val="single"/>
          <w:lang w:val="en-US" w:eastAsia="zh-CN"/>
        </w:rPr>
        <w:t xml:space="preserve">   </w:t>
      </w:r>
      <w:r>
        <w:rPr>
          <w:rFonts w:hint="eastAsia"/>
          <w:sz w:val="24"/>
          <w:lang w:eastAsia="zh-CN"/>
        </w:rPr>
        <w:t>日历天内竣工并移交全部工程。</w:t>
      </w:r>
    </w:p>
    <w:p w14:paraId="3D91B163">
      <w:pPr>
        <w:spacing w:line="400" w:lineRule="exact"/>
        <w:ind w:firstLine="480" w:firstLineChars="200"/>
        <w:rPr>
          <w:sz w:val="24"/>
          <w:lang w:eastAsia="zh-CN"/>
        </w:rPr>
      </w:pPr>
      <w:r>
        <w:rPr>
          <w:rFonts w:hint="eastAsia"/>
          <w:sz w:val="24"/>
          <w:lang w:eastAsia="zh-CN"/>
        </w:rPr>
        <w:t>5、如果我方成交，我方将按照规定提交上述总价</w:t>
      </w:r>
      <w:r>
        <w:rPr>
          <w:rFonts w:hint="eastAsia"/>
          <w:sz w:val="24"/>
          <w:lang w:val="en-US" w:eastAsia="zh-CN"/>
        </w:rPr>
        <w:t xml:space="preserve"> </w:t>
      </w:r>
      <w:r>
        <w:rPr>
          <w:rFonts w:hint="eastAsia"/>
          <w:sz w:val="24"/>
          <w:u w:val="single"/>
          <w:lang w:val="en-US" w:eastAsia="zh-CN"/>
        </w:rPr>
        <w:t xml:space="preserve">  </w:t>
      </w:r>
      <w:r>
        <w:rPr>
          <w:rFonts w:hint="eastAsia"/>
          <w:sz w:val="24"/>
          <w:lang w:val="en-US" w:eastAsia="zh-CN"/>
        </w:rPr>
        <w:t xml:space="preserve"> </w:t>
      </w:r>
      <w:r>
        <w:rPr>
          <w:rFonts w:hint="eastAsia"/>
          <w:sz w:val="24"/>
          <w:lang w:eastAsia="zh-CN"/>
        </w:rPr>
        <w:t>%的履约保证金作为履约担保。</w:t>
      </w:r>
    </w:p>
    <w:p w14:paraId="6F81F760">
      <w:pPr>
        <w:spacing w:line="400" w:lineRule="exact"/>
        <w:ind w:firstLine="480" w:firstLineChars="200"/>
        <w:rPr>
          <w:sz w:val="24"/>
          <w:lang w:eastAsia="zh-CN"/>
        </w:rPr>
      </w:pPr>
      <w:r>
        <w:rPr>
          <w:rFonts w:hint="eastAsia"/>
          <w:sz w:val="24"/>
          <w:lang w:eastAsia="zh-CN"/>
        </w:rPr>
        <w:t>6、我方同意所递交的交易响应文件在“交易响应须知”第15条规定的交易响应有效期内有效，在此期间内我方的交易响应有可能成交，我方将受此约束。如果在交易响应有效期内撤回交易响应，交易响应保证金</w:t>
      </w:r>
      <w:r>
        <w:rPr>
          <w:rFonts w:hint="eastAsia"/>
          <w:sz w:val="24"/>
          <w:highlight w:val="none"/>
          <w:lang w:eastAsia="zh-CN"/>
        </w:rPr>
        <w:t>将不予退还</w:t>
      </w:r>
      <w:r>
        <w:rPr>
          <w:rFonts w:hint="eastAsia"/>
          <w:sz w:val="24"/>
          <w:lang w:eastAsia="zh-CN"/>
        </w:rPr>
        <w:t>。</w:t>
      </w:r>
    </w:p>
    <w:p w14:paraId="7BF5270F">
      <w:pPr>
        <w:spacing w:line="400" w:lineRule="exact"/>
        <w:ind w:firstLine="480" w:firstLineChars="200"/>
        <w:rPr>
          <w:sz w:val="24"/>
          <w:lang w:eastAsia="zh-CN"/>
        </w:rPr>
      </w:pPr>
      <w:r>
        <w:rPr>
          <w:rFonts w:hint="eastAsia"/>
          <w:sz w:val="24"/>
          <w:lang w:eastAsia="zh-CN"/>
        </w:rPr>
        <w:t>7、贵方的成交通知书和本交易响应文件将成为约束我们双方的合同文件组成部分。</w:t>
      </w:r>
    </w:p>
    <w:p w14:paraId="47F8D2B3">
      <w:pPr>
        <w:spacing w:line="400" w:lineRule="exact"/>
        <w:ind w:firstLine="480" w:firstLineChars="200"/>
        <w:rPr>
          <w:sz w:val="24"/>
          <w:lang w:eastAsia="zh-CN"/>
        </w:rPr>
      </w:pPr>
      <w:r>
        <w:rPr>
          <w:rFonts w:hint="eastAsia"/>
          <w:sz w:val="24"/>
          <w:lang w:eastAsia="zh-CN"/>
        </w:rPr>
        <w:t>8、我方的金额为人民币（大写）</w:t>
      </w:r>
      <w:r>
        <w:rPr>
          <w:rFonts w:hint="eastAsia"/>
          <w:sz w:val="24"/>
          <w:u w:val="single"/>
          <w:lang w:val="en-US" w:eastAsia="zh-CN"/>
        </w:rPr>
        <w:t xml:space="preserve">    </w:t>
      </w:r>
      <w:r>
        <w:rPr>
          <w:rFonts w:hint="eastAsia"/>
          <w:sz w:val="24"/>
          <w:lang w:eastAsia="zh-CN"/>
        </w:rPr>
        <w:t>元（RMB：</w:t>
      </w:r>
      <w:r>
        <w:rPr>
          <w:rFonts w:hint="eastAsia" w:hAnsi="宋体"/>
          <w:sz w:val="24"/>
          <w:lang w:eastAsia="zh-CN"/>
        </w:rPr>
        <w:t>¥</w:t>
      </w:r>
      <w:r>
        <w:rPr>
          <w:rFonts w:hint="eastAsia" w:hAnsi="宋体"/>
          <w:sz w:val="24"/>
          <w:u w:val="single"/>
          <w:lang w:val="en-US" w:eastAsia="zh-CN"/>
        </w:rPr>
        <w:t xml:space="preserve">     </w:t>
      </w:r>
      <w:r>
        <w:rPr>
          <w:rFonts w:hint="eastAsia"/>
          <w:sz w:val="24"/>
          <w:lang w:eastAsia="zh-CN"/>
        </w:rPr>
        <w:t>元）的交易响应担保与本交易响应函同时递交。</w:t>
      </w:r>
    </w:p>
    <w:p w14:paraId="544C36B3">
      <w:pPr>
        <w:spacing w:line="400" w:lineRule="exact"/>
        <w:ind w:firstLine="616" w:firstLineChars="257"/>
        <w:rPr>
          <w:sz w:val="24"/>
          <w:lang w:eastAsia="zh-CN"/>
        </w:rPr>
      </w:pPr>
      <w:r>
        <w:rPr>
          <w:rFonts w:hint="eastAsia"/>
          <w:sz w:val="24"/>
          <w:lang w:eastAsia="zh-CN"/>
        </w:rPr>
        <w:t>交易响应人：（盖章）单位地址：</w:t>
      </w:r>
    </w:p>
    <w:p w14:paraId="732718A2">
      <w:pPr>
        <w:spacing w:line="400" w:lineRule="exact"/>
        <w:ind w:firstLine="616" w:firstLineChars="257"/>
        <w:rPr>
          <w:sz w:val="24"/>
          <w:lang w:eastAsia="zh-CN"/>
        </w:rPr>
      </w:pPr>
      <w:r>
        <w:rPr>
          <w:rFonts w:hint="eastAsia"/>
          <w:sz w:val="24"/>
          <w:lang w:eastAsia="zh-CN"/>
        </w:rPr>
        <w:t>法定代表人或其委托代理人：（签字或盖章）</w:t>
      </w:r>
    </w:p>
    <w:p w14:paraId="259B7541">
      <w:pPr>
        <w:spacing w:line="400" w:lineRule="exact"/>
        <w:ind w:firstLine="616" w:firstLineChars="257"/>
        <w:rPr>
          <w:sz w:val="24"/>
          <w:lang w:eastAsia="zh-CN"/>
        </w:rPr>
      </w:pPr>
      <w:r>
        <w:rPr>
          <w:rFonts w:hint="eastAsia"/>
          <w:sz w:val="24"/>
          <w:lang w:eastAsia="zh-CN"/>
        </w:rPr>
        <w:t>邮政编码：</w:t>
      </w:r>
      <w:r>
        <w:rPr>
          <w:rFonts w:hint="eastAsia"/>
          <w:sz w:val="24"/>
          <w:lang w:eastAsia="zh-CN"/>
        </w:rPr>
        <w:tab/>
      </w:r>
      <w:r>
        <w:rPr>
          <w:rFonts w:hint="eastAsia"/>
          <w:sz w:val="24"/>
          <w:lang w:eastAsia="zh-CN"/>
        </w:rPr>
        <w:tab/>
      </w:r>
      <w:r>
        <w:rPr>
          <w:rFonts w:hint="eastAsia"/>
          <w:sz w:val="24"/>
          <w:lang w:eastAsia="zh-CN"/>
        </w:rPr>
        <w:tab/>
      </w:r>
      <w:r>
        <w:rPr>
          <w:rFonts w:hint="eastAsia"/>
          <w:sz w:val="24"/>
          <w:lang w:eastAsia="zh-CN"/>
        </w:rPr>
        <w:tab/>
      </w:r>
      <w:r>
        <w:rPr>
          <w:rFonts w:hint="eastAsia"/>
          <w:sz w:val="24"/>
          <w:lang w:eastAsia="zh-CN"/>
        </w:rPr>
        <w:tab/>
      </w:r>
      <w:r>
        <w:rPr>
          <w:rFonts w:hint="eastAsia"/>
          <w:sz w:val="24"/>
          <w:lang w:eastAsia="zh-CN"/>
        </w:rPr>
        <w:t>电话：</w:t>
      </w:r>
      <w:r>
        <w:rPr>
          <w:rFonts w:hint="eastAsia"/>
          <w:sz w:val="24"/>
          <w:lang w:eastAsia="zh-CN"/>
        </w:rPr>
        <w:tab/>
      </w:r>
      <w:r>
        <w:rPr>
          <w:rFonts w:hint="eastAsia"/>
          <w:sz w:val="24"/>
          <w:lang w:eastAsia="zh-CN"/>
        </w:rPr>
        <w:tab/>
      </w:r>
      <w:r>
        <w:rPr>
          <w:rFonts w:hint="eastAsia"/>
          <w:sz w:val="24"/>
          <w:lang w:eastAsia="zh-CN"/>
        </w:rPr>
        <w:tab/>
      </w:r>
      <w:r>
        <w:rPr>
          <w:rFonts w:hint="eastAsia"/>
          <w:sz w:val="24"/>
          <w:lang w:eastAsia="zh-CN"/>
        </w:rPr>
        <w:tab/>
      </w:r>
      <w:r>
        <w:rPr>
          <w:rFonts w:hint="eastAsia"/>
          <w:sz w:val="24"/>
          <w:lang w:eastAsia="zh-CN"/>
        </w:rPr>
        <w:t>传真：</w:t>
      </w:r>
    </w:p>
    <w:p w14:paraId="1B293C0D">
      <w:pPr>
        <w:spacing w:line="400" w:lineRule="exact"/>
        <w:ind w:firstLine="616" w:firstLineChars="257"/>
        <w:rPr>
          <w:sz w:val="24"/>
          <w:lang w:eastAsia="zh-CN"/>
        </w:rPr>
      </w:pPr>
      <w:r>
        <w:rPr>
          <w:rFonts w:hint="eastAsia"/>
          <w:sz w:val="24"/>
          <w:lang w:eastAsia="zh-CN"/>
        </w:rPr>
        <w:t>开户银行名称：</w:t>
      </w:r>
    </w:p>
    <w:p w14:paraId="03BC9244">
      <w:pPr>
        <w:spacing w:line="400" w:lineRule="exact"/>
        <w:ind w:firstLine="616" w:firstLineChars="257"/>
        <w:rPr>
          <w:sz w:val="24"/>
          <w:lang w:eastAsia="zh-CN"/>
        </w:rPr>
      </w:pPr>
      <w:r>
        <w:rPr>
          <w:rFonts w:hint="eastAsia"/>
          <w:sz w:val="24"/>
          <w:lang w:eastAsia="zh-CN"/>
        </w:rPr>
        <w:t>开户银行账户：</w:t>
      </w:r>
    </w:p>
    <w:p w14:paraId="78A97D33">
      <w:pPr>
        <w:spacing w:line="400" w:lineRule="exact"/>
        <w:ind w:firstLine="616" w:firstLineChars="257"/>
        <w:rPr>
          <w:sz w:val="24"/>
          <w:lang w:eastAsia="zh-CN"/>
        </w:rPr>
      </w:pPr>
      <w:r>
        <w:rPr>
          <w:rFonts w:hint="eastAsia"/>
          <w:sz w:val="24"/>
          <w:lang w:eastAsia="zh-CN"/>
        </w:rPr>
        <w:t>开户银行地址：</w:t>
      </w:r>
    </w:p>
    <w:p w14:paraId="7F4FF0BF">
      <w:pPr>
        <w:spacing w:line="400" w:lineRule="exact"/>
        <w:ind w:firstLine="616" w:firstLineChars="257"/>
        <w:rPr>
          <w:sz w:val="24"/>
          <w:lang w:eastAsia="zh-CN"/>
        </w:rPr>
      </w:pPr>
      <w:r>
        <w:rPr>
          <w:rFonts w:hint="eastAsia"/>
          <w:sz w:val="24"/>
          <w:lang w:eastAsia="zh-CN"/>
        </w:rPr>
        <w:t>开户银行电话：</w:t>
      </w:r>
    </w:p>
    <w:p w14:paraId="53882AF8">
      <w:pPr>
        <w:spacing w:line="480" w:lineRule="auto"/>
        <w:ind w:firstLine="4800" w:firstLineChars="2000"/>
        <w:rPr>
          <w:sz w:val="24"/>
          <w:lang w:eastAsia="zh-CN"/>
        </w:rPr>
      </w:pPr>
      <w:r>
        <w:rPr>
          <w:rFonts w:hint="eastAsia"/>
          <w:sz w:val="24"/>
          <w:lang w:eastAsia="zh-CN"/>
        </w:rPr>
        <w:t xml:space="preserve">日期：  </w:t>
      </w:r>
      <w:r>
        <w:rPr>
          <w:rFonts w:hint="eastAsia"/>
          <w:sz w:val="24"/>
          <w:lang w:eastAsia="zh-CN"/>
        </w:rPr>
        <w:tab/>
      </w:r>
      <w:r>
        <w:rPr>
          <w:rFonts w:hint="eastAsia"/>
          <w:sz w:val="24"/>
          <w:lang w:eastAsia="zh-CN"/>
        </w:rPr>
        <w:tab/>
      </w:r>
      <w:r>
        <w:rPr>
          <w:rFonts w:hint="eastAsia"/>
          <w:sz w:val="24"/>
          <w:lang w:eastAsia="zh-CN"/>
        </w:rPr>
        <w:t xml:space="preserve">年   </w:t>
      </w:r>
      <w:r>
        <w:rPr>
          <w:rFonts w:hint="eastAsia"/>
          <w:sz w:val="24"/>
          <w:lang w:eastAsia="zh-CN"/>
        </w:rPr>
        <w:tab/>
      </w:r>
      <w:r>
        <w:rPr>
          <w:rFonts w:hint="eastAsia"/>
          <w:sz w:val="24"/>
          <w:lang w:eastAsia="zh-CN"/>
        </w:rPr>
        <w:t xml:space="preserve">月  </w:t>
      </w:r>
      <w:r>
        <w:rPr>
          <w:rFonts w:hint="eastAsia"/>
          <w:sz w:val="24"/>
          <w:lang w:eastAsia="zh-CN"/>
        </w:rPr>
        <w:tab/>
      </w:r>
      <w:r>
        <w:rPr>
          <w:rFonts w:hint="eastAsia"/>
          <w:sz w:val="24"/>
          <w:lang w:eastAsia="zh-CN"/>
        </w:rPr>
        <w:t>日</w:t>
      </w:r>
    </w:p>
    <w:p w14:paraId="589A38E7">
      <w:pPr>
        <w:spacing w:line="480" w:lineRule="auto"/>
        <w:jc w:val="center"/>
        <w:rPr>
          <w:b/>
          <w:bCs/>
          <w:sz w:val="30"/>
          <w:szCs w:val="30"/>
          <w:lang w:eastAsia="zh-CN"/>
        </w:rPr>
      </w:pPr>
      <w:r>
        <w:rPr>
          <w:rFonts w:hint="eastAsia"/>
          <w:b/>
          <w:bCs/>
          <w:sz w:val="30"/>
          <w:szCs w:val="30"/>
          <w:lang w:eastAsia="zh-CN"/>
        </w:rPr>
        <w:t>交易响应函附录</w:t>
      </w:r>
    </w:p>
    <w:tbl>
      <w:tblPr>
        <w:tblStyle w:val="11"/>
        <w:tblW w:w="0" w:type="auto"/>
        <w:tblInd w:w="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470"/>
        <w:gridCol w:w="1523"/>
        <w:gridCol w:w="306"/>
        <w:gridCol w:w="1184"/>
        <w:gridCol w:w="3589"/>
        <w:gridCol w:w="922"/>
      </w:tblGrid>
      <w:tr w14:paraId="5BE20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808" w:type="dxa"/>
            <w:vAlign w:val="center"/>
          </w:tcPr>
          <w:p w14:paraId="12A59E9C">
            <w:pPr>
              <w:jc w:val="center"/>
              <w:rPr>
                <w:szCs w:val="21"/>
              </w:rPr>
            </w:pPr>
            <w:r>
              <w:rPr>
                <w:rFonts w:hint="eastAsia"/>
                <w:szCs w:val="21"/>
              </w:rPr>
              <w:t>序号</w:t>
            </w:r>
          </w:p>
        </w:tc>
        <w:tc>
          <w:tcPr>
            <w:tcW w:w="2993" w:type="dxa"/>
            <w:gridSpan w:val="2"/>
            <w:vAlign w:val="center"/>
          </w:tcPr>
          <w:p w14:paraId="2EED12E0">
            <w:pPr>
              <w:rPr>
                <w:szCs w:val="21"/>
              </w:rPr>
            </w:pPr>
            <w:r>
              <w:rPr>
                <w:rFonts w:hint="eastAsia"/>
                <w:szCs w:val="21"/>
              </w:rPr>
              <w:t>项目内容</w:t>
            </w:r>
          </w:p>
        </w:tc>
        <w:tc>
          <w:tcPr>
            <w:tcW w:w="1490" w:type="dxa"/>
            <w:gridSpan w:val="2"/>
            <w:vAlign w:val="center"/>
          </w:tcPr>
          <w:p w14:paraId="29AADDBB">
            <w:pPr>
              <w:rPr>
                <w:szCs w:val="21"/>
              </w:rPr>
            </w:pPr>
            <w:r>
              <w:rPr>
                <w:rFonts w:hint="eastAsia"/>
                <w:szCs w:val="21"/>
              </w:rPr>
              <w:t>合同条款号</w:t>
            </w:r>
          </w:p>
        </w:tc>
        <w:tc>
          <w:tcPr>
            <w:tcW w:w="3589" w:type="dxa"/>
            <w:vAlign w:val="center"/>
          </w:tcPr>
          <w:p w14:paraId="0341DC5C">
            <w:pPr>
              <w:rPr>
                <w:szCs w:val="21"/>
              </w:rPr>
            </w:pPr>
            <w:r>
              <w:rPr>
                <w:rFonts w:hint="eastAsia"/>
                <w:szCs w:val="21"/>
              </w:rPr>
              <w:t>约定内容</w:t>
            </w:r>
          </w:p>
        </w:tc>
        <w:tc>
          <w:tcPr>
            <w:tcW w:w="922" w:type="dxa"/>
            <w:vAlign w:val="center"/>
          </w:tcPr>
          <w:p w14:paraId="6BB6FC27">
            <w:pPr>
              <w:rPr>
                <w:sz w:val="18"/>
                <w:szCs w:val="18"/>
              </w:rPr>
            </w:pPr>
            <w:r>
              <w:rPr>
                <w:rFonts w:hint="eastAsia"/>
                <w:sz w:val="18"/>
                <w:szCs w:val="18"/>
              </w:rPr>
              <w:t>备注</w:t>
            </w:r>
          </w:p>
        </w:tc>
      </w:tr>
      <w:tr w14:paraId="3B442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08" w:type="dxa"/>
            <w:vAlign w:val="center"/>
          </w:tcPr>
          <w:p w14:paraId="19318715">
            <w:pPr>
              <w:rPr>
                <w:szCs w:val="21"/>
              </w:rPr>
            </w:pPr>
            <w:r>
              <w:rPr>
                <w:rFonts w:hint="eastAsia"/>
                <w:szCs w:val="21"/>
              </w:rPr>
              <w:t>1</w:t>
            </w:r>
          </w:p>
        </w:tc>
        <w:tc>
          <w:tcPr>
            <w:tcW w:w="2993" w:type="dxa"/>
            <w:gridSpan w:val="2"/>
            <w:vAlign w:val="center"/>
          </w:tcPr>
          <w:p w14:paraId="7C36B5AF">
            <w:pPr>
              <w:rPr>
                <w:szCs w:val="21"/>
              </w:rPr>
            </w:pPr>
            <w:r>
              <w:rPr>
                <w:rFonts w:hint="eastAsia"/>
                <w:szCs w:val="21"/>
              </w:rPr>
              <w:t>履约保证金</w:t>
            </w:r>
          </w:p>
        </w:tc>
        <w:tc>
          <w:tcPr>
            <w:tcW w:w="1490" w:type="dxa"/>
            <w:gridSpan w:val="2"/>
            <w:vAlign w:val="center"/>
          </w:tcPr>
          <w:p w14:paraId="68889F23">
            <w:pPr>
              <w:rPr>
                <w:szCs w:val="21"/>
              </w:rPr>
            </w:pPr>
          </w:p>
        </w:tc>
        <w:tc>
          <w:tcPr>
            <w:tcW w:w="3589" w:type="dxa"/>
            <w:vAlign w:val="center"/>
          </w:tcPr>
          <w:p w14:paraId="43AF9618">
            <w:pPr>
              <w:rPr>
                <w:szCs w:val="21"/>
              </w:rPr>
            </w:pPr>
            <w:r>
              <w:rPr>
                <w:rFonts w:hint="eastAsia"/>
                <w:szCs w:val="21"/>
              </w:rPr>
              <w:t>合同价格的（  ）%</w:t>
            </w:r>
          </w:p>
        </w:tc>
        <w:tc>
          <w:tcPr>
            <w:tcW w:w="922" w:type="dxa"/>
            <w:vAlign w:val="center"/>
          </w:tcPr>
          <w:p w14:paraId="088B3C46">
            <w:pPr>
              <w:rPr>
                <w:szCs w:val="21"/>
              </w:rPr>
            </w:pPr>
          </w:p>
        </w:tc>
      </w:tr>
      <w:tr w14:paraId="0F60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08" w:type="dxa"/>
            <w:vAlign w:val="center"/>
          </w:tcPr>
          <w:p w14:paraId="1E9040AA">
            <w:pPr>
              <w:rPr>
                <w:szCs w:val="21"/>
              </w:rPr>
            </w:pPr>
            <w:r>
              <w:rPr>
                <w:rFonts w:hint="eastAsia"/>
                <w:szCs w:val="21"/>
              </w:rPr>
              <w:t>2</w:t>
            </w:r>
          </w:p>
        </w:tc>
        <w:tc>
          <w:tcPr>
            <w:tcW w:w="2993" w:type="dxa"/>
            <w:gridSpan w:val="2"/>
            <w:vAlign w:val="center"/>
          </w:tcPr>
          <w:p w14:paraId="2C331EC0">
            <w:pPr>
              <w:rPr>
                <w:szCs w:val="21"/>
              </w:rPr>
            </w:pPr>
            <w:r>
              <w:rPr>
                <w:rFonts w:hint="eastAsia"/>
                <w:szCs w:val="21"/>
              </w:rPr>
              <w:t>施工准备时间</w:t>
            </w:r>
          </w:p>
        </w:tc>
        <w:tc>
          <w:tcPr>
            <w:tcW w:w="1490" w:type="dxa"/>
            <w:gridSpan w:val="2"/>
            <w:vAlign w:val="center"/>
          </w:tcPr>
          <w:p w14:paraId="64CE5111">
            <w:pPr>
              <w:rPr>
                <w:szCs w:val="21"/>
              </w:rPr>
            </w:pPr>
          </w:p>
        </w:tc>
        <w:tc>
          <w:tcPr>
            <w:tcW w:w="3589" w:type="dxa"/>
            <w:vAlign w:val="center"/>
          </w:tcPr>
          <w:p w14:paraId="15BD765D">
            <w:pPr>
              <w:rPr>
                <w:szCs w:val="21"/>
                <w:lang w:eastAsia="zh-CN"/>
              </w:rPr>
            </w:pPr>
            <w:r>
              <w:rPr>
                <w:rFonts w:hint="eastAsia"/>
                <w:szCs w:val="21"/>
                <w:lang w:eastAsia="zh-CN"/>
              </w:rPr>
              <w:t>签订合同协议书后的（  ）天</w:t>
            </w:r>
          </w:p>
        </w:tc>
        <w:tc>
          <w:tcPr>
            <w:tcW w:w="922" w:type="dxa"/>
            <w:vAlign w:val="center"/>
          </w:tcPr>
          <w:p w14:paraId="459AA29A">
            <w:pPr>
              <w:rPr>
                <w:szCs w:val="21"/>
                <w:lang w:eastAsia="zh-CN"/>
              </w:rPr>
            </w:pPr>
          </w:p>
        </w:tc>
      </w:tr>
      <w:tr w14:paraId="25867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08" w:type="dxa"/>
            <w:vAlign w:val="center"/>
          </w:tcPr>
          <w:p w14:paraId="0735C5C8">
            <w:pPr>
              <w:rPr>
                <w:szCs w:val="21"/>
              </w:rPr>
            </w:pPr>
            <w:r>
              <w:rPr>
                <w:rFonts w:hint="eastAsia"/>
                <w:szCs w:val="21"/>
              </w:rPr>
              <w:t>3</w:t>
            </w:r>
          </w:p>
        </w:tc>
        <w:tc>
          <w:tcPr>
            <w:tcW w:w="2993" w:type="dxa"/>
            <w:gridSpan w:val="2"/>
            <w:vAlign w:val="center"/>
          </w:tcPr>
          <w:p w14:paraId="2C52B133">
            <w:pPr>
              <w:rPr>
                <w:szCs w:val="21"/>
              </w:rPr>
            </w:pPr>
            <w:r>
              <w:rPr>
                <w:rFonts w:hint="eastAsia"/>
                <w:szCs w:val="21"/>
              </w:rPr>
              <w:t>误期违约金额</w:t>
            </w:r>
          </w:p>
        </w:tc>
        <w:tc>
          <w:tcPr>
            <w:tcW w:w="1490" w:type="dxa"/>
            <w:gridSpan w:val="2"/>
            <w:vAlign w:val="center"/>
          </w:tcPr>
          <w:p w14:paraId="17A5669C">
            <w:pPr>
              <w:rPr>
                <w:szCs w:val="21"/>
              </w:rPr>
            </w:pPr>
          </w:p>
        </w:tc>
        <w:tc>
          <w:tcPr>
            <w:tcW w:w="3589" w:type="dxa"/>
            <w:vAlign w:val="center"/>
          </w:tcPr>
          <w:p w14:paraId="5AA82A42">
            <w:pPr>
              <w:rPr>
                <w:szCs w:val="21"/>
              </w:rPr>
            </w:pPr>
            <w:r>
              <w:rPr>
                <w:rFonts w:hint="eastAsia"/>
                <w:szCs w:val="21"/>
              </w:rPr>
              <w:t xml:space="preserve">（ </w:t>
            </w:r>
            <w:r>
              <w:rPr>
                <w:rFonts w:hint="eastAsia"/>
                <w:szCs w:val="21"/>
                <w:lang w:val="en-US" w:eastAsia="zh-CN"/>
              </w:rPr>
              <w:t>/</w:t>
            </w:r>
            <w:r>
              <w:rPr>
                <w:rFonts w:hint="eastAsia"/>
                <w:szCs w:val="21"/>
              </w:rPr>
              <w:t xml:space="preserve"> ）元/天</w:t>
            </w:r>
          </w:p>
        </w:tc>
        <w:tc>
          <w:tcPr>
            <w:tcW w:w="922" w:type="dxa"/>
            <w:vAlign w:val="center"/>
          </w:tcPr>
          <w:p w14:paraId="62D2A421">
            <w:pPr>
              <w:rPr>
                <w:szCs w:val="21"/>
              </w:rPr>
            </w:pPr>
          </w:p>
        </w:tc>
      </w:tr>
      <w:tr w14:paraId="02082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08" w:type="dxa"/>
            <w:vAlign w:val="center"/>
          </w:tcPr>
          <w:p w14:paraId="62BEA3F3">
            <w:pPr>
              <w:rPr>
                <w:szCs w:val="21"/>
              </w:rPr>
            </w:pPr>
            <w:r>
              <w:rPr>
                <w:rFonts w:hint="eastAsia"/>
                <w:szCs w:val="21"/>
              </w:rPr>
              <w:t>4</w:t>
            </w:r>
          </w:p>
        </w:tc>
        <w:tc>
          <w:tcPr>
            <w:tcW w:w="2993" w:type="dxa"/>
            <w:gridSpan w:val="2"/>
            <w:vAlign w:val="center"/>
          </w:tcPr>
          <w:p w14:paraId="2991F3B5">
            <w:pPr>
              <w:rPr>
                <w:szCs w:val="21"/>
              </w:rPr>
            </w:pPr>
            <w:r>
              <w:rPr>
                <w:rFonts w:hint="eastAsia"/>
                <w:szCs w:val="21"/>
              </w:rPr>
              <w:t>误期赔偿费限额</w:t>
            </w:r>
          </w:p>
        </w:tc>
        <w:tc>
          <w:tcPr>
            <w:tcW w:w="1490" w:type="dxa"/>
            <w:gridSpan w:val="2"/>
            <w:vAlign w:val="center"/>
          </w:tcPr>
          <w:p w14:paraId="767DB0FC">
            <w:pPr>
              <w:rPr>
                <w:szCs w:val="21"/>
              </w:rPr>
            </w:pPr>
          </w:p>
        </w:tc>
        <w:tc>
          <w:tcPr>
            <w:tcW w:w="3589" w:type="dxa"/>
            <w:vAlign w:val="center"/>
          </w:tcPr>
          <w:p w14:paraId="328ADFB8">
            <w:pPr>
              <w:rPr>
                <w:szCs w:val="21"/>
              </w:rPr>
            </w:pPr>
            <w:r>
              <w:rPr>
                <w:rFonts w:hint="eastAsia"/>
                <w:szCs w:val="21"/>
              </w:rPr>
              <w:t xml:space="preserve">合同价格的（ </w:t>
            </w:r>
            <w:r>
              <w:rPr>
                <w:rFonts w:hint="eastAsia"/>
                <w:szCs w:val="21"/>
                <w:lang w:val="en-US" w:eastAsia="zh-CN"/>
              </w:rPr>
              <w:t>/</w:t>
            </w:r>
            <w:r>
              <w:rPr>
                <w:rFonts w:hint="eastAsia"/>
                <w:szCs w:val="21"/>
              </w:rPr>
              <w:t xml:space="preserve">  ）%</w:t>
            </w:r>
          </w:p>
        </w:tc>
        <w:tc>
          <w:tcPr>
            <w:tcW w:w="922" w:type="dxa"/>
            <w:vAlign w:val="center"/>
          </w:tcPr>
          <w:p w14:paraId="0F79F616">
            <w:pPr>
              <w:rPr>
                <w:szCs w:val="21"/>
              </w:rPr>
            </w:pPr>
          </w:p>
        </w:tc>
      </w:tr>
      <w:tr w14:paraId="65FDF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08" w:type="dxa"/>
            <w:vAlign w:val="center"/>
          </w:tcPr>
          <w:p w14:paraId="7B82A588">
            <w:pPr>
              <w:rPr>
                <w:szCs w:val="21"/>
              </w:rPr>
            </w:pPr>
            <w:r>
              <w:rPr>
                <w:rFonts w:hint="eastAsia"/>
                <w:szCs w:val="21"/>
              </w:rPr>
              <w:t>5</w:t>
            </w:r>
          </w:p>
        </w:tc>
        <w:tc>
          <w:tcPr>
            <w:tcW w:w="2993" w:type="dxa"/>
            <w:gridSpan w:val="2"/>
            <w:vAlign w:val="center"/>
          </w:tcPr>
          <w:p w14:paraId="06B5B628">
            <w:pPr>
              <w:rPr>
                <w:szCs w:val="21"/>
              </w:rPr>
            </w:pPr>
            <w:r>
              <w:rPr>
                <w:rFonts w:hint="eastAsia"/>
                <w:szCs w:val="21"/>
              </w:rPr>
              <w:t>提前工期奖</w:t>
            </w:r>
          </w:p>
        </w:tc>
        <w:tc>
          <w:tcPr>
            <w:tcW w:w="1490" w:type="dxa"/>
            <w:gridSpan w:val="2"/>
            <w:vAlign w:val="center"/>
          </w:tcPr>
          <w:p w14:paraId="2F89E48B">
            <w:pPr>
              <w:rPr>
                <w:szCs w:val="21"/>
              </w:rPr>
            </w:pPr>
          </w:p>
        </w:tc>
        <w:tc>
          <w:tcPr>
            <w:tcW w:w="3589" w:type="dxa"/>
            <w:vAlign w:val="center"/>
          </w:tcPr>
          <w:p w14:paraId="4034087B">
            <w:pPr>
              <w:rPr>
                <w:szCs w:val="21"/>
              </w:rPr>
            </w:pPr>
            <w:r>
              <w:rPr>
                <w:rFonts w:hint="eastAsia"/>
                <w:szCs w:val="21"/>
              </w:rPr>
              <w:t xml:space="preserve">（ </w:t>
            </w:r>
            <w:r>
              <w:rPr>
                <w:rFonts w:hint="eastAsia"/>
                <w:szCs w:val="21"/>
                <w:lang w:eastAsia="zh-CN"/>
              </w:rPr>
              <w:t>/</w:t>
            </w:r>
            <w:r>
              <w:rPr>
                <w:rFonts w:hint="eastAsia"/>
                <w:szCs w:val="21"/>
              </w:rPr>
              <w:t xml:space="preserve"> ）元/天</w:t>
            </w:r>
          </w:p>
        </w:tc>
        <w:tc>
          <w:tcPr>
            <w:tcW w:w="922" w:type="dxa"/>
            <w:vAlign w:val="center"/>
          </w:tcPr>
          <w:p w14:paraId="28F80814">
            <w:pPr>
              <w:rPr>
                <w:szCs w:val="21"/>
              </w:rPr>
            </w:pPr>
          </w:p>
        </w:tc>
      </w:tr>
      <w:tr w14:paraId="37848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808" w:type="dxa"/>
            <w:vAlign w:val="center"/>
          </w:tcPr>
          <w:p w14:paraId="31835634">
            <w:pPr>
              <w:rPr>
                <w:szCs w:val="21"/>
              </w:rPr>
            </w:pPr>
            <w:r>
              <w:rPr>
                <w:rFonts w:hint="eastAsia"/>
                <w:szCs w:val="21"/>
              </w:rPr>
              <w:t>6</w:t>
            </w:r>
          </w:p>
        </w:tc>
        <w:tc>
          <w:tcPr>
            <w:tcW w:w="2993" w:type="dxa"/>
            <w:gridSpan w:val="2"/>
            <w:vAlign w:val="center"/>
          </w:tcPr>
          <w:p w14:paraId="427A9DB3">
            <w:pPr>
              <w:rPr>
                <w:szCs w:val="21"/>
              </w:rPr>
            </w:pPr>
            <w:r>
              <w:rPr>
                <w:rFonts w:hint="eastAsia"/>
                <w:szCs w:val="21"/>
              </w:rPr>
              <w:t>施工总工期</w:t>
            </w:r>
          </w:p>
        </w:tc>
        <w:tc>
          <w:tcPr>
            <w:tcW w:w="1490" w:type="dxa"/>
            <w:gridSpan w:val="2"/>
            <w:vAlign w:val="center"/>
          </w:tcPr>
          <w:p w14:paraId="775A092B">
            <w:pPr>
              <w:rPr>
                <w:szCs w:val="21"/>
              </w:rPr>
            </w:pPr>
          </w:p>
        </w:tc>
        <w:tc>
          <w:tcPr>
            <w:tcW w:w="3589" w:type="dxa"/>
            <w:vAlign w:val="center"/>
          </w:tcPr>
          <w:p w14:paraId="0E76ED6B">
            <w:pPr>
              <w:rPr>
                <w:szCs w:val="21"/>
              </w:rPr>
            </w:pPr>
            <w:r>
              <w:rPr>
                <w:rFonts w:hint="eastAsia"/>
                <w:szCs w:val="21"/>
              </w:rPr>
              <w:t>（  ）日历天</w:t>
            </w:r>
          </w:p>
        </w:tc>
        <w:tc>
          <w:tcPr>
            <w:tcW w:w="922" w:type="dxa"/>
            <w:vAlign w:val="center"/>
          </w:tcPr>
          <w:p w14:paraId="46AB88F0">
            <w:pPr>
              <w:rPr>
                <w:szCs w:val="21"/>
              </w:rPr>
            </w:pPr>
          </w:p>
        </w:tc>
      </w:tr>
      <w:tr w14:paraId="1B425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08" w:type="dxa"/>
            <w:vAlign w:val="center"/>
          </w:tcPr>
          <w:p w14:paraId="25930320">
            <w:pPr>
              <w:rPr>
                <w:szCs w:val="21"/>
              </w:rPr>
            </w:pPr>
            <w:r>
              <w:rPr>
                <w:rFonts w:hint="eastAsia"/>
                <w:szCs w:val="21"/>
              </w:rPr>
              <w:t>7</w:t>
            </w:r>
          </w:p>
        </w:tc>
        <w:tc>
          <w:tcPr>
            <w:tcW w:w="2993" w:type="dxa"/>
            <w:gridSpan w:val="2"/>
            <w:vAlign w:val="center"/>
          </w:tcPr>
          <w:p w14:paraId="1A6BB838">
            <w:pPr>
              <w:rPr>
                <w:szCs w:val="21"/>
              </w:rPr>
            </w:pPr>
            <w:r>
              <w:rPr>
                <w:rFonts w:hint="eastAsia"/>
                <w:szCs w:val="21"/>
              </w:rPr>
              <w:t>质量标准：</w:t>
            </w:r>
          </w:p>
        </w:tc>
        <w:tc>
          <w:tcPr>
            <w:tcW w:w="1490" w:type="dxa"/>
            <w:gridSpan w:val="2"/>
            <w:vAlign w:val="center"/>
          </w:tcPr>
          <w:p w14:paraId="6F2769D1">
            <w:pPr>
              <w:rPr>
                <w:szCs w:val="21"/>
              </w:rPr>
            </w:pPr>
          </w:p>
        </w:tc>
        <w:tc>
          <w:tcPr>
            <w:tcW w:w="3589" w:type="dxa"/>
            <w:vAlign w:val="center"/>
          </w:tcPr>
          <w:p w14:paraId="6EC2173C">
            <w:pPr>
              <w:rPr>
                <w:szCs w:val="21"/>
              </w:rPr>
            </w:pPr>
            <w:r>
              <w:rPr>
                <w:rFonts w:hint="eastAsia"/>
                <w:szCs w:val="21"/>
              </w:rPr>
              <w:t>（  ）</w:t>
            </w:r>
          </w:p>
        </w:tc>
        <w:tc>
          <w:tcPr>
            <w:tcW w:w="922" w:type="dxa"/>
            <w:vAlign w:val="center"/>
          </w:tcPr>
          <w:p w14:paraId="535E1E4F">
            <w:pPr>
              <w:rPr>
                <w:szCs w:val="21"/>
              </w:rPr>
            </w:pPr>
          </w:p>
        </w:tc>
      </w:tr>
      <w:tr w14:paraId="023B5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08" w:type="dxa"/>
            <w:vAlign w:val="center"/>
          </w:tcPr>
          <w:p w14:paraId="7740E05E">
            <w:pPr>
              <w:rPr>
                <w:szCs w:val="21"/>
              </w:rPr>
            </w:pPr>
            <w:r>
              <w:rPr>
                <w:rFonts w:hint="eastAsia"/>
                <w:szCs w:val="21"/>
              </w:rPr>
              <w:t>8</w:t>
            </w:r>
          </w:p>
        </w:tc>
        <w:tc>
          <w:tcPr>
            <w:tcW w:w="2993" w:type="dxa"/>
            <w:gridSpan w:val="2"/>
            <w:vAlign w:val="center"/>
          </w:tcPr>
          <w:p w14:paraId="5AAF0720">
            <w:pPr>
              <w:rPr>
                <w:szCs w:val="21"/>
                <w:lang w:eastAsia="zh-CN"/>
              </w:rPr>
            </w:pPr>
            <w:r>
              <w:rPr>
                <w:rFonts w:hint="eastAsia"/>
                <w:szCs w:val="21"/>
                <w:lang w:eastAsia="zh-CN"/>
              </w:rPr>
              <w:t>工程质量违约金最高金额</w:t>
            </w:r>
          </w:p>
        </w:tc>
        <w:tc>
          <w:tcPr>
            <w:tcW w:w="1490" w:type="dxa"/>
            <w:gridSpan w:val="2"/>
            <w:vAlign w:val="center"/>
          </w:tcPr>
          <w:p w14:paraId="0B3ADE0F">
            <w:pPr>
              <w:rPr>
                <w:szCs w:val="21"/>
                <w:lang w:eastAsia="zh-CN"/>
              </w:rPr>
            </w:pPr>
          </w:p>
        </w:tc>
        <w:tc>
          <w:tcPr>
            <w:tcW w:w="3589" w:type="dxa"/>
            <w:vAlign w:val="center"/>
          </w:tcPr>
          <w:p w14:paraId="15E46FF6">
            <w:pPr>
              <w:rPr>
                <w:szCs w:val="21"/>
              </w:rPr>
            </w:pPr>
            <w:r>
              <w:rPr>
                <w:rFonts w:hint="eastAsia"/>
                <w:szCs w:val="21"/>
              </w:rPr>
              <w:t>（ / ）元</w:t>
            </w:r>
          </w:p>
        </w:tc>
        <w:tc>
          <w:tcPr>
            <w:tcW w:w="922" w:type="dxa"/>
            <w:vAlign w:val="center"/>
          </w:tcPr>
          <w:p w14:paraId="07BDA951">
            <w:pPr>
              <w:rPr>
                <w:szCs w:val="21"/>
              </w:rPr>
            </w:pPr>
          </w:p>
        </w:tc>
      </w:tr>
      <w:tr w14:paraId="16445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08" w:type="dxa"/>
            <w:vAlign w:val="center"/>
          </w:tcPr>
          <w:p w14:paraId="36B7215C">
            <w:pPr>
              <w:rPr>
                <w:szCs w:val="21"/>
              </w:rPr>
            </w:pPr>
            <w:r>
              <w:rPr>
                <w:rFonts w:hint="eastAsia"/>
                <w:szCs w:val="21"/>
              </w:rPr>
              <w:t>9</w:t>
            </w:r>
          </w:p>
        </w:tc>
        <w:tc>
          <w:tcPr>
            <w:tcW w:w="2993" w:type="dxa"/>
            <w:gridSpan w:val="2"/>
            <w:vAlign w:val="center"/>
          </w:tcPr>
          <w:p w14:paraId="0B21FEC2">
            <w:pPr>
              <w:rPr>
                <w:szCs w:val="21"/>
              </w:rPr>
            </w:pPr>
            <w:r>
              <w:rPr>
                <w:rFonts w:hint="eastAsia"/>
                <w:szCs w:val="21"/>
              </w:rPr>
              <w:t>预付款金额：</w:t>
            </w:r>
          </w:p>
        </w:tc>
        <w:tc>
          <w:tcPr>
            <w:tcW w:w="1490" w:type="dxa"/>
            <w:gridSpan w:val="2"/>
            <w:vAlign w:val="center"/>
          </w:tcPr>
          <w:p w14:paraId="00A0B3F2">
            <w:pPr>
              <w:rPr>
                <w:szCs w:val="21"/>
              </w:rPr>
            </w:pPr>
          </w:p>
        </w:tc>
        <w:tc>
          <w:tcPr>
            <w:tcW w:w="3589" w:type="dxa"/>
            <w:vAlign w:val="center"/>
          </w:tcPr>
          <w:p w14:paraId="1BCC1A57">
            <w:pPr>
              <w:rPr>
                <w:szCs w:val="21"/>
              </w:rPr>
            </w:pPr>
            <w:r>
              <w:rPr>
                <w:rFonts w:hint="eastAsia"/>
                <w:szCs w:val="21"/>
              </w:rPr>
              <w:t xml:space="preserve">合同价格的（ </w:t>
            </w:r>
            <w:r>
              <w:rPr>
                <w:rFonts w:hint="eastAsia"/>
                <w:szCs w:val="21"/>
                <w:lang w:val="en-US" w:eastAsia="zh-CN"/>
              </w:rPr>
              <w:t>/</w:t>
            </w:r>
            <w:r>
              <w:rPr>
                <w:rFonts w:hint="eastAsia"/>
                <w:szCs w:val="21"/>
              </w:rPr>
              <w:t xml:space="preserve">  ）%</w:t>
            </w:r>
          </w:p>
        </w:tc>
        <w:tc>
          <w:tcPr>
            <w:tcW w:w="922" w:type="dxa"/>
            <w:vAlign w:val="center"/>
          </w:tcPr>
          <w:p w14:paraId="146B0012">
            <w:pPr>
              <w:rPr>
                <w:szCs w:val="21"/>
              </w:rPr>
            </w:pPr>
          </w:p>
        </w:tc>
      </w:tr>
      <w:tr w14:paraId="17F6F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08" w:type="dxa"/>
            <w:vAlign w:val="center"/>
          </w:tcPr>
          <w:p w14:paraId="224ADBEF">
            <w:pPr>
              <w:rPr>
                <w:szCs w:val="21"/>
              </w:rPr>
            </w:pPr>
            <w:r>
              <w:rPr>
                <w:rFonts w:hint="eastAsia"/>
                <w:szCs w:val="21"/>
              </w:rPr>
              <w:t>10</w:t>
            </w:r>
          </w:p>
        </w:tc>
        <w:tc>
          <w:tcPr>
            <w:tcW w:w="2993" w:type="dxa"/>
            <w:gridSpan w:val="2"/>
            <w:vAlign w:val="center"/>
          </w:tcPr>
          <w:p w14:paraId="4DD5832E">
            <w:pPr>
              <w:rPr>
                <w:szCs w:val="21"/>
              </w:rPr>
            </w:pPr>
            <w:r>
              <w:rPr>
                <w:rFonts w:hint="eastAsia"/>
                <w:szCs w:val="21"/>
              </w:rPr>
              <w:t>预付款保函金额</w:t>
            </w:r>
          </w:p>
        </w:tc>
        <w:tc>
          <w:tcPr>
            <w:tcW w:w="1490" w:type="dxa"/>
            <w:gridSpan w:val="2"/>
            <w:vAlign w:val="center"/>
          </w:tcPr>
          <w:p w14:paraId="1F09B8A2">
            <w:pPr>
              <w:rPr>
                <w:szCs w:val="21"/>
              </w:rPr>
            </w:pPr>
          </w:p>
        </w:tc>
        <w:tc>
          <w:tcPr>
            <w:tcW w:w="3589" w:type="dxa"/>
            <w:vAlign w:val="center"/>
          </w:tcPr>
          <w:p w14:paraId="16EF6E0D">
            <w:pPr>
              <w:rPr>
                <w:szCs w:val="21"/>
              </w:rPr>
            </w:pPr>
            <w:r>
              <w:rPr>
                <w:rFonts w:hint="eastAsia"/>
                <w:szCs w:val="21"/>
              </w:rPr>
              <w:t>合同价格的（ / ）%</w:t>
            </w:r>
          </w:p>
        </w:tc>
        <w:tc>
          <w:tcPr>
            <w:tcW w:w="922" w:type="dxa"/>
            <w:vAlign w:val="center"/>
          </w:tcPr>
          <w:p w14:paraId="456A0B26">
            <w:pPr>
              <w:rPr>
                <w:szCs w:val="21"/>
              </w:rPr>
            </w:pPr>
          </w:p>
        </w:tc>
      </w:tr>
      <w:tr w14:paraId="60D43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08" w:type="dxa"/>
            <w:vAlign w:val="center"/>
          </w:tcPr>
          <w:p w14:paraId="2DECF09D">
            <w:pPr>
              <w:rPr>
                <w:szCs w:val="21"/>
              </w:rPr>
            </w:pPr>
            <w:r>
              <w:rPr>
                <w:rFonts w:hint="eastAsia"/>
                <w:szCs w:val="21"/>
              </w:rPr>
              <w:t>11</w:t>
            </w:r>
          </w:p>
        </w:tc>
        <w:tc>
          <w:tcPr>
            <w:tcW w:w="2993" w:type="dxa"/>
            <w:gridSpan w:val="2"/>
            <w:vAlign w:val="center"/>
          </w:tcPr>
          <w:p w14:paraId="4B65C86F">
            <w:pPr>
              <w:rPr>
                <w:szCs w:val="21"/>
              </w:rPr>
            </w:pPr>
            <w:r>
              <w:rPr>
                <w:rFonts w:hint="eastAsia"/>
                <w:szCs w:val="21"/>
              </w:rPr>
              <w:t>进度款付款金额</w:t>
            </w:r>
          </w:p>
        </w:tc>
        <w:tc>
          <w:tcPr>
            <w:tcW w:w="1490" w:type="dxa"/>
            <w:gridSpan w:val="2"/>
            <w:vAlign w:val="center"/>
          </w:tcPr>
          <w:p w14:paraId="33B0CE47">
            <w:pPr>
              <w:rPr>
                <w:szCs w:val="21"/>
              </w:rPr>
            </w:pPr>
          </w:p>
        </w:tc>
        <w:tc>
          <w:tcPr>
            <w:tcW w:w="3589" w:type="dxa"/>
            <w:vAlign w:val="center"/>
          </w:tcPr>
          <w:p w14:paraId="6BE71A51">
            <w:pPr>
              <w:rPr>
                <w:szCs w:val="21"/>
              </w:rPr>
            </w:pPr>
            <w:r>
              <w:rPr>
                <w:rFonts w:hint="eastAsia"/>
                <w:szCs w:val="21"/>
              </w:rPr>
              <w:t>月付款证书（ / ）天</w:t>
            </w:r>
          </w:p>
        </w:tc>
        <w:tc>
          <w:tcPr>
            <w:tcW w:w="922" w:type="dxa"/>
            <w:vAlign w:val="center"/>
          </w:tcPr>
          <w:p w14:paraId="0FF2DA4E">
            <w:pPr>
              <w:rPr>
                <w:szCs w:val="21"/>
              </w:rPr>
            </w:pPr>
          </w:p>
        </w:tc>
      </w:tr>
      <w:tr w14:paraId="27F5C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08" w:type="dxa"/>
            <w:vAlign w:val="center"/>
          </w:tcPr>
          <w:p w14:paraId="4EE31E45">
            <w:pPr>
              <w:rPr>
                <w:szCs w:val="21"/>
              </w:rPr>
            </w:pPr>
            <w:r>
              <w:rPr>
                <w:rFonts w:hint="eastAsia"/>
                <w:szCs w:val="21"/>
              </w:rPr>
              <w:t>12</w:t>
            </w:r>
          </w:p>
        </w:tc>
        <w:tc>
          <w:tcPr>
            <w:tcW w:w="2993" w:type="dxa"/>
            <w:gridSpan w:val="2"/>
            <w:vAlign w:val="center"/>
          </w:tcPr>
          <w:p w14:paraId="315FA5E9">
            <w:pPr>
              <w:rPr>
                <w:szCs w:val="21"/>
                <w:lang w:eastAsia="zh-CN"/>
              </w:rPr>
            </w:pPr>
            <w:r>
              <w:rPr>
                <w:rFonts w:hint="eastAsia"/>
                <w:szCs w:val="21"/>
                <w:lang w:eastAsia="zh-CN"/>
              </w:rPr>
              <w:t>竣工结算款付款时间：</w:t>
            </w:r>
          </w:p>
        </w:tc>
        <w:tc>
          <w:tcPr>
            <w:tcW w:w="1490" w:type="dxa"/>
            <w:gridSpan w:val="2"/>
            <w:vAlign w:val="center"/>
          </w:tcPr>
          <w:p w14:paraId="68DD3361">
            <w:pPr>
              <w:rPr>
                <w:szCs w:val="21"/>
                <w:lang w:eastAsia="zh-CN"/>
              </w:rPr>
            </w:pPr>
          </w:p>
        </w:tc>
        <w:tc>
          <w:tcPr>
            <w:tcW w:w="3589" w:type="dxa"/>
            <w:vAlign w:val="center"/>
          </w:tcPr>
          <w:p w14:paraId="5914576E">
            <w:pPr>
              <w:rPr>
                <w:szCs w:val="21"/>
                <w:lang w:eastAsia="zh-CN"/>
              </w:rPr>
            </w:pPr>
            <w:r>
              <w:rPr>
                <w:rFonts w:hint="eastAsia"/>
                <w:szCs w:val="21"/>
                <w:lang w:eastAsia="zh-CN"/>
              </w:rPr>
              <w:t>竣工结算付款证书（ / ）天</w:t>
            </w:r>
          </w:p>
        </w:tc>
        <w:tc>
          <w:tcPr>
            <w:tcW w:w="922" w:type="dxa"/>
            <w:vAlign w:val="center"/>
          </w:tcPr>
          <w:p w14:paraId="123F1BAA">
            <w:pPr>
              <w:rPr>
                <w:szCs w:val="21"/>
                <w:lang w:eastAsia="zh-CN"/>
              </w:rPr>
            </w:pPr>
          </w:p>
        </w:tc>
      </w:tr>
      <w:tr w14:paraId="6A71A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808" w:type="dxa"/>
            <w:vAlign w:val="center"/>
          </w:tcPr>
          <w:p w14:paraId="5D11A24A">
            <w:pPr>
              <w:rPr>
                <w:szCs w:val="21"/>
              </w:rPr>
            </w:pPr>
            <w:r>
              <w:rPr>
                <w:rFonts w:hint="eastAsia"/>
                <w:szCs w:val="21"/>
              </w:rPr>
              <w:t>13</w:t>
            </w:r>
          </w:p>
        </w:tc>
        <w:tc>
          <w:tcPr>
            <w:tcW w:w="2993" w:type="dxa"/>
            <w:gridSpan w:val="2"/>
            <w:vAlign w:val="center"/>
          </w:tcPr>
          <w:p w14:paraId="6484D30E">
            <w:pPr>
              <w:rPr>
                <w:szCs w:val="21"/>
              </w:rPr>
            </w:pPr>
            <w:r>
              <w:rPr>
                <w:rFonts w:hint="eastAsia"/>
                <w:szCs w:val="21"/>
              </w:rPr>
              <w:t>保修期：</w:t>
            </w:r>
          </w:p>
        </w:tc>
        <w:tc>
          <w:tcPr>
            <w:tcW w:w="1490" w:type="dxa"/>
            <w:gridSpan w:val="2"/>
            <w:vAlign w:val="center"/>
          </w:tcPr>
          <w:p w14:paraId="1E50A376">
            <w:pPr>
              <w:rPr>
                <w:szCs w:val="21"/>
              </w:rPr>
            </w:pPr>
          </w:p>
        </w:tc>
        <w:tc>
          <w:tcPr>
            <w:tcW w:w="3589" w:type="dxa"/>
            <w:vAlign w:val="center"/>
          </w:tcPr>
          <w:p w14:paraId="047C288B">
            <w:pPr>
              <w:rPr>
                <w:szCs w:val="21"/>
                <w:lang w:eastAsia="zh-CN"/>
              </w:rPr>
            </w:pPr>
            <w:r>
              <w:rPr>
                <w:rFonts w:hint="eastAsia"/>
                <w:szCs w:val="21"/>
                <w:lang w:eastAsia="zh-CN"/>
              </w:rPr>
              <w:t>依据保修书约定的期限</w:t>
            </w:r>
          </w:p>
        </w:tc>
        <w:tc>
          <w:tcPr>
            <w:tcW w:w="922" w:type="dxa"/>
            <w:vAlign w:val="center"/>
          </w:tcPr>
          <w:p w14:paraId="0A10567D">
            <w:pPr>
              <w:rPr>
                <w:szCs w:val="21"/>
                <w:lang w:eastAsia="zh-CN"/>
              </w:rPr>
            </w:pPr>
          </w:p>
        </w:tc>
      </w:tr>
      <w:tr w14:paraId="07FAE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08" w:type="dxa"/>
            <w:vAlign w:val="center"/>
          </w:tcPr>
          <w:p w14:paraId="4BF0BD53">
            <w:pPr>
              <w:rPr>
                <w:szCs w:val="21"/>
              </w:rPr>
            </w:pPr>
            <w:r>
              <w:rPr>
                <w:rFonts w:hint="eastAsia"/>
                <w:szCs w:val="21"/>
              </w:rPr>
              <w:t>14</w:t>
            </w:r>
          </w:p>
        </w:tc>
        <w:tc>
          <w:tcPr>
            <w:tcW w:w="1470" w:type="dxa"/>
            <w:vAlign w:val="center"/>
          </w:tcPr>
          <w:p w14:paraId="7CD86CFC">
            <w:pPr>
              <w:rPr>
                <w:szCs w:val="21"/>
              </w:rPr>
            </w:pPr>
            <w:r>
              <w:rPr>
                <w:rFonts w:hint="eastAsia"/>
                <w:szCs w:val="21"/>
              </w:rPr>
              <w:t>项目经理</w:t>
            </w:r>
          </w:p>
        </w:tc>
        <w:tc>
          <w:tcPr>
            <w:tcW w:w="1829" w:type="dxa"/>
            <w:gridSpan w:val="2"/>
            <w:vAlign w:val="center"/>
          </w:tcPr>
          <w:p w14:paraId="73068760">
            <w:pPr>
              <w:rPr>
                <w:szCs w:val="21"/>
                <w:u w:val="single"/>
              </w:rPr>
            </w:pPr>
            <w:r>
              <w:rPr>
                <w:rFonts w:hint="eastAsia"/>
                <w:szCs w:val="21"/>
              </w:rPr>
              <w:t>填写姓名</w:t>
            </w:r>
          </w:p>
        </w:tc>
        <w:tc>
          <w:tcPr>
            <w:tcW w:w="4773" w:type="dxa"/>
            <w:gridSpan w:val="2"/>
            <w:tcBorders>
              <w:right w:val="single" w:color="auto" w:sz="4" w:space="0"/>
            </w:tcBorders>
            <w:vAlign w:val="center"/>
          </w:tcPr>
          <w:p w14:paraId="4C41336E">
            <w:pPr>
              <w:rPr>
                <w:szCs w:val="21"/>
                <w:u w:val="single"/>
                <w:lang w:eastAsia="zh-CN"/>
              </w:rPr>
            </w:pPr>
            <w:r>
              <w:rPr>
                <w:rFonts w:hint="eastAsia"/>
                <w:szCs w:val="21"/>
                <w:lang w:eastAsia="zh-CN"/>
              </w:rPr>
              <w:t>填写资质证书号、安全生产考核证书号</w:t>
            </w:r>
          </w:p>
        </w:tc>
        <w:tc>
          <w:tcPr>
            <w:tcW w:w="922" w:type="dxa"/>
            <w:tcBorders>
              <w:left w:val="single" w:color="auto" w:sz="4" w:space="0"/>
            </w:tcBorders>
            <w:vAlign w:val="center"/>
          </w:tcPr>
          <w:p w14:paraId="5A76A675">
            <w:pPr>
              <w:rPr>
                <w:szCs w:val="21"/>
                <w:lang w:eastAsia="zh-CN"/>
              </w:rPr>
            </w:pPr>
          </w:p>
        </w:tc>
      </w:tr>
      <w:tr w14:paraId="5C82E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08" w:type="dxa"/>
            <w:vAlign w:val="center"/>
          </w:tcPr>
          <w:p w14:paraId="03221733">
            <w:pPr>
              <w:rPr>
                <w:szCs w:val="21"/>
              </w:rPr>
            </w:pPr>
            <w:r>
              <w:rPr>
                <w:rFonts w:hint="eastAsia"/>
                <w:szCs w:val="21"/>
              </w:rPr>
              <w:t>15</w:t>
            </w:r>
          </w:p>
        </w:tc>
        <w:tc>
          <w:tcPr>
            <w:tcW w:w="1470" w:type="dxa"/>
            <w:vAlign w:val="center"/>
          </w:tcPr>
          <w:p w14:paraId="516D5649">
            <w:pPr>
              <w:rPr>
                <w:szCs w:val="21"/>
                <w:u w:val="single"/>
              </w:rPr>
            </w:pPr>
            <w:r>
              <w:rPr>
                <w:rFonts w:hint="eastAsia"/>
                <w:szCs w:val="21"/>
              </w:rPr>
              <w:t>法定代表人</w:t>
            </w:r>
          </w:p>
        </w:tc>
        <w:tc>
          <w:tcPr>
            <w:tcW w:w="1829" w:type="dxa"/>
            <w:gridSpan w:val="2"/>
            <w:vAlign w:val="center"/>
          </w:tcPr>
          <w:p w14:paraId="6ACA5A32">
            <w:pPr>
              <w:rPr>
                <w:szCs w:val="21"/>
                <w:u w:val="single"/>
              </w:rPr>
            </w:pPr>
            <w:r>
              <w:rPr>
                <w:rFonts w:hint="eastAsia"/>
                <w:szCs w:val="21"/>
              </w:rPr>
              <w:t>填写姓名</w:t>
            </w:r>
          </w:p>
        </w:tc>
        <w:tc>
          <w:tcPr>
            <w:tcW w:w="4773" w:type="dxa"/>
            <w:gridSpan w:val="2"/>
            <w:vAlign w:val="center"/>
          </w:tcPr>
          <w:p w14:paraId="2E04ACFD">
            <w:pPr>
              <w:rPr>
                <w:szCs w:val="21"/>
                <w:u w:val="single"/>
                <w:lang w:eastAsia="zh-CN"/>
              </w:rPr>
            </w:pPr>
            <w:r>
              <w:rPr>
                <w:rFonts w:hint="eastAsia"/>
                <w:szCs w:val="21"/>
                <w:lang w:eastAsia="zh-CN"/>
              </w:rPr>
              <w:t>填写安全生产考核证书号（附证书复印件）</w:t>
            </w:r>
          </w:p>
        </w:tc>
        <w:tc>
          <w:tcPr>
            <w:tcW w:w="922" w:type="dxa"/>
            <w:vAlign w:val="center"/>
          </w:tcPr>
          <w:p w14:paraId="20E45AE7">
            <w:pPr>
              <w:rPr>
                <w:szCs w:val="21"/>
                <w:lang w:eastAsia="zh-CN"/>
              </w:rPr>
            </w:pPr>
          </w:p>
        </w:tc>
      </w:tr>
    </w:tbl>
    <w:p w14:paraId="140CCCFB">
      <w:pPr>
        <w:tabs>
          <w:tab w:val="left" w:pos="7740"/>
        </w:tabs>
        <w:spacing w:line="480" w:lineRule="auto"/>
        <w:jc w:val="center"/>
        <w:rPr>
          <w:b/>
          <w:bCs/>
          <w:sz w:val="32"/>
          <w:szCs w:val="32"/>
          <w:lang w:eastAsia="zh-CN"/>
        </w:rPr>
      </w:pPr>
      <w:r>
        <w:rPr>
          <w:b/>
          <w:bCs/>
          <w:sz w:val="44"/>
          <w:szCs w:val="44"/>
          <w:lang w:eastAsia="zh-CN"/>
        </w:rPr>
        <w:br w:type="page"/>
      </w:r>
      <w:r>
        <w:rPr>
          <w:rFonts w:hint="eastAsia"/>
          <w:b/>
          <w:bCs/>
          <w:sz w:val="32"/>
          <w:szCs w:val="32"/>
          <w:lang w:eastAsia="zh-CN"/>
        </w:rPr>
        <w:t>法定代表人安全生产考核合格证书</w:t>
      </w:r>
    </w:p>
    <w:p w14:paraId="05D1C3C8">
      <w:pPr>
        <w:spacing w:line="360" w:lineRule="auto"/>
        <w:ind w:left="420"/>
        <w:jc w:val="center"/>
        <w:rPr>
          <w:b/>
          <w:bCs/>
          <w:sz w:val="44"/>
          <w:szCs w:val="44"/>
          <w:lang w:eastAsia="zh-CN"/>
        </w:rPr>
      </w:pPr>
      <w:r>
        <w:rPr>
          <w:rFonts w:hint="eastAsia"/>
          <w:b/>
          <w:bCs/>
          <w:sz w:val="32"/>
          <w:szCs w:val="32"/>
          <w:lang w:eastAsia="zh-CN"/>
        </w:rPr>
        <w:t>（复印件）</w:t>
      </w:r>
      <w:r>
        <w:rPr>
          <w:b/>
          <w:bCs/>
          <w:sz w:val="44"/>
          <w:szCs w:val="44"/>
          <w:lang w:eastAsia="zh-CN"/>
        </w:rPr>
        <w:br w:type="page"/>
      </w:r>
      <w:r>
        <w:rPr>
          <w:rFonts w:hint="eastAsia"/>
          <w:b/>
          <w:bCs/>
          <w:sz w:val="44"/>
          <w:szCs w:val="44"/>
          <w:lang w:eastAsia="zh-CN"/>
        </w:rPr>
        <w:t>交易响应保证金缴存凭证或企业基本账户开户银行出具的银行保函（如有）</w:t>
      </w:r>
    </w:p>
    <w:p w14:paraId="63C623AE">
      <w:pPr>
        <w:spacing w:line="360" w:lineRule="auto"/>
        <w:ind w:left="420"/>
        <w:jc w:val="center"/>
        <w:rPr>
          <w:b/>
          <w:bCs/>
          <w:sz w:val="44"/>
          <w:szCs w:val="44"/>
          <w:lang w:eastAsia="zh-CN"/>
        </w:rPr>
      </w:pPr>
    </w:p>
    <w:p w14:paraId="3A927892">
      <w:pPr>
        <w:spacing w:line="360" w:lineRule="auto"/>
        <w:ind w:left="420"/>
        <w:jc w:val="center"/>
        <w:rPr>
          <w:b/>
          <w:bCs/>
          <w:sz w:val="44"/>
          <w:szCs w:val="44"/>
          <w:lang w:eastAsia="zh-CN"/>
        </w:rPr>
      </w:pPr>
    </w:p>
    <w:p w14:paraId="5A86DA32">
      <w:pPr>
        <w:spacing w:line="360" w:lineRule="auto"/>
        <w:ind w:left="420"/>
        <w:jc w:val="center"/>
        <w:rPr>
          <w:b/>
          <w:bCs/>
          <w:sz w:val="44"/>
          <w:szCs w:val="44"/>
          <w:lang w:eastAsia="zh-CN"/>
        </w:rPr>
      </w:pPr>
    </w:p>
    <w:p w14:paraId="144414B6">
      <w:pPr>
        <w:spacing w:line="360" w:lineRule="auto"/>
        <w:ind w:left="420"/>
        <w:jc w:val="center"/>
        <w:rPr>
          <w:b/>
          <w:bCs/>
          <w:sz w:val="44"/>
          <w:szCs w:val="44"/>
          <w:lang w:eastAsia="zh-CN"/>
        </w:rPr>
      </w:pPr>
      <w:r>
        <w:rPr>
          <w:rFonts w:hint="eastAsia"/>
          <w:b/>
          <w:bCs/>
          <w:sz w:val="44"/>
          <w:szCs w:val="44"/>
          <w:lang w:eastAsia="zh-CN"/>
        </w:rPr>
        <w:t>交易响应人基本结算户开户许可证复印件或基本存款账户信息银行备案复印件</w:t>
      </w:r>
    </w:p>
    <w:p w14:paraId="4F628611">
      <w:pPr>
        <w:rPr>
          <w:sz w:val="24"/>
          <w:lang w:eastAsia="zh-CN"/>
        </w:rPr>
      </w:pPr>
    </w:p>
    <w:p w14:paraId="12E57D31">
      <w:pPr>
        <w:rPr>
          <w:sz w:val="24"/>
          <w:lang w:eastAsia="zh-CN"/>
        </w:rPr>
      </w:pPr>
    </w:p>
    <w:p w14:paraId="798BD3CF">
      <w:pPr>
        <w:jc w:val="center"/>
        <w:rPr>
          <w:rFonts w:hAnsi="宋体" w:cs="宋体"/>
          <w:sz w:val="36"/>
          <w:szCs w:val="36"/>
          <w:lang w:eastAsia="zh-CN"/>
        </w:rPr>
      </w:pPr>
      <w:r>
        <w:rPr>
          <w:lang w:eastAsia="zh-CN"/>
        </w:rPr>
        <w:br w:type="page"/>
      </w:r>
      <w:r>
        <w:rPr>
          <w:rFonts w:hint="eastAsia"/>
          <w:sz w:val="36"/>
          <w:szCs w:val="36"/>
          <w:lang w:eastAsia="zh-CN"/>
        </w:rPr>
        <w:t>施工交易响应文件</w:t>
      </w:r>
    </w:p>
    <w:p w14:paraId="0B6F429B">
      <w:pPr>
        <w:jc w:val="center"/>
        <w:rPr>
          <w:sz w:val="32"/>
          <w:lang w:eastAsia="zh-CN"/>
        </w:rPr>
      </w:pPr>
    </w:p>
    <w:p w14:paraId="772A28E8">
      <w:pPr>
        <w:jc w:val="center"/>
        <w:rPr>
          <w:sz w:val="32"/>
          <w:lang w:eastAsia="zh-CN"/>
        </w:rPr>
      </w:pPr>
    </w:p>
    <w:p w14:paraId="37203641">
      <w:pPr>
        <w:jc w:val="center"/>
        <w:rPr>
          <w:sz w:val="32"/>
          <w:lang w:eastAsia="zh-CN"/>
        </w:rPr>
      </w:pPr>
    </w:p>
    <w:p w14:paraId="12630A2B">
      <w:pPr>
        <w:jc w:val="center"/>
        <w:rPr>
          <w:sz w:val="32"/>
          <w:lang w:eastAsia="zh-CN"/>
        </w:rPr>
      </w:pPr>
    </w:p>
    <w:p w14:paraId="14596F34">
      <w:pPr>
        <w:jc w:val="center"/>
        <w:rPr>
          <w:sz w:val="32"/>
          <w:lang w:eastAsia="zh-CN"/>
        </w:rPr>
      </w:pPr>
    </w:p>
    <w:p w14:paraId="0D2FF8BA">
      <w:pPr>
        <w:spacing w:afterLines="150"/>
        <w:ind w:firstLine="627" w:firstLineChars="196"/>
        <w:rPr>
          <w:sz w:val="32"/>
          <w:lang w:eastAsia="zh-CN"/>
        </w:rPr>
      </w:pPr>
      <w:r>
        <w:rPr>
          <w:rFonts w:hint="eastAsia"/>
          <w:sz w:val="32"/>
          <w:lang w:eastAsia="zh-CN"/>
        </w:rPr>
        <w:t>工程名称：</w:t>
      </w:r>
    </w:p>
    <w:p w14:paraId="559C7B98">
      <w:pPr>
        <w:spacing w:afterLines="150"/>
        <w:ind w:firstLine="627" w:firstLineChars="196"/>
        <w:rPr>
          <w:sz w:val="32"/>
          <w:lang w:eastAsia="zh-CN"/>
        </w:rPr>
      </w:pPr>
      <w:r>
        <w:rPr>
          <w:rFonts w:hint="eastAsia"/>
          <w:sz w:val="32"/>
          <w:lang w:eastAsia="zh-CN"/>
        </w:rPr>
        <w:t>交易响应文件内容：</w:t>
      </w:r>
      <w:r>
        <w:rPr>
          <w:rFonts w:hint="eastAsia"/>
          <w:sz w:val="32"/>
          <w:u w:val="single"/>
          <w:lang w:eastAsia="zh-CN"/>
        </w:rPr>
        <w:t xml:space="preserve">   交易响应文件技术部分格式            </w:t>
      </w:r>
    </w:p>
    <w:p w14:paraId="1DF8CD4B">
      <w:pPr>
        <w:spacing w:afterLines="150"/>
        <w:ind w:firstLine="627" w:firstLineChars="196"/>
        <w:jc w:val="center"/>
        <w:rPr>
          <w:sz w:val="32"/>
          <w:lang w:eastAsia="zh-CN"/>
        </w:rPr>
      </w:pPr>
      <w:r>
        <w:rPr>
          <w:rFonts w:hint="eastAsia"/>
          <w:sz w:val="32"/>
          <w:lang w:eastAsia="zh-CN"/>
        </w:rPr>
        <w:t>日期：年</w:t>
      </w:r>
      <w:r>
        <w:rPr>
          <w:rFonts w:hint="eastAsia"/>
          <w:sz w:val="32"/>
          <w:lang w:val="en-US" w:eastAsia="zh-CN"/>
        </w:rPr>
        <w:t xml:space="preserve"> </w:t>
      </w:r>
      <w:r>
        <w:rPr>
          <w:rFonts w:hint="eastAsia"/>
          <w:sz w:val="32"/>
          <w:lang w:eastAsia="zh-CN"/>
        </w:rPr>
        <w:t>月</w:t>
      </w:r>
      <w:r>
        <w:rPr>
          <w:rFonts w:hint="eastAsia"/>
          <w:sz w:val="32"/>
          <w:lang w:val="en-US" w:eastAsia="zh-CN"/>
        </w:rPr>
        <w:t xml:space="preserve"> </w:t>
      </w:r>
      <w:r>
        <w:rPr>
          <w:rFonts w:hint="eastAsia"/>
          <w:sz w:val="32"/>
          <w:lang w:eastAsia="zh-CN"/>
        </w:rPr>
        <w:t>日</w:t>
      </w:r>
    </w:p>
    <w:p w14:paraId="4C4DE15A">
      <w:pPr>
        <w:spacing w:line="360" w:lineRule="auto"/>
        <w:ind w:left="420"/>
        <w:jc w:val="center"/>
        <w:rPr>
          <w:b/>
          <w:bCs/>
          <w:sz w:val="32"/>
          <w:szCs w:val="32"/>
          <w:lang w:eastAsia="zh-CN"/>
        </w:rPr>
      </w:pPr>
      <w:r>
        <w:rPr>
          <w:rFonts w:hint="eastAsia"/>
          <w:sz w:val="32"/>
          <w:lang w:eastAsia="zh-CN"/>
        </w:rPr>
        <w:br w:type="page"/>
      </w:r>
      <w:r>
        <w:rPr>
          <w:rFonts w:hint="eastAsia"/>
          <w:sz w:val="32"/>
          <w:szCs w:val="32"/>
          <w:lang w:eastAsia="zh-CN"/>
        </w:rPr>
        <w:t>目  录</w:t>
      </w:r>
    </w:p>
    <w:p w14:paraId="150F13E2">
      <w:pPr>
        <w:pStyle w:val="8"/>
        <w:spacing w:line="360" w:lineRule="auto"/>
        <w:ind w:firstLine="480" w:firstLineChars="200"/>
        <w:rPr>
          <w:rFonts w:hAnsi="宋体"/>
          <w:sz w:val="24"/>
          <w:szCs w:val="24"/>
          <w:lang w:eastAsia="zh-CN"/>
        </w:rPr>
      </w:pPr>
      <w:r>
        <w:rPr>
          <w:rFonts w:hint="eastAsia" w:hAnsi="宋体"/>
          <w:sz w:val="24"/>
          <w:szCs w:val="24"/>
          <w:lang w:eastAsia="zh-CN"/>
        </w:rPr>
        <w:t>（1）项目管理班子配备</w:t>
      </w:r>
    </w:p>
    <w:p w14:paraId="56295BF7">
      <w:pPr>
        <w:pStyle w:val="8"/>
        <w:spacing w:line="360" w:lineRule="auto"/>
        <w:ind w:firstLine="480" w:firstLineChars="200"/>
        <w:rPr>
          <w:rFonts w:hAnsi="宋体"/>
          <w:sz w:val="24"/>
          <w:szCs w:val="24"/>
          <w:lang w:eastAsia="zh-CN"/>
        </w:rPr>
      </w:pPr>
      <w:r>
        <w:rPr>
          <w:rFonts w:hint="eastAsia" w:hAnsi="宋体"/>
          <w:sz w:val="24"/>
          <w:szCs w:val="24"/>
          <w:lang w:eastAsia="zh-CN"/>
        </w:rPr>
        <w:t xml:space="preserve">     a．项目管理班子配备情况表；</w:t>
      </w:r>
    </w:p>
    <w:p w14:paraId="21FFA3EF">
      <w:pPr>
        <w:pStyle w:val="8"/>
        <w:spacing w:line="360" w:lineRule="auto"/>
        <w:ind w:firstLine="480" w:firstLineChars="200"/>
        <w:rPr>
          <w:rFonts w:hAnsi="宋体"/>
          <w:sz w:val="24"/>
          <w:szCs w:val="24"/>
          <w:lang w:eastAsia="zh-CN"/>
        </w:rPr>
      </w:pPr>
      <w:r>
        <w:rPr>
          <w:rFonts w:hint="eastAsia" w:hAnsi="宋体"/>
          <w:sz w:val="24"/>
          <w:szCs w:val="24"/>
          <w:lang w:eastAsia="zh-CN"/>
        </w:rPr>
        <w:t xml:space="preserve">     b．项目经理简历表； </w:t>
      </w:r>
    </w:p>
    <w:p w14:paraId="558DCBEA">
      <w:pPr>
        <w:pStyle w:val="8"/>
        <w:spacing w:line="360" w:lineRule="auto"/>
        <w:ind w:firstLine="1080" w:firstLineChars="450"/>
        <w:rPr>
          <w:rFonts w:hAnsi="宋体"/>
          <w:sz w:val="24"/>
          <w:szCs w:val="24"/>
          <w:lang w:eastAsia="zh-CN"/>
        </w:rPr>
      </w:pPr>
      <w:r>
        <w:rPr>
          <w:rFonts w:hint="eastAsia" w:hAnsi="宋体"/>
          <w:sz w:val="24"/>
          <w:szCs w:val="24"/>
          <w:lang w:eastAsia="zh-CN"/>
        </w:rPr>
        <w:t>c．项目技术负责人简历表。</w:t>
      </w:r>
    </w:p>
    <w:p w14:paraId="5750A9E6">
      <w:pPr>
        <w:pStyle w:val="8"/>
        <w:spacing w:line="360" w:lineRule="auto"/>
        <w:ind w:firstLine="1080" w:firstLineChars="450"/>
        <w:rPr>
          <w:rFonts w:hAnsi="宋体"/>
          <w:sz w:val="24"/>
          <w:szCs w:val="24"/>
          <w:lang w:eastAsia="zh-CN"/>
        </w:rPr>
      </w:pPr>
      <w:r>
        <w:rPr>
          <w:rFonts w:hint="eastAsia" w:hAnsi="宋体"/>
          <w:sz w:val="24"/>
          <w:szCs w:val="24"/>
          <w:lang w:eastAsia="zh-CN"/>
        </w:rPr>
        <w:t>d.项目管理班子配备情况其他辅助说明资料(附项目管理班子成员资格证书复印件)。</w:t>
      </w:r>
    </w:p>
    <w:p w14:paraId="5208243E">
      <w:pPr>
        <w:pStyle w:val="8"/>
        <w:spacing w:line="360" w:lineRule="auto"/>
        <w:ind w:firstLine="540" w:firstLineChars="225"/>
        <w:rPr>
          <w:sz w:val="24"/>
          <w:lang w:eastAsia="zh-CN"/>
        </w:rPr>
      </w:pPr>
    </w:p>
    <w:p w14:paraId="15451E12">
      <w:pPr>
        <w:spacing w:afterLines="150"/>
        <w:ind w:left="627"/>
        <w:jc w:val="center"/>
        <w:rPr>
          <w:rFonts w:ascii="宋体" w:hAnsi="宋体" w:cs="宋体"/>
          <w:b/>
          <w:bCs/>
          <w:sz w:val="32"/>
          <w:szCs w:val="32"/>
          <w:lang w:eastAsia="zh-CN"/>
        </w:rPr>
      </w:pPr>
      <w:r>
        <w:rPr>
          <w:rFonts w:ascii="宋体" w:hAnsi="宋体" w:cs="宋体"/>
          <w:b/>
          <w:bCs/>
          <w:sz w:val="32"/>
          <w:szCs w:val="32"/>
          <w:lang w:eastAsia="zh-CN"/>
        </w:rPr>
        <w:br w:type="page"/>
      </w:r>
      <w:r>
        <w:rPr>
          <w:rFonts w:hint="eastAsia" w:ascii="宋体" w:hAnsi="宋体" w:cs="宋体"/>
          <w:b/>
          <w:bCs/>
          <w:sz w:val="32"/>
          <w:szCs w:val="32"/>
          <w:lang w:eastAsia="zh-CN"/>
        </w:rPr>
        <w:t>表1  项目管理班子配备情况表</w:t>
      </w:r>
    </w:p>
    <w:p w14:paraId="5FFD67EB">
      <w:pPr>
        <w:spacing w:line="360" w:lineRule="auto"/>
        <w:rPr>
          <w:rFonts w:hAnsi="宋体" w:cs="宋体"/>
          <w:sz w:val="24"/>
          <w:szCs w:val="28"/>
        </w:rPr>
      </w:pPr>
      <w:r>
        <w:rPr>
          <w:rFonts w:hint="eastAsia" w:hAnsi="宋体" w:cs="宋体"/>
          <w:sz w:val="24"/>
          <w:szCs w:val="28"/>
          <w:lang w:eastAsia="zh-CN"/>
        </w:rPr>
        <w:t>交易响应</w:t>
      </w:r>
      <w:r>
        <w:rPr>
          <w:rFonts w:hint="eastAsia" w:hAnsi="宋体" w:cs="宋体"/>
          <w:sz w:val="24"/>
          <w:szCs w:val="28"/>
        </w:rPr>
        <w:t>工程名称：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51"/>
        <w:gridCol w:w="751"/>
        <w:gridCol w:w="925"/>
        <w:gridCol w:w="925"/>
        <w:gridCol w:w="925"/>
        <w:gridCol w:w="925"/>
        <w:gridCol w:w="1552"/>
        <w:gridCol w:w="926"/>
        <w:gridCol w:w="950"/>
      </w:tblGrid>
      <w:tr w14:paraId="170DB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675" w:type="dxa"/>
            <w:vMerge w:val="restart"/>
            <w:vAlign w:val="center"/>
          </w:tcPr>
          <w:p w14:paraId="4CFFC874">
            <w:pPr>
              <w:jc w:val="center"/>
              <w:rPr>
                <w:rFonts w:hAnsi="宋体" w:cs="宋体"/>
                <w:sz w:val="24"/>
              </w:rPr>
            </w:pPr>
            <w:r>
              <w:rPr>
                <w:rFonts w:hint="eastAsia" w:hAnsi="宋体" w:cs="宋体"/>
                <w:sz w:val="24"/>
              </w:rPr>
              <w:t>职务</w:t>
            </w:r>
          </w:p>
        </w:tc>
        <w:tc>
          <w:tcPr>
            <w:tcW w:w="751" w:type="dxa"/>
            <w:vMerge w:val="restart"/>
            <w:vAlign w:val="center"/>
          </w:tcPr>
          <w:p w14:paraId="57BB1AF1">
            <w:pPr>
              <w:jc w:val="center"/>
              <w:rPr>
                <w:rFonts w:hAnsi="宋体" w:cs="宋体"/>
                <w:sz w:val="24"/>
              </w:rPr>
            </w:pPr>
            <w:r>
              <w:rPr>
                <w:rFonts w:hint="eastAsia" w:hAnsi="宋体" w:cs="宋体"/>
                <w:sz w:val="24"/>
              </w:rPr>
              <w:t>姓名</w:t>
            </w:r>
          </w:p>
        </w:tc>
        <w:tc>
          <w:tcPr>
            <w:tcW w:w="751" w:type="dxa"/>
            <w:vMerge w:val="restart"/>
            <w:vAlign w:val="center"/>
          </w:tcPr>
          <w:p w14:paraId="1D0AB910">
            <w:pPr>
              <w:jc w:val="center"/>
              <w:rPr>
                <w:rFonts w:hAnsi="宋体" w:cs="宋体"/>
                <w:sz w:val="24"/>
              </w:rPr>
            </w:pPr>
            <w:r>
              <w:rPr>
                <w:rFonts w:hint="eastAsia" w:hAnsi="宋体" w:cs="宋体"/>
                <w:sz w:val="24"/>
              </w:rPr>
              <w:t>职称</w:t>
            </w:r>
          </w:p>
        </w:tc>
        <w:tc>
          <w:tcPr>
            <w:tcW w:w="5252" w:type="dxa"/>
            <w:gridSpan w:val="5"/>
            <w:vAlign w:val="center"/>
          </w:tcPr>
          <w:p w14:paraId="49D86B94">
            <w:pPr>
              <w:jc w:val="center"/>
              <w:rPr>
                <w:rFonts w:hAnsi="宋体" w:cs="宋体"/>
                <w:sz w:val="24"/>
              </w:rPr>
            </w:pPr>
            <w:r>
              <w:rPr>
                <w:rFonts w:hint="eastAsia" w:hAnsi="宋体" w:cs="宋体"/>
                <w:sz w:val="24"/>
              </w:rPr>
              <w:t>上岗资格证明</w:t>
            </w:r>
          </w:p>
        </w:tc>
        <w:tc>
          <w:tcPr>
            <w:tcW w:w="1876" w:type="dxa"/>
            <w:gridSpan w:val="2"/>
            <w:vAlign w:val="center"/>
          </w:tcPr>
          <w:p w14:paraId="0812CC1E">
            <w:pPr>
              <w:jc w:val="center"/>
              <w:rPr>
                <w:rFonts w:hAnsi="宋体" w:cs="宋体"/>
                <w:sz w:val="24"/>
              </w:rPr>
            </w:pPr>
            <w:r>
              <w:rPr>
                <w:rFonts w:hint="eastAsia" w:hAnsi="宋体" w:cs="宋体"/>
                <w:sz w:val="24"/>
              </w:rPr>
              <w:t>已承担在建工程情况</w:t>
            </w:r>
          </w:p>
        </w:tc>
      </w:tr>
      <w:tr w14:paraId="1B047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675" w:type="dxa"/>
            <w:vMerge w:val="continue"/>
            <w:vAlign w:val="center"/>
          </w:tcPr>
          <w:p w14:paraId="619F598F">
            <w:pPr>
              <w:spacing w:line="360" w:lineRule="auto"/>
              <w:jc w:val="center"/>
              <w:rPr>
                <w:rFonts w:hAnsi="宋体" w:cs="宋体"/>
                <w:sz w:val="24"/>
              </w:rPr>
            </w:pPr>
          </w:p>
        </w:tc>
        <w:tc>
          <w:tcPr>
            <w:tcW w:w="751" w:type="dxa"/>
            <w:vMerge w:val="continue"/>
            <w:vAlign w:val="center"/>
          </w:tcPr>
          <w:p w14:paraId="721DDCDE">
            <w:pPr>
              <w:spacing w:line="360" w:lineRule="auto"/>
              <w:jc w:val="center"/>
              <w:rPr>
                <w:rFonts w:hAnsi="宋体" w:cs="宋体"/>
                <w:sz w:val="24"/>
              </w:rPr>
            </w:pPr>
          </w:p>
        </w:tc>
        <w:tc>
          <w:tcPr>
            <w:tcW w:w="751" w:type="dxa"/>
            <w:vMerge w:val="continue"/>
            <w:vAlign w:val="center"/>
          </w:tcPr>
          <w:p w14:paraId="092CBA22">
            <w:pPr>
              <w:spacing w:line="360" w:lineRule="auto"/>
              <w:jc w:val="center"/>
              <w:rPr>
                <w:rFonts w:hAnsi="宋体" w:cs="宋体"/>
                <w:sz w:val="24"/>
              </w:rPr>
            </w:pPr>
          </w:p>
        </w:tc>
        <w:tc>
          <w:tcPr>
            <w:tcW w:w="925" w:type="dxa"/>
            <w:vAlign w:val="center"/>
          </w:tcPr>
          <w:p w14:paraId="65BD2347">
            <w:pPr>
              <w:jc w:val="center"/>
              <w:rPr>
                <w:rFonts w:hAnsi="宋体" w:cs="宋体"/>
                <w:sz w:val="24"/>
              </w:rPr>
            </w:pPr>
            <w:r>
              <w:rPr>
                <w:rFonts w:hint="eastAsia" w:hAnsi="宋体" w:cs="宋体"/>
                <w:sz w:val="24"/>
              </w:rPr>
              <w:t>证书</w:t>
            </w:r>
          </w:p>
          <w:p w14:paraId="4C40A8D9">
            <w:pPr>
              <w:jc w:val="center"/>
              <w:rPr>
                <w:rFonts w:hAnsi="宋体" w:cs="宋体"/>
                <w:sz w:val="24"/>
              </w:rPr>
            </w:pPr>
            <w:r>
              <w:rPr>
                <w:rFonts w:hint="eastAsia" w:hAnsi="宋体" w:cs="宋体"/>
                <w:sz w:val="24"/>
              </w:rPr>
              <w:t>名称</w:t>
            </w:r>
          </w:p>
        </w:tc>
        <w:tc>
          <w:tcPr>
            <w:tcW w:w="925" w:type="dxa"/>
            <w:vAlign w:val="center"/>
          </w:tcPr>
          <w:p w14:paraId="0EE1AA21">
            <w:pPr>
              <w:jc w:val="center"/>
              <w:rPr>
                <w:rFonts w:hAnsi="宋体" w:cs="宋体"/>
                <w:sz w:val="24"/>
              </w:rPr>
            </w:pPr>
            <w:r>
              <w:rPr>
                <w:rFonts w:hint="eastAsia" w:hAnsi="宋体" w:cs="宋体"/>
                <w:sz w:val="24"/>
              </w:rPr>
              <w:t>级别</w:t>
            </w:r>
          </w:p>
        </w:tc>
        <w:tc>
          <w:tcPr>
            <w:tcW w:w="925" w:type="dxa"/>
            <w:vAlign w:val="center"/>
          </w:tcPr>
          <w:p w14:paraId="69FE6C68">
            <w:pPr>
              <w:jc w:val="center"/>
              <w:rPr>
                <w:rFonts w:hAnsi="宋体" w:cs="宋体"/>
                <w:sz w:val="24"/>
              </w:rPr>
            </w:pPr>
            <w:r>
              <w:rPr>
                <w:rFonts w:hint="eastAsia" w:hAnsi="宋体" w:cs="宋体"/>
                <w:sz w:val="24"/>
              </w:rPr>
              <w:t>证号</w:t>
            </w:r>
          </w:p>
        </w:tc>
        <w:tc>
          <w:tcPr>
            <w:tcW w:w="925" w:type="dxa"/>
            <w:vAlign w:val="center"/>
          </w:tcPr>
          <w:p w14:paraId="78F41233">
            <w:pPr>
              <w:jc w:val="center"/>
              <w:rPr>
                <w:rFonts w:hAnsi="宋体" w:cs="宋体"/>
                <w:sz w:val="24"/>
              </w:rPr>
            </w:pPr>
            <w:r>
              <w:rPr>
                <w:rFonts w:hint="eastAsia" w:hAnsi="宋体" w:cs="宋体"/>
                <w:sz w:val="24"/>
              </w:rPr>
              <w:t>专业</w:t>
            </w:r>
          </w:p>
        </w:tc>
        <w:tc>
          <w:tcPr>
            <w:tcW w:w="1552" w:type="dxa"/>
            <w:vAlign w:val="center"/>
          </w:tcPr>
          <w:p w14:paraId="0F2666EE">
            <w:pPr>
              <w:jc w:val="center"/>
              <w:rPr>
                <w:rFonts w:hAnsi="宋体" w:cs="宋体"/>
                <w:sz w:val="24"/>
              </w:rPr>
            </w:pPr>
            <w:r>
              <w:rPr>
                <w:rFonts w:hint="eastAsia" w:hAnsi="宋体" w:cs="宋体"/>
                <w:sz w:val="24"/>
              </w:rPr>
              <w:t>原服务单位</w:t>
            </w:r>
          </w:p>
        </w:tc>
        <w:tc>
          <w:tcPr>
            <w:tcW w:w="926" w:type="dxa"/>
            <w:vAlign w:val="center"/>
          </w:tcPr>
          <w:p w14:paraId="2630D66B">
            <w:pPr>
              <w:jc w:val="center"/>
              <w:rPr>
                <w:rFonts w:hAnsi="宋体" w:cs="宋体"/>
                <w:sz w:val="24"/>
              </w:rPr>
            </w:pPr>
            <w:r>
              <w:rPr>
                <w:rFonts w:hint="eastAsia" w:hAnsi="宋体" w:cs="宋体"/>
                <w:sz w:val="24"/>
              </w:rPr>
              <w:t>项目数</w:t>
            </w:r>
          </w:p>
        </w:tc>
        <w:tc>
          <w:tcPr>
            <w:tcW w:w="950" w:type="dxa"/>
            <w:vAlign w:val="center"/>
          </w:tcPr>
          <w:p w14:paraId="4BCBB14B">
            <w:pPr>
              <w:jc w:val="center"/>
              <w:rPr>
                <w:rFonts w:hAnsi="宋体" w:cs="宋体"/>
                <w:sz w:val="24"/>
              </w:rPr>
            </w:pPr>
            <w:r>
              <w:rPr>
                <w:rFonts w:hint="eastAsia" w:hAnsi="宋体" w:cs="宋体"/>
                <w:sz w:val="24"/>
              </w:rPr>
              <w:t>主要项目名称</w:t>
            </w:r>
          </w:p>
        </w:tc>
      </w:tr>
      <w:tr w14:paraId="67A7F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675" w:type="dxa"/>
            <w:vAlign w:val="center"/>
          </w:tcPr>
          <w:p w14:paraId="3BD514B2">
            <w:pPr>
              <w:spacing w:line="360" w:lineRule="auto"/>
              <w:jc w:val="center"/>
              <w:rPr>
                <w:rFonts w:hAnsi="宋体" w:cs="宋体"/>
                <w:sz w:val="24"/>
              </w:rPr>
            </w:pPr>
          </w:p>
        </w:tc>
        <w:tc>
          <w:tcPr>
            <w:tcW w:w="751" w:type="dxa"/>
            <w:vAlign w:val="center"/>
          </w:tcPr>
          <w:p w14:paraId="74EB7529">
            <w:pPr>
              <w:spacing w:line="360" w:lineRule="auto"/>
              <w:jc w:val="center"/>
              <w:rPr>
                <w:rFonts w:hAnsi="宋体" w:cs="宋体"/>
                <w:sz w:val="24"/>
              </w:rPr>
            </w:pPr>
          </w:p>
        </w:tc>
        <w:tc>
          <w:tcPr>
            <w:tcW w:w="751" w:type="dxa"/>
            <w:vAlign w:val="center"/>
          </w:tcPr>
          <w:p w14:paraId="6B6FBEA1">
            <w:pPr>
              <w:spacing w:line="360" w:lineRule="auto"/>
              <w:jc w:val="center"/>
              <w:rPr>
                <w:rFonts w:hAnsi="宋体" w:cs="宋体"/>
                <w:sz w:val="24"/>
              </w:rPr>
            </w:pPr>
          </w:p>
        </w:tc>
        <w:tc>
          <w:tcPr>
            <w:tcW w:w="925" w:type="dxa"/>
            <w:vAlign w:val="center"/>
          </w:tcPr>
          <w:p w14:paraId="220AA6EE">
            <w:pPr>
              <w:spacing w:line="360" w:lineRule="auto"/>
              <w:jc w:val="center"/>
              <w:rPr>
                <w:rFonts w:hAnsi="宋体" w:cs="宋体"/>
                <w:sz w:val="24"/>
              </w:rPr>
            </w:pPr>
          </w:p>
        </w:tc>
        <w:tc>
          <w:tcPr>
            <w:tcW w:w="925" w:type="dxa"/>
            <w:vAlign w:val="center"/>
          </w:tcPr>
          <w:p w14:paraId="0673EE2F">
            <w:pPr>
              <w:spacing w:line="360" w:lineRule="auto"/>
              <w:jc w:val="center"/>
              <w:rPr>
                <w:rFonts w:hAnsi="宋体" w:cs="宋体"/>
                <w:sz w:val="24"/>
              </w:rPr>
            </w:pPr>
          </w:p>
        </w:tc>
        <w:tc>
          <w:tcPr>
            <w:tcW w:w="925" w:type="dxa"/>
            <w:vAlign w:val="center"/>
          </w:tcPr>
          <w:p w14:paraId="4D2AC116">
            <w:pPr>
              <w:spacing w:line="360" w:lineRule="auto"/>
              <w:jc w:val="center"/>
              <w:rPr>
                <w:rFonts w:hAnsi="宋体" w:cs="宋体"/>
                <w:sz w:val="24"/>
              </w:rPr>
            </w:pPr>
          </w:p>
        </w:tc>
        <w:tc>
          <w:tcPr>
            <w:tcW w:w="925" w:type="dxa"/>
            <w:vAlign w:val="center"/>
          </w:tcPr>
          <w:p w14:paraId="0CE366F2">
            <w:pPr>
              <w:spacing w:line="360" w:lineRule="auto"/>
              <w:jc w:val="center"/>
              <w:rPr>
                <w:rFonts w:hAnsi="宋体" w:cs="宋体"/>
                <w:sz w:val="24"/>
              </w:rPr>
            </w:pPr>
          </w:p>
        </w:tc>
        <w:tc>
          <w:tcPr>
            <w:tcW w:w="1552" w:type="dxa"/>
            <w:vAlign w:val="center"/>
          </w:tcPr>
          <w:p w14:paraId="03C15157">
            <w:pPr>
              <w:spacing w:line="360" w:lineRule="auto"/>
              <w:jc w:val="center"/>
              <w:rPr>
                <w:rFonts w:hAnsi="宋体" w:cs="宋体"/>
                <w:sz w:val="24"/>
              </w:rPr>
            </w:pPr>
          </w:p>
        </w:tc>
        <w:tc>
          <w:tcPr>
            <w:tcW w:w="926" w:type="dxa"/>
            <w:vAlign w:val="center"/>
          </w:tcPr>
          <w:p w14:paraId="5C00099F">
            <w:pPr>
              <w:spacing w:line="360" w:lineRule="auto"/>
              <w:jc w:val="center"/>
              <w:rPr>
                <w:rFonts w:hAnsi="宋体" w:cs="宋体"/>
                <w:sz w:val="24"/>
              </w:rPr>
            </w:pPr>
          </w:p>
        </w:tc>
        <w:tc>
          <w:tcPr>
            <w:tcW w:w="950" w:type="dxa"/>
            <w:vAlign w:val="center"/>
          </w:tcPr>
          <w:p w14:paraId="2035F18F">
            <w:pPr>
              <w:spacing w:line="360" w:lineRule="auto"/>
              <w:jc w:val="center"/>
              <w:rPr>
                <w:rFonts w:hAnsi="宋体" w:cs="宋体"/>
                <w:sz w:val="24"/>
              </w:rPr>
            </w:pPr>
          </w:p>
        </w:tc>
      </w:tr>
      <w:tr w14:paraId="2F80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675" w:type="dxa"/>
            <w:vAlign w:val="center"/>
          </w:tcPr>
          <w:p w14:paraId="128C5635">
            <w:pPr>
              <w:spacing w:line="360" w:lineRule="auto"/>
              <w:jc w:val="center"/>
              <w:rPr>
                <w:rFonts w:hAnsi="宋体" w:cs="宋体"/>
                <w:sz w:val="24"/>
              </w:rPr>
            </w:pPr>
          </w:p>
        </w:tc>
        <w:tc>
          <w:tcPr>
            <w:tcW w:w="751" w:type="dxa"/>
            <w:vAlign w:val="center"/>
          </w:tcPr>
          <w:p w14:paraId="63D6BE5A">
            <w:pPr>
              <w:spacing w:line="360" w:lineRule="auto"/>
              <w:jc w:val="center"/>
              <w:rPr>
                <w:rFonts w:hAnsi="宋体" w:cs="宋体"/>
                <w:sz w:val="24"/>
              </w:rPr>
            </w:pPr>
          </w:p>
        </w:tc>
        <w:tc>
          <w:tcPr>
            <w:tcW w:w="751" w:type="dxa"/>
            <w:vAlign w:val="center"/>
          </w:tcPr>
          <w:p w14:paraId="5D1A2D44">
            <w:pPr>
              <w:spacing w:line="360" w:lineRule="auto"/>
              <w:jc w:val="center"/>
              <w:rPr>
                <w:rFonts w:hAnsi="宋体" w:cs="宋体"/>
                <w:sz w:val="24"/>
              </w:rPr>
            </w:pPr>
          </w:p>
        </w:tc>
        <w:tc>
          <w:tcPr>
            <w:tcW w:w="925" w:type="dxa"/>
            <w:vAlign w:val="center"/>
          </w:tcPr>
          <w:p w14:paraId="0B97F500">
            <w:pPr>
              <w:spacing w:line="360" w:lineRule="auto"/>
              <w:jc w:val="center"/>
              <w:rPr>
                <w:rFonts w:hAnsi="宋体" w:cs="宋体"/>
                <w:sz w:val="24"/>
              </w:rPr>
            </w:pPr>
          </w:p>
        </w:tc>
        <w:tc>
          <w:tcPr>
            <w:tcW w:w="925" w:type="dxa"/>
            <w:vAlign w:val="center"/>
          </w:tcPr>
          <w:p w14:paraId="4B0EF217">
            <w:pPr>
              <w:spacing w:line="360" w:lineRule="auto"/>
              <w:jc w:val="center"/>
              <w:rPr>
                <w:rFonts w:hAnsi="宋体" w:cs="宋体"/>
                <w:sz w:val="24"/>
              </w:rPr>
            </w:pPr>
          </w:p>
        </w:tc>
        <w:tc>
          <w:tcPr>
            <w:tcW w:w="925" w:type="dxa"/>
            <w:vAlign w:val="center"/>
          </w:tcPr>
          <w:p w14:paraId="7F6C7350">
            <w:pPr>
              <w:spacing w:line="360" w:lineRule="auto"/>
              <w:jc w:val="center"/>
              <w:rPr>
                <w:rFonts w:hAnsi="宋体" w:cs="宋体"/>
                <w:sz w:val="24"/>
              </w:rPr>
            </w:pPr>
          </w:p>
        </w:tc>
        <w:tc>
          <w:tcPr>
            <w:tcW w:w="925" w:type="dxa"/>
            <w:vAlign w:val="center"/>
          </w:tcPr>
          <w:p w14:paraId="18C2387F">
            <w:pPr>
              <w:spacing w:line="360" w:lineRule="auto"/>
              <w:jc w:val="center"/>
              <w:rPr>
                <w:rFonts w:hAnsi="宋体" w:cs="宋体"/>
                <w:sz w:val="24"/>
              </w:rPr>
            </w:pPr>
          </w:p>
        </w:tc>
        <w:tc>
          <w:tcPr>
            <w:tcW w:w="1552" w:type="dxa"/>
            <w:vAlign w:val="center"/>
          </w:tcPr>
          <w:p w14:paraId="1C245579">
            <w:pPr>
              <w:spacing w:line="360" w:lineRule="auto"/>
              <w:jc w:val="center"/>
              <w:rPr>
                <w:rFonts w:hAnsi="宋体" w:cs="宋体"/>
                <w:sz w:val="24"/>
              </w:rPr>
            </w:pPr>
          </w:p>
        </w:tc>
        <w:tc>
          <w:tcPr>
            <w:tcW w:w="926" w:type="dxa"/>
            <w:vAlign w:val="center"/>
          </w:tcPr>
          <w:p w14:paraId="3EBA2B91">
            <w:pPr>
              <w:spacing w:line="360" w:lineRule="auto"/>
              <w:jc w:val="center"/>
              <w:rPr>
                <w:rFonts w:hAnsi="宋体" w:cs="宋体"/>
                <w:sz w:val="24"/>
              </w:rPr>
            </w:pPr>
          </w:p>
        </w:tc>
        <w:tc>
          <w:tcPr>
            <w:tcW w:w="950" w:type="dxa"/>
            <w:vAlign w:val="center"/>
          </w:tcPr>
          <w:p w14:paraId="13176E63">
            <w:pPr>
              <w:spacing w:line="360" w:lineRule="auto"/>
              <w:jc w:val="center"/>
              <w:rPr>
                <w:rFonts w:hAnsi="宋体" w:cs="宋体"/>
                <w:sz w:val="24"/>
              </w:rPr>
            </w:pPr>
          </w:p>
        </w:tc>
      </w:tr>
      <w:tr w14:paraId="7F070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675" w:type="dxa"/>
            <w:vAlign w:val="center"/>
          </w:tcPr>
          <w:p w14:paraId="46386BF0">
            <w:pPr>
              <w:spacing w:line="360" w:lineRule="auto"/>
              <w:jc w:val="center"/>
              <w:rPr>
                <w:rFonts w:hAnsi="宋体" w:cs="宋体"/>
                <w:sz w:val="24"/>
              </w:rPr>
            </w:pPr>
          </w:p>
        </w:tc>
        <w:tc>
          <w:tcPr>
            <w:tcW w:w="751" w:type="dxa"/>
            <w:vAlign w:val="center"/>
          </w:tcPr>
          <w:p w14:paraId="6D4FB1C6">
            <w:pPr>
              <w:spacing w:line="360" w:lineRule="auto"/>
              <w:jc w:val="center"/>
              <w:rPr>
                <w:rFonts w:hAnsi="宋体" w:cs="宋体"/>
                <w:sz w:val="24"/>
              </w:rPr>
            </w:pPr>
          </w:p>
        </w:tc>
        <w:tc>
          <w:tcPr>
            <w:tcW w:w="751" w:type="dxa"/>
            <w:vAlign w:val="center"/>
          </w:tcPr>
          <w:p w14:paraId="50CD3469">
            <w:pPr>
              <w:spacing w:line="360" w:lineRule="auto"/>
              <w:jc w:val="center"/>
              <w:rPr>
                <w:rFonts w:hAnsi="宋体" w:cs="宋体"/>
                <w:sz w:val="24"/>
              </w:rPr>
            </w:pPr>
          </w:p>
        </w:tc>
        <w:tc>
          <w:tcPr>
            <w:tcW w:w="925" w:type="dxa"/>
            <w:vAlign w:val="center"/>
          </w:tcPr>
          <w:p w14:paraId="02A2E370">
            <w:pPr>
              <w:spacing w:line="360" w:lineRule="auto"/>
              <w:jc w:val="center"/>
              <w:rPr>
                <w:rFonts w:hAnsi="宋体" w:cs="宋体"/>
                <w:sz w:val="24"/>
              </w:rPr>
            </w:pPr>
          </w:p>
        </w:tc>
        <w:tc>
          <w:tcPr>
            <w:tcW w:w="925" w:type="dxa"/>
            <w:vAlign w:val="center"/>
          </w:tcPr>
          <w:p w14:paraId="5183E698">
            <w:pPr>
              <w:spacing w:line="360" w:lineRule="auto"/>
              <w:jc w:val="center"/>
              <w:rPr>
                <w:rFonts w:hAnsi="宋体" w:cs="宋体"/>
                <w:sz w:val="24"/>
              </w:rPr>
            </w:pPr>
          </w:p>
        </w:tc>
        <w:tc>
          <w:tcPr>
            <w:tcW w:w="925" w:type="dxa"/>
            <w:vAlign w:val="center"/>
          </w:tcPr>
          <w:p w14:paraId="5F4CC0F0">
            <w:pPr>
              <w:spacing w:line="360" w:lineRule="auto"/>
              <w:jc w:val="center"/>
              <w:rPr>
                <w:rFonts w:hAnsi="宋体" w:cs="宋体"/>
                <w:sz w:val="24"/>
              </w:rPr>
            </w:pPr>
          </w:p>
        </w:tc>
        <w:tc>
          <w:tcPr>
            <w:tcW w:w="925" w:type="dxa"/>
            <w:vAlign w:val="center"/>
          </w:tcPr>
          <w:p w14:paraId="320347BE">
            <w:pPr>
              <w:spacing w:line="360" w:lineRule="auto"/>
              <w:jc w:val="center"/>
              <w:rPr>
                <w:rFonts w:hAnsi="宋体" w:cs="宋体"/>
                <w:sz w:val="24"/>
              </w:rPr>
            </w:pPr>
          </w:p>
        </w:tc>
        <w:tc>
          <w:tcPr>
            <w:tcW w:w="1552" w:type="dxa"/>
            <w:vAlign w:val="center"/>
          </w:tcPr>
          <w:p w14:paraId="479F292C">
            <w:pPr>
              <w:spacing w:line="360" w:lineRule="auto"/>
              <w:jc w:val="center"/>
              <w:rPr>
                <w:rFonts w:hAnsi="宋体" w:cs="宋体"/>
                <w:sz w:val="24"/>
              </w:rPr>
            </w:pPr>
          </w:p>
        </w:tc>
        <w:tc>
          <w:tcPr>
            <w:tcW w:w="926" w:type="dxa"/>
            <w:vAlign w:val="center"/>
          </w:tcPr>
          <w:p w14:paraId="47713403">
            <w:pPr>
              <w:spacing w:line="360" w:lineRule="auto"/>
              <w:jc w:val="center"/>
              <w:rPr>
                <w:rFonts w:hAnsi="宋体" w:cs="宋体"/>
                <w:sz w:val="24"/>
              </w:rPr>
            </w:pPr>
          </w:p>
        </w:tc>
        <w:tc>
          <w:tcPr>
            <w:tcW w:w="950" w:type="dxa"/>
            <w:vAlign w:val="center"/>
          </w:tcPr>
          <w:p w14:paraId="52EEC52F">
            <w:pPr>
              <w:spacing w:line="360" w:lineRule="auto"/>
              <w:jc w:val="center"/>
              <w:rPr>
                <w:rFonts w:hAnsi="宋体" w:cs="宋体"/>
                <w:sz w:val="24"/>
              </w:rPr>
            </w:pPr>
          </w:p>
        </w:tc>
      </w:tr>
      <w:tr w14:paraId="5F1C7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675" w:type="dxa"/>
            <w:vAlign w:val="center"/>
          </w:tcPr>
          <w:p w14:paraId="0991CA41">
            <w:pPr>
              <w:spacing w:line="360" w:lineRule="auto"/>
              <w:jc w:val="center"/>
              <w:rPr>
                <w:rFonts w:hAnsi="宋体" w:cs="宋体"/>
                <w:sz w:val="24"/>
              </w:rPr>
            </w:pPr>
          </w:p>
        </w:tc>
        <w:tc>
          <w:tcPr>
            <w:tcW w:w="751" w:type="dxa"/>
            <w:vAlign w:val="center"/>
          </w:tcPr>
          <w:p w14:paraId="17811369">
            <w:pPr>
              <w:spacing w:line="360" w:lineRule="auto"/>
              <w:jc w:val="center"/>
              <w:rPr>
                <w:rFonts w:hAnsi="宋体" w:cs="宋体"/>
                <w:sz w:val="24"/>
              </w:rPr>
            </w:pPr>
          </w:p>
        </w:tc>
        <w:tc>
          <w:tcPr>
            <w:tcW w:w="751" w:type="dxa"/>
            <w:vAlign w:val="center"/>
          </w:tcPr>
          <w:p w14:paraId="070375EB">
            <w:pPr>
              <w:spacing w:line="360" w:lineRule="auto"/>
              <w:jc w:val="center"/>
              <w:rPr>
                <w:rFonts w:hAnsi="宋体" w:cs="宋体"/>
                <w:sz w:val="24"/>
              </w:rPr>
            </w:pPr>
          </w:p>
        </w:tc>
        <w:tc>
          <w:tcPr>
            <w:tcW w:w="925" w:type="dxa"/>
            <w:vAlign w:val="center"/>
          </w:tcPr>
          <w:p w14:paraId="5C12EAE2">
            <w:pPr>
              <w:spacing w:line="360" w:lineRule="auto"/>
              <w:jc w:val="center"/>
              <w:rPr>
                <w:rFonts w:hAnsi="宋体" w:cs="宋体"/>
                <w:sz w:val="24"/>
              </w:rPr>
            </w:pPr>
          </w:p>
        </w:tc>
        <w:tc>
          <w:tcPr>
            <w:tcW w:w="925" w:type="dxa"/>
            <w:vAlign w:val="center"/>
          </w:tcPr>
          <w:p w14:paraId="2979AA28">
            <w:pPr>
              <w:spacing w:line="360" w:lineRule="auto"/>
              <w:jc w:val="center"/>
              <w:rPr>
                <w:rFonts w:hAnsi="宋体" w:cs="宋体"/>
                <w:sz w:val="24"/>
              </w:rPr>
            </w:pPr>
          </w:p>
        </w:tc>
        <w:tc>
          <w:tcPr>
            <w:tcW w:w="925" w:type="dxa"/>
            <w:vAlign w:val="center"/>
          </w:tcPr>
          <w:p w14:paraId="0529CFFA">
            <w:pPr>
              <w:spacing w:line="360" w:lineRule="auto"/>
              <w:jc w:val="center"/>
              <w:rPr>
                <w:rFonts w:hAnsi="宋体" w:cs="宋体"/>
                <w:sz w:val="24"/>
              </w:rPr>
            </w:pPr>
          </w:p>
        </w:tc>
        <w:tc>
          <w:tcPr>
            <w:tcW w:w="925" w:type="dxa"/>
            <w:vAlign w:val="center"/>
          </w:tcPr>
          <w:p w14:paraId="25F2E08D">
            <w:pPr>
              <w:spacing w:line="360" w:lineRule="auto"/>
              <w:jc w:val="center"/>
              <w:rPr>
                <w:rFonts w:hAnsi="宋体" w:cs="宋体"/>
                <w:sz w:val="24"/>
              </w:rPr>
            </w:pPr>
          </w:p>
        </w:tc>
        <w:tc>
          <w:tcPr>
            <w:tcW w:w="1552" w:type="dxa"/>
            <w:vAlign w:val="center"/>
          </w:tcPr>
          <w:p w14:paraId="34420486">
            <w:pPr>
              <w:spacing w:line="360" w:lineRule="auto"/>
              <w:jc w:val="center"/>
              <w:rPr>
                <w:rFonts w:hAnsi="宋体" w:cs="宋体"/>
                <w:sz w:val="24"/>
              </w:rPr>
            </w:pPr>
          </w:p>
        </w:tc>
        <w:tc>
          <w:tcPr>
            <w:tcW w:w="926" w:type="dxa"/>
            <w:vAlign w:val="center"/>
          </w:tcPr>
          <w:p w14:paraId="46D108FE">
            <w:pPr>
              <w:spacing w:line="360" w:lineRule="auto"/>
              <w:jc w:val="center"/>
              <w:rPr>
                <w:rFonts w:hAnsi="宋体" w:cs="宋体"/>
                <w:sz w:val="24"/>
              </w:rPr>
            </w:pPr>
          </w:p>
        </w:tc>
        <w:tc>
          <w:tcPr>
            <w:tcW w:w="950" w:type="dxa"/>
            <w:vAlign w:val="center"/>
          </w:tcPr>
          <w:p w14:paraId="79281694">
            <w:pPr>
              <w:spacing w:line="360" w:lineRule="auto"/>
              <w:jc w:val="center"/>
              <w:rPr>
                <w:rFonts w:hAnsi="宋体" w:cs="宋体"/>
                <w:sz w:val="24"/>
              </w:rPr>
            </w:pPr>
          </w:p>
        </w:tc>
      </w:tr>
      <w:tr w14:paraId="60F03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675" w:type="dxa"/>
            <w:vAlign w:val="center"/>
          </w:tcPr>
          <w:p w14:paraId="6949D0AB">
            <w:pPr>
              <w:spacing w:line="360" w:lineRule="auto"/>
              <w:jc w:val="center"/>
              <w:rPr>
                <w:rFonts w:hAnsi="宋体" w:cs="宋体"/>
                <w:sz w:val="24"/>
              </w:rPr>
            </w:pPr>
          </w:p>
        </w:tc>
        <w:tc>
          <w:tcPr>
            <w:tcW w:w="751" w:type="dxa"/>
            <w:vAlign w:val="center"/>
          </w:tcPr>
          <w:p w14:paraId="119B9F00">
            <w:pPr>
              <w:spacing w:line="360" w:lineRule="auto"/>
              <w:jc w:val="center"/>
              <w:rPr>
                <w:rFonts w:hAnsi="宋体" w:cs="宋体"/>
                <w:sz w:val="24"/>
              </w:rPr>
            </w:pPr>
          </w:p>
        </w:tc>
        <w:tc>
          <w:tcPr>
            <w:tcW w:w="751" w:type="dxa"/>
            <w:vAlign w:val="center"/>
          </w:tcPr>
          <w:p w14:paraId="7A2C592D">
            <w:pPr>
              <w:spacing w:line="360" w:lineRule="auto"/>
              <w:jc w:val="center"/>
              <w:rPr>
                <w:rFonts w:hAnsi="宋体" w:cs="宋体"/>
                <w:sz w:val="24"/>
              </w:rPr>
            </w:pPr>
          </w:p>
        </w:tc>
        <w:tc>
          <w:tcPr>
            <w:tcW w:w="925" w:type="dxa"/>
            <w:vAlign w:val="center"/>
          </w:tcPr>
          <w:p w14:paraId="61897836">
            <w:pPr>
              <w:spacing w:line="360" w:lineRule="auto"/>
              <w:jc w:val="center"/>
              <w:rPr>
                <w:rFonts w:hAnsi="宋体" w:cs="宋体"/>
                <w:sz w:val="24"/>
              </w:rPr>
            </w:pPr>
          </w:p>
        </w:tc>
        <w:tc>
          <w:tcPr>
            <w:tcW w:w="925" w:type="dxa"/>
            <w:vAlign w:val="center"/>
          </w:tcPr>
          <w:p w14:paraId="66C2B8C7">
            <w:pPr>
              <w:spacing w:line="360" w:lineRule="auto"/>
              <w:jc w:val="center"/>
              <w:rPr>
                <w:rFonts w:hAnsi="宋体" w:cs="宋体"/>
                <w:sz w:val="24"/>
              </w:rPr>
            </w:pPr>
          </w:p>
        </w:tc>
        <w:tc>
          <w:tcPr>
            <w:tcW w:w="925" w:type="dxa"/>
            <w:vAlign w:val="center"/>
          </w:tcPr>
          <w:p w14:paraId="0878875A">
            <w:pPr>
              <w:spacing w:line="360" w:lineRule="auto"/>
              <w:jc w:val="center"/>
              <w:rPr>
                <w:rFonts w:hAnsi="宋体" w:cs="宋体"/>
                <w:sz w:val="24"/>
              </w:rPr>
            </w:pPr>
          </w:p>
        </w:tc>
        <w:tc>
          <w:tcPr>
            <w:tcW w:w="925" w:type="dxa"/>
            <w:vAlign w:val="center"/>
          </w:tcPr>
          <w:p w14:paraId="55303A91">
            <w:pPr>
              <w:spacing w:line="360" w:lineRule="auto"/>
              <w:jc w:val="center"/>
              <w:rPr>
                <w:rFonts w:hAnsi="宋体" w:cs="宋体"/>
                <w:sz w:val="24"/>
              </w:rPr>
            </w:pPr>
          </w:p>
        </w:tc>
        <w:tc>
          <w:tcPr>
            <w:tcW w:w="1552" w:type="dxa"/>
            <w:vAlign w:val="center"/>
          </w:tcPr>
          <w:p w14:paraId="183543D6">
            <w:pPr>
              <w:spacing w:line="360" w:lineRule="auto"/>
              <w:jc w:val="center"/>
              <w:rPr>
                <w:rFonts w:hAnsi="宋体" w:cs="宋体"/>
                <w:sz w:val="24"/>
              </w:rPr>
            </w:pPr>
          </w:p>
        </w:tc>
        <w:tc>
          <w:tcPr>
            <w:tcW w:w="926" w:type="dxa"/>
            <w:vAlign w:val="center"/>
          </w:tcPr>
          <w:p w14:paraId="2D86FFD5">
            <w:pPr>
              <w:spacing w:line="360" w:lineRule="auto"/>
              <w:jc w:val="center"/>
              <w:rPr>
                <w:rFonts w:hAnsi="宋体" w:cs="宋体"/>
                <w:sz w:val="24"/>
              </w:rPr>
            </w:pPr>
          </w:p>
        </w:tc>
        <w:tc>
          <w:tcPr>
            <w:tcW w:w="950" w:type="dxa"/>
            <w:vAlign w:val="center"/>
          </w:tcPr>
          <w:p w14:paraId="6187BFC7">
            <w:pPr>
              <w:spacing w:line="360" w:lineRule="auto"/>
              <w:jc w:val="center"/>
              <w:rPr>
                <w:rFonts w:hAnsi="宋体" w:cs="宋体"/>
                <w:sz w:val="24"/>
              </w:rPr>
            </w:pPr>
          </w:p>
        </w:tc>
      </w:tr>
      <w:tr w14:paraId="54CCF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675" w:type="dxa"/>
            <w:vAlign w:val="center"/>
          </w:tcPr>
          <w:p w14:paraId="524DF95B">
            <w:pPr>
              <w:spacing w:line="360" w:lineRule="auto"/>
              <w:jc w:val="center"/>
              <w:rPr>
                <w:rFonts w:hAnsi="宋体" w:cs="宋体"/>
                <w:sz w:val="24"/>
              </w:rPr>
            </w:pPr>
          </w:p>
        </w:tc>
        <w:tc>
          <w:tcPr>
            <w:tcW w:w="751" w:type="dxa"/>
            <w:vAlign w:val="center"/>
          </w:tcPr>
          <w:p w14:paraId="42D50F3A">
            <w:pPr>
              <w:spacing w:line="360" w:lineRule="auto"/>
              <w:jc w:val="center"/>
              <w:rPr>
                <w:rFonts w:hAnsi="宋体" w:cs="宋体"/>
                <w:sz w:val="24"/>
              </w:rPr>
            </w:pPr>
          </w:p>
        </w:tc>
        <w:tc>
          <w:tcPr>
            <w:tcW w:w="751" w:type="dxa"/>
            <w:vAlign w:val="center"/>
          </w:tcPr>
          <w:p w14:paraId="150D5FF9">
            <w:pPr>
              <w:spacing w:line="360" w:lineRule="auto"/>
              <w:jc w:val="center"/>
              <w:rPr>
                <w:rFonts w:hAnsi="宋体" w:cs="宋体"/>
                <w:sz w:val="24"/>
              </w:rPr>
            </w:pPr>
          </w:p>
        </w:tc>
        <w:tc>
          <w:tcPr>
            <w:tcW w:w="925" w:type="dxa"/>
            <w:vAlign w:val="center"/>
          </w:tcPr>
          <w:p w14:paraId="0228A90B">
            <w:pPr>
              <w:spacing w:line="360" w:lineRule="auto"/>
              <w:jc w:val="center"/>
              <w:rPr>
                <w:rFonts w:hAnsi="宋体" w:cs="宋体"/>
                <w:sz w:val="24"/>
              </w:rPr>
            </w:pPr>
          </w:p>
        </w:tc>
        <w:tc>
          <w:tcPr>
            <w:tcW w:w="925" w:type="dxa"/>
            <w:vAlign w:val="center"/>
          </w:tcPr>
          <w:p w14:paraId="662BB025">
            <w:pPr>
              <w:spacing w:line="360" w:lineRule="auto"/>
              <w:jc w:val="center"/>
              <w:rPr>
                <w:rFonts w:hAnsi="宋体" w:cs="宋体"/>
                <w:sz w:val="24"/>
              </w:rPr>
            </w:pPr>
          </w:p>
        </w:tc>
        <w:tc>
          <w:tcPr>
            <w:tcW w:w="925" w:type="dxa"/>
            <w:vAlign w:val="center"/>
          </w:tcPr>
          <w:p w14:paraId="5048D4E8">
            <w:pPr>
              <w:spacing w:line="360" w:lineRule="auto"/>
              <w:jc w:val="center"/>
              <w:rPr>
                <w:rFonts w:hAnsi="宋体" w:cs="宋体"/>
                <w:sz w:val="24"/>
              </w:rPr>
            </w:pPr>
          </w:p>
        </w:tc>
        <w:tc>
          <w:tcPr>
            <w:tcW w:w="925" w:type="dxa"/>
            <w:vAlign w:val="center"/>
          </w:tcPr>
          <w:p w14:paraId="42DCCF2F">
            <w:pPr>
              <w:spacing w:line="360" w:lineRule="auto"/>
              <w:jc w:val="center"/>
              <w:rPr>
                <w:rFonts w:hAnsi="宋体" w:cs="宋体"/>
                <w:sz w:val="24"/>
              </w:rPr>
            </w:pPr>
          </w:p>
        </w:tc>
        <w:tc>
          <w:tcPr>
            <w:tcW w:w="1552" w:type="dxa"/>
            <w:vAlign w:val="center"/>
          </w:tcPr>
          <w:p w14:paraId="62AF02F0">
            <w:pPr>
              <w:spacing w:line="360" w:lineRule="auto"/>
              <w:jc w:val="center"/>
              <w:rPr>
                <w:rFonts w:hAnsi="宋体" w:cs="宋体"/>
                <w:sz w:val="24"/>
              </w:rPr>
            </w:pPr>
          </w:p>
        </w:tc>
        <w:tc>
          <w:tcPr>
            <w:tcW w:w="926" w:type="dxa"/>
            <w:vAlign w:val="center"/>
          </w:tcPr>
          <w:p w14:paraId="10D40D8A">
            <w:pPr>
              <w:spacing w:line="360" w:lineRule="auto"/>
              <w:jc w:val="center"/>
              <w:rPr>
                <w:rFonts w:hAnsi="宋体" w:cs="宋体"/>
                <w:sz w:val="24"/>
              </w:rPr>
            </w:pPr>
          </w:p>
        </w:tc>
        <w:tc>
          <w:tcPr>
            <w:tcW w:w="950" w:type="dxa"/>
            <w:vAlign w:val="center"/>
          </w:tcPr>
          <w:p w14:paraId="13B3FD38">
            <w:pPr>
              <w:spacing w:line="360" w:lineRule="auto"/>
              <w:jc w:val="center"/>
              <w:rPr>
                <w:rFonts w:hAnsi="宋体" w:cs="宋体"/>
                <w:sz w:val="24"/>
              </w:rPr>
            </w:pPr>
          </w:p>
        </w:tc>
      </w:tr>
      <w:tr w14:paraId="4E157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675" w:type="dxa"/>
            <w:vAlign w:val="center"/>
          </w:tcPr>
          <w:p w14:paraId="24C5D03D">
            <w:pPr>
              <w:spacing w:line="360" w:lineRule="auto"/>
              <w:jc w:val="center"/>
              <w:rPr>
                <w:rFonts w:hAnsi="宋体" w:cs="宋体"/>
                <w:sz w:val="24"/>
              </w:rPr>
            </w:pPr>
          </w:p>
        </w:tc>
        <w:tc>
          <w:tcPr>
            <w:tcW w:w="751" w:type="dxa"/>
            <w:vAlign w:val="center"/>
          </w:tcPr>
          <w:p w14:paraId="53F6F0CC">
            <w:pPr>
              <w:spacing w:line="360" w:lineRule="auto"/>
              <w:jc w:val="center"/>
              <w:rPr>
                <w:rFonts w:hAnsi="宋体" w:cs="宋体"/>
                <w:sz w:val="24"/>
              </w:rPr>
            </w:pPr>
          </w:p>
        </w:tc>
        <w:tc>
          <w:tcPr>
            <w:tcW w:w="751" w:type="dxa"/>
            <w:vAlign w:val="center"/>
          </w:tcPr>
          <w:p w14:paraId="2CD66B54">
            <w:pPr>
              <w:spacing w:line="360" w:lineRule="auto"/>
              <w:jc w:val="center"/>
              <w:rPr>
                <w:rFonts w:hAnsi="宋体" w:cs="宋体"/>
                <w:sz w:val="24"/>
              </w:rPr>
            </w:pPr>
          </w:p>
        </w:tc>
        <w:tc>
          <w:tcPr>
            <w:tcW w:w="925" w:type="dxa"/>
            <w:vAlign w:val="center"/>
          </w:tcPr>
          <w:p w14:paraId="62ABC699">
            <w:pPr>
              <w:spacing w:line="360" w:lineRule="auto"/>
              <w:jc w:val="center"/>
              <w:rPr>
                <w:rFonts w:hAnsi="宋体" w:cs="宋体"/>
                <w:sz w:val="24"/>
              </w:rPr>
            </w:pPr>
          </w:p>
        </w:tc>
        <w:tc>
          <w:tcPr>
            <w:tcW w:w="925" w:type="dxa"/>
            <w:vAlign w:val="center"/>
          </w:tcPr>
          <w:p w14:paraId="1E266D90">
            <w:pPr>
              <w:spacing w:line="360" w:lineRule="auto"/>
              <w:jc w:val="center"/>
              <w:rPr>
                <w:rFonts w:hAnsi="宋体" w:cs="宋体"/>
                <w:sz w:val="24"/>
              </w:rPr>
            </w:pPr>
          </w:p>
        </w:tc>
        <w:tc>
          <w:tcPr>
            <w:tcW w:w="925" w:type="dxa"/>
            <w:vAlign w:val="center"/>
          </w:tcPr>
          <w:p w14:paraId="7AEA1856">
            <w:pPr>
              <w:spacing w:line="360" w:lineRule="auto"/>
              <w:jc w:val="center"/>
              <w:rPr>
                <w:rFonts w:hAnsi="宋体" w:cs="宋体"/>
                <w:sz w:val="24"/>
              </w:rPr>
            </w:pPr>
          </w:p>
        </w:tc>
        <w:tc>
          <w:tcPr>
            <w:tcW w:w="925" w:type="dxa"/>
            <w:vAlign w:val="center"/>
          </w:tcPr>
          <w:p w14:paraId="4710C4E0">
            <w:pPr>
              <w:spacing w:line="360" w:lineRule="auto"/>
              <w:jc w:val="center"/>
              <w:rPr>
                <w:rFonts w:hAnsi="宋体" w:cs="宋体"/>
                <w:sz w:val="24"/>
              </w:rPr>
            </w:pPr>
          </w:p>
        </w:tc>
        <w:tc>
          <w:tcPr>
            <w:tcW w:w="1552" w:type="dxa"/>
            <w:vAlign w:val="center"/>
          </w:tcPr>
          <w:p w14:paraId="5F4C7FFB">
            <w:pPr>
              <w:spacing w:line="360" w:lineRule="auto"/>
              <w:jc w:val="center"/>
              <w:rPr>
                <w:rFonts w:hAnsi="宋体" w:cs="宋体"/>
                <w:sz w:val="24"/>
              </w:rPr>
            </w:pPr>
          </w:p>
        </w:tc>
        <w:tc>
          <w:tcPr>
            <w:tcW w:w="926" w:type="dxa"/>
            <w:vAlign w:val="center"/>
          </w:tcPr>
          <w:p w14:paraId="503465C0">
            <w:pPr>
              <w:spacing w:line="360" w:lineRule="auto"/>
              <w:jc w:val="center"/>
              <w:rPr>
                <w:rFonts w:hAnsi="宋体" w:cs="宋体"/>
                <w:sz w:val="24"/>
              </w:rPr>
            </w:pPr>
          </w:p>
        </w:tc>
        <w:tc>
          <w:tcPr>
            <w:tcW w:w="950" w:type="dxa"/>
            <w:vAlign w:val="center"/>
          </w:tcPr>
          <w:p w14:paraId="0748C88C">
            <w:pPr>
              <w:spacing w:line="360" w:lineRule="auto"/>
              <w:jc w:val="center"/>
              <w:rPr>
                <w:rFonts w:hAnsi="宋体" w:cs="宋体"/>
                <w:sz w:val="24"/>
              </w:rPr>
            </w:pPr>
          </w:p>
        </w:tc>
      </w:tr>
      <w:tr w14:paraId="0DBE6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675" w:type="dxa"/>
            <w:vAlign w:val="center"/>
          </w:tcPr>
          <w:p w14:paraId="3769B0FA">
            <w:pPr>
              <w:spacing w:line="360" w:lineRule="auto"/>
              <w:jc w:val="center"/>
              <w:rPr>
                <w:rFonts w:hAnsi="宋体" w:cs="宋体"/>
                <w:sz w:val="24"/>
              </w:rPr>
            </w:pPr>
          </w:p>
        </w:tc>
        <w:tc>
          <w:tcPr>
            <w:tcW w:w="751" w:type="dxa"/>
            <w:vAlign w:val="center"/>
          </w:tcPr>
          <w:p w14:paraId="7550F154">
            <w:pPr>
              <w:spacing w:line="360" w:lineRule="auto"/>
              <w:jc w:val="center"/>
              <w:rPr>
                <w:rFonts w:hAnsi="宋体" w:cs="宋体"/>
                <w:sz w:val="24"/>
              </w:rPr>
            </w:pPr>
          </w:p>
        </w:tc>
        <w:tc>
          <w:tcPr>
            <w:tcW w:w="751" w:type="dxa"/>
            <w:vAlign w:val="center"/>
          </w:tcPr>
          <w:p w14:paraId="686A6315">
            <w:pPr>
              <w:spacing w:line="360" w:lineRule="auto"/>
              <w:jc w:val="center"/>
              <w:rPr>
                <w:rFonts w:hAnsi="宋体" w:cs="宋体"/>
                <w:sz w:val="24"/>
              </w:rPr>
            </w:pPr>
          </w:p>
        </w:tc>
        <w:tc>
          <w:tcPr>
            <w:tcW w:w="925" w:type="dxa"/>
            <w:vAlign w:val="center"/>
          </w:tcPr>
          <w:p w14:paraId="1D743A4E">
            <w:pPr>
              <w:spacing w:line="360" w:lineRule="auto"/>
              <w:jc w:val="center"/>
              <w:rPr>
                <w:rFonts w:hAnsi="宋体" w:cs="宋体"/>
                <w:sz w:val="24"/>
              </w:rPr>
            </w:pPr>
          </w:p>
        </w:tc>
        <w:tc>
          <w:tcPr>
            <w:tcW w:w="925" w:type="dxa"/>
            <w:vAlign w:val="center"/>
          </w:tcPr>
          <w:p w14:paraId="68111482">
            <w:pPr>
              <w:spacing w:line="360" w:lineRule="auto"/>
              <w:jc w:val="center"/>
              <w:rPr>
                <w:rFonts w:hAnsi="宋体" w:cs="宋体"/>
                <w:sz w:val="24"/>
              </w:rPr>
            </w:pPr>
          </w:p>
        </w:tc>
        <w:tc>
          <w:tcPr>
            <w:tcW w:w="925" w:type="dxa"/>
            <w:vAlign w:val="center"/>
          </w:tcPr>
          <w:p w14:paraId="737E6899">
            <w:pPr>
              <w:spacing w:line="360" w:lineRule="auto"/>
              <w:jc w:val="center"/>
              <w:rPr>
                <w:rFonts w:hAnsi="宋体" w:cs="宋体"/>
                <w:sz w:val="24"/>
              </w:rPr>
            </w:pPr>
          </w:p>
        </w:tc>
        <w:tc>
          <w:tcPr>
            <w:tcW w:w="925" w:type="dxa"/>
            <w:vAlign w:val="center"/>
          </w:tcPr>
          <w:p w14:paraId="7509ACDA">
            <w:pPr>
              <w:spacing w:line="360" w:lineRule="auto"/>
              <w:jc w:val="center"/>
              <w:rPr>
                <w:rFonts w:hAnsi="宋体" w:cs="宋体"/>
                <w:sz w:val="24"/>
              </w:rPr>
            </w:pPr>
          </w:p>
        </w:tc>
        <w:tc>
          <w:tcPr>
            <w:tcW w:w="1552" w:type="dxa"/>
            <w:vAlign w:val="center"/>
          </w:tcPr>
          <w:p w14:paraId="31CD8EC5">
            <w:pPr>
              <w:spacing w:line="360" w:lineRule="auto"/>
              <w:jc w:val="center"/>
              <w:rPr>
                <w:rFonts w:hAnsi="宋体" w:cs="宋体"/>
                <w:sz w:val="24"/>
              </w:rPr>
            </w:pPr>
          </w:p>
        </w:tc>
        <w:tc>
          <w:tcPr>
            <w:tcW w:w="926" w:type="dxa"/>
            <w:vAlign w:val="center"/>
          </w:tcPr>
          <w:p w14:paraId="165A4853">
            <w:pPr>
              <w:spacing w:line="360" w:lineRule="auto"/>
              <w:jc w:val="center"/>
              <w:rPr>
                <w:rFonts w:hAnsi="宋体" w:cs="宋体"/>
                <w:sz w:val="24"/>
              </w:rPr>
            </w:pPr>
          </w:p>
        </w:tc>
        <w:tc>
          <w:tcPr>
            <w:tcW w:w="950" w:type="dxa"/>
            <w:vAlign w:val="center"/>
          </w:tcPr>
          <w:p w14:paraId="0B4788B7">
            <w:pPr>
              <w:spacing w:line="360" w:lineRule="auto"/>
              <w:jc w:val="center"/>
              <w:rPr>
                <w:rFonts w:hAnsi="宋体" w:cs="宋体"/>
                <w:sz w:val="24"/>
              </w:rPr>
            </w:pPr>
          </w:p>
        </w:tc>
      </w:tr>
      <w:tr w14:paraId="4B548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675" w:type="dxa"/>
            <w:vAlign w:val="center"/>
          </w:tcPr>
          <w:p w14:paraId="32F10256">
            <w:pPr>
              <w:spacing w:line="360" w:lineRule="auto"/>
              <w:jc w:val="center"/>
              <w:rPr>
                <w:rFonts w:hAnsi="宋体" w:cs="宋体"/>
                <w:sz w:val="24"/>
              </w:rPr>
            </w:pPr>
          </w:p>
        </w:tc>
        <w:tc>
          <w:tcPr>
            <w:tcW w:w="751" w:type="dxa"/>
            <w:vAlign w:val="center"/>
          </w:tcPr>
          <w:p w14:paraId="0844EDE5">
            <w:pPr>
              <w:spacing w:line="360" w:lineRule="auto"/>
              <w:jc w:val="center"/>
              <w:rPr>
                <w:rFonts w:hAnsi="宋体" w:cs="宋体"/>
                <w:sz w:val="24"/>
              </w:rPr>
            </w:pPr>
          </w:p>
        </w:tc>
        <w:tc>
          <w:tcPr>
            <w:tcW w:w="751" w:type="dxa"/>
            <w:vAlign w:val="center"/>
          </w:tcPr>
          <w:p w14:paraId="24CCC6B3">
            <w:pPr>
              <w:spacing w:line="360" w:lineRule="auto"/>
              <w:jc w:val="center"/>
              <w:rPr>
                <w:rFonts w:hAnsi="宋体" w:cs="宋体"/>
                <w:sz w:val="24"/>
              </w:rPr>
            </w:pPr>
          </w:p>
        </w:tc>
        <w:tc>
          <w:tcPr>
            <w:tcW w:w="925" w:type="dxa"/>
            <w:vAlign w:val="center"/>
          </w:tcPr>
          <w:p w14:paraId="151EBD30">
            <w:pPr>
              <w:spacing w:line="360" w:lineRule="auto"/>
              <w:jc w:val="center"/>
              <w:rPr>
                <w:rFonts w:hAnsi="宋体" w:cs="宋体"/>
                <w:sz w:val="24"/>
              </w:rPr>
            </w:pPr>
          </w:p>
        </w:tc>
        <w:tc>
          <w:tcPr>
            <w:tcW w:w="925" w:type="dxa"/>
            <w:vAlign w:val="center"/>
          </w:tcPr>
          <w:p w14:paraId="72E429D9">
            <w:pPr>
              <w:spacing w:line="360" w:lineRule="auto"/>
              <w:jc w:val="center"/>
              <w:rPr>
                <w:rFonts w:hAnsi="宋体" w:cs="宋体"/>
                <w:sz w:val="24"/>
              </w:rPr>
            </w:pPr>
          </w:p>
        </w:tc>
        <w:tc>
          <w:tcPr>
            <w:tcW w:w="925" w:type="dxa"/>
            <w:vAlign w:val="center"/>
          </w:tcPr>
          <w:p w14:paraId="0DA2CC35">
            <w:pPr>
              <w:spacing w:line="360" w:lineRule="auto"/>
              <w:jc w:val="center"/>
              <w:rPr>
                <w:rFonts w:hAnsi="宋体" w:cs="宋体"/>
                <w:sz w:val="24"/>
              </w:rPr>
            </w:pPr>
          </w:p>
        </w:tc>
        <w:tc>
          <w:tcPr>
            <w:tcW w:w="925" w:type="dxa"/>
            <w:vAlign w:val="center"/>
          </w:tcPr>
          <w:p w14:paraId="3FCB8CF4">
            <w:pPr>
              <w:spacing w:line="360" w:lineRule="auto"/>
              <w:jc w:val="center"/>
              <w:rPr>
                <w:rFonts w:hAnsi="宋体" w:cs="宋体"/>
                <w:sz w:val="24"/>
              </w:rPr>
            </w:pPr>
          </w:p>
        </w:tc>
        <w:tc>
          <w:tcPr>
            <w:tcW w:w="1552" w:type="dxa"/>
            <w:vAlign w:val="center"/>
          </w:tcPr>
          <w:p w14:paraId="43DEE323">
            <w:pPr>
              <w:spacing w:line="360" w:lineRule="auto"/>
              <w:jc w:val="center"/>
              <w:rPr>
                <w:rFonts w:hAnsi="宋体" w:cs="宋体"/>
                <w:sz w:val="24"/>
              </w:rPr>
            </w:pPr>
          </w:p>
        </w:tc>
        <w:tc>
          <w:tcPr>
            <w:tcW w:w="926" w:type="dxa"/>
            <w:vAlign w:val="center"/>
          </w:tcPr>
          <w:p w14:paraId="7FDFA5B5">
            <w:pPr>
              <w:spacing w:line="360" w:lineRule="auto"/>
              <w:jc w:val="center"/>
              <w:rPr>
                <w:rFonts w:hAnsi="宋体" w:cs="宋体"/>
                <w:sz w:val="24"/>
              </w:rPr>
            </w:pPr>
          </w:p>
        </w:tc>
        <w:tc>
          <w:tcPr>
            <w:tcW w:w="950" w:type="dxa"/>
            <w:vAlign w:val="center"/>
          </w:tcPr>
          <w:p w14:paraId="2E9159A7">
            <w:pPr>
              <w:spacing w:line="360" w:lineRule="auto"/>
              <w:jc w:val="center"/>
              <w:rPr>
                <w:rFonts w:hAnsi="宋体" w:cs="宋体"/>
                <w:sz w:val="24"/>
              </w:rPr>
            </w:pPr>
          </w:p>
        </w:tc>
      </w:tr>
      <w:tr w14:paraId="2D816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675" w:type="dxa"/>
            <w:vAlign w:val="center"/>
          </w:tcPr>
          <w:p w14:paraId="18010AA5">
            <w:pPr>
              <w:spacing w:line="360" w:lineRule="auto"/>
              <w:jc w:val="center"/>
              <w:rPr>
                <w:rFonts w:hAnsi="宋体" w:cs="宋体"/>
                <w:sz w:val="24"/>
              </w:rPr>
            </w:pPr>
          </w:p>
        </w:tc>
        <w:tc>
          <w:tcPr>
            <w:tcW w:w="751" w:type="dxa"/>
            <w:vAlign w:val="center"/>
          </w:tcPr>
          <w:p w14:paraId="4E160EC4">
            <w:pPr>
              <w:spacing w:line="360" w:lineRule="auto"/>
              <w:jc w:val="center"/>
              <w:rPr>
                <w:rFonts w:hAnsi="宋体" w:cs="宋体"/>
                <w:sz w:val="24"/>
              </w:rPr>
            </w:pPr>
          </w:p>
        </w:tc>
        <w:tc>
          <w:tcPr>
            <w:tcW w:w="751" w:type="dxa"/>
            <w:vAlign w:val="center"/>
          </w:tcPr>
          <w:p w14:paraId="54224E9F">
            <w:pPr>
              <w:spacing w:line="360" w:lineRule="auto"/>
              <w:jc w:val="center"/>
              <w:rPr>
                <w:rFonts w:hAnsi="宋体" w:cs="宋体"/>
                <w:sz w:val="24"/>
              </w:rPr>
            </w:pPr>
          </w:p>
        </w:tc>
        <w:tc>
          <w:tcPr>
            <w:tcW w:w="925" w:type="dxa"/>
            <w:vAlign w:val="center"/>
          </w:tcPr>
          <w:p w14:paraId="3F9995C1">
            <w:pPr>
              <w:spacing w:line="360" w:lineRule="auto"/>
              <w:jc w:val="center"/>
              <w:rPr>
                <w:rFonts w:hAnsi="宋体" w:cs="宋体"/>
                <w:sz w:val="24"/>
              </w:rPr>
            </w:pPr>
          </w:p>
        </w:tc>
        <w:tc>
          <w:tcPr>
            <w:tcW w:w="925" w:type="dxa"/>
            <w:vAlign w:val="center"/>
          </w:tcPr>
          <w:p w14:paraId="5035AC7C">
            <w:pPr>
              <w:spacing w:line="360" w:lineRule="auto"/>
              <w:jc w:val="center"/>
              <w:rPr>
                <w:rFonts w:hAnsi="宋体" w:cs="宋体"/>
                <w:sz w:val="24"/>
              </w:rPr>
            </w:pPr>
          </w:p>
        </w:tc>
        <w:tc>
          <w:tcPr>
            <w:tcW w:w="925" w:type="dxa"/>
            <w:vAlign w:val="center"/>
          </w:tcPr>
          <w:p w14:paraId="303C3409">
            <w:pPr>
              <w:spacing w:line="360" w:lineRule="auto"/>
              <w:jc w:val="center"/>
              <w:rPr>
                <w:rFonts w:hAnsi="宋体" w:cs="宋体"/>
                <w:sz w:val="24"/>
              </w:rPr>
            </w:pPr>
          </w:p>
        </w:tc>
        <w:tc>
          <w:tcPr>
            <w:tcW w:w="925" w:type="dxa"/>
            <w:vAlign w:val="center"/>
          </w:tcPr>
          <w:p w14:paraId="71014D39">
            <w:pPr>
              <w:spacing w:line="360" w:lineRule="auto"/>
              <w:jc w:val="center"/>
              <w:rPr>
                <w:rFonts w:hAnsi="宋体" w:cs="宋体"/>
                <w:sz w:val="24"/>
              </w:rPr>
            </w:pPr>
          </w:p>
        </w:tc>
        <w:tc>
          <w:tcPr>
            <w:tcW w:w="1552" w:type="dxa"/>
            <w:vAlign w:val="center"/>
          </w:tcPr>
          <w:p w14:paraId="4B753681">
            <w:pPr>
              <w:spacing w:line="360" w:lineRule="auto"/>
              <w:jc w:val="center"/>
              <w:rPr>
                <w:rFonts w:hAnsi="宋体" w:cs="宋体"/>
                <w:sz w:val="24"/>
              </w:rPr>
            </w:pPr>
          </w:p>
        </w:tc>
        <w:tc>
          <w:tcPr>
            <w:tcW w:w="926" w:type="dxa"/>
            <w:vAlign w:val="center"/>
          </w:tcPr>
          <w:p w14:paraId="27111B29">
            <w:pPr>
              <w:spacing w:line="360" w:lineRule="auto"/>
              <w:jc w:val="center"/>
              <w:rPr>
                <w:rFonts w:hAnsi="宋体" w:cs="宋体"/>
                <w:sz w:val="24"/>
              </w:rPr>
            </w:pPr>
          </w:p>
        </w:tc>
        <w:tc>
          <w:tcPr>
            <w:tcW w:w="950" w:type="dxa"/>
            <w:vAlign w:val="center"/>
          </w:tcPr>
          <w:p w14:paraId="0D9873C4">
            <w:pPr>
              <w:spacing w:line="360" w:lineRule="auto"/>
              <w:jc w:val="center"/>
              <w:rPr>
                <w:rFonts w:hAnsi="宋体" w:cs="宋体"/>
                <w:sz w:val="24"/>
              </w:rPr>
            </w:pPr>
          </w:p>
        </w:tc>
      </w:tr>
      <w:tr w14:paraId="55890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675" w:type="dxa"/>
            <w:vAlign w:val="center"/>
          </w:tcPr>
          <w:p w14:paraId="1F51477C">
            <w:pPr>
              <w:spacing w:line="360" w:lineRule="auto"/>
              <w:jc w:val="center"/>
              <w:rPr>
                <w:rFonts w:hAnsi="宋体" w:cs="宋体"/>
                <w:sz w:val="24"/>
              </w:rPr>
            </w:pPr>
          </w:p>
        </w:tc>
        <w:tc>
          <w:tcPr>
            <w:tcW w:w="751" w:type="dxa"/>
            <w:vAlign w:val="center"/>
          </w:tcPr>
          <w:p w14:paraId="66790BDF">
            <w:pPr>
              <w:spacing w:line="360" w:lineRule="auto"/>
              <w:jc w:val="center"/>
              <w:rPr>
                <w:rFonts w:hAnsi="宋体" w:cs="宋体"/>
                <w:sz w:val="24"/>
              </w:rPr>
            </w:pPr>
          </w:p>
        </w:tc>
        <w:tc>
          <w:tcPr>
            <w:tcW w:w="751" w:type="dxa"/>
            <w:vAlign w:val="center"/>
          </w:tcPr>
          <w:p w14:paraId="6B92CCE1">
            <w:pPr>
              <w:spacing w:line="360" w:lineRule="auto"/>
              <w:jc w:val="center"/>
              <w:rPr>
                <w:rFonts w:hAnsi="宋体" w:cs="宋体"/>
                <w:sz w:val="24"/>
              </w:rPr>
            </w:pPr>
          </w:p>
        </w:tc>
        <w:tc>
          <w:tcPr>
            <w:tcW w:w="925" w:type="dxa"/>
            <w:vAlign w:val="center"/>
          </w:tcPr>
          <w:p w14:paraId="6D7E06B6">
            <w:pPr>
              <w:spacing w:line="360" w:lineRule="auto"/>
              <w:jc w:val="center"/>
              <w:rPr>
                <w:rFonts w:hAnsi="宋体" w:cs="宋体"/>
                <w:sz w:val="24"/>
              </w:rPr>
            </w:pPr>
          </w:p>
        </w:tc>
        <w:tc>
          <w:tcPr>
            <w:tcW w:w="925" w:type="dxa"/>
            <w:vAlign w:val="center"/>
          </w:tcPr>
          <w:p w14:paraId="181D818D">
            <w:pPr>
              <w:spacing w:line="360" w:lineRule="auto"/>
              <w:jc w:val="center"/>
              <w:rPr>
                <w:rFonts w:hAnsi="宋体" w:cs="宋体"/>
                <w:sz w:val="24"/>
              </w:rPr>
            </w:pPr>
          </w:p>
        </w:tc>
        <w:tc>
          <w:tcPr>
            <w:tcW w:w="925" w:type="dxa"/>
            <w:vAlign w:val="center"/>
          </w:tcPr>
          <w:p w14:paraId="6D863CF6">
            <w:pPr>
              <w:spacing w:line="360" w:lineRule="auto"/>
              <w:jc w:val="center"/>
              <w:rPr>
                <w:rFonts w:hAnsi="宋体" w:cs="宋体"/>
                <w:sz w:val="24"/>
              </w:rPr>
            </w:pPr>
          </w:p>
        </w:tc>
        <w:tc>
          <w:tcPr>
            <w:tcW w:w="925" w:type="dxa"/>
            <w:vAlign w:val="center"/>
          </w:tcPr>
          <w:p w14:paraId="7DB1A2EB">
            <w:pPr>
              <w:spacing w:line="360" w:lineRule="auto"/>
              <w:jc w:val="center"/>
              <w:rPr>
                <w:rFonts w:hAnsi="宋体" w:cs="宋体"/>
                <w:sz w:val="24"/>
              </w:rPr>
            </w:pPr>
          </w:p>
        </w:tc>
        <w:tc>
          <w:tcPr>
            <w:tcW w:w="1552" w:type="dxa"/>
            <w:vAlign w:val="center"/>
          </w:tcPr>
          <w:p w14:paraId="54223E12">
            <w:pPr>
              <w:spacing w:line="360" w:lineRule="auto"/>
              <w:jc w:val="center"/>
              <w:rPr>
                <w:rFonts w:hAnsi="宋体" w:cs="宋体"/>
                <w:sz w:val="24"/>
              </w:rPr>
            </w:pPr>
          </w:p>
        </w:tc>
        <w:tc>
          <w:tcPr>
            <w:tcW w:w="926" w:type="dxa"/>
            <w:vAlign w:val="center"/>
          </w:tcPr>
          <w:p w14:paraId="1AB55009">
            <w:pPr>
              <w:spacing w:line="360" w:lineRule="auto"/>
              <w:jc w:val="center"/>
              <w:rPr>
                <w:rFonts w:hAnsi="宋体" w:cs="宋体"/>
                <w:sz w:val="24"/>
              </w:rPr>
            </w:pPr>
          </w:p>
        </w:tc>
        <w:tc>
          <w:tcPr>
            <w:tcW w:w="950" w:type="dxa"/>
            <w:vAlign w:val="center"/>
          </w:tcPr>
          <w:p w14:paraId="11AAD584">
            <w:pPr>
              <w:spacing w:line="360" w:lineRule="auto"/>
              <w:jc w:val="center"/>
              <w:rPr>
                <w:rFonts w:hAnsi="宋体" w:cs="宋体"/>
                <w:sz w:val="24"/>
              </w:rPr>
            </w:pPr>
          </w:p>
        </w:tc>
      </w:tr>
      <w:tr w14:paraId="7E2A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9" w:hRule="exact"/>
        </w:trPr>
        <w:tc>
          <w:tcPr>
            <w:tcW w:w="9305" w:type="dxa"/>
            <w:gridSpan w:val="10"/>
            <w:vAlign w:val="center"/>
          </w:tcPr>
          <w:p w14:paraId="39EB05F7">
            <w:pPr>
              <w:spacing w:line="360" w:lineRule="auto"/>
              <w:ind w:firstLine="540" w:firstLineChars="225"/>
              <w:rPr>
                <w:rFonts w:hAnsi="宋体" w:cs="宋体"/>
                <w:sz w:val="24"/>
                <w:lang w:eastAsia="zh-CN"/>
              </w:rPr>
            </w:pPr>
            <w:r>
              <w:rPr>
                <w:rFonts w:hint="eastAsia" w:hAnsi="宋体" w:cs="宋体"/>
                <w:sz w:val="24"/>
                <w:lang w:eastAsia="zh-CN"/>
              </w:rPr>
              <w:t>本工程一旦我单位成交，将实行项目经理负责制，并配备上述项目管理班子。上述填报内容真实，若不真实，愿按有关规定接受处理。项目管理班子机构设置、职责分工等情况另附资料说明。</w:t>
            </w:r>
          </w:p>
        </w:tc>
      </w:tr>
    </w:tbl>
    <w:p w14:paraId="468E6F72">
      <w:pPr>
        <w:spacing w:line="360" w:lineRule="auto"/>
        <w:ind w:firstLine="630" w:firstLineChars="299"/>
        <w:jc w:val="center"/>
        <w:rPr>
          <w:rFonts w:hAnsi="宋体" w:cs="宋体"/>
          <w:b/>
          <w:bCs/>
          <w:szCs w:val="28"/>
          <w:lang w:eastAsia="zh-CN"/>
        </w:rPr>
      </w:pPr>
    </w:p>
    <w:p w14:paraId="4B237937">
      <w:pPr>
        <w:spacing w:line="360" w:lineRule="auto"/>
        <w:ind w:firstLine="630" w:firstLineChars="299"/>
        <w:jc w:val="center"/>
        <w:rPr>
          <w:rFonts w:ascii="宋体" w:hAnsi="宋体" w:cs="宋体"/>
          <w:b/>
          <w:bCs/>
          <w:sz w:val="28"/>
          <w:szCs w:val="28"/>
        </w:rPr>
      </w:pPr>
      <w:r>
        <w:rPr>
          <w:rFonts w:hAnsi="宋体" w:cs="宋体"/>
          <w:b/>
          <w:bCs/>
          <w:szCs w:val="28"/>
          <w:lang w:eastAsia="zh-CN"/>
        </w:rPr>
        <w:br w:type="page"/>
      </w:r>
      <w:r>
        <w:rPr>
          <w:rFonts w:hint="eastAsia" w:ascii="宋体" w:hAnsi="宋体" w:cs="宋体"/>
          <w:b/>
          <w:bCs/>
          <w:sz w:val="28"/>
          <w:szCs w:val="28"/>
        </w:rPr>
        <w:t>表2   项目经理简历表</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530"/>
        <w:gridCol w:w="1530"/>
        <w:gridCol w:w="1662"/>
        <w:gridCol w:w="1531"/>
        <w:gridCol w:w="1531"/>
      </w:tblGrid>
      <w:tr w14:paraId="30891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19" w:type="dxa"/>
            <w:vAlign w:val="center"/>
          </w:tcPr>
          <w:p w14:paraId="3E8CB04B">
            <w:pPr>
              <w:jc w:val="center"/>
              <w:rPr>
                <w:rFonts w:hAnsi="宋体" w:cs="宋体"/>
                <w:sz w:val="24"/>
                <w:szCs w:val="28"/>
              </w:rPr>
            </w:pPr>
            <w:r>
              <w:rPr>
                <w:rFonts w:hint="eastAsia" w:hAnsi="宋体" w:cs="宋体"/>
                <w:sz w:val="24"/>
                <w:szCs w:val="28"/>
              </w:rPr>
              <w:t>姓名</w:t>
            </w:r>
          </w:p>
        </w:tc>
        <w:tc>
          <w:tcPr>
            <w:tcW w:w="1530" w:type="dxa"/>
            <w:vAlign w:val="center"/>
          </w:tcPr>
          <w:p w14:paraId="1073B12F">
            <w:pPr>
              <w:jc w:val="center"/>
              <w:rPr>
                <w:rFonts w:hAnsi="宋体" w:cs="宋体"/>
                <w:sz w:val="24"/>
                <w:szCs w:val="28"/>
              </w:rPr>
            </w:pPr>
          </w:p>
        </w:tc>
        <w:tc>
          <w:tcPr>
            <w:tcW w:w="1530" w:type="dxa"/>
            <w:vAlign w:val="center"/>
          </w:tcPr>
          <w:p w14:paraId="38A1178B">
            <w:pPr>
              <w:jc w:val="center"/>
              <w:rPr>
                <w:rFonts w:hAnsi="宋体" w:cs="宋体"/>
                <w:sz w:val="24"/>
                <w:szCs w:val="28"/>
              </w:rPr>
            </w:pPr>
            <w:r>
              <w:rPr>
                <w:rFonts w:hint="eastAsia" w:hAnsi="宋体" w:cs="宋体"/>
                <w:sz w:val="24"/>
                <w:szCs w:val="28"/>
              </w:rPr>
              <w:t>性别</w:t>
            </w:r>
          </w:p>
        </w:tc>
        <w:tc>
          <w:tcPr>
            <w:tcW w:w="1662" w:type="dxa"/>
            <w:vAlign w:val="center"/>
          </w:tcPr>
          <w:p w14:paraId="3C695E15">
            <w:pPr>
              <w:jc w:val="center"/>
              <w:rPr>
                <w:rFonts w:hAnsi="宋体" w:cs="宋体"/>
                <w:sz w:val="24"/>
                <w:szCs w:val="28"/>
              </w:rPr>
            </w:pPr>
          </w:p>
        </w:tc>
        <w:tc>
          <w:tcPr>
            <w:tcW w:w="1531" w:type="dxa"/>
            <w:vAlign w:val="center"/>
          </w:tcPr>
          <w:p w14:paraId="265EB9FE">
            <w:pPr>
              <w:jc w:val="center"/>
              <w:rPr>
                <w:rFonts w:hAnsi="宋体" w:cs="宋体"/>
                <w:sz w:val="24"/>
                <w:szCs w:val="28"/>
              </w:rPr>
            </w:pPr>
            <w:r>
              <w:rPr>
                <w:rFonts w:hint="eastAsia" w:hAnsi="宋体" w:cs="宋体"/>
                <w:sz w:val="24"/>
                <w:szCs w:val="28"/>
              </w:rPr>
              <w:t>年龄</w:t>
            </w:r>
          </w:p>
        </w:tc>
        <w:tc>
          <w:tcPr>
            <w:tcW w:w="1531" w:type="dxa"/>
            <w:vAlign w:val="center"/>
          </w:tcPr>
          <w:p w14:paraId="4B09DCD7">
            <w:pPr>
              <w:jc w:val="center"/>
              <w:rPr>
                <w:rFonts w:hAnsi="宋体" w:cs="宋体"/>
                <w:sz w:val="24"/>
                <w:szCs w:val="28"/>
              </w:rPr>
            </w:pPr>
          </w:p>
        </w:tc>
      </w:tr>
      <w:tr w14:paraId="11905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419" w:type="dxa"/>
            <w:vAlign w:val="center"/>
          </w:tcPr>
          <w:p w14:paraId="54678683">
            <w:pPr>
              <w:jc w:val="center"/>
              <w:rPr>
                <w:rFonts w:hAnsi="宋体" w:cs="宋体"/>
                <w:sz w:val="24"/>
                <w:szCs w:val="28"/>
              </w:rPr>
            </w:pPr>
            <w:r>
              <w:rPr>
                <w:rFonts w:hint="eastAsia" w:hAnsi="宋体" w:cs="宋体"/>
                <w:sz w:val="24"/>
                <w:szCs w:val="28"/>
              </w:rPr>
              <w:t>职务</w:t>
            </w:r>
          </w:p>
        </w:tc>
        <w:tc>
          <w:tcPr>
            <w:tcW w:w="1530" w:type="dxa"/>
            <w:vAlign w:val="center"/>
          </w:tcPr>
          <w:p w14:paraId="76DBA429">
            <w:pPr>
              <w:jc w:val="center"/>
              <w:rPr>
                <w:rFonts w:hAnsi="宋体" w:cs="宋体"/>
                <w:sz w:val="24"/>
                <w:szCs w:val="28"/>
              </w:rPr>
            </w:pPr>
          </w:p>
        </w:tc>
        <w:tc>
          <w:tcPr>
            <w:tcW w:w="1530" w:type="dxa"/>
            <w:vAlign w:val="center"/>
          </w:tcPr>
          <w:p w14:paraId="2A784F9D">
            <w:pPr>
              <w:jc w:val="center"/>
              <w:rPr>
                <w:rFonts w:hAnsi="宋体" w:cs="宋体"/>
                <w:sz w:val="24"/>
                <w:szCs w:val="28"/>
              </w:rPr>
            </w:pPr>
            <w:r>
              <w:rPr>
                <w:rFonts w:hint="eastAsia" w:hAnsi="宋体" w:cs="宋体"/>
                <w:sz w:val="24"/>
                <w:szCs w:val="28"/>
              </w:rPr>
              <w:t>职称</w:t>
            </w:r>
          </w:p>
        </w:tc>
        <w:tc>
          <w:tcPr>
            <w:tcW w:w="1662" w:type="dxa"/>
            <w:vAlign w:val="center"/>
          </w:tcPr>
          <w:p w14:paraId="4939329A">
            <w:pPr>
              <w:jc w:val="center"/>
              <w:rPr>
                <w:rFonts w:hAnsi="宋体" w:cs="宋体"/>
                <w:sz w:val="24"/>
                <w:szCs w:val="28"/>
              </w:rPr>
            </w:pPr>
          </w:p>
        </w:tc>
        <w:tc>
          <w:tcPr>
            <w:tcW w:w="1531" w:type="dxa"/>
            <w:vAlign w:val="center"/>
          </w:tcPr>
          <w:p w14:paraId="08B5E14D">
            <w:pPr>
              <w:jc w:val="center"/>
              <w:rPr>
                <w:rFonts w:hAnsi="宋体" w:cs="宋体"/>
                <w:sz w:val="24"/>
                <w:szCs w:val="28"/>
              </w:rPr>
            </w:pPr>
            <w:r>
              <w:rPr>
                <w:rFonts w:hint="eastAsia" w:hAnsi="宋体" w:cs="宋体"/>
                <w:sz w:val="24"/>
                <w:szCs w:val="28"/>
              </w:rPr>
              <w:t>学历</w:t>
            </w:r>
          </w:p>
        </w:tc>
        <w:tc>
          <w:tcPr>
            <w:tcW w:w="1531" w:type="dxa"/>
            <w:vAlign w:val="center"/>
          </w:tcPr>
          <w:p w14:paraId="0EE7A4D0">
            <w:pPr>
              <w:jc w:val="center"/>
              <w:rPr>
                <w:rFonts w:hAnsi="宋体" w:cs="宋体"/>
                <w:sz w:val="24"/>
                <w:szCs w:val="28"/>
              </w:rPr>
            </w:pPr>
          </w:p>
        </w:tc>
      </w:tr>
      <w:tr w14:paraId="76042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2949" w:type="dxa"/>
            <w:gridSpan w:val="2"/>
            <w:vAlign w:val="center"/>
          </w:tcPr>
          <w:p w14:paraId="13AEAE17">
            <w:pPr>
              <w:jc w:val="center"/>
              <w:rPr>
                <w:rFonts w:hAnsi="宋体" w:cs="宋体"/>
                <w:sz w:val="24"/>
                <w:szCs w:val="28"/>
              </w:rPr>
            </w:pPr>
            <w:r>
              <w:rPr>
                <w:rFonts w:hint="eastAsia" w:hAnsi="宋体" w:cs="宋体"/>
                <w:sz w:val="24"/>
                <w:szCs w:val="28"/>
              </w:rPr>
              <w:t>参加工作时间</w:t>
            </w:r>
          </w:p>
        </w:tc>
        <w:tc>
          <w:tcPr>
            <w:tcW w:w="1530" w:type="dxa"/>
            <w:vAlign w:val="center"/>
          </w:tcPr>
          <w:p w14:paraId="09433DF8">
            <w:pPr>
              <w:jc w:val="center"/>
              <w:rPr>
                <w:rFonts w:hAnsi="宋体" w:cs="宋体"/>
                <w:sz w:val="24"/>
                <w:szCs w:val="28"/>
              </w:rPr>
            </w:pPr>
          </w:p>
        </w:tc>
        <w:tc>
          <w:tcPr>
            <w:tcW w:w="3193" w:type="dxa"/>
            <w:gridSpan w:val="2"/>
            <w:vAlign w:val="center"/>
          </w:tcPr>
          <w:p w14:paraId="4CA0D16C">
            <w:pPr>
              <w:jc w:val="center"/>
              <w:rPr>
                <w:rFonts w:hAnsi="宋体" w:cs="宋体"/>
                <w:sz w:val="24"/>
                <w:szCs w:val="28"/>
              </w:rPr>
            </w:pPr>
            <w:r>
              <w:rPr>
                <w:rFonts w:hint="eastAsia" w:hAnsi="宋体" w:cs="宋体"/>
                <w:sz w:val="24"/>
                <w:szCs w:val="28"/>
              </w:rPr>
              <w:t>从事项目经理年限</w:t>
            </w:r>
          </w:p>
        </w:tc>
        <w:tc>
          <w:tcPr>
            <w:tcW w:w="1531" w:type="dxa"/>
            <w:vAlign w:val="center"/>
          </w:tcPr>
          <w:p w14:paraId="76438DE5">
            <w:pPr>
              <w:jc w:val="center"/>
              <w:rPr>
                <w:rFonts w:hAnsi="宋体" w:cs="宋体"/>
                <w:sz w:val="24"/>
                <w:szCs w:val="28"/>
              </w:rPr>
            </w:pPr>
          </w:p>
        </w:tc>
      </w:tr>
      <w:tr w14:paraId="4B6EC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2949" w:type="dxa"/>
            <w:gridSpan w:val="2"/>
            <w:vAlign w:val="center"/>
          </w:tcPr>
          <w:p w14:paraId="00543C7B">
            <w:pPr>
              <w:jc w:val="center"/>
              <w:rPr>
                <w:rFonts w:hAnsi="宋体" w:cs="宋体"/>
                <w:sz w:val="24"/>
                <w:szCs w:val="28"/>
                <w:lang w:eastAsia="zh-CN"/>
              </w:rPr>
            </w:pPr>
            <w:r>
              <w:rPr>
                <w:rFonts w:hint="eastAsia" w:hAnsi="宋体" w:cs="宋体"/>
                <w:sz w:val="24"/>
                <w:szCs w:val="28"/>
                <w:lang w:eastAsia="zh-CN"/>
              </w:rPr>
              <w:t>项目经理（或建造师注册）资格证书编号</w:t>
            </w:r>
          </w:p>
        </w:tc>
        <w:tc>
          <w:tcPr>
            <w:tcW w:w="6254" w:type="dxa"/>
            <w:gridSpan w:val="4"/>
            <w:vAlign w:val="center"/>
          </w:tcPr>
          <w:p w14:paraId="25EF8E31">
            <w:pPr>
              <w:jc w:val="center"/>
              <w:rPr>
                <w:rFonts w:hAnsi="宋体" w:cs="宋体"/>
                <w:sz w:val="24"/>
                <w:szCs w:val="28"/>
                <w:lang w:eastAsia="zh-CN"/>
              </w:rPr>
            </w:pPr>
          </w:p>
        </w:tc>
      </w:tr>
      <w:tr w14:paraId="21454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203" w:type="dxa"/>
            <w:gridSpan w:val="6"/>
            <w:vAlign w:val="center"/>
          </w:tcPr>
          <w:p w14:paraId="376AAA67">
            <w:pPr>
              <w:jc w:val="center"/>
              <w:rPr>
                <w:rFonts w:hAnsi="宋体" w:cs="宋体"/>
                <w:sz w:val="24"/>
                <w:szCs w:val="28"/>
                <w:lang w:eastAsia="zh-CN"/>
              </w:rPr>
            </w:pPr>
            <w:r>
              <w:rPr>
                <w:rFonts w:hint="eastAsia" w:hAnsi="宋体" w:cs="宋体"/>
                <w:sz w:val="24"/>
                <w:szCs w:val="28"/>
                <w:lang w:eastAsia="zh-CN"/>
              </w:rPr>
              <w:t>在建和已完工程项目情况</w:t>
            </w:r>
          </w:p>
        </w:tc>
      </w:tr>
      <w:tr w14:paraId="386CC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419" w:type="dxa"/>
            <w:vAlign w:val="center"/>
          </w:tcPr>
          <w:p w14:paraId="6646A974">
            <w:pPr>
              <w:jc w:val="center"/>
              <w:rPr>
                <w:rFonts w:hAnsi="宋体" w:cs="宋体"/>
                <w:sz w:val="24"/>
                <w:szCs w:val="28"/>
              </w:rPr>
            </w:pPr>
            <w:r>
              <w:rPr>
                <w:rFonts w:hint="eastAsia" w:hAnsi="宋体" w:cs="宋体"/>
                <w:sz w:val="24"/>
                <w:szCs w:val="28"/>
              </w:rPr>
              <w:t>建设单位</w:t>
            </w:r>
          </w:p>
        </w:tc>
        <w:tc>
          <w:tcPr>
            <w:tcW w:w="1530" w:type="dxa"/>
            <w:vAlign w:val="center"/>
          </w:tcPr>
          <w:p w14:paraId="36EE42E6">
            <w:pPr>
              <w:jc w:val="center"/>
              <w:rPr>
                <w:rFonts w:hAnsi="宋体" w:cs="宋体"/>
                <w:sz w:val="24"/>
                <w:szCs w:val="28"/>
              </w:rPr>
            </w:pPr>
            <w:r>
              <w:rPr>
                <w:rFonts w:hint="eastAsia" w:hAnsi="宋体" w:cs="宋体"/>
                <w:sz w:val="24"/>
                <w:szCs w:val="28"/>
              </w:rPr>
              <w:t>项目名称</w:t>
            </w:r>
          </w:p>
        </w:tc>
        <w:tc>
          <w:tcPr>
            <w:tcW w:w="1530" w:type="dxa"/>
            <w:vAlign w:val="center"/>
          </w:tcPr>
          <w:p w14:paraId="56056FE9">
            <w:pPr>
              <w:jc w:val="center"/>
              <w:rPr>
                <w:rFonts w:hAnsi="宋体" w:cs="宋体"/>
                <w:sz w:val="24"/>
                <w:szCs w:val="28"/>
              </w:rPr>
            </w:pPr>
            <w:r>
              <w:rPr>
                <w:rFonts w:hint="eastAsia" w:hAnsi="宋体" w:cs="宋体"/>
                <w:sz w:val="24"/>
                <w:szCs w:val="28"/>
              </w:rPr>
              <w:t>建设规模</w:t>
            </w:r>
          </w:p>
        </w:tc>
        <w:tc>
          <w:tcPr>
            <w:tcW w:w="1662" w:type="dxa"/>
            <w:vAlign w:val="center"/>
          </w:tcPr>
          <w:p w14:paraId="71C89BAA">
            <w:pPr>
              <w:jc w:val="center"/>
              <w:rPr>
                <w:rFonts w:hAnsi="宋体" w:cs="宋体"/>
                <w:sz w:val="24"/>
                <w:szCs w:val="28"/>
              </w:rPr>
            </w:pPr>
            <w:r>
              <w:rPr>
                <w:rFonts w:hint="eastAsia" w:hAnsi="宋体" w:cs="宋体"/>
                <w:sz w:val="24"/>
                <w:szCs w:val="28"/>
              </w:rPr>
              <w:t>开、竣工日期</w:t>
            </w:r>
          </w:p>
        </w:tc>
        <w:tc>
          <w:tcPr>
            <w:tcW w:w="1531" w:type="dxa"/>
            <w:vAlign w:val="center"/>
          </w:tcPr>
          <w:p w14:paraId="715FF7D2">
            <w:pPr>
              <w:jc w:val="center"/>
              <w:rPr>
                <w:rFonts w:hAnsi="宋体" w:cs="宋体"/>
                <w:sz w:val="24"/>
                <w:szCs w:val="28"/>
              </w:rPr>
            </w:pPr>
            <w:r>
              <w:rPr>
                <w:rFonts w:hint="eastAsia" w:hAnsi="宋体" w:cs="宋体"/>
                <w:sz w:val="24"/>
                <w:szCs w:val="28"/>
              </w:rPr>
              <w:t>在建或已完</w:t>
            </w:r>
          </w:p>
        </w:tc>
        <w:tc>
          <w:tcPr>
            <w:tcW w:w="1531" w:type="dxa"/>
            <w:vAlign w:val="center"/>
          </w:tcPr>
          <w:p w14:paraId="238B63AE">
            <w:pPr>
              <w:jc w:val="center"/>
              <w:rPr>
                <w:rFonts w:hAnsi="宋体" w:cs="宋体"/>
                <w:sz w:val="24"/>
                <w:szCs w:val="28"/>
              </w:rPr>
            </w:pPr>
            <w:r>
              <w:rPr>
                <w:rFonts w:hint="eastAsia" w:hAnsi="宋体" w:cs="宋体"/>
                <w:sz w:val="24"/>
                <w:szCs w:val="28"/>
              </w:rPr>
              <w:t>工程质量</w:t>
            </w:r>
          </w:p>
        </w:tc>
      </w:tr>
      <w:tr w14:paraId="1DFAF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trPr>
        <w:tc>
          <w:tcPr>
            <w:tcW w:w="1419" w:type="dxa"/>
            <w:vAlign w:val="center"/>
          </w:tcPr>
          <w:p w14:paraId="1727E566">
            <w:pPr>
              <w:jc w:val="center"/>
              <w:rPr>
                <w:rFonts w:hAnsi="宋体" w:cs="宋体"/>
                <w:sz w:val="24"/>
                <w:szCs w:val="28"/>
              </w:rPr>
            </w:pPr>
          </w:p>
        </w:tc>
        <w:tc>
          <w:tcPr>
            <w:tcW w:w="1530" w:type="dxa"/>
            <w:vAlign w:val="center"/>
          </w:tcPr>
          <w:p w14:paraId="6B39CA51">
            <w:pPr>
              <w:jc w:val="center"/>
              <w:rPr>
                <w:rFonts w:hAnsi="宋体" w:cs="宋体"/>
                <w:sz w:val="24"/>
                <w:szCs w:val="28"/>
              </w:rPr>
            </w:pPr>
          </w:p>
        </w:tc>
        <w:tc>
          <w:tcPr>
            <w:tcW w:w="1530" w:type="dxa"/>
            <w:vAlign w:val="center"/>
          </w:tcPr>
          <w:p w14:paraId="7717CB4A">
            <w:pPr>
              <w:jc w:val="center"/>
              <w:rPr>
                <w:rFonts w:hAnsi="宋体" w:cs="宋体"/>
                <w:sz w:val="24"/>
                <w:szCs w:val="28"/>
              </w:rPr>
            </w:pPr>
          </w:p>
        </w:tc>
        <w:tc>
          <w:tcPr>
            <w:tcW w:w="1662" w:type="dxa"/>
            <w:vAlign w:val="center"/>
          </w:tcPr>
          <w:p w14:paraId="4AF5F0CA">
            <w:pPr>
              <w:jc w:val="center"/>
              <w:rPr>
                <w:rFonts w:hAnsi="宋体" w:cs="宋体"/>
                <w:sz w:val="24"/>
                <w:szCs w:val="28"/>
              </w:rPr>
            </w:pPr>
          </w:p>
        </w:tc>
        <w:tc>
          <w:tcPr>
            <w:tcW w:w="1531" w:type="dxa"/>
            <w:vAlign w:val="center"/>
          </w:tcPr>
          <w:p w14:paraId="14336BEC">
            <w:pPr>
              <w:jc w:val="center"/>
              <w:rPr>
                <w:rFonts w:hAnsi="宋体" w:cs="宋体"/>
                <w:sz w:val="24"/>
                <w:szCs w:val="28"/>
              </w:rPr>
            </w:pPr>
          </w:p>
        </w:tc>
        <w:tc>
          <w:tcPr>
            <w:tcW w:w="1531" w:type="dxa"/>
            <w:vAlign w:val="center"/>
          </w:tcPr>
          <w:p w14:paraId="5F14D41E">
            <w:pPr>
              <w:jc w:val="center"/>
              <w:rPr>
                <w:rFonts w:hAnsi="宋体" w:cs="宋体"/>
                <w:sz w:val="24"/>
                <w:szCs w:val="28"/>
              </w:rPr>
            </w:pPr>
          </w:p>
        </w:tc>
      </w:tr>
      <w:tr w14:paraId="5D9AD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trPr>
        <w:tc>
          <w:tcPr>
            <w:tcW w:w="1419" w:type="dxa"/>
            <w:vAlign w:val="center"/>
          </w:tcPr>
          <w:p w14:paraId="1E7597AA">
            <w:pPr>
              <w:jc w:val="center"/>
              <w:rPr>
                <w:rFonts w:hAnsi="宋体" w:cs="宋体"/>
                <w:sz w:val="24"/>
                <w:szCs w:val="28"/>
              </w:rPr>
            </w:pPr>
          </w:p>
        </w:tc>
        <w:tc>
          <w:tcPr>
            <w:tcW w:w="1530" w:type="dxa"/>
            <w:vAlign w:val="center"/>
          </w:tcPr>
          <w:p w14:paraId="6948AB99">
            <w:pPr>
              <w:jc w:val="center"/>
              <w:rPr>
                <w:rFonts w:hAnsi="宋体" w:cs="宋体"/>
                <w:sz w:val="24"/>
                <w:szCs w:val="28"/>
              </w:rPr>
            </w:pPr>
          </w:p>
        </w:tc>
        <w:tc>
          <w:tcPr>
            <w:tcW w:w="1530" w:type="dxa"/>
            <w:vAlign w:val="center"/>
          </w:tcPr>
          <w:p w14:paraId="644E9466">
            <w:pPr>
              <w:jc w:val="center"/>
              <w:rPr>
                <w:rFonts w:hAnsi="宋体" w:cs="宋体"/>
                <w:sz w:val="24"/>
                <w:szCs w:val="28"/>
              </w:rPr>
            </w:pPr>
          </w:p>
        </w:tc>
        <w:tc>
          <w:tcPr>
            <w:tcW w:w="1662" w:type="dxa"/>
            <w:vAlign w:val="center"/>
          </w:tcPr>
          <w:p w14:paraId="729D8C22">
            <w:pPr>
              <w:jc w:val="center"/>
              <w:rPr>
                <w:rFonts w:hAnsi="宋体" w:cs="宋体"/>
                <w:sz w:val="24"/>
                <w:szCs w:val="28"/>
              </w:rPr>
            </w:pPr>
          </w:p>
        </w:tc>
        <w:tc>
          <w:tcPr>
            <w:tcW w:w="1531" w:type="dxa"/>
            <w:vAlign w:val="center"/>
          </w:tcPr>
          <w:p w14:paraId="1442202E">
            <w:pPr>
              <w:jc w:val="center"/>
              <w:rPr>
                <w:rFonts w:hAnsi="宋体" w:cs="宋体"/>
                <w:sz w:val="24"/>
                <w:szCs w:val="28"/>
              </w:rPr>
            </w:pPr>
          </w:p>
        </w:tc>
        <w:tc>
          <w:tcPr>
            <w:tcW w:w="1531" w:type="dxa"/>
            <w:vAlign w:val="center"/>
          </w:tcPr>
          <w:p w14:paraId="56C85545">
            <w:pPr>
              <w:jc w:val="center"/>
              <w:rPr>
                <w:rFonts w:hAnsi="宋体" w:cs="宋体"/>
                <w:sz w:val="24"/>
                <w:szCs w:val="28"/>
              </w:rPr>
            </w:pPr>
          </w:p>
        </w:tc>
      </w:tr>
      <w:tr w14:paraId="141FA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trPr>
        <w:tc>
          <w:tcPr>
            <w:tcW w:w="1419" w:type="dxa"/>
            <w:vAlign w:val="center"/>
          </w:tcPr>
          <w:p w14:paraId="387FF453">
            <w:pPr>
              <w:jc w:val="center"/>
              <w:rPr>
                <w:rFonts w:hAnsi="宋体" w:cs="宋体"/>
                <w:sz w:val="24"/>
                <w:szCs w:val="28"/>
              </w:rPr>
            </w:pPr>
          </w:p>
        </w:tc>
        <w:tc>
          <w:tcPr>
            <w:tcW w:w="1530" w:type="dxa"/>
            <w:vAlign w:val="center"/>
          </w:tcPr>
          <w:p w14:paraId="1A0C782D">
            <w:pPr>
              <w:jc w:val="center"/>
              <w:rPr>
                <w:rFonts w:hAnsi="宋体" w:cs="宋体"/>
                <w:sz w:val="24"/>
                <w:szCs w:val="28"/>
              </w:rPr>
            </w:pPr>
          </w:p>
        </w:tc>
        <w:tc>
          <w:tcPr>
            <w:tcW w:w="1530" w:type="dxa"/>
            <w:vAlign w:val="center"/>
          </w:tcPr>
          <w:p w14:paraId="02C922A1">
            <w:pPr>
              <w:jc w:val="center"/>
              <w:rPr>
                <w:rFonts w:hAnsi="宋体" w:cs="宋体"/>
                <w:sz w:val="24"/>
                <w:szCs w:val="28"/>
              </w:rPr>
            </w:pPr>
          </w:p>
        </w:tc>
        <w:tc>
          <w:tcPr>
            <w:tcW w:w="1662" w:type="dxa"/>
            <w:vAlign w:val="center"/>
          </w:tcPr>
          <w:p w14:paraId="37C96347">
            <w:pPr>
              <w:jc w:val="center"/>
              <w:rPr>
                <w:rFonts w:hAnsi="宋体" w:cs="宋体"/>
                <w:sz w:val="24"/>
                <w:szCs w:val="28"/>
              </w:rPr>
            </w:pPr>
          </w:p>
        </w:tc>
        <w:tc>
          <w:tcPr>
            <w:tcW w:w="1531" w:type="dxa"/>
            <w:vAlign w:val="center"/>
          </w:tcPr>
          <w:p w14:paraId="7C3C1175">
            <w:pPr>
              <w:jc w:val="center"/>
              <w:rPr>
                <w:rFonts w:hAnsi="宋体" w:cs="宋体"/>
                <w:sz w:val="24"/>
                <w:szCs w:val="28"/>
              </w:rPr>
            </w:pPr>
          </w:p>
        </w:tc>
        <w:tc>
          <w:tcPr>
            <w:tcW w:w="1531" w:type="dxa"/>
            <w:vAlign w:val="center"/>
          </w:tcPr>
          <w:p w14:paraId="44D7A7E1">
            <w:pPr>
              <w:jc w:val="center"/>
              <w:rPr>
                <w:rFonts w:hAnsi="宋体" w:cs="宋体"/>
                <w:sz w:val="24"/>
                <w:szCs w:val="28"/>
              </w:rPr>
            </w:pPr>
          </w:p>
        </w:tc>
      </w:tr>
      <w:tr w14:paraId="7B7FB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trPr>
        <w:tc>
          <w:tcPr>
            <w:tcW w:w="1419" w:type="dxa"/>
            <w:vAlign w:val="center"/>
          </w:tcPr>
          <w:p w14:paraId="78CA41D7">
            <w:pPr>
              <w:jc w:val="center"/>
              <w:rPr>
                <w:rFonts w:hAnsi="宋体" w:cs="宋体"/>
                <w:sz w:val="24"/>
                <w:szCs w:val="28"/>
              </w:rPr>
            </w:pPr>
          </w:p>
        </w:tc>
        <w:tc>
          <w:tcPr>
            <w:tcW w:w="1530" w:type="dxa"/>
            <w:vAlign w:val="center"/>
          </w:tcPr>
          <w:p w14:paraId="3919DC91">
            <w:pPr>
              <w:jc w:val="center"/>
              <w:rPr>
                <w:rFonts w:hAnsi="宋体" w:cs="宋体"/>
                <w:sz w:val="24"/>
                <w:szCs w:val="28"/>
              </w:rPr>
            </w:pPr>
          </w:p>
        </w:tc>
        <w:tc>
          <w:tcPr>
            <w:tcW w:w="1530" w:type="dxa"/>
            <w:vAlign w:val="center"/>
          </w:tcPr>
          <w:p w14:paraId="0496938C">
            <w:pPr>
              <w:jc w:val="center"/>
              <w:rPr>
                <w:rFonts w:hAnsi="宋体" w:cs="宋体"/>
                <w:sz w:val="24"/>
                <w:szCs w:val="28"/>
              </w:rPr>
            </w:pPr>
          </w:p>
        </w:tc>
        <w:tc>
          <w:tcPr>
            <w:tcW w:w="1662" w:type="dxa"/>
            <w:vAlign w:val="center"/>
          </w:tcPr>
          <w:p w14:paraId="32858640">
            <w:pPr>
              <w:jc w:val="center"/>
              <w:rPr>
                <w:rFonts w:hAnsi="宋体" w:cs="宋体"/>
                <w:sz w:val="24"/>
                <w:szCs w:val="28"/>
              </w:rPr>
            </w:pPr>
          </w:p>
        </w:tc>
        <w:tc>
          <w:tcPr>
            <w:tcW w:w="1531" w:type="dxa"/>
            <w:vAlign w:val="center"/>
          </w:tcPr>
          <w:p w14:paraId="74A352F6">
            <w:pPr>
              <w:jc w:val="center"/>
              <w:rPr>
                <w:rFonts w:hAnsi="宋体" w:cs="宋体"/>
                <w:sz w:val="24"/>
                <w:szCs w:val="28"/>
              </w:rPr>
            </w:pPr>
          </w:p>
        </w:tc>
        <w:tc>
          <w:tcPr>
            <w:tcW w:w="1531" w:type="dxa"/>
            <w:vAlign w:val="center"/>
          </w:tcPr>
          <w:p w14:paraId="7EA9ABC6">
            <w:pPr>
              <w:jc w:val="center"/>
              <w:rPr>
                <w:rFonts w:hAnsi="宋体" w:cs="宋体"/>
                <w:sz w:val="24"/>
                <w:szCs w:val="28"/>
              </w:rPr>
            </w:pPr>
          </w:p>
        </w:tc>
      </w:tr>
      <w:tr w14:paraId="7BD32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trPr>
        <w:tc>
          <w:tcPr>
            <w:tcW w:w="1419" w:type="dxa"/>
            <w:vAlign w:val="center"/>
          </w:tcPr>
          <w:p w14:paraId="355A3784">
            <w:pPr>
              <w:jc w:val="center"/>
              <w:rPr>
                <w:rFonts w:hAnsi="宋体" w:cs="宋体"/>
                <w:sz w:val="24"/>
                <w:szCs w:val="28"/>
              </w:rPr>
            </w:pPr>
          </w:p>
        </w:tc>
        <w:tc>
          <w:tcPr>
            <w:tcW w:w="1530" w:type="dxa"/>
            <w:vAlign w:val="center"/>
          </w:tcPr>
          <w:p w14:paraId="06A32CDD">
            <w:pPr>
              <w:jc w:val="center"/>
              <w:rPr>
                <w:rFonts w:hAnsi="宋体" w:cs="宋体"/>
                <w:sz w:val="24"/>
                <w:szCs w:val="28"/>
              </w:rPr>
            </w:pPr>
          </w:p>
        </w:tc>
        <w:tc>
          <w:tcPr>
            <w:tcW w:w="1530" w:type="dxa"/>
            <w:vAlign w:val="center"/>
          </w:tcPr>
          <w:p w14:paraId="57AF1028">
            <w:pPr>
              <w:jc w:val="center"/>
              <w:rPr>
                <w:rFonts w:hAnsi="宋体" w:cs="宋体"/>
                <w:sz w:val="24"/>
                <w:szCs w:val="28"/>
              </w:rPr>
            </w:pPr>
          </w:p>
        </w:tc>
        <w:tc>
          <w:tcPr>
            <w:tcW w:w="1662" w:type="dxa"/>
            <w:vAlign w:val="center"/>
          </w:tcPr>
          <w:p w14:paraId="372553F4">
            <w:pPr>
              <w:jc w:val="center"/>
              <w:rPr>
                <w:rFonts w:hAnsi="宋体" w:cs="宋体"/>
                <w:sz w:val="24"/>
                <w:szCs w:val="28"/>
              </w:rPr>
            </w:pPr>
          </w:p>
        </w:tc>
        <w:tc>
          <w:tcPr>
            <w:tcW w:w="1531" w:type="dxa"/>
            <w:vAlign w:val="center"/>
          </w:tcPr>
          <w:p w14:paraId="62376278">
            <w:pPr>
              <w:jc w:val="center"/>
              <w:rPr>
                <w:rFonts w:hAnsi="宋体" w:cs="宋体"/>
                <w:sz w:val="24"/>
                <w:szCs w:val="28"/>
              </w:rPr>
            </w:pPr>
          </w:p>
        </w:tc>
        <w:tc>
          <w:tcPr>
            <w:tcW w:w="1531" w:type="dxa"/>
            <w:vAlign w:val="center"/>
          </w:tcPr>
          <w:p w14:paraId="74ACD530">
            <w:pPr>
              <w:jc w:val="center"/>
              <w:rPr>
                <w:rFonts w:hAnsi="宋体" w:cs="宋体"/>
                <w:sz w:val="24"/>
                <w:szCs w:val="28"/>
              </w:rPr>
            </w:pPr>
          </w:p>
        </w:tc>
      </w:tr>
      <w:tr w14:paraId="5B2B2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trPr>
        <w:tc>
          <w:tcPr>
            <w:tcW w:w="1419" w:type="dxa"/>
            <w:vAlign w:val="center"/>
          </w:tcPr>
          <w:p w14:paraId="62D02E65">
            <w:pPr>
              <w:jc w:val="center"/>
              <w:rPr>
                <w:rFonts w:hAnsi="宋体" w:cs="宋体"/>
                <w:sz w:val="24"/>
                <w:szCs w:val="28"/>
              </w:rPr>
            </w:pPr>
          </w:p>
        </w:tc>
        <w:tc>
          <w:tcPr>
            <w:tcW w:w="1530" w:type="dxa"/>
            <w:vAlign w:val="center"/>
          </w:tcPr>
          <w:p w14:paraId="5D16C9B1">
            <w:pPr>
              <w:jc w:val="center"/>
              <w:rPr>
                <w:rFonts w:hAnsi="宋体" w:cs="宋体"/>
                <w:sz w:val="24"/>
                <w:szCs w:val="28"/>
              </w:rPr>
            </w:pPr>
          </w:p>
        </w:tc>
        <w:tc>
          <w:tcPr>
            <w:tcW w:w="1530" w:type="dxa"/>
            <w:vAlign w:val="center"/>
          </w:tcPr>
          <w:p w14:paraId="35C7988C">
            <w:pPr>
              <w:jc w:val="center"/>
              <w:rPr>
                <w:rFonts w:hAnsi="宋体" w:cs="宋体"/>
                <w:sz w:val="24"/>
                <w:szCs w:val="28"/>
              </w:rPr>
            </w:pPr>
          </w:p>
        </w:tc>
        <w:tc>
          <w:tcPr>
            <w:tcW w:w="1662" w:type="dxa"/>
            <w:vAlign w:val="center"/>
          </w:tcPr>
          <w:p w14:paraId="4EAF0678">
            <w:pPr>
              <w:jc w:val="center"/>
              <w:rPr>
                <w:rFonts w:hAnsi="宋体" w:cs="宋体"/>
                <w:sz w:val="24"/>
                <w:szCs w:val="28"/>
              </w:rPr>
            </w:pPr>
          </w:p>
        </w:tc>
        <w:tc>
          <w:tcPr>
            <w:tcW w:w="1531" w:type="dxa"/>
            <w:vAlign w:val="center"/>
          </w:tcPr>
          <w:p w14:paraId="79540A99">
            <w:pPr>
              <w:jc w:val="center"/>
              <w:rPr>
                <w:rFonts w:hAnsi="宋体" w:cs="宋体"/>
                <w:sz w:val="24"/>
                <w:szCs w:val="28"/>
              </w:rPr>
            </w:pPr>
          </w:p>
        </w:tc>
        <w:tc>
          <w:tcPr>
            <w:tcW w:w="1531" w:type="dxa"/>
            <w:vAlign w:val="center"/>
          </w:tcPr>
          <w:p w14:paraId="173C0334">
            <w:pPr>
              <w:jc w:val="center"/>
              <w:rPr>
                <w:rFonts w:hAnsi="宋体" w:cs="宋体"/>
                <w:sz w:val="24"/>
                <w:szCs w:val="28"/>
              </w:rPr>
            </w:pPr>
          </w:p>
        </w:tc>
      </w:tr>
      <w:tr w14:paraId="5D79A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trPr>
        <w:tc>
          <w:tcPr>
            <w:tcW w:w="1419" w:type="dxa"/>
            <w:vAlign w:val="center"/>
          </w:tcPr>
          <w:p w14:paraId="5A2BBA83">
            <w:pPr>
              <w:jc w:val="center"/>
              <w:rPr>
                <w:rFonts w:hAnsi="宋体" w:cs="宋体"/>
                <w:sz w:val="24"/>
                <w:szCs w:val="28"/>
              </w:rPr>
            </w:pPr>
          </w:p>
        </w:tc>
        <w:tc>
          <w:tcPr>
            <w:tcW w:w="1530" w:type="dxa"/>
            <w:vAlign w:val="center"/>
          </w:tcPr>
          <w:p w14:paraId="17A6A9E2">
            <w:pPr>
              <w:jc w:val="center"/>
              <w:rPr>
                <w:rFonts w:hAnsi="宋体" w:cs="宋体"/>
                <w:sz w:val="24"/>
                <w:szCs w:val="28"/>
              </w:rPr>
            </w:pPr>
          </w:p>
        </w:tc>
        <w:tc>
          <w:tcPr>
            <w:tcW w:w="1530" w:type="dxa"/>
            <w:vAlign w:val="center"/>
          </w:tcPr>
          <w:p w14:paraId="08013B92">
            <w:pPr>
              <w:jc w:val="center"/>
              <w:rPr>
                <w:rFonts w:hAnsi="宋体" w:cs="宋体"/>
                <w:sz w:val="24"/>
                <w:szCs w:val="28"/>
              </w:rPr>
            </w:pPr>
          </w:p>
        </w:tc>
        <w:tc>
          <w:tcPr>
            <w:tcW w:w="1662" w:type="dxa"/>
            <w:vAlign w:val="center"/>
          </w:tcPr>
          <w:p w14:paraId="35548108">
            <w:pPr>
              <w:jc w:val="center"/>
              <w:rPr>
                <w:rFonts w:hAnsi="宋体" w:cs="宋体"/>
                <w:sz w:val="24"/>
                <w:szCs w:val="28"/>
              </w:rPr>
            </w:pPr>
          </w:p>
        </w:tc>
        <w:tc>
          <w:tcPr>
            <w:tcW w:w="1531" w:type="dxa"/>
            <w:vAlign w:val="center"/>
          </w:tcPr>
          <w:p w14:paraId="132A69A1">
            <w:pPr>
              <w:jc w:val="center"/>
              <w:rPr>
                <w:rFonts w:hAnsi="宋体" w:cs="宋体"/>
                <w:sz w:val="24"/>
                <w:szCs w:val="28"/>
              </w:rPr>
            </w:pPr>
          </w:p>
        </w:tc>
        <w:tc>
          <w:tcPr>
            <w:tcW w:w="1531" w:type="dxa"/>
            <w:vAlign w:val="center"/>
          </w:tcPr>
          <w:p w14:paraId="487808E3">
            <w:pPr>
              <w:jc w:val="center"/>
              <w:rPr>
                <w:rFonts w:hAnsi="宋体" w:cs="宋体"/>
                <w:sz w:val="24"/>
                <w:szCs w:val="28"/>
              </w:rPr>
            </w:pPr>
          </w:p>
        </w:tc>
      </w:tr>
      <w:tr w14:paraId="092D0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trPr>
        <w:tc>
          <w:tcPr>
            <w:tcW w:w="1419" w:type="dxa"/>
            <w:vAlign w:val="center"/>
          </w:tcPr>
          <w:p w14:paraId="7313EE6A">
            <w:pPr>
              <w:jc w:val="center"/>
              <w:rPr>
                <w:rFonts w:hAnsi="宋体" w:cs="宋体"/>
                <w:sz w:val="24"/>
                <w:szCs w:val="28"/>
              </w:rPr>
            </w:pPr>
          </w:p>
        </w:tc>
        <w:tc>
          <w:tcPr>
            <w:tcW w:w="1530" w:type="dxa"/>
            <w:vAlign w:val="center"/>
          </w:tcPr>
          <w:p w14:paraId="2B8F976B">
            <w:pPr>
              <w:jc w:val="center"/>
              <w:rPr>
                <w:rFonts w:hAnsi="宋体" w:cs="宋体"/>
                <w:sz w:val="24"/>
                <w:szCs w:val="28"/>
              </w:rPr>
            </w:pPr>
          </w:p>
        </w:tc>
        <w:tc>
          <w:tcPr>
            <w:tcW w:w="1530" w:type="dxa"/>
            <w:vAlign w:val="center"/>
          </w:tcPr>
          <w:p w14:paraId="42F26DB9">
            <w:pPr>
              <w:jc w:val="center"/>
              <w:rPr>
                <w:rFonts w:hAnsi="宋体" w:cs="宋体"/>
                <w:sz w:val="24"/>
                <w:szCs w:val="28"/>
              </w:rPr>
            </w:pPr>
          </w:p>
        </w:tc>
        <w:tc>
          <w:tcPr>
            <w:tcW w:w="1662" w:type="dxa"/>
            <w:vAlign w:val="center"/>
          </w:tcPr>
          <w:p w14:paraId="30F5CB1B">
            <w:pPr>
              <w:jc w:val="center"/>
              <w:rPr>
                <w:rFonts w:hAnsi="宋体" w:cs="宋体"/>
                <w:sz w:val="24"/>
                <w:szCs w:val="28"/>
              </w:rPr>
            </w:pPr>
          </w:p>
        </w:tc>
        <w:tc>
          <w:tcPr>
            <w:tcW w:w="1531" w:type="dxa"/>
            <w:vAlign w:val="center"/>
          </w:tcPr>
          <w:p w14:paraId="25047AF7">
            <w:pPr>
              <w:jc w:val="center"/>
              <w:rPr>
                <w:rFonts w:hAnsi="宋体" w:cs="宋体"/>
                <w:sz w:val="24"/>
                <w:szCs w:val="28"/>
              </w:rPr>
            </w:pPr>
          </w:p>
        </w:tc>
        <w:tc>
          <w:tcPr>
            <w:tcW w:w="1531" w:type="dxa"/>
            <w:vAlign w:val="center"/>
          </w:tcPr>
          <w:p w14:paraId="3D180636">
            <w:pPr>
              <w:jc w:val="center"/>
              <w:rPr>
                <w:rFonts w:hAnsi="宋体" w:cs="宋体"/>
                <w:sz w:val="24"/>
                <w:szCs w:val="28"/>
              </w:rPr>
            </w:pPr>
          </w:p>
        </w:tc>
      </w:tr>
      <w:tr w14:paraId="40A83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trPr>
        <w:tc>
          <w:tcPr>
            <w:tcW w:w="1419" w:type="dxa"/>
            <w:vAlign w:val="center"/>
          </w:tcPr>
          <w:p w14:paraId="3A5A9E39">
            <w:pPr>
              <w:jc w:val="center"/>
              <w:rPr>
                <w:rFonts w:hAnsi="宋体" w:cs="宋体"/>
                <w:sz w:val="24"/>
                <w:szCs w:val="28"/>
              </w:rPr>
            </w:pPr>
          </w:p>
        </w:tc>
        <w:tc>
          <w:tcPr>
            <w:tcW w:w="1530" w:type="dxa"/>
            <w:vAlign w:val="center"/>
          </w:tcPr>
          <w:p w14:paraId="508D4EC6">
            <w:pPr>
              <w:jc w:val="center"/>
              <w:rPr>
                <w:rFonts w:hAnsi="宋体" w:cs="宋体"/>
                <w:sz w:val="24"/>
                <w:szCs w:val="28"/>
              </w:rPr>
            </w:pPr>
          </w:p>
        </w:tc>
        <w:tc>
          <w:tcPr>
            <w:tcW w:w="1530" w:type="dxa"/>
            <w:vAlign w:val="center"/>
          </w:tcPr>
          <w:p w14:paraId="77C2D133">
            <w:pPr>
              <w:jc w:val="center"/>
              <w:rPr>
                <w:rFonts w:hAnsi="宋体" w:cs="宋体"/>
                <w:sz w:val="24"/>
                <w:szCs w:val="28"/>
              </w:rPr>
            </w:pPr>
          </w:p>
        </w:tc>
        <w:tc>
          <w:tcPr>
            <w:tcW w:w="1662" w:type="dxa"/>
            <w:vAlign w:val="center"/>
          </w:tcPr>
          <w:p w14:paraId="3ECB1542">
            <w:pPr>
              <w:jc w:val="center"/>
              <w:rPr>
                <w:rFonts w:hAnsi="宋体" w:cs="宋体"/>
                <w:sz w:val="24"/>
                <w:szCs w:val="28"/>
              </w:rPr>
            </w:pPr>
          </w:p>
        </w:tc>
        <w:tc>
          <w:tcPr>
            <w:tcW w:w="1531" w:type="dxa"/>
            <w:vAlign w:val="center"/>
          </w:tcPr>
          <w:p w14:paraId="7C5DF558">
            <w:pPr>
              <w:jc w:val="center"/>
              <w:rPr>
                <w:rFonts w:hAnsi="宋体" w:cs="宋体"/>
                <w:sz w:val="24"/>
                <w:szCs w:val="28"/>
              </w:rPr>
            </w:pPr>
          </w:p>
        </w:tc>
        <w:tc>
          <w:tcPr>
            <w:tcW w:w="1531" w:type="dxa"/>
            <w:vAlign w:val="center"/>
          </w:tcPr>
          <w:p w14:paraId="05B1F20B">
            <w:pPr>
              <w:jc w:val="center"/>
              <w:rPr>
                <w:rFonts w:hAnsi="宋体" w:cs="宋体"/>
                <w:sz w:val="24"/>
                <w:szCs w:val="28"/>
              </w:rPr>
            </w:pPr>
          </w:p>
        </w:tc>
      </w:tr>
      <w:tr w14:paraId="12E7B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trPr>
        <w:tc>
          <w:tcPr>
            <w:tcW w:w="1419" w:type="dxa"/>
            <w:vAlign w:val="center"/>
          </w:tcPr>
          <w:p w14:paraId="70CD2859">
            <w:pPr>
              <w:jc w:val="center"/>
              <w:rPr>
                <w:rFonts w:hAnsi="宋体" w:cs="宋体"/>
                <w:sz w:val="24"/>
                <w:szCs w:val="28"/>
              </w:rPr>
            </w:pPr>
          </w:p>
        </w:tc>
        <w:tc>
          <w:tcPr>
            <w:tcW w:w="1530" w:type="dxa"/>
            <w:vAlign w:val="center"/>
          </w:tcPr>
          <w:p w14:paraId="3E5BD89C">
            <w:pPr>
              <w:jc w:val="center"/>
              <w:rPr>
                <w:rFonts w:hAnsi="宋体" w:cs="宋体"/>
                <w:sz w:val="24"/>
                <w:szCs w:val="28"/>
              </w:rPr>
            </w:pPr>
          </w:p>
        </w:tc>
        <w:tc>
          <w:tcPr>
            <w:tcW w:w="1530" w:type="dxa"/>
            <w:vAlign w:val="center"/>
          </w:tcPr>
          <w:p w14:paraId="3125E009">
            <w:pPr>
              <w:jc w:val="center"/>
              <w:rPr>
                <w:rFonts w:hAnsi="宋体" w:cs="宋体"/>
                <w:sz w:val="24"/>
                <w:szCs w:val="28"/>
              </w:rPr>
            </w:pPr>
          </w:p>
        </w:tc>
        <w:tc>
          <w:tcPr>
            <w:tcW w:w="1662" w:type="dxa"/>
            <w:vAlign w:val="center"/>
          </w:tcPr>
          <w:p w14:paraId="5CFCC059">
            <w:pPr>
              <w:jc w:val="center"/>
              <w:rPr>
                <w:rFonts w:hAnsi="宋体" w:cs="宋体"/>
                <w:sz w:val="24"/>
                <w:szCs w:val="28"/>
              </w:rPr>
            </w:pPr>
          </w:p>
        </w:tc>
        <w:tc>
          <w:tcPr>
            <w:tcW w:w="1531" w:type="dxa"/>
            <w:vAlign w:val="center"/>
          </w:tcPr>
          <w:p w14:paraId="47164DC7">
            <w:pPr>
              <w:jc w:val="center"/>
              <w:rPr>
                <w:rFonts w:hAnsi="宋体" w:cs="宋体"/>
                <w:sz w:val="24"/>
                <w:szCs w:val="28"/>
              </w:rPr>
            </w:pPr>
          </w:p>
        </w:tc>
        <w:tc>
          <w:tcPr>
            <w:tcW w:w="1531" w:type="dxa"/>
            <w:vAlign w:val="center"/>
          </w:tcPr>
          <w:p w14:paraId="52B9ABAF">
            <w:pPr>
              <w:jc w:val="center"/>
              <w:rPr>
                <w:rFonts w:hAnsi="宋体" w:cs="宋体"/>
                <w:sz w:val="24"/>
                <w:szCs w:val="28"/>
              </w:rPr>
            </w:pPr>
          </w:p>
        </w:tc>
      </w:tr>
      <w:tr w14:paraId="7AFB0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trPr>
        <w:tc>
          <w:tcPr>
            <w:tcW w:w="1419" w:type="dxa"/>
            <w:vAlign w:val="center"/>
          </w:tcPr>
          <w:p w14:paraId="2B4C6F3C">
            <w:pPr>
              <w:jc w:val="center"/>
              <w:rPr>
                <w:rFonts w:hAnsi="宋体" w:cs="宋体"/>
                <w:sz w:val="24"/>
                <w:szCs w:val="28"/>
              </w:rPr>
            </w:pPr>
          </w:p>
        </w:tc>
        <w:tc>
          <w:tcPr>
            <w:tcW w:w="1530" w:type="dxa"/>
            <w:vAlign w:val="center"/>
          </w:tcPr>
          <w:p w14:paraId="7B25013A">
            <w:pPr>
              <w:jc w:val="center"/>
              <w:rPr>
                <w:rFonts w:hAnsi="宋体" w:cs="宋体"/>
                <w:sz w:val="24"/>
                <w:szCs w:val="28"/>
              </w:rPr>
            </w:pPr>
          </w:p>
        </w:tc>
        <w:tc>
          <w:tcPr>
            <w:tcW w:w="1530" w:type="dxa"/>
            <w:vAlign w:val="center"/>
          </w:tcPr>
          <w:p w14:paraId="77282A03">
            <w:pPr>
              <w:jc w:val="center"/>
              <w:rPr>
                <w:rFonts w:hAnsi="宋体" w:cs="宋体"/>
                <w:sz w:val="24"/>
                <w:szCs w:val="28"/>
              </w:rPr>
            </w:pPr>
          </w:p>
        </w:tc>
        <w:tc>
          <w:tcPr>
            <w:tcW w:w="1662" w:type="dxa"/>
            <w:vAlign w:val="center"/>
          </w:tcPr>
          <w:p w14:paraId="191CFF81">
            <w:pPr>
              <w:jc w:val="center"/>
              <w:rPr>
                <w:rFonts w:hAnsi="宋体" w:cs="宋体"/>
                <w:sz w:val="24"/>
                <w:szCs w:val="28"/>
              </w:rPr>
            </w:pPr>
          </w:p>
        </w:tc>
        <w:tc>
          <w:tcPr>
            <w:tcW w:w="1531" w:type="dxa"/>
            <w:vAlign w:val="center"/>
          </w:tcPr>
          <w:p w14:paraId="6AF2E2DA">
            <w:pPr>
              <w:jc w:val="center"/>
              <w:rPr>
                <w:rFonts w:hAnsi="宋体" w:cs="宋体"/>
                <w:sz w:val="24"/>
                <w:szCs w:val="28"/>
              </w:rPr>
            </w:pPr>
          </w:p>
        </w:tc>
        <w:tc>
          <w:tcPr>
            <w:tcW w:w="1531" w:type="dxa"/>
            <w:vAlign w:val="center"/>
          </w:tcPr>
          <w:p w14:paraId="647D5C02">
            <w:pPr>
              <w:jc w:val="center"/>
              <w:rPr>
                <w:rFonts w:hAnsi="宋体" w:cs="宋体"/>
                <w:sz w:val="24"/>
                <w:szCs w:val="28"/>
              </w:rPr>
            </w:pPr>
          </w:p>
        </w:tc>
      </w:tr>
      <w:tr w14:paraId="6F02D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trPr>
        <w:tc>
          <w:tcPr>
            <w:tcW w:w="1419" w:type="dxa"/>
            <w:vAlign w:val="center"/>
          </w:tcPr>
          <w:p w14:paraId="792B0CCE">
            <w:pPr>
              <w:jc w:val="center"/>
              <w:rPr>
                <w:rFonts w:hAnsi="宋体" w:cs="宋体"/>
                <w:sz w:val="24"/>
                <w:szCs w:val="28"/>
              </w:rPr>
            </w:pPr>
          </w:p>
        </w:tc>
        <w:tc>
          <w:tcPr>
            <w:tcW w:w="1530" w:type="dxa"/>
            <w:vAlign w:val="center"/>
          </w:tcPr>
          <w:p w14:paraId="6B8AB270">
            <w:pPr>
              <w:jc w:val="center"/>
              <w:rPr>
                <w:rFonts w:hAnsi="宋体" w:cs="宋体"/>
                <w:sz w:val="24"/>
                <w:szCs w:val="28"/>
              </w:rPr>
            </w:pPr>
          </w:p>
        </w:tc>
        <w:tc>
          <w:tcPr>
            <w:tcW w:w="1530" w:type="dxa"/>
            <w:vAlign w:val="center"/>
          </w:tcPr>
          <w:p w14:paraId="2D541CFD">
            <w:pPr>
              <w:jc w:val="center"/>
              <w:rPr>
                <w:rFonts w:hAnsi="宋体" w:cs="宋体"/>
                <w:sz w:val="24"/>
                <w:szCs w:val="28"/>
              </w:rPr>
            </w:pPr>
          </w:p>
        </w:tc>
        <w:tc>
          <w:tcPr>
            <w:tcW w:w="1662" w:type="dxa"/>
            <w:vAlign w:val="center"/>
          </w:tcPr>
          <w:p w14:paraId="3F283EBF">
            <w:pPr>
              <w:jc w:val="center"/>
              <w:rPr>
                <w:rFonts w:hAnsi="宋体" w:cs="宋体"/>
                <w:sz w:val="24"/>
                <w:szCs w:val="28"/>
              </w:rPr>
            </w:pPr>
          </w:p>
        </w:tc>
        <w:tc>
          <w:tcPr>
            <w:tcW w:w="1531" w:type="dxa"/>
            <w:vAlign w:val="center"/>
          </w:tcPr>
          <w:p w14:paraId="736EE1CE">
            <w:pPr>
              <w:jc w:val="center"/>
              <w:rPr>
                <w:rFonts w:hAnsi="宋体" w:cs="宋体"/>
                <w:sz w:val="24"/>
                <w:szCs w:val="28"/>
              </w:rPr>
            </w:pPr>
          </w:p>
        </w:tc>
        <w:tc>
          <w:tcPr>
            <w:tcW w:w="1531" w:type="dxa"/>
            <w:vAlign w:val="center"/>
          </w:tcPr>
          <w:p w14:paraId="42010B7B">
            <w:pPr>
              <w:jc w:val="center"/>
              <w:rPr>
                <w:rFonts w:hAnsi="宋体" w:cs="宋体"/>
                <w:sz w:val="24"/>
                <w:szCs w:val="28"/>
              </w:rPr>
            </w:pPr>
          </w:p>
        </w:tc>
      </w:tr>
    </w:tbl>
    <w:p w14:paraId="6376603C">
      <w:pPr>
        <w:spacing w:line="360" w:lineRule="auto"/>
        <w:jc w:val="center"/>
        <w:rPr>
          <w:rFonts w:hAnsi="宋体" w:cs="宋体"/>
          <w:sz w:val="24"/>
          <w:szCs w:val="28"/>
        </w:rPr>
      </w:pPr>
    </w:p>
    <w:p w14:paraId="1BAA2FB6">
      <w:pPr>
        <w:spacing w:line="360" w:lineRule="auto"/>
        <w:jc w:val="center"/>
        <w:rPr>
          <w:rFonts w:ascii="宋体" w:hAnsi="宋体" w:cs="宋体"/>
          <w:b/>
          <w:bCs/>
          <w:sz w:val="32"/>
          <w:szCs w:val="32"/>
          <w:lang w:eastAsia="zh-CN"/>
        </w:rPr>
      </w:pPr>
      <w:r>
        <w:rPr>
          <w:rFonts w:hAnsi="宋体" w:cs="宋体"/>
          <w:sz w:val="24"/>
          <w:szCs w:val="28"/>
          <w:lang w:eastAsia="zh-CN"/>
        </w:rPr>
        <w:br w:type="page"/>
      </w:r>
      <w:r>
        <w:rPr>
          <w:rFonts w:hint="eastAsia" w:ascii="宋体" w:hAnsi="宋体" w:cs="宋体"/>
          <w:b/>
          <w:bCs/>
          <w:sz w:val="32"/>
          <w:szCs w:val="32"/>
          <w:lang w:eastAsia="zh-CN"/>
        </w:rPr>
        <w:t>表3   项目技术负责人简历表</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1561"/>
        <w:gridCol w:w="1561"/>
        <w:gridCol w:w="1696"/>
        <w:gridCol w:w="1562"/>
        <w:gridCol w:w="1563"/>
      </w:tblGrid>
      <w:tr w14:paraId="1C821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446" w:type="dxa"/>
            <w:vAlign w:val="center"/>
          </w:tcPr>
          <w:p w14:paraId="3B293AF3">
            <w:pPr>
              <w:jc w:val="center"/>
              <w:rPr>
                <w:rFonts w:hAnsi="宋体" w:cs="宋体"/>
                <w:sz w:val="24"/>
                <w:szCs w:val="28"/>
              </w:rPr>
            </w:pPr>
            <w:r>
              <w:rPr>
                <w:rFonts w:hint="eastAsia" w:hAnsi="宋体" w:cs="宋体"/>
                <w:sz w:val="24"/>
                <w:szCs w:val="28"/>
              </w:rPr>
              <w:t>姓名</w:t>
            </w:r>
          </w:p>
        </w:tc>
        <w:tc>
          <w:tcPr>
            <w:tcW w:w="1561" w:type="dxa"/>
            <w:vAlign w:val="center"/>
          </w:tcPr>
          <w:p w14:paraId="5FAC5EF4">
            <w:pPr>
              <w:jc w:val="center"/>
              <w:rPr>
                <w:rFonts w:hAnsi="宋体" w:cs="宋体"/>
                <w:sz w:val="24"/>
                <w:szCs w:val="28"/>
              </w:rPr>
            </w:pPr>
          </w:p>
        </w:tc>
        <w:tc>
          <w:tcPr>
            <w:tcW w:w="1561" w:type="dxa"/>
            <w:vAlign w:val="center"/>
          </w:tcPr>
          <w:p w14:paraId="414F0597">
            <w:pPr>
              <w:jc w:val="center"/>
              <w:rPr>
                <w:rFonts w:hAnsi="宋体" w:cs="宋体"/>
                <w:sz w:val="24"/>
                <w:szCs w:val="28"/>
              </w:rPr>
            </w:pPr>
            <w:r>
              <w:rPr>
                <w:rFonts w:hint="eastAsia" w:hAnsi="宋体" w:cs="宋体"/>
                <w:sz w:val="24"/>
                <w:szCs w:val="28"/>
              </w:rPr>
              <w:t>性别</w:t>
            </w:r>
          </w:p>
        </w:tc>
        <w:tc>
          <w:tcPr>
            <w:tcW w:w="1696" w:type="dxa"/>
            <w:vAlign w:val="center"/>
          </w:tcPr>
          <w:p w14:paraId="51DD458F">
            <w:pPr>
              <w:jc w:val="center"/>
              <w:rPr>
                <w:rFonts w:hAnsi="宋体" w:cs="宋体"/>
                <w:sz w:val="24"/>
                <w:szCs w:val="28"/>
              </w:rPr>
            </w:pPr>
          </w:p>
        </w:tc>
        <w:tc>
          <w:tcPr>
            <w:tcW w:w="1562" w:type="dxa"/>
            <w:vAlign w:val="center"/>
          </w:tcPr>
          <w:p w14:paraId="3101EB4F">
            <w:pPr>
              <w:jc w:val="center"/>
              <w:rPr>
                <w:rFonts w:hAnsi="宋体" w:cs="宋体"/>
                <w:sz w:val="24"/>
                <w:szCs w:val="28"/>
              </w:rPr>
            </w:pPr>
            <w:r>
              <w:rPr>
                <w:rFonts w:hint="eastAsia" w:hAnsi="宋体" w:cs="宋体"/>
                <w:sz w:val="24"/>
                <w:szCs w:val="28"/>
              </w:rPr>
              <w:t>年龄</w:t>
            </w:r>
          </w:p>
        </w:tc>
        <w:tc>
          <w:tcPr>
            <w:tcW w:w="1563" w:type="dxa"/>
            <w:vAlign w:val="center"/>
          </w:tcPr>
          <w:p w14:paraId="37EC13C2">
            <w:pPr>
              <w:jc w:val="center"/>
              <w:rPr>
                <w:rFonts w:hAnsi="宋体" w:cs="宋体"/>
                <w:sz w:val="24"/>
                <w:szCs w:val="28"/>
              </w:rPr>
            </w:pPr>
          </w:p>
        </w:tc>
      </w:tr>
      <w:tr w14:paraId="0652F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46" w:type="dxa"/>
            <w:vAlign w:val="center"/>
          </w:tcPr>
          <w:p w14:paraId="522FB96B">
            <w:pPr>
              <w:jc w:val="center"/>
              <w:rPr>
                <w:rFonts w:hAnsi="宋体" w:cs="宋体"/>
                <w:sz w:val="24"/>
                <w:szCs w:val="28"/>
              </w:rPr>
            </w:pPr>
            <w:r>
              <w:rPr>
                <w:rFonts w:hint="eastAsia" w:hAnsi="宋体" w:cs="宋体"/>
                <w:sz w:val="24"/>
                <w:szCs w:val="28"/>
              </w:rPr>
              <w:t>职务</w:t>
            </w:r>
          </w:p>
        </w:tc>
        <w:tc>
          <w:tcPr>
            <w:tcW w:w="1561" w:type="dxa"/>
            <w:vAlign w:val="center"/>
          </w:tcPr>
          <w:p w14:paraId="5DFCFEBC">
            <w:pPr>
              <w:jc w:val="center"/>
              <w:rPr>
                <w:rFonts w:hAnsi="宋体" w:cs="宋体"/>
                <w:sz w:val="24"/>
                <w:szCs w:val="28"/>
              </w:rPr>
            </w:pPr>
          </w:p>
        </w:tc>
        <w:tc>
          <w:tcPr>
            <w:tcW w:w="1561" w:type="dxa"/>
            <w:vAlign w:val="center"/>
          </w:tcPr>
          <w:p w14:paraId="653EF3C6">
            <w:pPr>
              <w:jc w:val="center"/>
              <w:rPr>
                <w:rFonts w:hAnsi="宋体" w:cs="宋体"/>
                <w:sz w:val="24"/>
                <w:szCs w:val="28"/>
              </w:rPr>
            </w:pPr>
            <w:r>
              <w:rPr>
                <w:rFonts w:hint="eastAsia" w:hAnsi="宋体" w:cs="宋体"/>
                <w:sz w:val="24"/>
                <w:szCs w:val="28"/>
              </w:rPr>
              <w:t>职称</w:t>
            </w:r>
          </w:p>
        </w:tc>
        <w:tc>
          <w:tcPr>
            <w:tcW w:w="1696" w:type="dxa"/>
            <w:vAlign w:val="center"/>
          </w:tcPr>
          <w:p w14:paraId="73F2DBCA">
            <w:pPr>
              <w:jc w:val="center"/>
              <w:rPr>
                <w:rFonts w:hAnsi="宋体" w:cs="宋体"/>
                <w:sz w:val="24"/>
                <w:szCs w:val="28"/>
              </w:rPr>
            </w:pPr>
          </w:p>
        </w:tc>
        <w:tc>
          <w:tcPr>
            <w:tcW w:w="1562" w:type="dxa"/>
            <w:vAlign w:val="center"/>
          </w:tcPr>
          <w:p w14:paraId="6F52D7E2">
            <w:pPr>
              <w:jc w:val="center"/>
              <w:rPr>
                <w:rFonts w:hAnsi="宋体" w:cs="宋体"/>
                <w:sz w:val="24"/>
                <w:szCs w:val="28"/>
              </w:rPr>
            </w:pPr>
            <w:r>
              <w:rPr>
                <w:rFonts w:hint="eastAsia" w:hAnsi="宋体" w:cs="宋体"/>
                <w:sz w:val="24"/>
                <w:szCs w:val="28"/>
              </w:rPr>
              <w:t>学历</w:t>
            </w:r>
          </w:p>
        </w:tc>
        <w:tc>
          <w:tcPr>
            <w:tcW w:w="1563" w:type="dxa"/>
            <w:vAlign w:val="center"/>
          </w:tcPr>
          <w:p w14:paraId="05BCF5BC">
            <w:pPr>
              <w:jc w:val="center"/>
              <w:rPr>
                <w:rFonts w:hAnsi="宋体" w:cs="宋体"/>
                <w:sz w:val="24"/>
                <w:szCs w:val="28"/>
              </w:rPr>
            </w:pPr>
          </w:p>
        </w:tc>
      </w:tr>
      <w:tr w14:paraId="58D51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3007" w:type="dxa"/>
            <w:gridSpan w:val="2"/>
            <w:vAlign w:val="center"/>
          </w:tcPr>
          <w:p w14:paraId="56395E1C">
            <w:pPr>
              <w:jc w:val="center"/>
              <w:rPr>
                <w:rFonts w:hAnsi="宋体" w:cs="宋体"/>
                <w:sz w:val="24"/>
                <w:szCs w:val="28"/>
              </w:rPr>
            </w:pPr>
            <w:r>
              <w:rPr>
                <w:rFonts w:hint="eastAsia" w:hAnsi="宋体" w:cs="宋体"/>
                <w:sz w:val="24"/>
                <w:szCs w:val="28"/>
              </w:rPr>
              <w:t>参加工作时间</w:t>
            </w:r>
          </w:p>
        </w:tc>
        <w:tc>
          <w:tcPr>
            <w:tcW w:w="1561" w:type="dxa"/>
            <w:vAlign w:val="center"/>
          </w:tcPr>
          <w:p w14:paraId="5B60623E">
            <w:pPr>
              <w:jc w:val="center"/>
              <w:rPr>
                <w:rFonts w:hAnsi="宋体" w:cs="宋体"/>
                <w:sz w:val="24"/>
                <w:szCs w:val="28"/>
              </w:rPr>
            </w:pPr>
          </w:p>
        </w:tc>
        <w:tc>
          <w:tcPr>
            <w:tcW w:w="3258" w:type="dxa"/>
            <w:gridSpan w:val="2"/>
            <w:vAlign w:val="center"/>
          </w:tcPr>
          <w:p w14:paraId="3517D054">
            <w:pPr>
              <w:jc w:val="center"/>
              <w:rPr>
                <w:rFonts w:hAnsi="宋体" w:cs="宋体"/>
                <w:sz w:val="24"/>
                <w:szCs w:val="28"/>
              </w:rPr>
            </w:pPr>
            <w:r>
              <w:rPr>
                <w:rFonts w:hint="eastAsia" w:hAnsi="宋体" w:cs="宋体"/>
                <w:sz w:val="24"/>
                <w:szCs w:val="28"/>
              </w:rPr>
              <w:t>从事技术负责人年限</w:t>
            </w:r>
          </w:p>
        </w:tc>
        <w:tc>
          <w:tcPr>
            <w:tcW w:w="1563" w:type="dxa"/>
            <w:vAlign w:val="center"/>
          </w:tcPr>
          <w:p w14:paraId="5761EA50">
            <w:pPr>
              <w:jc w:val="center"/>
              <w:rPr>
                <w:rFonts w:hAnsi="宋体" w:cs="宋体"/>
                <w:sz w:val="24"/>
                <w:szCs w:val="28"/>
              </w:rPr>
            </w:pPr>
          </w:p>
        </w:tc>
      </w:tr>
      <w:tr w14:paraId="7D31B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3007" w:type="dxa"/>
            <w:gridSpan w:val="2"/>
            <w:vAlign w:val="center"/>
          </w:tcPr>
          <w:p w14:paraId="24ADF472">
            <w:pPr>
              <w:jc w:val="center"/>
              <w:rPr>
                <w:rFonts w:hAnsi="宋体" w:cs="宋体"/>
                <w:sz w:val="24"/>
                <w:szCs w:val="28"/>
              </w:rPr>
            </w:pPr>
            <w:r>
              <w:rPr>
                <w:rFonts w:hint="eastAsia" w:hAnsi="宋体" w:cs="宋体"/>
                <w:sz w:val="24"/>
                <w:szCs w:val="28"/>
              </w:rPr>
              <w:t>资格证书名称及编号</w:t>
            </w:r>
          </w:p>
        </w:tc>
        <w:tc>
          <w:tcPr>
            <w:tcW w:w="6382" w:type="dxa"/>
            <w:gridSpan w:val="4"/>
            <w:vAlign w:val="center"/>
          </w:tcPr>
          <w:p w14:paraId="135DCA1F">
            <w:pPr>
              <w:jc w:val="center"/>
              <w:rPr>
                <w:rFonts w:hAnsi="宋体" w:cs="宋体"/>
                <w:sz w:val="24"/>
                <w:szCs w:val="28"/>
              </w:rPr>
            </w:pPr>
          </w:p>
        </w:tc>
      </w:tr>
      <w:tr w14:paraId="041C5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9389" w:type="dxa"/>
            <w:gridSpan w:val="6"/>
            <w:vAlign w:val="center"/>
          </w:tcPr>
          <w:p w14:paraId="21C4CDA6">
            <w:pPr>
              <w:jc w:val="center"/>
              <w:rPr>
                <w:rFonts w:hAnsi="宋体" w:cs="宋体"/>
                <w:sz w:val="24"/>
                <w:szCs w:val="28"/>
                <w:lang w:eastAsia="zh-CN"/>
              </w:rPr>
            </w:pPr>
            <w:r>
              <w:rPr>
                <w:rFonts w:hint="eastAsia" w:hAnsi="宋体" w:cs="宋体"/>
                <w:sz w:val="24"/>
                <w:szCs w:val="28"/>
                <w:lang w:eastAsia="zh-CN"/>
              </w:rPr>
              <w:t>在建和已完工程项目情况</w:t>
            </w:r>
          </w:p>
        </w:tc>
      </w:tr>
      <w:tr w14:paraId="2BFE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46" w:type="dxa"/>
            <w:vAlign w:val="center"/>
          </w:tcPr>
          <w:p w14:paraId="5C9ADBB1">
            <w:pPr>
              <w:jc w:val="center"/>
              <w:rPr>
                <w:rFonts w:hAnsi="宋体" w:cs="宋体"/>
                <w:sz w:val="24"/>
                <w:szCs w:val="28"/>
              </w:rPr>
            </w:pPr>
            <w:r>
              <w:rPr>
                <w:rFonts w:hint="eastAsia" w:hAnsi="宋体" w:cs="宋体"/>
                <w:sz w:val="24"/>
                <w:szCs w:val="28"/>
              </w:rPr>
              <w:t>建设单位</w:t>
            </w:r>
          </w:p>
        </w:tc>
        <w:tc>
          <w:tcPr>
            <w:tcW w:w="1561" w:type="dxa"/>
            <w:vAlign w:val="center"/>
          </w:tcPr>
          <w:p w14:paraId="0ECFDFA3">
            <w:pPr>
              <w:jc w:val="center"/>
              <w:rPr>
                <w:rFonts w:hAnsi="宋体" w:cs="宋体"/>
                <w:sz w:val="24"/>
                <w:szCs w:val="28"/>
              </w:rPr>
            </w:pPr>
            <w:r>
              <w:rPr>
                <w:rFonts w:hint="eastAsia" w:hAnsi="宋体" w:cs="宋体"/>
                <w:sz w:val="24"/>
                <w:szCs w:val="28"/>
              </w:rPr>
              <w:t>项目名称</w:t>
            </w:r>
          </w:p>
        </w:tc>
        <w:tc>
          <w:tcPr>
            <w:tcW w:w="1561" w:type="dxa"/>
            <w:vAlign w:val="center"/>
          </w:tcPr>
          <w:p w14:paraId="24F25381">
            <w:pPr>
              <w:jc w:val="center"/>
              <w:rPr>
                <w:rFonts w:hAnsi="宋体" w:cs="宋体"/>
                <w:sz w:val="24"/>
                <w:szCs w:val="28"/>
              </w:rPr>
            </w:pPr>
            <w:r>
              <w:rPr>
                <w:rFonts w:hint="eastAsia" w:hAnsi="宋体" w:cs="宋体"/>
                <w:sz w:val="24"/>
                <w:szCs w:val="28"/>
              </w:rPr>
              <w:t>建设规模</w:t>
            </w:r>
          </w:p>
        </w:tc>
        <w:tc>
          <w:tcPr>
            <w:tcW w:w="1696" w:type="dxa"/>
            <w:vAlign w:val="center"/>
          </w:tcPr>
          <w:p w14:paraId="30BB85C0">
            <w:pPr>
              <w:jc w:val="center"/>
              <w:rPr>
                <w:rFonts w:hAnsi="宋体" w:cs="宋体"/>
                <w:sz w:val="24"/>
                <w:szCs w:val="28"/>
              </w:rPr>
            </w:pPr>
            <w:r>
              <w:rPr>
                <w:rFonts w:hint="eastAsia" w:hAnsi="宋体" w:cs="宋体"/>
                <w:sz w:val="24"/>
                <w:szCs w:val="28"/>
              </w:rPr>
              <w:t>开、竣工日期</w:t>
            </w:r>
          </w:p>
        </w:tc>
        <w:tc>
          <w:tcPr>
            <w:tcW w:w="1562" w:type="dxa"/>
            <w:vAlign w:val="center"/>
          </w:tcPr>
          <w:p w14:paraId="0330AF1A">
            <w:pPr>
              <w:jc w:val="center"/>
              <w:rPr>
                <w:rFonts w:hAnsi="宋体" w:cs="宋体"/>
                <w:sz w:val="24"/>
                <w:szCs w:val="28"/>
              </w:rPr>
            </w:pPr>
            <w:r>
              <w:rPr>
                <w:rFonts w:hint="eastAsia" w:hAnsi="宋体" w:cs="宋体"/>
                <w:sz w:val="24"/>
                <w:szCs w:val="28"/>
              </w:rPr>
              <w:t>在建或已完</w:t>
            </w:r>
          </w:p>
        </w:tc>
        <w:tc>
          <w:tcPr>
            <w:tcW w:w="1563" w:type="dxa"/>
            <w:vAlign w:val="center"/>
          </w:tcPr>
          <w:p w14:paraId="6CD44C17">
            <w:pPr>
              <w:jc w:val="center"/>
              <w:rPr>
                <w:rFonts w:hAnsi="宋体" w:cs="宋体"/>
                <w:sz w:val="24"/>
                <w:szCs w:val="28"/>
              </w:rPr>
            </w:pPr>
            <w:r>
              <w:rPr>
                <w:rFonts w:hint="eastAsia" w:hAnsi="宋体" w:cs="宋体"/>
                <w:sz w:val="24"/>
                <w:szCs w:val="28"/>
              </w:rPr>
              <w:t>工程质量</w:t>
            </w:r>
          </w:p>
        </w:tc>
      </w:tr>
      <w:tr w14:paraId="0D1D7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446" w:type="dxa"/>
            <w:vAlign w:val="center"/>
          </w:tcPr>
          <w:p w14:paraId="66422151">
            <w:pPr>
              <w:jc w:val="center"/>
              <w:rPr>
                <w:rFonts w:hAnsi="宋体" w:cs="宋体"/>
                <w:sz w:val="24"/>
                <w:szCs w:val="28"/>
              </w:rPr>
            </w:pPr>
          </w:p>
        </w:tc>
        <w:tc>
          <w:tcPr>
            <w:tcW w:w="1561" w:type="dxa"/>
            <w:vAlign w:val="center"/>
          </w:tcPr>
          <w:p w14:paraId="6825B89F">
            <w:pPr>
              <w:jc w:val="center"/>
              <w:rPr>
                <w:rFonts w:hAnsi="宋体" w:cs="宋体"/>
                <w:sz w:val="24"/>
                <w:szCs w:val="28"/>
              </w:rPr>
            </w:pPr>
          </w:p>
        </w:tc>
        <w:tc>
          <w:tcPr>
            <w:tcW w:w="1561" w:type="dxa"/>
            <w:vAlign w:val="center"/>
          </w:tcPr>
          <w:p w14:paraId="110EB0DB">
            <w:pPr>
              <w:jc w:val="center"/>
              <w:rPr>
                <w:rFonts w:hAnsi="宋体" w:cs="宋体"/>
                <w:sz w:val="24"/>
                <w:szCs w:val="28"/>
              </w:rPr>
            </w:pPr>
          </w:p>
        </w:tc>
        <w:tc>
          <w:tcPr>
            <w:tcW w:w="1696" w:type="dxa"/>
            <w:vAlign w:val="center"/>
          </w:tcPr>
          <w:p w14:paraId="405099FD">
            <w:pPr>
              <w:jc w:val="center"/>
              <w:rPr>
                <w:rFonts w:hAnsi="宋体" w:cs="宋体"/>
                <w:sz w:val="24"/>
                <w:szCs w:val="28"/>
              </w:rPr>
            </w:pPr>
          </w:p>
        </w:tc>
        <w:tc>
          <w:tcPr>
            <w:tcW w:w="1562" w:type="dxa"/>
            <w:vAlign w:val="center"/>
          </w:tcPr>
          <w:p w14:paraId="7C5714A5">
            <w:pPr>
              <w:jc w:val="center"/>
              <w:rPr>
                <w:rFonts w:hAnsi="宋体" w:cs="宋体"/>
                <w:sz w:val="24"/>
                <w:szCs w:val="28"/>
              </w:rPr>
            </w:pPr>
          </w:p>
        </w:tc>
        <w:tc>
          <w:tcPr>
            <w:tcW w:w="1563" w:type="dxa"/>
            <w:vAlign w:val="center"/>
          </w:tcPr>
          <w:p w14:paraId="23AD5EC7">
            <w:pPr>
              <w:jc w:val="center"/>
              <w:rPr>
                <w:rFonts w:hAnsi="宋体" w:cs="宋体"/>
                <w:sz w:val="24"/>
                <w:szCs w:val="28"/>
              </w:rPr>
            </w:pPr>
          </w:p>
        </w:tc>
      </w:tr>
      <w:tr w14:paraId="40AFE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446" w:type="dxa"/>
            <w:vAlign w:val="center"/>
          </w:tcPr>
          <w:p w14:paraId="25303A02">
            <w:pPr>
              <w:jc w:val="center"/>
              <w:rPr>
                <w:rFonts w:hAnsi="宋体" w:cs="宋体"/>
                <w:sz w:val="24"/>
                <w:szCs w:val="28"/>
              </w:rPr>
            </w:pPr>
          </w:p>
        </w:tc>
        <w:tc>
          <w:tcPr>
            <w:tcW w:w="1561" w:type="dxa"/>
            <w:vAlign w:val="center"/>
          </w:tcPr>
          <w:p w14:paraId="26A792E0">
            <w:pPr>
              <w:jc w:val="center"/>
              <w:rPr>
                <w:rFonts w:hAnsi="宋体" w:cs="宋体"/>
                <w:sz w:val="24"/>
                <w:szCs w:val="28"/>
              </w:rPr>
            </w:pPr>
          </w:p>
        </w:tc>
        <w:tc>
          <w:tcPr>
            <w:tcW w:w="1561" w:type="dxa"/>
            <w:vAlign w:val="center"/>
          </w:tcPr>
          <w:p w14:paraId="5E369557">
            <w:pPr>
              <w:jc w:val="center"/>
              <w:rPr>
                <w:rFonts w:hAnsi="宋体" w:cs="宋体"/>
                <w:sz w:val="24"/>
                <w:szCs w:val="28"/>
              </w:rPr>
            </w:pPr>
          </w:p>
        </w:tc>
        <w:tc>
          <w:tcPr>
            <w:tcW w:w="1696" w:type="dxa"/>
            <w:vAlign w:val="center"/>
          </w:tcPr>
          <w:p w14:paraId="4BFDDE7A">
            <w:pPr>
              <w:jc w:val="center"/>
              <w:rPr>
                <w:rFonts w:hAnsi="宋体" w:cs="宋体"/>
                <w:sz w:val="24"/>
                <w:szCs w:val="28"/>
              </w:rPr>
            </w:pPr>
          </w:p>
        </w:tc>
        <w:tc>
          <w:tcPr>
            <w:tcW w:w="1562" w:type="dxa"/>
            <w:vAlign w:val="center"/>
          </w:tcPr>
          <w:p w14:paraId="3F78B5EC">
            <w:pPr>
              <w:jc w:val="center"/>
              <w:rPr>
                <w:rFonts w:hAnsi="宋体" w:cs="宋体"/>
                <w:sz w:val="24"/>
                <w:szCs w:val="28"/>
              </w:rPr>
            </w:pPr>
          </w:p>
        </w:tc>
        <w:tc>
          <w:tcPr>
            <w:tcW w:w="1563" w:type="dxa"/>
            <w:vAlign w:val="center"/>
          </w:tcPr>
          <w:p w14:paraId="4E6BEB65">
            <w:pPr>
              <w:jc w:val="center"/>
              <w:rPr>
                <w:rFonts w:hAnsi="宋体" w:cs="宋体"/>
                <w:sz w:val="24"/>
                <w:szCs w:val="28"/>
              </w:rPr>
            </w:pPr>
          </w:p>
        </w:tc>
      </w:tr>
      <w:tr w14:paraId="08217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446" w:type="dxa"/>
            <w:vAlign w:val="center"/>
          </w:tcPr>
          <w:p w14:paraId="7E85C75C">
            <w:pPr>
              <w:jc w:val="center"/>
              <w:rPr>
                <w:rFonts w:hAnsi="宋体" w:cs="宋体"/>
                <w:sz w:val="24"/>
                <w:szCs w:val="28"/>
              </w:rPr>
            </w:pPr>
          </w:p>
        </w:tc>
        <w:tc>
          <w:tcPr>
            <w:tcW w:w="1561" w:type="dxa"/>
            <w:vAlign w:val="center"/>
          </w:tcPr>
          <w:p w14:paraId="7EFCB72D">
            <w:pPr>
              <w:jc w:val="center"/>
              <w:rPr>
                <w:rFonts w:hAnsi="宋体" w:cs="宋体"/>
                <w:sz w:val="24"/>
                <w:szCs w:val="28"/>
              </w:rPr>
            </w:pPr>
          </w:p>
        </w:tc>
        <w:tc>
          <w:tcPr>
            <w:tcW w:w="1561" w:type="dxa"/>
            <w:vAlign w:val="center"/>
          </w:tcPr>
          <w:p w14:paraId="2A700414">
            <w:pPr>
              <w:jc w:val="center"/>
              <w:rPr>
                <w:rFonts w:hAnsi="宋体" w:cs="宋体"/>
                <w:sz w:val="24"/>
                <w:szCs w:val="28"/>
              </w:rPr>
            </w:pPr>
          </w:p>
        </w:tc>
        <w:tc>
          <w:tcPr>
            <w:tcW w:w="1696" w:type="dxa"/>
            <w:vAlign w:val="center"/>
          </w:tcPr>
          <w:p w14:paraId="147C2324">
            <w:pPr>
              <w:jc w:val="center"/>
              <w:rPr>
                <w:rFonts w:hAnsi="宋体" w:cs="宋体"/>
                <w:sz w:val="24"/>
                <w:szCs w:val="28"/>
              </w:rPr>
            </w:pPr>
          </w:p>
        </w:tc>
        <w:tc>
          <w:tcPr>
            <w:tcW w:w="1562" w:type="dxa"/>
            <w:vAlign w:val="center"/>
          </w:tcPr>
          <w:p w14:paraId="785926AD">
            <w:pPr>
              <w:jc w:val="center"/>
              <w:rPr>
                <w:rFonts w:hAnsi="宋体" w:cs="宋体"/>
                <w:sz w:val="24"/>
                <w:szCs w:val="28"/>
              </w:rPr>
            </w:pPr>
          </w:p>
        </w:tc>
        <w:tc>
          <w:tcPr>
            <w:tcW w:w="1563" w:type="dxa"/>
            <w:vAlign w:val="center"/>
          </w:tcPr>
          <w:p w14:paraId="5F489E2D">
            <w:pPr>
              <w:jc w:val="center"/>
              <w:rPr>
                <w:rFonts w:hAnsi="宋体" w:cs="宋体"/>
                <w:sz w:val="24"/>
                <w:szCs w:val="28"/>
              </w:rPr>
            </w:pPr>
          </w:p>
        </w:tc>
      </w:tr>
      <w:tr w14:paraId="5C5F0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446" w:type="dxa"/>
            <w:vAlign w:val="center"/>
          </w:tcPr>
          <w:p w14:paraId="4A10C81F">
            <w:pPr>
              <w:jc w:val="center"/>
              <w:rPr>
                <w:rFonts w:hAnsi="宋体" w:cs="宋体"/>
                <w:sz w:val="24"/>
                <w:szCs w:val="28"/>
              </w:rPr>
            </w:pPr>
          </w:p>
        </w:tc>
        <w:tc>
          <w:tcPr>
            <w:tcW w:w="1561" w:type="dxa"/>
            <w:vAlign w:val="center"/>
          </w:tcPr>
          <w:p w14:paraId="713AD2C3">
            <w:pPr>
              <w:jc w:val="center"/>
              <w:rPr>
                <w:rFonts w:hAnsi="宋体" w:cs="宋体"/>
                <w:sz w:val="24"/>
                <w:szCs w:val="28"/>
              </w:rPr>
            </w:pPr>
          </w:p>
        </w:tc>
        <w:tc>
          <w:tcPr>
            <w:tcW w:w="1561" w:type="dxa"/>
            <w:vAlign w:val="center"/>
          </w:tcPr>
          <w:p w14:paraId="00AD6DFA">
            <w:pPr>
              <w:jc w:val="center"/>
              <w:rPr>
                <w:rFonts w:hAnsi="宋体" w:cs="宋体"/>
                <w:sz w:val="24"/>
                <w:szCs w:val="28"/>
              </w:rPr>
            </w:pPr>
          </w:p>
        </w:tc>
        <w:tc>
          <w:tcPr>
            <w:tcW w:w="1696" w:type="dxa"/>
            <w:vAlign w:val="center"/>
          </w:tcPr>
          <w:p w14:paraId="6FCEA7E2">
            <w:pPr>
              <w:jc w:val="center"/>
              <w:rPr>
                <w:rFonts w:hAnsi="宋体" w:cs="宋体"/>
                <w:sz w:val="24"/>
                <w:szCs w:val="28"/>
              </w:rPr>
            </w:pPr>
          </w:p>
        </w:tc>
        <w:tc>
          <w:tcPr>
            <w:tcW w:w="1562" w:type="dxa"/>
            <w:vAlign w:val="center"/>
          </w:tcPr>
          <w:p w14:paraId="5E91E225">
            <w:pPr>
              <w:jc w:val="center"/>
              <w:rPr>
                <w:rFonts w:hAnsi="宋体" w:cs="宋体"/>
                <w:sz w:val="24"/>
                <w:szCs w:val="28"/>
              </w:rPr>
            </w:pPr>
          </w:p>
        </w:tc>
        <w:tc>
          <w:tcPr>
            <w:tcW w:w="1563" w:type="dxa"/>
            <w:vAlign w:val="center"/>
          </w:tcPr>
          <w:p w14:paraId="131CD96C">
            <w:pPr>
              <w:jc w:val="center"/>
              <w:rPr>
                <w:rFonts w:hAnsi="宋体" w:cs="宋体"/>
                <w:sz w:val="24"/>
                <w:szCs w:val="28"/>
              </w:rPr>
            </w:pPr>
          </w:p>
        </w:tc>
      </w:tr>
      <w:tr w14:paraId="39365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446" w:type="dxa"/>
            <w:vAlign w:val="center"/>
          </w:tcPr>
          <w:p w14:paraId="4B12BD60">
            <w:pPr>
              <w:jc w:val="center"/>
              <w:rPr>
                <w:rFonts w:hAnsi="宋体" w:cs="宋体"/>
                <w:sz w:val="24"/>
                <w:szCs w:val="28"/>
              </w:rPr>
            </w:pPr>
          </w:p>
        </w:tc>
        <w:tc>
          <w:tcPr>
            <w:tcW w:w="1561" w:type="dxa"/>
            <w:vAlign w:val="center"/>
          </w:tcPr>
          <w:p w14:paraId="53C73B9A">
            <w:pPr>
              <w:jc w:val="center"/>
              <w:rPr>
                <w:rFonts w:hAnsi="宋体" w:cs="宋体"/>
                <w:sz w:val="24"/>
                <w:szCs w:val="28"/>
              </w:rPr>
            </w:pPr>
          </w:p>
        </w:tc>
        <w:tc>
          <w:tcPr>
            <w:tcW w:w="1561" w:type="dxa"/>
            <w:vAlign w:val="center"/>
          </w:tcPr>
          <w:p w14:paraId="26EB7E85">
            <w:pPr>
              <w:jc w:val="center"/>
              <w:rPr>
                <w:rFonts w:hAnsi="宋体" w:cs="宋体"/>
                <w:sz w:val="24"/>
                <w:szCs w:val="28"/>
              </w:rPr>
            </w:pPr>
          </w:p>
        </w:tc>
        <w:tc>
          <w:tcPr>
            <w:tcW w:w="1696" w:type="dxa"/>
            <w:vAlign w:val="center"/>
          </w:tcPr>
          <w:p w14:paraId="730A829C">
            <w:pPr>
              <w:jc w:val="center"/>
              <w:rPr>
                <w:rFonts w:hAnsi="宋体" w:cs="宋体"/>
                <w:sz w:val="24"/>
                <w:szCs w:val="28"/>
              </w:rPr>
            </w:pPr>
          </w:p>
        </w:tc>
        <w:tc>
          <w:tcPr>
            <w:tcW w:w="1562" w:type="dxa"/>
            <w:vAlign w:val="center"/>
          </w:tcPr>
          <w:p w14:paraId="71924B86">
            <w:pPr>
              <w:jc w:val="center"/>
              <w:rPr>
                <w:rFonts w:hAnsi="宋体" w:cs="宋体"/>
                <w:sz w:val="24"/>
                <w:szCs w:val="28"/>
              </w:rPr>
            </w:pPr>
          </w:p>
        </w:tc>
        <w:tc>
          <w:tcPr>
            <w:tcW w:w="1563" w:type="dxa"/>
            <w:vAlign w:val="center"/>
          </w:tcPr>
          <w:p w14:paraId="1D81916D">
            <w:pPr>
              <w:jc w:val="center"/>
              <w:rPr>
                <w:rFonts w:hAnsi="宋体" w:cs="宋体"/>
                <w:sz w:val="24"/>
                <w:szCs w:val="28"/>
              </w:rPr>
            </w:pPr>
          </w:p>
        </w:tc>
      </w:tr>
      <w:tr w14:paraId="4B39B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446" w:type="dxa"/>
            <w:vAlign w:val="center"/>
          </w:tcPr>
          <w:p w14:paraId="57513ECB">
            <w:pPr>
              <w:jc w:val="center"/>
              <w:rPr>
                <w:rFonts w:hAnsi="宋体" w:cs="宋体"/>
                <w:sz w:val="24"/>
                <w:szCs w:val="28"/>
              </w:rPr>
            </w:pPr>
          </w:p>
        </w:tc>
        <w:tc>
          <w:tcPr>
            <w:tcW w:w="1561" w:type="dxa"/>
            <w:vAlign w:val="center"/>
          </w:tcPr>
          <w:p w14:paraId="6AE73DD3">
            <w:pPr>
              <w:jc w:val="center"/>
              <w:rPr>
                <w:rFonts w:hAnsi="宋体" w:cs="宋体"/>
                <w:sz w:val="24"/>
                <w:szCs w:val="28"/>
              </w:rPr>
            </w:pPr>
          </w:p>
        </w:tc>
        <w:tc>
          <w:tcPr>
            <w:tcW w:w="1561" w:type="dxa"/>
            <w:vAlign w:val="center"/>
          </w:tcPr>
          <w:p w14:paraId="2CC559EC">
            <w:pPr>
              <w:jc w:val="center"/>
              <w:rPr>
                <w:rFonts w:hAnsi="宋体" w:cs="宋体"/>
                <w:sz w:val="24"/>
                <w:szCs w:val="28"/>
              </w:rPr>
            </w:pPr>
          </w:p>
        </w:tc>
        <w:tc>
          <w:tcPr>
            <w:tcW w:w="1696" w:type="dxa"/>
            <w:vAlign w:val="center"/>
          </w:tcPr>
          <w:p w14:paraId="18F7B88B">
            <w:pPr>
              <w:jc w:val="center"/>
              <w:rPr>
                <w:rFonts w:hAnsi="宋体" w:cs="宋体"/>
                <w:sz w:val="24"/>
                <w:szCs w:val="28"/>
              </w:rPr>
            </w:pPr>
          </w:p>
        </w:tc>
        <w:tc>
          <w:tcPr>
            <w:tcW w:w="1562" w:type="dxa"/>
            <w:vAlign w:val="center"/>
          </w:tcPr>
          <w:p w14:paraId="22FA7D5B">
            <w:pPr>
              <w:jc w:val="center"/>
              <w:rPr>
                <w:rFonts w:hAnsi="宋体" w:cs="宋体"/>
                <w:sz w:val="24"/>
                <w:szCs w:val="28"/>
              </w:rPr>
            </w:pPr>
          </w:p>
        </w:tc>
        <w:tc>
          <w:tcPr>
            <w:tcW w:w="1563" w:type="dxa"/>
            <w:vAlign w:val="center"/>
          </w:tcPr>
          <w:p w14:paraId="739C2519">
            <w:pPr>
              <w:jc w:val="center"/>
              <w:rPr>
                <w:rFonts w:hAnsi="宋体" w:cs="宋体"/>
                <w:sz w:val="24"/>
                <w:szCs w:val="28"/>
              </w:rPr>
            </w:pPr>
          </w:p>
        </w:tc>
      </w:tr>
      <w:tr w14:paraId="6BD92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446" w:type="dxa"/>
            <w:vAlign w:val="center"/>
          </w:tcPr>
          <w:p w14:paraId="5E415CDF">
            <w:pPr>
              <w:jc w:val="center"/>
              <w:rPr>
                <w:rFonts w:hAnsi="宋体" w:cs="宋体"/>
                <w:sz w:val="24"/>
                <w:szCs w:val="28"/>
              </w:rPr>
            </w:pPr>
          </w:p>
        </w:tc>
        <w:tc>
          <w:tcPr>
            <w:tcW w:w="1561" w:type="dxa"/>
            <w:vAlign w:val="center"/>
          </w:tcPr>
          <w:p w14:paraId="22931541">
            <w:pPr>
              <w:jc w:val="center"/>
              <w:rPr>
                <w:rFonts w:hAnsi="宋体" w:cs="宋体"/>
                <w:sz w:val="24"/>
                <w:szCs w:val="28"/>
              </w:rPr>
            </w:pPr>
          </w:p>
        </w:tc>
        <w:tc>
          <w:tcPr>
            <w:tcW w:w="1561" w:type="dxa"/>
            <w:vAlign w:val="center"/>
          </w:tcPr>
          <w:p w14:paraId="0C485141">
            <w:pPr>
              <w:jc w:val="center"/>
              <w:rPr>
                <w:rFonts w:hAnsi="宋体" w:cs="宋体"/>
                <w:sz w:val="24"/>
                <w:szCs w:val="28"/>
              </w:rPr>
            </w:pPr>
          </w:p>
        </w:tc>
        <w:tc>
          <w:tcPr>
            <w:tcW w:w="1696" w:type="dxa"/>
            <w:vAlign w:val="center"/>
          </w:tcPr>
          <w:p w14:paraId="7AA82EE9">
            <w:pPr>
              <w:jc w:val="center"/>
              <w:rPr>
                <w:rFonts w:hAnsi="宋体" w:cs="宋体"/>
                <w:sz w:val="24"/>
                <w:szCs w:val="28"/>
              </w:rPr>
            </w:pPr>
          </w:p>
        </w:tc>
        <w:tc>
          <w:tcPr>
            <w:tcW w:w="1562" w:type="dxa"/>
            <w:vAlign w:val="center"/>
          </w:tcPr>
          <w:p w14:paraId="643694FF">
            <w:pPr>
              <w:jc w:val="center"/>
              <w:rPr>
                <w:rFonts w:hAnsi="宋体" w:cs="宋体"/>
                <w:sz w:val="24"/>
                <w:szCs w:val="28"/>
              </w:rPr>
            </w:pPr>
          </w:p>
        </w:tc>
        <w:tc>
          <w:tcPr>
            <w:tcW w:w="1563" w:type="dxa"/>
            <w:vAlign w:val="center"/>
          </w:tcPr>
          <w:p w14:paraId="1279E14B">
            <w:pPr>
              <w:jc w:val="center"/>
              <w:rPr>
                <w:rFonts w:hAnsi="宋体" w:cs="宋体"/>
                <w:sz w:val="24"/>
                <w:szCs w:val="28"/>
              </w:rPr>
            </w:pPr>
          </w:p>
        </w:tc>
      </w:tr>
      <w:tr w14:paraId="3B686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446" w:type="dxa"/>
            <w:vAlign w:val="center"/>
          </w:tcPr>
          <w:p w14:paraId="3D7B5864">
            <w:pPr>
              <w:jc w:val="center"/>
              <w:rPr>
                <w:rFonts w:hAnsi="宋体" w:cs="宋体"/>
                <w:sz w:val="24"/>
                <w:szCs w:val="28"/>
              </w:rPr>
            </w:pPr>
          </w:p>
        </w:tc>
        <w:tc>
          <w:tcPr>
            <w:tcW w:w="1561" w:type="dxa"/>
            <w:vAlign w:val="center"/>
          </w:tcPr>
          <w:p w14:paraId="1F664732">
            <w:pPr>
              <w:jc w:val="center"/>
              <w:rPr>
                <w:rFonts w:hAnsi="宋体" w:cs="宋体"/>
                <w:sz w:val="24"/>
                <w:szCs w:val="28"/>
              </w:rPr>
            </w:pPr>
          </w:p>
        </w:tc>
        <w:tc>
          <w:tcPr>
            <w:tcW w:w="1561" w:type="dxa"/>
            <w:vAlign w:val="center"/>
          </w:tcPr>
          <w:p w14:paraId="28CB2AA2">
            <w:pPr>
              <w:jc w:val="center"/>
              <w:rPr>
                <w:rFonts w:hAnsi="宋体" w:cs="宋体"/>
                <w:sz w:val="24"/>
                <w:szCs w:val="28"/>
              </w:rPr>
            </w:pPr>
          </w:p>
        </w:tc>
        <w:tc>
          <w:tcPr>
            <w:tcW w:w="1696" w:type="dxa"/>
            <w:vAlign w:val="center"/>
          </w:tcPr>
          <w:p w14:paraId="7465759D">
            <w:pPr>
              <w:jc w:val="center"/>
              <w:rPr>
                <w:rFonts w:hAnsi="宋体" w:cs="宋体"/>
                <w:sz w:val="24"/>
                <w:szCs w:val="28"/>
              </w:rPr>
            </w:pPr>
          </w:p>
        </w:tc>
        <w:tc>
          <w:tcPr>
            <w:tcW w:w="1562" w:type="dxa"/>
            <w:vAlign w:val="center"/>
          </w:tcPr>
          <w:p w14:paraId="2C5C6DDC">
            <w:pPr>
              <w:jc w:val="center"/>
              <w:rPr>
                <w:rFonts w:hAnsi="宋体" w:cs="宋体"/>
                <w:sz w:val="24"/>
                <w:szCs w:val="28"/>
              </w:rPr>
            </w:pPr>
          </w:p>
        </w:tc>
        <w:tc>
          <w:tcPr>
            <w:tcW w:w="1563" w:type="dxa"/>
            <w:vAlign w:val="center"/>
          </w:tcPr>
          <w:p w14:paraId="211BD323">
            <w:pPr>
              <w:jc w:val="center"/>
              <w:rPr>
                <w:rFonts w:hAnsi="宋体" w:cs="宋体"/>
                <w:sz w:val="24"/>
                <w:szCs w:val="28"/>
              </w:rPr>
            </w:pPr>
          </w:p>
        </w:tc>
      </w:tr>
      <w:tr w14:paraId="43626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446" w:type="dxa"/>
            <w:vAlign w:val="center"/>
          </w:tcPr>
          <w:p w14:paraId="778F5E6E">
            <w:pPr>
              <w:jc w:val="center"/>
              <w:rPr>
                <w:rFonts w:hAnsi="宋体" w:cs="宋体"/>
                <w:sz w:val="24"/>
                <w:szCs w:val="28"/>
              </w:rPr>
            </w:pPr>
          </w:p>
        </w:tc>
        <w:tc>
          <w:tcPr>
            <w:tcW w:w="1561" w:type="dxa"/>
            <w:vAlign w:val="center"/>
          </w:tcPr>
          <w:p w14:paraId="16111E57">
            <w:pPr>
              <w:jc w:val="center"/>
              <w:rPr>
                <w:rFonts w:hAnsi="宋体" w:cs="宋体"/>
                <w:sz w:val="24"/>
                <w:szCs w:val="28"/>
              </w:rPr>
            </w:pPr>
          </w:p>
        </w:tc>
        <w:tc>
          <w:tcPr>
            <w:tcW w:w="1561" w:type="dxa"/>
            <w:vAlign w:val="center"/>
          </w:tcPr>
          <w:p w14:paraId="5A193BA8">
            <w:pPr>
              <w:jc w:val="center"/>
              <w:rPr>
                <w:rFonts w:hAnsi="宋体" w:cs="宋体"/>
                <w:sz w:val="24"/>
                <w:szCs w:val="28"/>
              </w:rPr>
            </w:pPr>
          </w:p>
        </w:tc>
        <w:tc>
          <w:tcPr>
            <w:tcW w:w="1696" w:type="dxa"/>
            <w:vAlign w:val="center"/>
          </w:tcPr>
          <w:p w14:paraId="72170C62">
            <w:pPr>
              <w:jc w:val="center"/>
              <w:rPr>
                <w:rFonts w:hAnsi="宋体" w:cs="宋体"/>
                <w:sz w:val="24"/>
                <w:szCs w:val="28"/>
              </w:rPr>
            </w:pPr>
          </w:p>
        </w:tc>
        <w:tc>
          <w:tcPr>
            <w:tcW w:w="1562" w:type="dxa"/>
            <w:vAlign w:val="center"/>
          </w:tcPr>
          <w:p w14:paraId="38DC1CB9">
            <w:pPr>
              <w:jc w:val="center"/>
              <w:rPr>
                <w:rFonts w:hAnsi="宋体" w:cs="宋体"/>
                <w:sz w:val="24"/>
                <w:szCs w:val="28"/>
              </w:rPr>
            </w:pPr>
          </w:p>
        </w:tc>
        <w:tc>
          <w:tcPr>
            <w:tcW w:w="1563" w:type="dxa"/>
            <w:vAlign w:val="center"/>
          </w:tcPr>
          <w:p w14:paraId="4E90EE25">
            <w:pPr>
              <w:jc w:val="center"/>
              <w:rPr>
                <w:rFonts w:hAnsi="宋体" w:cs="宋体"/>
                <w:sz w:val="24"/>
                <w:szCs w:val="28"/>
              </w:rPr>
            </w:pPr>
          </w:p>
        </w:tc>
      </w:tr>
      <w:tr w14:paraId="466E7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446" w:type="dxa"/>
            <w:vAlign w:val="center"/>
          </w:tcPr>
          <w:p w14:paraId="1FD9284B">
            <w:pPr>
              <w:jc w:val="center"/>
              <w:rPr>
                <w:rFonts w:hAnsi="宋体" w:cs="宋体"/>
                <w:sz w:val="24"/>
                <w:szCs w:val="28"/>
              </w:rPr>
            </w:pPr>
          </w:p>
        </w:tc>
        <w:tc>
          <w:tcPr>
            <w:tcW w:w="1561" w:type="dxa"/>
            <w:vAlign w:val="center"/>
          </w:tcPr>
          <w:p w14:paraId="49063139">
            <w:pPr>
              <w:jc w:val="center"/>
              <w:rPr>
                <w:rFonts w:hAnsi="宋体" w:cs="宋体"/>
                <w:sz w:val="24"/>
                <w:szCs w:val="28"/>
              </w:rPr>
            </w:pPr>
          </w:p>
        </w:tc>
        <w:tc>
          <w:tcPr>
            <w:tcW w:w="1561" w:type="dxa"/>
            <w:vAlign w:val="center"/>
          </w:tcPr>
          <w:p w14:paraId="30D52855">
            <w:pPr>
              <w:jc w:val="center"/>
              <w:rPr>
                <w:rFonts w:hAnsi="宋体" w:cs="宋体"/>
                <w:sz w:val="24"/>
                <w:szCs w:val="28"/>
              </w:rPr>
            </w:pPr>
          </w:p>
        </w:tc>
        <w:tc>
          <w:tcPr>
            <w:tcW w:w="1696" w:type="dxa"/>
            <w:vAlign w:val="center"/>
          </w:tcPr>
          <w:p w14:paraId="015D3AE3">
            <w:pPr>
              <w:jc w:val="center"/>
              <w:rPr>
                <w:rFonts w:hAnsi="宋体" w:cs="宋体"/>
                <w:sz w:val="24"/>
                <w:szCs w:val="28"/>
              </w:rPr>
            </w:pPr>
          </w:p>
        </w:tc>
        <w:tc>
          <w:tcPr>
            <w:tcW w:w="1562" w:type="dxa"/>
            <w:vAlign w:val="center"/>
          </w:tcPr>
          <w:p w14:paraId="6B9EA2F9">
            <w:pPr>
              <w:jc w:val="center"/>
              <w:rPr>
                <w:rFonts w:hAnsi="宋体" w:cs="宋体"/>
                <w:sz w:val="24"/>
                <w:szCs w:val="28"/>
              </w:rPr>
            </w:pPr>
          </w:p>
        </w:tc>
        <w:tc>
          <w:tcPr>
            <w:tcW w:w="1563" w:type="dxa"/>
            <w:vAlign w:val="center"/>
          </w:tcPr>
          <w:p w14:paraId="0BA867CB">
            <w:pPr>
              <w:jc w:val="center"/>
              <w:rPr>
                <w:rFonts w:hAnsi="宋体" w:cs="宋体"/>
                <w:sz w:val="24"/>
                <w:szCs w:val="28"/>
              </w:rPr>
            </w:pPr>
          </w:p>
        </w:tc>
      </w:tr>
      <w:tr w14:paraId="679CF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446" w:type="dxa"/>
            <w:vAlign w:val="center"/>
          </w:tcPr>
          <w:p w14:paraId="43FABD12">
            <w:pPr>
              <w:jc w:val="center"/>
              <w:rPr>
                <w:rFonts w:hAnsi="宋体" w:cs="宋体"/>
                <w:sz w:val="24"/>
                <w:szCs w:val="28"/>
              </w:rPr>
            </w:pPr>
          </w:p>
        </w:tc>
        <w:tc>
          <w:tcPr>
            <w:tcW w:w="1561" w:type="dxa"/>
            <w:vAlign w:val="center"/>
          </w:tcPr>
          <w:p w14:paraId="7EA8B1CC">
            <w:pPr>
              <w:jc w:val="center"/>
              <w:rPr>
                <w:rFonts w:hAnsi="宋体" w:cs="宋体"/>
                <w:sz w:val="24"/>
                <w:szCs w:val="28"/>
              </w:rPr>
            </w:pPr>
          </w:p>
        </w:tc>
        <w:tc>
          <w:tcPr>
            <w:tcW w:w="1561" w:type="dxa"/>
            <w:vAlign w:val="center"/>
          </w:tcPr>
          <w:p w14:paraId="3A91DC58">
            <w:pPr>
              <w:jc w:val="center"/>
              <w:rPr>
                <w:rFonts w:hAnsi="宋体" w:cs="宋体"/>
                <w:sz w:val="24"/>
                <w:szCs w:val="28"/>
              </w:rPr>
            </w:pPr>
          </w:p>
        </w:tc>
        <w:tc>
          <w:tcPr>
            <w:tcW w:w="1696" w:type="dxa"/>
            <w:vAlign w:val="center"/>
          </w:tcPr>
          <w:p w14:paraId="7F0642BA">
            <w:pPr>
              <w:jc w:val="center"/>
              <w:rPr>
                <w:rFonts w:hAnsi="宋体" w:cs="宋体"/>
                <w:sz w:val="24"/>
                <w:szCs w:val="28"/>
              </w:rPr>
            </w:pPr>
          </w:p>
        </w:tc>
        <w:tc>
          <w:tcPr>
            <w:tcW w:w="1562" w:type="dxa"/>
            <w:vAlign w:val="center"/>
          </w:tcPr>
          <w:p w14:paraId="50996ABB">
            <w:pPr>
              <w:jc w:val="center"/>
              <w:rPr>
                <w:rFonts w:hAnsi="宋体" w:cs="宋体"/>
                <w:sz w:val="24"/>
                <w:szCs w:val="28"/>
              </w:rPr>
            </w:pPr>
          </w:p>
        </w:tc>
        <w:tc>
          <w:tcPr>
            <w:tcW w:w="1563" w:type="dxa"/>
            <w:vAlign w:val="center"/>
          </w:tcPr>
          <w:p w14:paraId="1B4C1009">
            <w:pPr>
              <w:jc w:val="center"/>
              <w:rPr>
                <w:rFonts w:hAnsi="宋体" w:cs="宋体"/>
                <w:sz w:val="24"/>
                <w:szCs w:val="28"/>
              </w:rPr>
            </w:pPr>
          </w:p>
        </w:tc>
      </w:tr>
      <w:tr w14:paraId="05CF0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446" w:type="dxa"/>
            <w:vAlign w:val="center"/>
          </w:tcPr>
          <w:p w14:paraId="3AA90925">
            <w:pPr>
              <w:jc w:val="center"/>
              <w:rPr>
                <w:rFonts w:hAnsi="宋体" w:cs="宋体"/>
                <w:sz w:val="24"/>
                <w:szCs w:val="28"/>
              </w:rPr>
            </w:pPr>
          </w:p>
        </w:tc>
        <w:tc>
          <w:tcPr>
            <w:tcW w:w="1561" w:type="dxa"/>
            <w:vAlign w:val="center"/>
          </w:tcPr>
          <w:p w14:paraId="2BF84E2E">
            <w:pPr>
              <w:jc w:val="center"/>
              <w:rPr>
                <w:rFonts w:hAnsi="宋体" w:cs="宋体"/>
                <w:sz w:val="24"/>
                <w:szCs w:val="28"/>
              </w:rPr>
            </w:pPr>
          </w:p>
        </w:tc>
        <w:tc>
          <w:tcPr>
            <w:tcW w:w="1561" w:type="dxa"/>
            <w:vAlign w:val="center"/>
          </w:tcPr>
          <w:p w14:paraId="067A7843">
            <w:pPr>
              <w:jc w:val="center"/>
              <w:rPr>
                <w:rFonts w:hAnsi="宋体" w:cs="宋体"/>
                <w:sz w:val="24"/>
                <w:szCs w:val="28"/>
              </w:rPr>
            </w:pPr>
          </w:p>
        </w:tc>
        <w:tc>
          <w:tcPr>
            <w:tcW w:w="1696" w:type="dxa"/>
            <w:vAlign w:val="center"/>
          </w:tcPr>
          <w:p w14:paraId="4D1A7966">
            <w:pPr>
              <w:jc w:val="center"/>
              <w:rPr>
                <w:rFonts w:hAnsi="宋体" w:cs="宋体"/>
                <w:sz w:val="24"/>
                <w:szCs w:val="28"/>
              </w:rPr>
            </w:pPr>
          </w:p>
        </w:tc>
        <w:tc>
          <w:tcPr>
            <w:tcW w:w="1562" w:type="dxa"/>
            <w:vAlign w:val="center"/>
          </w:tcPr>
          <w:p w14:paraId="1A40F056">
            <w:pPr>
              <w:jc w:val="center"/>
              <w:rPr>
                <w:rFonts w:hAnsi="宋体" w:cs="宋体"/>
                <w:sz w:val="24"/>
                <w:szCs w:val="28"/>
              </w:rPr>
            </w:pPr>
          </w:p>
        </w:tc>
        <w:tc>
          <w:tcPr>
            <w:tcW w:w="1563" w:type="dxa"/>
            <w:vAlign w:val="center"/>
          </w:tcPr>
          <w:p w14:paraId="709ED552">
            <w:pPr>
              <w:jc w:val="center"/>
              <w:rPr>
                <w:rFonts w:hAnsi="宋体" w:cs="宋体"/>
                <w:sz w:val="24"/>
                <w:szCs w:val="28"/>
              </w:rPr>
            </w:pPr>
          </w:p>
        </w:tc>
      </w:tr>
      <w:tr w14:paraId="5452E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446" w:type="dxa"/>
            <w:vAlign w:val="center"/>
          </w:tcPr>
          <w:p w14:paraId="04FBB42B">
            <w:pPr>
              <w:jc w:val="center"/>
              <w:rPr>
                <w:rFonts w:hAnsi="宋体" w:cs="宋体"/>
                <w:sz w:val="24"/>
                <w:szCs w:val="28"/>
              </w:rPr>
            </w:pPr>
          </w:p>
        </w:tc>
        <w:tc>
          <w:tcPr>
            <w:tcW w:w="1561" w:type="dxa"/>
            <w:vAlign w:val="center"/>
          </w:tcPr>
          <w:p w14:paraId="38E0B099">
            <w:pPr>
              <w:jc w:val="center"/>
              <w:rPr>
                <w:rFonts w:hAnsi="宋体" w:cs="宋体"/>
                <w:sz w:val="24"/>
                <w:szCs w:val="28"/>
              </w:rPr>
            </w:pPr>
          </w:p>
        </w:tc>
        <w:tc>
          <w:tcPr>
            <w:tcW w:w="1561" w:type="dxa"/>
            <w:vAlign w:val="center"/>
          </w:tcPr>
          <w:p w14:paraId="07DE150D">
            <w:pPr>
              <w:jc w:val="center"/>
              <w:rPr>
                <w:rFonts w:hAnsi="宋体" w:cs="宋体"/>
                <w:sz w:val="24"/>
                <w:szCs w:val="28"/>
              </w:rPr>
            </w:pPr>
          </w:p>
        </w:tc>
        <w:tc>
          <w:tcPr>
            <w:tcW w:w="1696" w:type="dxa"/>
            <w:vAlign w:val="center"/>
          </w:tcPr>
          <w:p w14:paraId="659494EF">
            <w:pPr>
              <w:jc w:val="center"/>
              <w:rPr>
                <w:rFonts w:hAnsi="宋体" w:cs="宋体"/>
                <w:sz w:val="24"/>
                <w:szCs w:val="28"/>
              </w:rPr>
            </w:pPr>
          </w:p>
        </w:tc>
        <w:tc>
          <w:tcPr>
            <w:tcW w:w="1562" w:type="dxa"/>
            <w:vAlign w:val="center"/>
          </w:tcPr>
          <w:p w14:paraId="5B49F93D">
            <w:pPr>
              <w:jc w:val="center"/>
              <w:rPr>
                <w:rFonts w:hAnsi="宋体" w:cs="宋体"/>
                <w:sz w:val="24"/>
                <w:szCs w:val="28"/>
              </w:rPr>
            </w:pPr>
          </w:p>
        </w:tc>
        <w:tc>
          <w:tcPr>
            <w:tcW w:w="1563" w:type="dxa"/>
            <w:vAlign w:val="center"/>
          </w:tcPr>
          <w:p w14:paraId="32CF7423">
            <w:pPr>
              <w:jc w:val="center"/>
              <w:rPr>
                <w:rFonts w:hAnsi="宋体" w:cs="宋体"/>
                <w:sz w:val="24"/>
                <w:szCs w:val="28"/>
              </w:rPr>
            </w:pPr>
          </w:p>
        </w:tc>
      </w:tr>
    </w:tbl>
    <w:p w14:paraId="75EAC049">
      <w:pPr>
        <w:spacing w:line="360" w:lineRule="auto"/>
        <w:jc w:val="center"/>
        <w:rPr>
          <w:rFonts w:hAnsi="宋体" w:cs="宋体"/>
          <w:b/>
          <w:bCs/>
          <w:szCs w:val="28"/>
        </w:rPr>
      </w:pPr>
    </w:p>
    <w:p w14:paraId="70F89025">
      <w:pPr>
        <w:tabs>
          <w:tab w:val="left" w:pos="7020"/>
        </w:tabs>
        <w:spacing w:line="580" w:lineRule="exact"/>
        <w:rPr>
          <w:rFonts w:hint="eastAsia"/>
          <w:b/>
          <w:sz w:val="24"/>
        </w:rPr>
      </w:pPr>
      <w:r>
        <w:rPr>
          <w:rFonts w:hint="eastAsia"/>
          <w:b/>
          <w:sz w:val="24"/>
        </w:rPr>
        <w:t xml:space="preserve">     </w:t>
      </w:r>
    </w:p>
    <w:bookmarkEnd w:id="0"/>
    <w:p w14:paraId="17E477AB">
      <w:pPr>
        <w:tabs>
          <w:tab w:val="left" w:pos="7020"/>
        </w:tabs>
        <w:spacing w:line="460" w:lineRule="exact"/>
        <w:rPr>
          <w:rFonts w:hint="eastAsia"/>
          <w:sz w:val="24"/>
        </w:rPr>
      </w:pPr>
    </w:p>
    <w:bookmarkEnd w:id="1"/>
    <w:bookmarkEnd w:id="2"/>
    <w:p w14:paraId="1E19C830">
      <w:pPr>
        <w:tabs>
          <w:tab w:val="left" w:pos="7020"/>
        </w:tabs>
        <w:spacing w:line="360" w:lineRule="auto"/>
        <w:rPr>
          <w:rFonts w:hint="eastAsia"/>
          <w:sz w:val="24"/>
        </w:rPr>
      </w:pPr>
    </w:p>
    <w:bookmarkEnd w:id="3"/>
    <w:bookmarkEnd w:id="4"/>
    <w:bookmarkEnd w:id="5"/>
    <w:bookmarkEnd w:id="6"/>
    <w:bookmarkEnd w:id="7"/>
    <w:p w14:paraId="003082AF">
      <w:pPr>
        <w:tabs>
          <w:tab w:val="left" w:pos="7020"/>
        </w:tabs>
        <w:spacing w:line="360" w:lineRule="auto"/>
        <w:rPr>
          <w:rFonts w:hint="eastAsia"/>
          <w:sz w:val="24"/>
        </w:rPr>
      </w:pPr>
    </w:p>
    <w:bookmarkEnd w:id="8"/>
    <w:bookmarkEnd w:id="9"/>
    <w:bookmarkEnd w:id="10"/>
    <w:p w14:paraId="27723F7C">
      <w:pPr>
        <w:tabs>
          <w:tab w:val="left" w:pos="7020"/>
        </w:tabs>
        <w:rPr>
          <w:rFonts w:hint="eastAsia"/>
        </w:rPr>
      </w:pPr>
    </w:p>
    <w:bookmarkEnd w:id="11"/>
    <w:p w14:paraId="6B1F02D6">
      <w:pPr>
        <w:tabs>
          <w:tab w:val="left" w:pos="7020"/>
        </w:tabs>
        <w:rPr>
          <w:rFonts w:hint="eastAsia"/>
        </w:rPr>
      </w:pPr>
    </w:p>
    <w:bookmarkEnd w:id="12"/>
    <w:p w14:paraId="4FA0F4EB">
      <w:pPr>
        <w:tabs>
          <w:tab w:val="left" w:pos="7020"/>
        </w:tabs>
        <w:rPr>
          <w:rFonts w:hint="eastAsia"/>
        </w:rPr>
      </w:pPr>
    </w:p>
    <w:p w14:paraId="551492C7">
      <w:pPr>
        <w:tabs>
          <w:tab w:val="left" w:pos="7020"/>
        </w:tabs>
        <w:rPr>
          <w:rFonts w:hint="eastAsia"/>
        </w:rPr>
      </w:pPr>
    </w:p>
    <w:bookmarkEnd w:id="13"/>
    <w:p w14:paraId="4A14A21D">
      <w:pPr>
        <w:tabs>
          <w:tab w:val="left" w:pos="7020"/>
        </w:tabs>
        <w:rPr>
          <w:rFonts w:hint="eastAsia"/>
        </w:rPr>
      </w:pPr>
    </w:p>
    <w:p w14:paraId="1D6F5236">
      <w:pPr>
        <w:tabs>
          <w:tab w:val="left" w:pos="7020"/>
        </w:tabs>
        <w:rPr>
          <w:rFonts w:hint="eastAsia"/>
        </w:rPr>
      </w:pPr>
    </w:p>
    <w:p w14:paraId="055CCE29">
      <w:pPr>
        <w:tabs>
          <w:tab w:val="left" w:pos="7020"/>
        </w:tabs>
        <w:rPr>
          <w:rFonts w:hint="eastAsia"/>
        </w:rPr>
      </w:pPr>
    </w:p>
    <w:p w14:paraId="1B0DA439">
      <w:pPr>
        <w:tabs>
          <w:tab w:val="left" w:pos="7020"/>
        </w:tabs>
        <w:rPr>
          <w:rFonts w:hint="eastAsia"/>
        </w:rPr>
      </w:pPr>
    </w:p>
    <w:p w14:paraId="531B887D">
      <w:pPr>
        <w:tabs>
          <w:tab w:val="left" w:pos="7020"/>
        </w:tabs>
        <w:rPr>
          <w:rFonts w:hint="eastAsia"/>
        </w:rPr>
      </w:pPr>
    </w:p>
    <w:p w14:paraId="3F606276">
      <w:pPr>
        <w:tabs>
          <w:tab w:val="left" w:pos="7020"/>
        </w:tabs>
        <w:ind w:firstLine="1680" w:firstLineChars="800"/>
        <w:rPr>
          <w:rFonts w:hint="eastAsia"/>
        </w:rPr>
      </w:pPr>
    </w:p>
    <w:p w14:paraId="1258F044">
      <w:pPr>
        <w:tabs>
          <w:tab w:val="left" w:pos="7020"/>
        </w:tabs>
        <w:ind w:firstLine="1265" w:firstLineChars="350"/>
        <w:rPr>
          <w:rFonts w:hint="eastAsia" w:ascii="宋体" w:hAnsi="宋体"/>
          <w:b/>
          <w:sz w:val="36"/>
          <w:szCs w:val="36"/>
        </w:rPr>
      </w:pPr>
    </w:p>
    <w:p w14:paraId="1D2C84C0">
      <w:pPr>
        <w:tabs>
          <w:tab w:val="left" w:pos="7020"/>
        </w:tabs>
        <w:ind w:firstLine="1265" w:firstLineChars="350"/>
        <w:rPr>
          <w:rFonts w:hint="eastAsia" w:ascii="宋体" w:hAnsi="宋体"/>
          <w:b/>
          <w:sz w:val="36"/>
          <w:szCs w:val="36"/>
        </w:rPr>
      </w:pPr>
    </w:p>
    <w:p w14:paraId="33802AB4">
      <w:pPr>
        <w:tabs>
          <w:tab w:val="left" w:pos="7020"/>
        </w:tabs>
        <w:ind w:firstLine="1265" w:firstLineChars="350"/>
        <w:rPr>
          <w:rFonts w:hint="eastAsia" w:ascii="宋体" w:hAnsi="宋体"/>
          <w:b/>
          <w:sz w:val="36"/>
          <w:szCs w:val="36"/>
        </w:rPr>
      </w:pPr>
    </w:p>
    <w:p w14:paraId="31A43C32">
      <w:pPr>
        <w:tabs>
          <w:tab w:val="left" w:pos="7020"/>
        </w:tabs>
        <w:rPr>
          <w:rFonts w:hint="eastAsia" w:ascii="宋体" w:hAnsi="宋体"/>
          <w:b/>
          <w:sz w:val="36"/>
          <w:szCs w:val="36"/>
        </w:rPr>
      </w:pPr>
    </w:p>
    <w:p w14:paraId="7D5BC956">
      <w:pPr>
        <w:tabs>
          <w:tab w:val="left" w:pos="7020"/>
        </w:tabs>
        <w:rPr>
          <w:rFonts w:hint="eastAsia"/>
          <w:b/>
          <w:szCs w:val="21"/>
        </w:rPr>
      </w:pPr>
    </w:p>
    <w:p w14:paraId="1D19833B"/>
    <w:sectPr>
      <w:pgSz w:w="11906" w:h="16838"/>
      <w:pgMar w:top="1134" w:right="1588" w:bottom="113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8B958">
    <w:pPr>
      <w:pStyle w:val="9"/>
      <w:jc w:val="center"/>
    </w:pPr>
    <w:r>
      <w:fldChar w:fldCharType="begin"/>
    </w:r>
    <w:r>
      <w:rPr>
        <w:rStyle w:val="14"/>
      </w:rPr>
      <w:instrText xml:space="preserve"> PAGE </w:instrText>
    </w:r>
    <w:r>
      <w:fldChar w:fldCharType="separate"/>
    </w:r>
    <w:r>
      <w:rPr>
        <w:rStyle w:val="14"/>
      </w:rPr>
      <w:t>- 8 -</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123FAB"/>
    <w:multiLevelType w:val="multilevel"/>
    <w:tmpl w:val="22123FAB"/>
    <w:lvl w:ilvl="0" w:tentative="0">
      <w:start w:val="1"/>
      <w:numFmt w:val="japaneseCounting"/>
      <w:lvlText w:val="（%1）"/>
      <w:lvlJc w:val="left"/>
      <w:pPr>
        <w:tabs>
          <w:tab w:val="left" w:pos="720"/>
        </w:tabs>
        <w:ind w:left="840" w:hanging="720"/>
      </w:pPr>
      <w:rPr>
        <w:rFonts w:hint="eastAsia"/>
      </w:rPr>
    </w:lvl>
    <w:lvl w:ilvl="1" w:tentative="0">
      <w:start w:val="1"/>
      <w:numFmt w:val="decimal"/>
      <w:lvlText w:val="（%2）"/>
      <w:lvlJc w:val="left"/>
      <w:pPr>
        <w:tabs>
          <w:tab w:val="left" w:pos="1260"/>
        </w:tabs>
        <w:ind w:left="126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3D98E4B"/>
    <w:multiLevelType w:val="singleLevel"/>
    <w:tmpl w:val="43D98E4B"/>
    <w:lvl w:ilvl="0" w:tentative="0">
      <w:start w:val="1"/>
      <w:numFmt w:val="chineseCounting"/>
      <w:suff w:val="nothing"/>
      <w:lvlText w:val="%1、"/>
      <w:lvlJc w:val="left"/>
      <w:rPr>
        <w:rFonts w:hint="eastAsia"/>
      </w:rPr>
    </w:lvl>
  </w:abstractNum>
  <w:abstractNum w:abstractNumId="2">
    <w:nsid w:val="65A415F5"/>
    <w:multiLevelType w:val="multilevel"/>
    <w:tmpl w:val="65A415F5"/>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720"/>
        </w:tabs>
        <w:ind w:left="720" w:hanging="72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japaneseCounting"/>
      <w:lvlText w:val="第%4条"/>
      <w:lvlJc w:val="left"/>
      <w:pPr>
        <w:tabs>
          <w:tab w:val="left" w:pos="1995"/>
        </w:tabs>
        <w:ind w:left="1995" w:hanging="735"/>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5C868F0"/>
    <w:multiLevelType w:val="multilevel"/>
    <w:tmpl w:val="65C868F0"/>
    <w:lvl w:ilvl="0" w:tentative="0">
      <w:start w:val="1"/>
      <w:numFmt w:val="japaneseCounting"/>
      <w:lvlText w:val="（%1）"/>
      <w:lvlJc w:val="left"/>
      <w:pPr>
        <w:tabs>
          <w:tab w:val="left" w:pos="720"/>
        </w:tabs>
        <w:ind w:left="720" w:hanging="720"/>
      </w:pPr>
      <w:rPr>
        <w:rFonts w:hint="eastAsia"/>
      </w:rPr>
    </w:lvl>
    <w:lvl w:ilvl="1" w:tentative="0">
      <w:start w:val="1"/>
      <w:numFmt w:val="japaneseCounting"/>
      <w:lvlText w:val="（%2）"/>
      <w:lvlJc w:val="left"/>
      <w:pPr>
        <w:tabs>
          <w:tab w:val="left" w:pos="1140"/>
        </w:tabs>
        <w:ind w:left="1140" w:hanging="72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lMGRhNTQ5NGQxZmNlZWEwZjEyOGE1ODExMzZjM2MifQ=="/>
  </w:docVars>
  <w:rsids>
    <w:rsidRoot w:val="5727724D"/>
    <w:rsid w:val="0CD8573D"/>
    <w:rsid w:val="155838BF"/>
    <w:rsid w:val="1D972F20"/>
    <w:rsid w:val="26A23552"/>
    <w:rsid w:val="2EB05849"/>
    <w:rsid w:val="3AE25223"/>
    <w:rsid w:val="3E9354BA"/>
    <w:rsid w:val="488F1214"/>
    <w:rsid w:val="4DA70238"/>
    <w:rsid w:val="4F730D1A"/>
    <w:rsid w:val="54D9517B"/>
    <w:rsid w:val="57025A17"/>
    <w:rsid w:val="5727724D"/>
    <w:rsid w:val="5E9B44C7"/>
    <w:rsid w:val="636D582F"/>
    <w:rsid w:val="6E11552E"/>
    <w:rsid w:val="7CFE1373"/>
    <w:rsid w:val="7D0C7F34"/>
    <w:rsid w:val="7D203B0D"/>
    <w:rsid w:val="7F251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9"/>
    <w:pPr>
      <w:spacing w:before="200" w:after="0"/>
      <w:outlineLvl w:val="1"/>
    </w:pPr>
    <w:rPr>
      <w:rFonts w:asciiTheme="majorHAnsi" w:hAnsiTheme="majorHAnsi" w:eastAsiaTheme="majorEastAsia" w:cstheme="majorBidi"/>
      <w:b/>
      <w:bCs/>
      <w:sz w:val="26"/>
      <w:szCs w:val="26"/>
    </w:rPr>
  </w:style>
  <w:style w:type="paragraph" w:styleId="4">
    <w:name w:val="heading 3"/>
    <w:basedOn w:val="1"/>
    <w:next w:val="1"/>
    <w:unhideWhenUsed/>
    <w:qFormat/>
    <w:uiPriority w:val="9"/>
    <w:pPr>
      <w:spacing w:before="200" w:after="0" w:line="271" w:lineRule="auto"/>
      <w:outlineLvl w:val="2"/>
    </w:pPr>
    <w:rPr>
      <w:rFonts w:asciiTheme="majorHAnsi" w:hAnsiTheme="majorHAnsi" w:eastAsiaTheme="majorEastAsia" w:cstheme="majorBidi"/>
      <w:b/>
      <w:bCs/>
    </w:rPr>
  </w:style>
  <w:style w:type="paragraph" w:styleId="5">
    <w:name w:val="heading 4"/>
    <w:basedOn w:val="1"/>
    <w:next w:val="1"/>
    <w:unhideWhenUsed/>
    <w:qFormat/>
    <w:uiPriority w:val="9"/>
    <w:pPr>
      <w:spacing w:before="200" w:after="0"/>
      <w:outlineLvl w:val="3"/>
    </w:pPr>
    <w:rPr>
      <w:rFonts w:asciiTheme="majorHAnsi" w:hAnsiTheme="majorHAnsi" w:eastAsiaTheme="majorEastAsia" w:cstheme="majorBidi"/>
      <w:b/>
      <w:bCs/>
      <w:i/>
      <w:iCs/>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oc 1"/>
    <w:basedOn w:val="1"/>
    <w:next w:val="1"/>
    <w:semiHidden/>
    <w:qFormat/>
    <w:uiPriority w:val="0"/>
  </w:style>
  <w:style w:type="paragraph" w:styleId="6">
    <w:name w:val="Normal Indent"/>
    <w:basedOn w:val="1"/>
    <w:qFormat/>
    <w:uiPriority w:val="0"/>
    <w:pPr>
      <w:autoSpaceDE w:val="0"/>
      <w:autoSpaceDN w:val="0"/>
      <w:adjustRightInd w:val="0"/>
      <w:ind w:firstLine="488"/>
      <w:textAlignment w:val="baseline"/>
    </w:pPr>
    <w:rPr>
      <w:sz w:val="24"/>
      <w:szCs w:val="20"/>
    </w:rPr>
  </w:style>
  <w:style w:type="paragraph" w:styleId="7">
    <w:name w:val="toc 3"/>
    <w:basedOn w:val="1"/>
    <w:next w:val="1"/>
    <w:semiHidden/>
    <w:qFormat/>
    <w:uiPriority w:val="0"/>
    <w:pPr>
      <w:ind w:left="840" w:leftChars="400"/>
    </w:pPr>
  </w:style>
  <w:style w:type="paragraph" w:styleId="8">
    <w:name w:val="Plain Text"/>
    <w:basedOn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pPr>
    <w:rPr>
      <w:sz w:val="18"/>
      <w:szCs w:val="18"/>
    </w:rPr>
  </w:style>
  <w:style w:type="paragraph" w:styleId="10">
    <w:name w:val="toc 2"/>
    <w:basedOn w:val="1"/>
    <w:next w:val="1"/>
    <w:semiHidden/>
    <w:qFormat/>
    <w:uiPriority w:val="0"/>
    <w:pPr>
      <w:ind w:left="420" w:leftChars="200"/>
    </w:pPr>
  </w:style>
  <w:style w:type="character" w:styleId="13">
    <w:name w:val="Strong"/>
    <w:basedOn w:val="12"/>
    <w:qFormat/>
    <w:uiPriority w:val="0"/>
    <w:rPr>
      <w:b/>
      <w:bCs/>
    </w:rPr>
  </w:style>
  <w:style w:type="character" w:styleId="14">
    <w:name w:val="page number"/>
    <w:basedOn w:val="12"/>
    <w:qFormat/>
    <w:uiPriority w:val="0"/>
  </w:style>
  <w:style w:type="character" w:customStyle="1" w:styleId="15">
    <w:name w:val="标题 2 Char Char Char"/>
    <w:qFormat/>
    <w:uiPriority w:val="0"/>
    <w:rPr>
      <w:b/>
      <w:snapToGrid w:val="0"/>
      <w:kern w:val="2"/>
      <w:sz w:val="32"/>
      <w:szCs w:val="24"/>
    </w:rPr>
  </w:style>
  <w:style w:type="paragraph" w:styleId="16">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56</Pages>
  <Words>29213</Words>
  <Characters>30427</Characters>
  <Lines>0</Lines>
  <Paragraphs>0</Paragraphs>
  <TotalTime>23</TotalTime>
  <ScaleCrop>false</ScaleCrop>
  <LinksUpToDate>false</LinksUpToDate>
  <CharactersWithSpaces>31771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2024-06-28T01:14:00Z</dcterms:created>
  <dc:creator>Administrator</dc:creator>
  <cp:lastModifiedBy>Administrator</cp:lastModifiedBy>
  <dcterms:modified xsi:type="dcterms:W3CDTF">2024-09-11T07:32:10Z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F96F2BBE77324A0BAA0134912C7185B2_13</vt:lpwstr>
  </property>
</Properties>
</file>