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0" w:lineRule="exact"/>
        <w:jc w:val="center"/>
        <w:rPr>
          <w:rFonts w:ascii="黑体" w:hAnsi="黑体" w:eastAsia="黑体"/>
          <w:sz w:val="32"/>
          <w:szCs w:val="32"/>
        </w:rPr>
      </w:pPr>
      <w:bookmarkStart w:id="0" w:name="_Toc70260333"/>
      <w:r>
        <w:rPr>
          <w:rFonts w:hint="eastAsia" w:ascii="方正小标宋简体" w:eastAsia="方正小标宋简体"/>
          <w:sz w:val="44"/>
          <w:szCs w:val="44"/>
        </w:rPr>
        <w:t>淳安县</w:t>
      </w:r>
      <w:r>
        <w:rPr>
          <w:rFonts w:hint="eastAsia" w:ascii="方正小标宋简体" w:eastAsia="方正小标宋简体"/>
          <w:sz w:val="44"/>
          <w:szCs w:val="44"/>
          <w:lang w:eastAsia="zh-CN"/>
        </w:rPr>
        <w:t>水生态环境保护“十四五”规划</w:t>
      </w:r>
    </w:p>
    <w:p>
      <w:pPr>
        <w:pStyle w:val="61"/>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流域水生态环境状况</w:t>
      </w:r>
      <w:bookmarkEnd w:id="0"/>
    </w:p>
    <w:p>
      <w:pPr>
        <w:pStyle w:val="3"/>
        <w:spacing w:before="0" w:after="0" w:line="560" w:lineRule="exact"/>
        <w:rPr>
          <w:rFonts w:ascii="楷体_GB2312" w:hAnsi="楷体" w:eastAsia="楷体_GB2312"/>
        </w:rPr>
      </w:pPr>
      <w:bookmarkStart w:id="1" w:name="_Toc70260334"/>
      <w:r>
        <w:rPr>
          <w:rFonts w:hint="eastAsia" w:ascii="楷体_GB2312" w:hAnsi="楷体" w:eastAsia="楷体_GB2312"/>
        </w:rPr>
        <w:t>（一）区域概况</w:t>
      </w:r>
      <w:bookmarkEnd w:id="1"/>
      <w:bookmarkStart w:id="55" w:name="_GoBack"/>
      <w:bookmarkEnd w:id="5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rPr>
        <w:t>、自然概况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（1）地理区位</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淳安县位于浙江省西部，东接建德、桐庐，南连衢州、常山，西邻安徽休宁、歙县，北依临安。地域范围介于北纬29°11′18″~ 30°02′13″，东经118°20′22″~ 119°20′37″之间。淳安全境东西长96.80公里，南北宽94.40公里，县域面积4427平方公里，占全省总面积4.35%，是浙江省面积最大的县。县城千岛湖镇位于淳安县中部，面积356平方公里，距杭州市区约151km，距安徽黄山约150km。</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fldChar w:fldCharType="begin"/>
      </w:r>
      <w:r>
        <w:instrText xml:space="preserve"> HYPERLINK \l "_Toc22572548" </w:instrText>
      </w:r>
      <w:r>
        <w:fldChar w:fldCharType="separate"/>
      </w:r>
      <w:bookmarkStart w:id="2" w:name="_Toc37655291"/>
      <w:r>
        <w:rPr>
          <w:rFonts w:ascii="Times New Roman" w:hAnsi="Times New Roman" w:eastAsia="仿宋_GB2312" w:cs="Times New Roman"/>
          <w:sz w:val="32"/>
          <w:szCs w:val="32"/>
        </w:rPr>
        <w:t>地形地貌</w:t>
      </w:r>
      <w:bookmarkEnd w:id="2"/>
      <w:r>
        <w:rPr>
          <w:rFonts w:ascii="Times New Roman" w:hAnsi="Times New Roman" w:eastAsia="仿宋_GB2312" w:cs="Times New Roman"/>
          <w:sz w:val="32"/>
          <w:szCs w:val="32"/>
        </w:rPr>
        <w:fldChar w:fldCharType="end"/>
      </w:r>
    </w:p>
    <w:p>
      <w:pPr>
        <w:autoSpaceDN w:val="0"/>
        <w:spacing w:line="560" w:lineRule="exact"/>
        <w:ind w:firstLine="561"/>
        <w:rPr>
          <w:rFonts w:ascii="Times New Roman" w:hAnsi="Times New Roman" w:eastAsia="仿宋_GB2312" w:cs="Times New Roman"/>
          <w:sz w:val="32"/>
          <w:szCs w:val="32"/>
        </w:rPr>
      </w:pPr>
      <w:r>
        <w:rPr>
          <w:rFonts w:ascii="Times New Roman" w:hAnsi="Times New Roman" w:eastAsia="仿宋_GB2312" w:cs="Times New Roman"/>
          <w:sz w:val="32"/>
          <w:szCs w:val="32"/>
        </w:rPr>
        <w:t>淳安县由中低山、丘陵、小型盆地、谷地和千岛湖组成，其中山地丘陵占80%，水域占13.5%，盆地占6.5%，素有“八山半田分半水”之称。地势四周高，中间低，由西向东倾斜，形成四周中低山逐渐向中部丘陵区过渡的地貌形态。山脉分属于昱岭、白际山、千里岗三大山脉，多分布于东北、西北、南部边境，海拔一般在1000m左右，最高峰枫树岭镇磨心尖1523m。山脉四周向中间逐渐低下的广大丘陵地带，海拔一般在400m以下，最低地区为汾口，平均海拔110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fldChar w:fldCharType="begin"/>
      </w:r>
      <w:r>
        <w:instrText xml:space="preserve"> HYPERLINK \l "_Toc22572549" </w:instrText>
      </w:r>
      <w:r>
        <w:fldChar w:fldCharType="separate"/>
      </w:r>
      <w:bookmarkStart w:id="3" w:name="_Toc37655292"/>
      <w:r>
        <w:rPr>
          <w:rFonts w:ascii="Times New Roman" w:hAnsi="Times New Roman" w:eastAsia="仿宋_GB2312" w:cs="Times New Roman"/>
          <w:sz w:val="32"/>
          <w:szCs w:val="32"/>
        </w:rPr>
        <w:t>气候气象</w:t>
      </w:r>
      <w:bookmarkEnd w:id="3"/>
      <w:r>
        <w:rPr>
          <w:rFonts w:ascii="Times New Roman" w:hAnsi="Times New Roman" w:eastAsia="仿宋_GB2312" w:cs="Times New Roman"/>
          <w:sz w:val="32"/>
          <w:szCs w:val="32"/>
        </w:rPr>
        <w:fldChar w:fldCharType="end"/>
      </w:r>
    </w:p>
    <w:p>
      <w:pPr>
        <w:autoSpaceDN w:val="0"/>
        <w:spacing w:line="560" w:lineRule="exact"/>
        <w:ind w:firstLine="561"/>
        <w:rPr>
          <w:rFonts w:ascii="Times New Roman" w:hAnsi="Times New Roman" w:eastAsia="仿宋_GB2312" w:cs="Times New Roman"/>
          <w:sz w:val="32"/>
          <w:szCs w:val="32"/>
        </w:rPr>
      </w:pPr>
      <w:r>
        <w:rPr>
          <w:rFonts w:ascii="Times New Roman" w:hAnsi="Times New Roman" w:eastAsia="仿宋_GB2312" w:cs="Times New Roman"/>
          <w:sz w:val="32"/>
          <w:szCs w:val="32"/>
        </w:rPr>
        <w:t>淳安县地处中亚热带季风气候区北缘，温暖湿润，雨量充沛，冬夏长，春秋短，四季分明。冬季受北方高压控制，盛行西北风，以晴冷干燥天气为主，低温少雨；夏季受太平洋副热带高压控制，以东南风为主，高温湿热。淳安县多年平均气温为17.5℃，最低月（1月）平均气温5.8℃，最高月（7月）平均气温28.9℃。多年平均降水量1437mm，降雨日数155天，平均相对湿度为76%，降雨时空分布差异较大：年内分布不均，大部分集中在4-5月的春雨期与6-7月的梅雨期，其总量可占全年雨量的60%左右，1-3月、11-12月降雨较少</w:t>
      </w:r>
      <w:r>
        <w:rPr>
          <w:rFonts w:hint="eastAsia" w:ascii="Times New Roman" w:hAnsi="Times New Roman" w:eastAsia="仿宋_GB2312" w:cs="Times New Roman"/>
          <w:sz w:val="32"/>
          <w:szCs w:val="32"/>
        </w:rPr>
        <w:t>，为枯水期；降雨地域差异明显，县境中部、东部</w:t>
      </w:r>
      <w:r>
        <w:rPr>
          <w:rFonts w:hint="eastAsia" w:ascii="仿宋_GB2312" w:hAnsi="Times New Roman" w:eastAsia="仿宋_GB2312" w:cs="Times New Roman"/>
          <w:sz w:val="32"/>
          <w:szCs w:val="32"/>
        </w:rPr>
        <w:t>降雨较少，</w:t>
      </w:r>
      <w:r>
        <w:rPr>
          <w:rFonts w:hint="eastAsia" w:ascii="Times New Roman" w:hAnsi="Times New Roman" w:eastAsia="仿宋_GB2312" w:cs="Times New Roman"/>
          <w:sz w:val="32"/>
          <w:szCs w:val="32"/>
        </w:rPr>
        <w:t>年均降雨约为</w:t>
      </w:r>
      <w:r>
        <w:rPr>
          <w:rFonts w:ascii="Times New Roman" w:hAnsi="Times New Roman" w:eastAsia="仿宋_GB2312" w:cs="Times New Roman"/>
          <w:sz w:val="32"/>
          <w:szCs w:val="32"/>
        </w:rPr>
        <w:t>1600mm</w:t>
      </w:r>
      <w:r>
        <w:rPr>
          <w:rFonts w:hint="eastAsia" w:ascii="Times New Roman" w:hAnsi="Times New Roman" w:eastAsia="仿宋_GB2312" w:cs="Times New Roman"/>
          <w:sz w:val="32"/>
          <w:szCs w:val="32"/>
        </w:rPr>
        <w:t>，县境西部、南部降雨较多，年均降雨约为</w:t>
      </w:r>
      <w:r>
        <w:rPr>
          <w:rFonts w:ascii="Times New Roman" w:hAnsi="Times New Roman" w:eastAsia="仿宋_GB2312" w:cs="Times New Roman"/>
          <w:sz w:val="32"/>
          <w:szCs w:val="32"/>
        </w:rPr>
        <w:t>1860mm</w:t>
      </w:r>
      <w:r>
        <w:rPr>
          <w:rFonts w:hint="eastAsia" w:ascii="Times New Roman" w:hAnsi="Times New Roman" w:eastAsia="仿宋_GB2312" w:cs="Times New Roman"/>
          <w:sz w:val="32"/>
          <w:szCs w:val="32"/>
        </w:rPr>
        <w:t>，县境北部降雨次多，年均降雨</w:t>
      </w:r>
      <w:r>
        <w:rPr>
          <w:rFonts w:ascii="Times New Roman" w:hAnsi="Times New Roman" w:eastAsia="仿宋_GB2312" w:cs="Times New Roman"/>
          <w:sz w:val="32"/>
          <w:szCs w:val="32"/>
        </w:rPr>
        <w:t>1770mm</w:t>
      </w:r>
      <w:r>
        <w:rPr>
          <w:rFonts w:hint="eastAsia" w:ascii="Times New Roman" w:hAnsi="Times New Roman" w:eastAsia="仿宋_GB2312" w:cs="Times New Roman"/>
          <w:sz w:val="32"/>
          <w:szCs w:val="32"/>
        </w:rPr>
        <w:t>。平均日照时数为</w:t>
      </w:r>
      <w:r>
        <w:rPr>
          <w:rFonts w:ascii="Times New Roman" w:hAnsi="Times New Roman" w:eastAsia="仿宋_GB2312" w:cs="Times New Roman"/>
          <w:sz w:val="32"/>
          <w:szCs w:val="32"/>
        </w:rPr>
        <w:t>1951h</w:t>
      </w:r>
      <w:r>
        <w:rPr>
          <w:rFonts w:hint="eastAsia" w:ascii="Times New Roman" w:hAnsi="Times New Roman" w:eastAsia="仿宋_GB2312" w:cs="Times New Roman"/>
          <w:sz w:val="32"/>
          <w:szCs w:val="32"/>
        </w:rPr>
        <w:t>，年辐射总量为</w:t>
      </w:r>
      <w:r>
        <w:rPr>
          <w:rFonts w:ascii="Times New Roman" w:hAnsi="Times New Roman" w:eastAsia="仿宋_GB2312" w:cs="Times New Roman"/>
          <w:sz w:val="32"/>
          <w:szCs w:val="32"/>
        </w:rPr>
        <w:t>106.9kcal/cm</w:t>
      </w:r>
      <w:r>
        <w:rPr>
          <w:rFonts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，平均蒸发量</w:t>
      </w:r>
      <w:r>
        <w:rPr>
          <w:rFonts w:ascii="Times New Roman" w:hAnsi="Times New Roman" w:eastAsia="仿宋_GB2312" w:cs="Times New Roman"/>
          <w:sz w:val="32"/>
          <w:szCs w:val="32"/>
        </w:rPr>
        <w:t>1381.5mm</w:t>
      </w:r>
      <w:r>
        <w:rPr>
          <w:rFonts w:hint="eastAsia" w:ascii="Times New Roman" w:hAnsi="Times New Roman" w:eastAsia="仿宋_GB2312" w:cs="Times New Roman"/>
          <w:sz w:val="32"/>
          <w:szCs w:val="32"/>
        </w:rPr>
        <w:t>。</w:t>
      </w:r>
    </w:p>
    <w:p>
      <w:pPr>
        <w:spacing w:line="560" w:lineRule="exact"/>
        <w:ind w:firstLine="420" w:firstLineChars="200"/>
        <w:rPr>
          <w:rFonts w:ascii="Times New Roman" w:hAnsi="Times New Roman" w:eastAsia="仿宋_GB2312" w:cs="Times New Roman"/>
          <w:sz w:val="32"/>
          <w:szCs w:val="32"/>
        </w:rPr>
      </w:pPr>
      <w:r>
        <w:fldChar w:fldCharType="begin"/>
      </w:r>
      <w:r>
        <w:instrText xml:space="preserve"> HYPERLINK \l "_Toc22572550" </w:instrText>
      </w:r>
      <w:r>
        <w:fldChar w:fldCharType="separate"/>
      </w:r>
      <w:bookmarkStart w:id="4" w:name="_Toc37655293"/>
      <w:r>
        <w:rPr>
          <w:rFonts w:ascii="Times New Roman" w:hAnsi="Times New Roman" w:eastAsia="仿宋_GB2312" w:cs="Times New Roman"/>
          <w:sz w:val="32"/>
          <w:szCs w:val="32"/>
        </w:rPr>
        <w:t>（4）水文水系</w:t>
      </w:r>
      <w:bookmarkEnd w:id="4"/>
      <w:r>
        <w:rPr>
          <w:rFonts w:ascii="Times New Roman" w:hAnsi="Times New Roman" w:eastAsia="仿宋_GB2312" w:cs="Times New Roman"/>
          <w:sz w:val="32"/>
          <w:szCs w:val="32"/>
        </w:rPr>
        <w:fldChar w:fldCharType="end"/>
      </w:r>
    </w:p>
    <w:p>
      <w:pPr>
        <w:autoSpaceDN w:val="0"/>
        <w:spacing w:line="560" w:lineRule="exact"/>
        <w:ind w:firstLine="561"/>
        <w:rPr>
          <w:rFonts w:ascii="Times New Roman" w:hAnsi="Times New Roman" w:eastAsia="仿宋_GB2312" w:cs="Times New Roman"/>
          <w:sz w:val="32"/>
          <w:szCs w:val="32"/>
        </w:rPr>
      </w:pPr>
      <w:r>
        <w:rPr>
          <w:rFonts w:ascii="Times New Roman" w:hAnsi="Times New Roman" w:eastAsia="仿宋_GB2312" w:cs="Times New Roman"/>
          <w:sz w:val="32"/>
          <w:szCs w:val="32"/>
        </w:rPr>
        <w:t>淳安县河流统属钱塘江水系。境内溪河纵横、流向复杂、水系呈羽状。素有“一江（新安江）一湖（千岛湖）56溪”之称，均属钱塘江水系。所有溪流均汇集于千岛湖，经铜官大坝东流至建德市梅城与兰江汇合后为富春江，向东注入钱塘江。县域内主要河流有新安江及其支流东源港和遂安港。新安江，全长373公里，境内长82.69公里，主要支流有桐溪、六都源、鸠坑源、梓桐源、云源港、清平源和商家源；东原港又名进贤溪、富强溪，今流长40.90公里，主要支流有十八都源，潭头源和琅洞源；遂安港，全长80余公里，主要支流有武强溪，枫林港、浪川溪、上梧五都源、上坊溪、丰家溪、龙泉溪和龙川溪。水系河道比降大、源短流急，洪峰流量强。</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千岛湖，又名新安江水库，于1959年建造新安江水电站而蓄水形成，因</w:t>
      </w:r>
      <w:r>
        <w:rPr>
          <w:rFonts w:hint="eastAsia" w:ascii="Times New Roman" w:hAnsi="Times New Roman" w:eastAsia="仿宋_GB2312" w:cs="Times New Roman"/>
          <w:sz w:val="32"/>
          <w:szCs w:val="32"/>
        </w:rPr>
        <w:t>水库的岛屿有</w:t>
      </w:r>
      <w:r>
        <w:rPr>
          <w:rFonts w:ascii="Times New Roman" w:hAnsi="Times New Roman" w:eastAsia="仿宋_GB2312" w:cs="Times New Roman"/>
          <w:sz w:val="32"/>
          <w:szCs w:val="32"/>
        </w:rPr>
        <w:t>1078</w:t>
      </w:r>
      <w:r>
        <w:rPr>
          <w:rFonts w:hint="eastAsia" w:ascii="Times New Roman" w:hAnsi="Times New Roman" w:eastAsia="仿宋_GB2312" w:cs="Times New Roman"/>
          <w:sz w:val="32"/>
          <w:szCs w:val="32"/>
        </w:rPr>
        <w:t>个而得名，是华东地区最大水库。流域面积</w:t>
      </w:r>
      <w:r>
        <w:rPr>
          <w:rFonts w:ascii="Times New Roman" w:hAnsi="Times New Roman" w:eastAsia="仿宋_GB2312" w:cs="Times New Roman"/>
          <w:sz w:val="32"/>
          <w:szCs w:val="32"/>
        </w:rPr>
        <w:t>10440km</w:t>
      </w:r>
      <w:r>
        <w:rPr>
          <w:rFonts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，面积约占钱塘江流域的</w:t>
      </w:r>
      <w:r>
        <w:rPr>
          <w:rFonts w:ascii="Times New Roman" w:hAnsi="Times New Roman" w:eastAsia="仿宋_GB2312" w:cs="Times New Roman"/>
          <w:sz w:val="32"/>
          <w:szCs w:val="32"/>
        </w:rPr>
        <w:t>1/4</w:t>
      </w:r>
      <w:r>
        <w:rPr>
          <w:rFonts w:hint="eastAsia" w:ascii="Times New Roman" w:hAnsi="Times New Roman" w:eastAsia="仿宋_GB2312" w:cs="Times New Roman"/>
          <w:sz w:val="32"/>
          <w:szCs w:val="32"/>
        </w:rPr>
        <w:t>，行政区分属安徽和浙江省，其中水库主要分布于淳安县内。千岛湖东西长</w:t>
      </w:r>
      <w:r>
        <w:rPr>
          <w:rFonts w:ascii="Times New Roman" w:hAnsi="Times New Roman" w:eastAsia="仿宋_GB2312" w:cs="Times New Roman"/>
          <w:sz w:val="32"/>
          <w:szCs w:val="32"/>
        </w:rPr>
        <w:t>60km</w:t>
      </w:r>
      <w:r>
        <w:rPr>
          <w:rFonts w:hint="eastAsia" w:ascii="Times New Roman" w:hAnsi="Times New Roman" w:eastAsia="仿宋_GB2312" w:cs="Times New Roman"/>
          <w:sz w:val="32"/>
          <w:szCs w:val="32"/>
        </w:rPr>
        <w:t>，南北</w:t>
      </w:r>
      <w:r>
        <w:rPr>
          <w:rFonts w:ascii="Times New Roman" w:hAnsi="Times New Roman" w:eastAsia="仿宋_GB2312" w:cs="Times New Roman"/>
          <w:sz w:val="32"/>
          <w:szCs w:val="32"/>
        </w:rPr>
        <w:t>宽50公里，水域面积583km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（水位108m时），换水周期2年，全县境内99.5%降水汇集于千岛湖。</w:t>
      </w: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表</w:t>
      </w:r>
      <w:r>
        <w:rPr>
          <w:rFonts w:ascii="Times New Roman" w:hAnsi="Times New Roman" w:eastAsia="仿宋_GB2312" w:cs="Times New Roman"/>
          <w:b/>
          <w:bCs/>
          <w:sz w:val="32"/>
          <w:szCs w:val="32"/>
        </w:rPr>
        <w:t xml:space="preserve">1-1 </w:t>
      </w:r>
      <w:r>
        <w:rPr>
          <w:rFonts w:hint="eastAsia" w:ascii="Times New Roman" w:hAnsi="Times New Roman" w:eastAsia="仿宋_GB2312" w:cs="Times New Roman"/>
          <w:b/>
          <w:bCs/>
          <w:sz w:val="32"/>
          <w:szCs w:val="32"/>
        </w:rPr>
        <w:t>千岛湖流域主要河流基本概况</w:t>
      </w:r>
    </w:p>
    <w:tbl>
      <w:tblPr>
        <w:tblStyle w:val="39"/>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270"/>
        <w:gridCol w:w="1749"/>
        <w:gridCol w:w="2021"/>
        <w:gridCol w:w="1224"/>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blHeader/>
          <w:jc w:val="center"/>
        </w:trPr>
        <w:tc>
          <w:tcPr>
            <w:tcW w:w="828"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序号</w:t>
            </w:r>
          </w:p>
        </w:tc>
        <w:tc>
          <w:tcPr>
            <w:tcW w:w="1270"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名称</w:t>
            </w:r>
          </w:p>
        </w:tc>
        <w:tc>
          <w:tcPr>
            <w:tcW w:w="1749"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发源地</w:t>
            </w:r>
          </w:p>
        </w:tc>
        <w:tc>
          <w:tcPr>
            <w:tcW w:w="2021"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汇入口</w:t>
            </w:r>
          </w:p>
        </w:tc>
        <w:tc>
          <w:tcPr>
            <w:tcW w:w="1224"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主河道长（km）</w:t>
            </w:r>
          </w:p>
        </w:tc>
        <w:tc>
          <w:tcPr>
            <w:tcW w:w="1156"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集水面积（km</w:t>
            </w:r>
            <w:r>
              <w:rPr>
                <w:rFonts w:ascii="Times New Roman" w:hAnsi="Times New Roman" w:eastAsia="仿宋_GB2312" w:cs="Times New Roman"/>
                <w:b/>
                <w:sz w:val="24"/>
                <w:vertAlign w:val="superscript"/>
              </w:rPr>
              <w:t>2</w:t>
            </w:r>
            <w:r>
              <w:rPr>
                <w:rFonts w:ascii="Times New Roman" w:hAnsi="Times New Roman" w:eastAsia="仿宋_GB2312" w:cs="Times New Roman"/>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bookmarkStart w:id="5" w:name="_Hlk328553373"/>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富强溪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千亩田</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临歧大桥</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40.90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399.98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武强溪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休宁县横尖</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杨旗坦桥</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30.95</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350.60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枫林港</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千里岗磨心尖</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大市镇山后村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48.25</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293.18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云源港</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搁船尖</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宋村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62.00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251.78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郁川溪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沈板白峰坪村</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姜家镇长烈村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27.60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154.54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ind w:left="-76" w:leftChars="-36" w:right="-82" w:rightChars="-39"/>
              <w:jc w:val="center"/>
              <w:rPr>
                <w:rFonts w:ascii="Times New Roman" w:hAnsi="Times New Roman" w:eastAsia="仿宋_GB2312" w:cs="Times New Roman"/>
                <w:sz w:val="24"/>
              </w:rPr>
            </w:pPr>
            <w:r>
              <w:rPr>
                <w:rFonts w:ascii="Times New Roman" w:hAnsi="Times New Roman" w:eastAsia="仿宋_GB2312" w:cs="Times New Roman"/>
                <w:sz w:val="24"/>
              </w:rPr>
              <w:t>唐村七都源</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歙县汪岭</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威坪镇高洲</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31.50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121.75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商家源</w:t>
            </w:r>
          </w:p>
        </w:tc>
        <w:tc>
          <w:tcPr>
            <w:tcW w:w="1749" w:type="dxa"/>
            <w:vAlign w:val="center"/>
          </w:tcPr>
          <w:p>
            <w:pPr>
              <w:ind w:left="-84" w:leftChars="-40" w:right="-115" w:rightChars="-55"/>
              <w:jc w:val="center"/>
              <w:rPr>
                <w:rFonts w:ascii="Times New Roman" w:hAnsi="Times New Roman" w:eastAsia="仿宋_GB2312" w:cs="Times New Roman"/>
                <w:sz w:val="24"/>
              </w:rPr>
            </w:pPr>
            <w:r>
              <w:rPr>
                <w:rFonts w:ascii="Times New Roman" w:hAnsi="Times New Roman" w:eastAsia="仿宋_GB2312" w:cs="Times New Roman"/>
                <w:sz w:val="24"/>
              </w:rPr>
              <w:t>里商乡山羊坞头</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里商乡里阳村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23.50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清平源</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富文乡毛岭村</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富文乡朱村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23.25</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梓桐源</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夫板岭</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梓桐口</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23.75</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90.81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浪川源</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浪川乡小连岭</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百亩畈风沂桥</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30.30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86.45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ind w:left="-76" w:leftChars="-36" w:right="-82" w:rightChars="-39"/>
              <w:jc w:val="center"/>
              <w:rPr>
                <w:rFonts w:ascii="Times New Roman" w:hAnsi="Times New Roman" w:eastAsia="仿宋_GB2312" w:cs="Times New Roman"/>
                <w:sz w:val="24"/>
              </w:rPr>
            </w:pPr>
            <w:r>
              <w:rPr>
                <w:rFonts w:ascii="Times New Roman" w:hAnsi="Times New Roman" w:eastAsia="仿宋_GB2312" w:cs="Times New Roman"/>
                <w:sz w:val="24"/>
              </w:rPr>
              <w:t>唐村六都源</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黄帽尖</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方宅大桥</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20.10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81.38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ind w:left="-76" w:leftChars="-36" w:right="-82" w:rightChars="-39"/>
              <w:jc w:val="center"/>
              <w:rPr>
                <w:rFonts w:ascii="Times New Roman" w:hAnsi="Times New Roman" w:eastAsia="仿宋_GB2312" w:cs="Times New Roman"/>
                <w:sz w:val="24"/>
              </w:rPr>
            </w:pPr>
            <w:r>
              <w:rPr>
                <w:rFonts w:ascii="Times New Roman" w:hAnsi="Times New Roman" w:eastAsia="仿宋_GB2312" w:cs="Times New Roman"/>
                <w:sz w:val="24"/>
              </w:rPr>
              <w:t>上梧五都源</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千里岗三井尖</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安阳陈家桥</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13.10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71.00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上坊溪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黄泥岭</w:t>
            </w:r>
          </w:p>
        </w:tc>
        <w:tc>
          <w:tcPr>
            <w:tcW w:w="2021" w:type="dxa"/>
            <w:vAlign w:val="center"/>
          </w:tcPr>
          <w:p>
            <w:pPr>
              <w:ind w:left="-76" w:leftChars="-36" w:right="-88" w:rightChars="-42"/>
              <w:jc w:val="center"/>
              <w:rPr>
                <w:rFonts w:ascii="Times New Roman" w:hAnsi="Times New Roman" w:eastAsia="仿宋_GB2312" w:cs="Times New Roman"/>
                <w:sz w:val="24"/>
              </w:rPr>
            </w:pPr>
            <w:r>
              <w:rPr>
                <w:rFonts w:ascii="Times New Roman" w:hAnsi="Times New Roman" w:eastAsia="仿宋_GB2312" w:cs="Times New Roman"/>
                <w:sz w:val="24"/>
              </w:rPr>
              <w:t>大墅镇山后五家村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17.80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左口溪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桐木岭</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左口凹岭下</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21.25</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潭头溪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阳升湾</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文昌镇马踏形</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13.00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丰家源</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丫叉尖</w:t>
            </w:r>
          </w:p>
        </w:tc>
        <w:tc>
          <w:tcPr>
            <w:tcW w:w="2021" w:type="dxa"/>
            <w:vAlign w:val="center"/>
          </w:tcPr>
          <w:p>
            <w:pPr>
              <w:ind w:left="-115" w:right="-38" w:rightChars="-18"/>
              <w:jc w:val="center"/>
              <w:rPr>
                <w:rFonts w:ascii="Times New Roman" w:hAnsi="Times New Roman" w:eastAsia="仿宋_GB2312" w:cs="Times New Roman"/>
                <w:sz w:val="24"/>
              </w:rPr>
            </w:pPr>
            <w:r>
              <w:rPr>
                <w:rFonts w:ascii="Times New Roman" w:hAnsi="Times New Roman" w:eastAsia="仿宋_GB2312" w:cs="Times New Roman"/>
                <w:sz w:val="24"/>
              </w:rPr>
              <w:t>枫树岭镇沿店村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14.80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52.50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龙泉溪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桐岭</w:t>
            </w:r>
          </w:p>
        </w:tc>
        <w:tc>
          <w:tcPr>
            <w:tcW w:w="2021" w:type="dxa"/>
            <w:vAlign w:val="center"/>
          </w:tcPr>
          <w:p>
            <w:pPr>
              <w:ind w:left="-115" w:right="-38" w:rightChars="-18"/>
              <w:jc w:val="center"/>
              <w:rPr>
                <w:rFonts w:ascii="Times New Roman" w:hAnsi="Times New Roman" w:eastAsia="仿宋_GB2312" w:cs="Times New Roman"/>
                <w:sz w:val="24"/>
              </w:rPr>
            </w:pPr>
            <w:r>
              <w:rPr>
                <w:rFonts w:ascii="Times New Roman" w:hAnsi="Times New Roman" w:eastAsia="仿宋_GB2312" w:cs="Times New Roman"/>
                <w:sz w:val="24"/>
              </w:rPr>
              <w:t>姜家镇首岭后村</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19.25</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龙川溪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大连溪</w:t>
            </w:r>
          </w:p>
        </w:tc>
        <w:tc>
          <w:tcPr>
            <w:tcW w:w="2021" w:type="dxa"/>
            <w:vAlign w:val="center"/>
          </w:tcPr>
          <w:p>
            <w:pPr>
              <w:ind w:left="-115" w:right="-38" w:rightChars="-18"/>
              <w:jc w:val="center"/>
              <w:rPr>
                <w:rFonts w:ascii="Times New Roman" w:hAnsi="Times New Roman" w:eastAsia="仿宋_GB2312" w:cs="Times New Roman"/>
                <w:sz w:val="24"/>
              </w:rPr>
            </w:pPr>
            <w:r>
              <w:rPr>
                <w:rFonts w:ascii="Times New Roman" w:hAnsi="Times New Roman" w:eastAsia="仿宋_GB2312" w:cs="Times New Roman"/>
                <w:sz w:val="24"/>
              </w:rPr>
              <w:t>汾口镇西村龙山</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18.30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46.88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文昌溪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鸡笼山</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文昌</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14.20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45.95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numPr>
                <w:ilvl w:val="0"/>
                <w:numId w:val="2"/>
              </w:numPr>
              <w:jc w:val="center"/>
              <w:rPr>
                <w:rFonts w:ascii="Times New Roman" w:hAnsi="Times New Roman" w:eastAsia="仿宋_GB2312" w:cs="Times New Roman"/>
                <w:sz w:val="24"/>
              </w:rPr>
            </w:pPr>
          </w:p>
        </w:tc>
        <w:tc>
          <w:tcPr>
            <w:tcW w:w="127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鸠坑溪</w:t>
            </w:r>
          </w:p>
        </w:tc>
        <w:tc>
          <w:tcPr>
            <w:tcW w:w="174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碓冢坞岭</w:t>
            </w:r>
          </w:p>
        </w:tc>
        <w:tc>
          <w:tcPr>
            <w:tcW w:w="2021"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鸠坑口码头</w:t>
            </w:r>
          </w:p>
        </w:tc>
        <w:tc>
          <w:tcPr>
            <w:tcW w:w="1224"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16.90</w:t>
            </w:r>
          </w:p>
        </w:tc>
        <w:tc>
          <w:tcPr>
            <w:tcW w:w="115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45.85</w:t>
            </w:r>
          </w:p>
        </w:tc>
      </w:tr>
      <w:bookmarkEnd w:id="5"/>
    </w:tbl>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（5）水资源</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淳安县多年平均降水量75.17亿</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，多年平均径流量45.29亿</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，全县多年平均水资源总量50.58亿</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。千岛湖控制流域面积10440km</w:t>
      </w:r>
      <w:r>
        <w:rPr>
          <w:rFonts w:ascii="Times New Roman" w:hAnsi="Times New Roman" w:eastAsia="仿宋_GB2312" w:cs="Times New Roman"/>
          <w:sz w:val="32"/>
          <w:szCs w:val="32"/>
          <w:vertAlign w:val="superscript"/>
        </w:rPr>
        <w:t xml:space="preserve"> 2</w:t>
      </w:r>
      <w:r>
        <w:rPr>
          <w:rFonts w:ascii="Times New Roman" w:hAnsi="Times New Roman" w:eastAsia="仿宋_GB2312" w:cs="Times New Roman"/>
          <w:sz w:val="32"/>
          <w:szCs w:val="32"/>
        </w:rPr>
        <w:t>，约占钱塘江流域面积的1/4。正常高水位108m（黄海高程），总库容216.26亿</w:t>
      </w:r>
      <w:r>
        <w:rPr>
          <w:rFonts w:hint="eastAsia" w:ascii="Times New Roman" w:hAnsi="Times New Roman" w:eastAsia="仿宋_GB2312" w:cs="Times New Roman"/>
          <w:sz w:val="32"/>
          <w:szCs w:val="32"/>
        </w:rPr>
        <w:t>立方米</w:t>
      </w:r>
      <w:r>
        <w:rPr>
          <w:rFonts w:ascii="Times New Roman" w:hAnsi="Times New Roman" w:eastAsia="仿宋_GB2312" w:cs="Times New Roman"/>
          <w:sz w:val="32"/>
          <w:szCs w:val="32"/>
        </w:rPr>
        <w:t>。水库回水至安徽省歙县深渡，库容量为178.4亿</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，最深处达97m，平均水深34m。千岛湖总入库水量多年平均为93.83亿</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，安徽来水为56.03亿</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，占入库水量的60.1%。另有中型水库4座，小（1）型水库15座，小（2）型水库47座。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（6）生物资源</w:t>
      </w:r>
    </w:p>
    <w:p>
      <w:pPr>
        <w:autoSpaceDN w:val="0"/>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植被资源非常丰富，属中亚热带阔叶林北部亚地带，为浙皖山丘青冈、苦槠林栽培植被区、天目山、古田山丘陵山地植被片，植物种类繁多，已鉴定的维管束植物有830属194科1824种，百年以上的古树约4460多株。全县有兽类动物61种、鸟类90种、爬行类50种、昆虫类16目320科1800种，两栖类2目4科62种，蛇类50种，并有多种国家一级和二级保护动物；鱼类资源丰富，有鱼类</w:t>
      </w:r>
      <w:r>
        <w:rPr>
          <w:rFonts w:hint="eastAsia" w:ascii="Times New Roman" w:hAnsi="Times New Roman" w:eastAsia="仿宋_GB2312" w:cs="Times New Roman"/>
          <w:sz w:val="32"/>
          <w:szCs w:val="32"/>
        </w:rPr>
        <w:t>114种。</w:t>
      </w:r>
    </w:p>
    <w:p>
      <w:pPr>
        <w:tabs>
          <w:tab w:val="left" w:pos="720"/>
          <w:tab w:val="left" w:pos="900"/>
        </w:tabs>
        <w:adjustRightInd w:val="0"/>
        <w:snapToGrid w:val="0"/>
        <w:spacing w:line="560" w:lineRule="exact"/>
        <w:ind w:firstLine="614" w:firstLineChars="192"/>
        <w:rPr>
          <w:rFonts w:ascii="Times New Roman" w:hAnsi="Times New Roman" w:eastAsia="仿宋_GB2312" w:cs="Times New Roman"/>
          <w:sz w:val="32"/>
          <w:szCs w:val="32"/>
        </w:rPr>
      </w:pPr>
      <w:r>
        <w:rPr>
          <w:rFonts w:ascii="Times New Roman" w:hAnsi="Times New Roman" w:eastAsia="仿宋_GB2312" w:cs="Times New Roman"/>
          <w:sz w:val="32"/>
          <w:szCs w:val="32"/>
        </w:rPr>
        <w:t>（7）旅游资源</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淳安旅游资源丰富，千岛湖是“两江一湖”国家重点风景名胜区的重要组成部分，也是“杭州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千岛湖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黄山”黄金旅游线上的一颗明珠，拥有优美的自然景观和独特的人文景观，素以“文献名邦，锦山秀水”著称。全县旅游资源共有8主类23亚类181种基本类型238个旅游资源单体，其中优良级旅游资源单体29个。淳安县共有A级景区24家，其中5A级景区1家，4A级景区3家，3A级景区9家，2A级景区11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2、社会经济状况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（1）行政区划</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2020年，淳安县辖11个镇（千岛湖镇、文昌镇、石林镇、临岐镇、威坪镇、姜家镇、梓桐镇、汾口镇、中洲镇、大墅镇、枫树岭镇）和12个乡（里商乡、金峰乡、富文乡、左口乡、屏门乡、瑶山乡、王阜乡、宋村乡、鸠坑乡、浪川乡、界首乡、安阳乡），共有</w:t>
      </w:r>
      <w:r>
        <w:rPr>
          <w:rFonts w:hint="eastAsia" w:ascii="Times New Roman" w:hAnsi="Times New Roman" w:eastAsia="仿宋_GB2312" w:cs="Times New Roman"/>
          <w:sz w:val="32"/>
          <w:szCs w:val="32"/>
        </w:rPr>
        <w:t>337</w:t>
      </w:r>
      <w:r>
        <w:rPr>
          <w:rFonts w:ascii="Times New Roman" w:hAnsi="Times New Roman" w:eastAsia="仿宋_GB2312" w:cs="Times New Roman"/>
          <w:sz w:val="32"/>
          <w:szCs w:val="32"/>
        </w:rPr>
        <w:t>个行政村，12个社区，县政府驻千岛湖镇；全县总户籍人口达</w:t>
      </w:r>
      <w:r>
        <w:rPr>
          <w:rFonts w:hint="eastAsia" w:ascii="Times New Roman" w:hAnsi="Times New Roman" w:eastAsia="仿宋_GB2312" w:cs="Times New Roman"/>
          <w:sz w:val="32"/>
          <w:szCs w:val="32"/>
        </w:rPr>
        <w:t>45.62</w:t>
      </w:r>
      <w:r>
        <w:rPr>
          <w:rFonts w:ascii="Times New Roman" w:hAnsi="Times New Roman" w:eastAsia="仿宋_GB2312" w:cs="Times New Roman"/>
          <w:sz w:val="32"/>
          <w:szCs w:val="32"/>
        </w:rPr>
        <w:t>万人。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（2）经济发展</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2020年，全县实现生产总值（GDP）240.62亿元，其中第三产业增加值139.77亿元，三次产业结构比为16.0：25.9：58.1。全县实现一般公共预算收入22.77亿元，社会消费品零售总额83.74亿元。全年共接待国内外游客1928.52万人次，实现旅游经济总收入232.04亿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（3）社会保障</w:t>
      </w:r>
    </w:p>
    <w:p>
      <w:pPr>
        <w:autoSpaceDN w:val="0"/>
        <w:spacing w:line="560" w:lineRule="exact"/>
        <w:ind w:firstLine="640" w:firstLineChars="20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2020年城镇常住居民人均可支配收入达到48985元，农村常住居民人均可支配收入达到22465元。城镇新增就业3968人，登记失业率控制在2.42%。城乡居民基础养老金由每人每月160元提高到180元，城乡居民医保县内基层医疗机构门诊报销比例提高至60%。</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、控制单元划分情况</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四五”期间，淳安县共划定5个控制单元，分别为茅头尖、三潭岛、小金山、航头岛和千岛湖大坝前。控制单元的划定将进一步落实水功能区要求，建立以流域水生态环境控制单元为核心的管控体系，加强千岛湖水生态环境的精细化管理。</w:t>
      </w:r>
    </w:p>
    <w:p>
      <w:pPr>
        <w:rPr>
          <w:rFonts w:ascii="Times New Roman" w:hAnsi="Times New Roman" w:eastAsia="仿宋_GB2312" w:cs="Times New Roman"/>
          <w:color w:val="FF0000"/>
          <w:sz w:val="32"/>
          <w:szCs w:val="32"/>
        </w:rPr>
      </w:pPr>
      <w:r>
        <w:rPr>
          <w:rStyle w:val="202"/>
        </w:rPr>
        <w:drawing>
          <wp:inline distT="0" distB="0" distL="0" distR="0">
            <wp:extent cx="5273675" cy="4413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3675" cy="4413885"/>
                    </a:xfrm>
                    <a:prstGeom prst="rect">
                      <a:avLst/>
                    </a:prstGeom>
                    <a:noFill/>
                  </pic:spPr>
                </pic:pic>
              </a:graphicData>
            </a:graphic>
          </wp:inline>
        </w:drawing>
      </w: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图</w:t>
      </w:r>
      <w:r>
        <w:rPr>
          <w:rFonts w:ascii="Times New Roman" w:hAnsi="Times New Roman" w:eastAsia="仿宋_GB2312" w:cs="Times New Roman"/>
          <w:b/>
          <w:bCs/>
          <w:sz w:val="32"/>
          <w:szCs w:val="32"/>
        </w:rPr>
        <w:t xml:space="preserve">1-1 </w:t>
      </w:r>
      <w:r>
        <w:rPr>
          <w:rFonts w:hint="eastAsia" w:ascii="Times New Roman" w:hAnsi="Times New Roman" w:eastAsia="仿宋_GB2312" w:cs="Times New Roman"/>
          <w:b/>
          <w:bCs/>
          <w:sz w:val="32"/>
          <w:szCs w:val="32"/>
        </w:rPr>
        <w:t>淳安县“十四五”控制单元划分情况</w:t>
      </w:r>
    </w:p>
    <w:p>
      <w:pPr>
        <w:pStyle w:val="3"/>
        <w:spacing w:before="0" w:after="0" w:line="560" w:lineRule="exact"/>
        <w:rPr>
          <w:rFonts w:ascii="楷体_GB2312" w:hAnsi="楷体" w:eastAsia="楷体_GB2312"/>
        </w:rPr>
      </w:pPr>
      <w:bookmarkStart w:id="6" w:name="_Toc70260335"/>
      <w:r>
        <w:rPr>
          <w:rFonts w:hint="eastAsia" w:ascii="楷体_GB2312" w:hAnsi="楷体" w:eastAsia="楷体_GB2312"/>
        </w:rPr>
        <w:t>（二）水生态环境现状</w:t>
      </w:r>
      <w:bookmarkEnd w:id="6"/>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1、水环境质量状况</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（1）千岛湖湖区水环境质量现状</w:t>
      </w:r>
    </w:p>
    <w:p>
      <w:pPr>
        <w:autoSpaceDN w:val="0"/>
        <w:spacing w:line="560" w:lineRule="exact"/>
        <w:ind w:firstLine="640" w:firstLineChars="200"/>
        <w:rPr>
          <w:rFonts w:ascii="仿宋_GB2312" w:hAnsi="方正小标宋简体" w:eastAsia="仿宋_GB2312"/>
          <w:sz w:val="32"/>
          <w:szCs w:val="32"/>
        </w:rPr>
      </w:pPr>
      <w:r>
        <w:rPr>
          <w:rFonts w:ascii="Times New Roman" w:hAnsi="Times New Roman" w:eastAsia="仿宋_GB2312" w:cs="Times New Roman"/>
          <w:sz w:val="32"/>
          <w:szCs w:val="32"/>
        </w:rPr>
        <w:t>2015-2020年，千岛湖总体水质符合《地表水环境质量标准》（GB3838-2002）</w:t>
      </w:r>
      <w:r>
        <w:rPr>
          <w:rFonts w:ascii="Times New Roman" w:hAnsi="Times New Roman" w:eastAsia="仿宋_GB2312" w:cs="Times New Roman"/>
          <w:w w:val="90"/>
          <w:sz w:val="32"/>
          <w:szCs w:val="32"/>
        </w:rPr>
        <w:t>Ⅰ-Ⅱ</w:t>
      </w:r>
      <w:r>
        <w:rPr>
          <w:rFonts w:ascii="Times New Roman" w:hAnsi="Times New Roman" w:eastAsia="仿宋_GB2312" w:cs="Times New Roman"/>
          <w:sz w:val="32"/>
          <w:szCs w:val="32"/>
        </w:rPr>
        <w:t>类标准</w:t>
      </w:r>
      <w:r>
        <w:rPr>
          <w:rFonts w:hint="eastAsia" w:ascii="Times New Roman" w:hAnsi="Times New Roman" w:eastAsia="仿宋_GB2312" w:cs="Times New Roman"/>
          <w:sz w:val="32"/>
          <w:szCs w:val="32"/>
        </w:rPr>
        <w:t>，整体水质状况为优且基本保持稳定。</w:t>
      </w:r>
      <w:r>
        <w:rPr>
          <w:rFonts w:ascii="Times New Roman" w:hAnsi="Times New Roman" w:eastAsia="仿宋_GB2312" w:cs="Times New Roman"/>
          <w:sz w:val="32"/>
          <w:szCs w:val="32"/>
        </w:rPr>
        <w:t>13个县控以上断面中，密山、毛竹源和崂山出口断面始终保持</w:t>
      </w:r>
      <w:r>
        <w:rPr>
          <w:rFonts w:ascii="Times New Roman" w:hAnsi="Times New Roman" w:eastAsia="仿宋_GB2312" w:cs="Times New Roman"/>
          <w:w w:val="90"/>
          <w:sz w:val="32"/>
          <w:szCs w:val="32"/>
        </w:rPr>
        <w:t>Ⅰ</w:t>
      </w:r>
      <w:r>
        <w:rPr>
          <w:rFonts w:ascii="Times New Roman" w:hAnsi="Times New Roman" w:eastAsia="仿宋_GB2312" w:cs="Times New Roman"/>
          <w:sz w:val="32"/>
          <w:szCs w:val="32"/>
        </w:rPr>
        <w:t>类水质，街口、大坝前、三潭岛、小金山、航头岛、茅头尖、排岭水厂、西园、百亩畈断面保持</w:t>
      </w:r>
      <w:r>
        <w:rPr>
          <w:rFonts w:ascii="仿宋_GB2312" w:hAnsi="方正小标宋简体" w:eastAsia="仿宋_GB2312"/>
          <w:sz w:val="32"/>
          <w:szCs w:val="32"/>
        </w:rPr>
        <w:t>Ⅱ</w:t>
      </w:r>
      <w:r>
        <w:rPr>
          <w:rFonts w:hint="eastAsia" w:ascii="仿宋_GB2312" w:hAnsi="方正小标宋简体" w:eastAsia="仿宋_GB2312"/>
          <w:sz w:val="32"/>
          <w:szCs w:val="32"/>
        </w:rPr>
        <w:t>类及以上水质，威坪林场断面满足Ⅲ类水质标准。</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年河流断面街口符合Ⅱ类标准，湖库断面中威坪林场符合</w:t>
      </w:r>
      <w:r>
        <w:rPr>
          <w:rFonts w:ascii="Times New Roman" w:hAnsi="Times New Roman" w:eastAsia="仿宋_GB2312" w:cs="Times New Roman"/>
          <w:w w:val="90"/>
          <w:sz w:val="32"/>
          <w:szCs w:val="32"/>
        </w:rPr>
        <w:t>III</w:t>
      </w:r>
      <w:r>
        <w:rPr>
          <w:rFonts w:ascii="Times New Roman" w:hAnsi="Times New Roman" w:eastAsia="仿宋_GB2312" w:cs="Times New Roman"/>
          <w:sz w:val="32"/>
          <w:szCs w:val="32"/>
        </w:rPr>
        <w:t>类标准,排岭水厂、航头岛、小金山、</w:t>
      </w:r>
      <w:r>
        <w:rPr>
          <w:rFonts w:hint="eastAsia" w:ascii="Times New Roman" w:hAnsi="Times New Roman" w:eastAsia="仿宋_GB2312" w:cs="Times New Roman"/>
          <w:sz w:val="32"/>
          <w:szCs w:val="32"/>
        </w:rPr>
        <w:t>崂山出口、</w:t>
      </w:r>
      <w:r>
        <w:rPr>
          <w:rFonts w:ascii="Times New Roman" w:hAnsi="Times New Roman" w:eastAsia="仿宋_GB2312" w:cs="Times New Roman"/>
          <w:sz w:val="32"/>
          <w:szCs w:val="32"/>
        </w:rPr>
        <w:t>百亩畈5个断面符合Ⅱ类标准，其余6个断面均符合Ⅰ类标准，</w:t>
      </w:r>
      <w:r>
        <w:rPr>
          <w:rFonts w:hint="eastAsia" w:ascii="Times New Roman" w:hAnsi="Times New Roman" w:eastAsia="仿宋_GB2312" w:cs="Times New Roman"/>
          <w:sz w:val="32"/>
          <w:szCs w:val="32"/>
        </w:rPr>
        <w:t>所有湖库监测断面中，</w:t>
      </w:r>
      <w:r>
        <w:rPr>
          <w:rFonts w:ascii="Times New Roman" w:hAnsi="Times New Roman" w:eastAsia="仿宋_GB2312" w:cs="Times New Roman"/>
          <w:sz w:val="32"/>
          <w:szCs w:val="32"/>
        </w:rPr>
        <w:t>Ⅰ类、Ⅱ类、III类所占比率分别为50%、41.67%和8.33%。</w:t>
      </w:r>
      <w:r>
        <w:rPr>
          <w:rFonts w:hint="eastAsia" w:ascii="仿宋_GB2312" w:hAnsi="方正小标宋简体" w:eastAsia="仿宋_GB2312"/>
          <w:sz w:val="32"/>
          <w:szCs w:val="32"/>
        </w:rPr>
        <w:t>从空间分布来看，靠近上游的威坪林场污染物浓度较高，靠近千岛湖大坝的密山、毛竹源、大坝前断面污染物浓度较低。</w:t>
      </w:r>
    </w:p>
    <w:p>
      <w:pPr>
        <w:jc w:val="center"/>
        <w:rPr>
          <w:rFonts w:ascii="仿宋_GB2312" w:hAnsi="方正小标宋简体" w:eastAsia="仿宋_GB2312"/>
          <w:color w:val="FF0000"/>
          <w:sz w:val="32"/>
          <w:szCs w:val="32"/>
        </w:rPr>
      </w:pPr>
      <w:r>
        <w:rPr>
          <w:color w:val="FF0000"/>
        </w:rPr>
        <w:drawing>
          <wp:inline distT="0" distB="0" distL="0" distR="0">
            <wp:extent cx="5224780" cy="3886200"/>
            <wp:effectExtent l="0" t="0" r="0" b="0"/>
            <wp:docPr id="2" name="图片 2" descr="F:\千岛湖\报告图\千岛湖采样点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千岛湖\报告图\千岛湖采样点位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0167" cy="3912496"/>
                    </a:xfrm>
                    <a:prstGeom prst="rect">
                      <a:avLst/>
                    </a:prstGeom>
                    <a:noFill/>
                    <a:ln>
                      <a:noFill/>
                    </a:ln>
                  </pic:spPr>
                </pic:pic>
              </a:graphicData>
            </a:graphic>
          </wp:inline>
        </w:drawing>
      </w: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图</w:t>
      </w:r>
      <w:r>
        <w:rPr>
          <w:rFonts w:ascii="Times New Roman" w:hAnsi="Times New Roman" w:eastAsia="仿宋_GB2312" w:cs="Times New Roman"/>
          <w:b/>
          <w:bCs/>
          <w:sz w:val="32"/>
          <w:szCs w:val="32"/>
        </w:rPr>
        <w:t>1-2</w:t>
      </w:r>
      <w:r>
        <w:rPr>
          <w:rFonts w:hint="eastAsia" w:ascii="Times New Roman" w:hAnsi="Times New Roman" w:eastAsia="仿宋_GB2312" w:cs="Times New Roman"/>
          <w:b/>
          <w:bCs/>
          <w:sz w:val="32"/>
          <w:szCs w:val="32"/>
        </w:rPr>
        <w:t>千岛湖县控以上断面点位图</w:t>
      </w:r>
    </w:p>
    <w:p>
      <w:pPr>
        <w:spacing w:line="560" w:lineRule="exact"/>
        <w:ind w:firstLine="640" w:firstLineChars="200"/>
        <w:rPr>
          <w:rFonts w:ascii="仿宋_GB2312" w:hAnsi="方正小标宋简体" w:eastAsia="仿宋_GB2312"/>
          <w:sz w:val="32"/>
          <w:szCs w:val="32"/>
        </w:rPr>
      </w:pPr>
      <w:r>
        <w:rPr>
          <w:rFonts w:hint="eastAsia" w:ascii="仿宋_GB2312" w:hAnsi="方正小标宋简体" w:eastAsia="仿宋_GB2312"/>
          <w:sz w:val="32"/>
          <w:szCs w:val="32"/>
        </w:rPr>
        <w:t>（2）河流水环境质量现状</w:t>
      </w:r>
    </w:p>
    <w:p>
      <w:pPr>
        <w:autoSpaceDE w:val="0"/>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根据2015-2019年千岛湖流域共19条主要入湖河流（新安江除外）的水质监测数据分析，2015-2019年19条主要入湖河流均满足</w:t>
      </w:r>
      <w:bookmarkStart w:id="7" w:name="_Hlk74483684"/>
      <w:r>
        <w:rPr>
          <w:rFonts w:hint="eastAsia" w:ascii="Times New Roman" w:hAnsi="Times New Roman" w:eastAsia="仿宋_GB2312" w:cs="Times New Roman"/>
          <w:sz w:val="32"/>
          <w:szCs w:val="32"/>
        </w:rPr>
        <w:t>II类</w:t>
      </w:r>
      <w:bookmarkEnd w:id="7"/>
      <w:r>
        <w:rPr>
          <w:rFonts w:hint="eastAsia" w:ascii="Times New Roman" w:hAnsi="Times New Roman" w:eastAsia="仿宋_GB2312" w:cs="Times New Roman"/>
          <w:sz w:val="32"/>
          <w:szCs w:val="32"/>
        </w:rPr>
        <w:t>及以上水质，COD</w:t>
      </w:r>
      <w:r>
        <w:rPr>
          <w:rFonts w:ascii="Times New Roman" w:hAnsi="Times New Roman" w:eastAsia="仿宋_GB2312" w:cs="Times New Roman"/>
          <w:sz w:val="32"/>
          <w:szCs w:val="32"/>
          <w:vertAlign w:val="subscript"/>
        </w:rPr>
        <w:t>Mn</w:t>
      </w:r>
      <w:r>
        <w:rPr>
          <w:rFonts w:hint="eastAsia" w:ascii="Times New Roman" w:hAnsi="Times New Roman" w:eastAsia="仿宋_GB2312" w:cs="Times New Roman"/>
          <w:sz w:val="32"/>
          <w:szCs w:val="32"/>
        </w:rPr>
        <w:t>、氨氮指标浓度均满足</w:t>
      </w:r>
      <w:r>
        <w:rPr>
          <w:rFonts w:ascii="Times New Roman" w:hAnsi="Times New Roman" w:eastAsia="仿宋_GB2312" w:cs="Times New Roman"/>
          <w:sz w:val="32"/>
          <w:szCs w:val="32"/>
        </w:rPr>
        <w:t>I</w:t>
      </w:r>
      <w:r>
        <w:rPr>
          <w:rFonts w:hint="eastAsia" w:ascii="Times New Roman" w:hAnsi="Times New Roman" w:eastAsia="仿宋_GB2312" w:cs="Times New Roman"/>
          <w:sz w:val="32"/>
          <w:szCs w:val="32"/>
        </w:rPr>
        <w:t>类水质，总磷浓度年均值在0.009~0.053mg/L之间，大部分河流呈现总磷浓度在2</w:t>
      </w:r>
      <w:r>
        <w:rPr>
          <w:rFonts w:ascii="Times New Roman" w:hAnsi="Times New Roman" w:eastAsia="仿宋_GB2312" w:cs="Times New Roman"/>
          <w:sz w:val="32"/>
          <w:szCs w:val="32"/>
        </w:rPr>
        <w:t>015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2017</w:t>
      </w:r>
      <w:r>
        <w:rPr>
          <w:rFonts w:hint="eastAsia" w:ascii="Times New Roman" w:hAnsi="Times New Roman" w:eastAsia="仿宋_GB2312" w:cs="Times New Roman"/>
          <w:sz w:val="32"/>
          <w:szCs w:val="32"/>
        </w:rPr>
        <w:t>年逐年下降后，2</w:t>
      </w:r>
      <w:r>
        <w:rPr>
          <w:rFonts w:ascii="Times New Roman" w:hAnsi="Times New Roman" w:eastAsia="仿宋_GB2312" w:cs="Times New Roman"/>
          <w:sz w:val="32"/>
          <w:szCs w:val="32"/>
        </w:rPr>
        <w:t>018</w:t>
      </w:r>
      <w:r>
        <w:rPr>
          <w:rFonts w:hint="eastAsia" w:ascii="Times New Roman" w:hAnsi="Times New Roman" w:eastAsia="仿宋_GB2312" w:cs="Times New Roman"/>
          <w:sz w:val="32"/>
          <w:szCs w:val="32"/>
        </w:rPr>
        <w:t>年小幅上升后再下降趋势。2020年，全县84条河流均达到II类以上，其中I类水5</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条，占比6</w:t>
      </w:r>
      <w:r>
        <w:rPr>
          <w:rFonts w:ascii="Times New Roman" w:hAnsi="Times New Roman" w:eastAsia="仿宋_GB2312" w:cs="Times New Roman"/>
          <w:sz w:val="32"/>
          <w:szCs w:val="32"/>
        </w:rPr>
        <w:t>6.7</w:t>
      </w:r>
      <w:r>
        <w:rPr>
          <w:rFonts w:hint="eastAsia" w:ascii="Times New Roman" w:hAnsi="Times New Roman" w:eastAsia="仿宋_GB2312" w:cs="Times New Roman"/>
          <w:sz w:val="32"/>
          <w:szCs w:val="32"/>
        </w:rPr>
        <w:t>%。</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（3）饮用水水源地水质</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年，淳安县集中式饮用水水源地全年水质达标率为100%。</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2、水资源利用状况</w:t>
      </w:r>
    </w:p>
    <w:p>
      <w:pPr>
        <w:autoSpaceDE w:val="0"/>
        <w:autoSpaceDN w:val="0"/>
        <w:spacing w:line="560" w:lineRule="exact"/>
        <w:ind w:firstLine="640" w:firstLineChars="200"/>
        <w:rPr>
          <w:rFonts w:ascii="仿宋_GB2312" w:hAnsi="楷体" w:eastAsia="仿宋_GB2312"/>
          <w:sz w:val="32"/>
          <w:szCs w:val="32"/>
        </w:rPr>
      </w:pPr>
      <w:r>
        <w:rPr>
          <w:rFonts w:ascii="Times New Roman" w:hAnsi="Times New Roman" w:eastAsia="仿宋_GB2312" w:cs="Times New Roman"/>
          <w:sz w:val="32"/>
          <w:szCs w:val="32"/>
        </w:rPr>
        <w:t>淳安县多年平均水资源总量达到50.58亿m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，2015-2019年均用水量1.3</w:t>
      </w:r>
      <w:r>
        <w:rPr>
          <w:rFonts w:hint="eastAsia" w:ascii="Times New Roman" w:hAnsi="Times New Roman" w:eastAsia="仿宋_GB2312" w:cs="Times New Roman"/>
          <w:sz w:val="32"/>
          <w:szCs w:val="32"/>
        </w:rPr>
        <w:t>亿</w:t>
      </w:r>
      <w:r>
        <w:rPr>
          <w:rFonts w:ascii="Times New Roman" w:hAnsi="Times New Roman" w:eastAsia="仿宋_GB2312" w:cs="Times New Roman"/>
          <w:sz w:val="32"/>
          <w:szCs w:val="32"/>
        </w:rPr>
        <w:t>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左右，水资源开发利用程度较低，水资源较为丰富。淳安县现有规模以上已建或在建集中供水水厂主要有千岛湖水厂、坪山水厂等19座水厂，设计总供水规模19.66万m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/d，现状供水规模10.72万m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/d。所有水厂建成后覆盖人口31.2万人，规模化水厂供水率可达到66%</w:t>
      </w:r>
      <w:r>
        <w:rPr>
          <w:rFonts w:hint="eastAsia" w:ascii="仿宋_GB2312" w:hAnsi="楷体" w:eastAsia="仿宋_GB2312"/>
          <w:sz w:val="32"/>
          <w:szCs w:val="32"/>
        </w:rPr>
        <w:t>。</w:t>
      </w: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表</w:t>
      </w:r>
      <w:r>
        <w:rPr>
          <w:rFonts w:ascii="Times New Roman" w:hAnsi="Times New Roman" w:eastAsia="仿宋_GB2312" w:cs="Times New Roman"/>
          <w:b/>
          <w:bCs/>
          <w:sz w:val="32"/>
          <w:szCs w:val="32"/>
        </w:rPr>
        <w:t>1-2 2015-2019</w:t>
      </w:r>
      <w:r>
        <w:rPr>
          <w:rFonts w:hint="eastAsia" w:ascii="Times New Roman" w:hAnsi="Times New Roman" w:eastAsia="仿宋_GB2312" w:cs="Times New Roman"/>
          <w:b/>
          <w:bCs/>
          <w:sz w:val="32"/>
          <w:szCs w:val="32"/>
        </w:rPr>
        <w:t>年淳安县水资源利用情况</w:t>
      </w:r>
    </w:p>
    <w:tbl>
      <w:tblPr>
        <w:tblStyle w:val="39"/>
        <w:tblW w:w="470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36"/>
        <w:gridCol w:w="615"/>
        <w:gridCol w:w="617"/>
        <w:gridCol w:w="591"/>
        <w:gridCol w:w="622"/>
        <w:gridCol w:w="591"/>
        <w:gridCol w:w="591"/>
        <w:gridCol w:w="653"/>
        <w:gridCol w:w="591"/>
        <w:gridCol w:w="664"/>
        <w:gridCol w:w="660"/>
        <w:gridCol w:w="8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34" w:type="pct"/>
            <w:vMerge w:val="restar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年份</w:t>
            </w:r>
          </w:p>
        </w:tc>
        <w:tc>
          <w:tcPr>
            <w:tcW w:w="1561" w:type="pct"/>
            <w:gridSpan w:val="4"/>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供水量（</w:t>
            </w:r>
            <w:r>
              <w:rPr>
                <w:rFonts w:hint="eastAsia" w:eastAsia="仿宋_GB2312" w:asciiTheme="majorBidi" w:hAnsiTheme="majorBidi" w:cstheme="majorBidi"/>
                <w:b/>
                <w:bCs/>
                <w:szCs w:val="21"/>
              </w:rPr>
              <w:t>亿</w:t>
            </w:r>
            <w:r>
              <w:rPr>
                <w:rFonts w:eastAsia="仿宋_GB2312" w:asciiTheme="majorBidi" w:hAnsiTheme="majorBidi" w:cstheme="majorBidi"/>
                <w:b/>
                <w:bCs/>
                <w:szCs w:val="21"/>
              </w:rPr>
              <w:t>m</w:t>
            </w:r>
            <w:r>
              <w:rPr>
                <w:rFonts w:eastAsia="仿宋_GB2312" w:asciiTheme="majorBidi" w:hAnsiTheme="majorBidi" w:cstheme="majorBidi"/>
                <w:b/>
                <w:bCs/>
                <w:szCs w:val="21"/>
                <w:vertAlign w:val="superscript"/>
              </w:rPr>
              <w:t>3</w:t>
            </w:r>
            <w:r>
              <w:rPr>
                <w:rFonts w:eastAsia="仿宋_GB2312" w:asciiTheme="majorBidi" w:hAnsiTheme="majorBidi" w:cstheme="majorBidi"/>
                <w:b/>
                <w:bCs/>
                <w:szCs w:val="21"/>
              </w:rPr>
              <w:t>）</w:t>
            </w:r>
          </w:p>
        </w:tc>
        <w:tc>
          <w:tcPr>
            <w:tcW w:w="2905" w:type="pct"/>
            <w:gridSpan w:val="7"/>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用水量（</w:t>
            </w:r>
            <w:r>
              <w:rPr>
                <w:rFonts w:hint="eastAsia" w:eastAsia="仿宋_GB2312" w:asciiTheme="majorBidi" w:hAnsiTheme="majorBidi" w:cstheme="majorBidi"/>
                <w:b/>
                <w:bCs/>
                <w:szCs w:val="21"/>
              </w:rPr>
              <w:t>亿</w:t>
            </w:r>
            <w:r>
              <w:rPr>
                <w:rFonts w:eastAsia="仿宋_GB2312" w:asciiTheme="majorBidi" w:hAnsiTheme="majorBidi" w:cstheme="majorBidi"/>
                <w:b/>
                <w:bCs/>
                <w:szCs w:val="21"/>
              </w:rPr>
              <w:t>m</w:t>
            </w:r>
            <w:r>
              <w:rPr>
                <w:rFonts w:eastAsia="仿宋_GB2312" w:asciiTheme="majorBidi" w:hAnsiTheme="majorBidi" w:cstheme="majorBidi"/>
                <w:b/>
                <w:bCs/>
                <w:szCs w:val="21"/>
                <w:vertAlign w:val="superscript"/>
              </w:rPr>
              <w:t>3</w:t>
            </w:r>
            <w:r>
              <w:rPr>
                <w:rFonts w:eastAsia="仿宋_GB2312" w:asciiTheme="majorBidi" w:hAnsiTheme="majorBidi" w:cstheme="majorBidi"/>
                <w:b/>
                <w:bCs/>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3" w:hRule="atLeast"/>
          <w:tblHeader/>
          <w:jc w:val="center"/>
        </w:trPr>
        <w:tc>
          <w:tcPr>
            <w:tcW w:w="534" w:type="pct"/>
            <w:vMerge w:val="continue"/>
            <w:vAlign w:val="center"/>
          </w:tcPr>
          <w:p>
            <w:pPr>
              <w:adjustRightInd w:val="0"/>
              <w:snapToGrid w:val="0"/>
              <w:jc w:val="center"/>
              <w:rPr>
                <w:rFonts w:eastAsia="仿宋_GB2312" w:asciiTheme="majorBidi" w:hAnsiTheme="majorBidi" w:cstheme="majorBidi"/>
                <w:b/>
                <w:bCs/>
                <w:szCs w:val="21"/>
              </w:rPr>
            </w:pPr>
          </w:p>
        </w:tc>
        <w:tc>
          <w:tcPr>
            <w:tcW w:w="393"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地表水源</w:t>
            </w:r>
          </w:p>
        </w:tc>
        <w:tc>
          <w:tcPr>
            <w:tcW w:w="394"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地下水源</w:t>
            </w:r>
          </w:p>
        </w:tc>
        <w:tc>
          <w:tcPr>
            <w:tcW w:w="377"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其他水源</w:t>
            </w:r>
          </w:p>
        </w:tc>
        <w:tc>
          <w:tcPr>
            <w:tcW w:w="397"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总供水量</w:t>
            </w:r>
          </w:p>
        </w:tc>
        <w:tc>
          <w:tcPr>
            <w:tcW w:w="377"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农田灌溉</w:t>
            </w:r>
          </w:p>
        </w:tc>
        <w:tc>
          <w:tcPr>
            <w:tcW w:w="377"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林牧渔畜</w:t>
            </w:r>
          </w:p>
        </w:tc>
        <w:tc>
          <w:tcPr>
            <w:tcW w:w="417"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工业</w:t>
            </w:r>
          </w:p>
        </w:tc>
        <w:tc>
          <w:tcPr>
            <w:tcW w:w="377"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城镇公共</w:t>
            </w:r>
          </w:p>
        </w:tc>
        <w:tc>
          <w:tcPr>
            <w:tcW w:w="424"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居民生活</w:t>
            </w:r>
          </w:p>
        </w:tc>
        <w:tc>
          <w:tcPr>
            <w:tcW w:w="421"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生态环境</w:t>
            </w:r>
          </w:p>
        </w:tc>
        <w:tc>
          <w:tcPr>
            <w:tcW w:w="511" w:type="pct"/>
            <w:vAlign w:val="center"/>
          </w:tcPr>
          <w:p>
            <w:pPr>
              <w:adjustRightInd w:val="0"/>
              <w:snapToGrid w:val="0"/>
              <w:jc w:val="center"/>
              <w:rPr>
                <w:rFonts w:eastAsia="仿宋_GB2312" w:asciiTheme="majorBidi" w:hAnsiTheme="majorBidi" w:cstheme="majorBidi"/>
                <w:b/>
                <w:bCs/>
                <w:szCs w:val="21"/>
              </w:rPr>
            </w:pPr>
            <w:r>
              <w:rPr>
                <w:rFonts w:eastAsia="仿宋_GB2312" w:asciiTheme="majorBidi" w:hAnsiTheme="majorBidi" w:cstheme="majorBidi"/>
                <w:b/>
                <w:bCs/>
                <w:szCs w:val="21"/>
              </w:rPr>
              <w:t>总用水量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53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2015年</w:t>
            </w:r>
          </w:p>
        </w:tc>
        <w:tc>
          <w:tcPr>
            <w:tcW w:w="393"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 w:val="22"/>
              </w:rPr>
              <w:t>1.3148</w:t>
            </w:r>
          </w:p>
        </w:tc>
        <w:tc>
          <w:tcPr>
            <w:tcW w:w="394"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 w:val="22"/>
              </w:rPr>
              <w:t>0.0048</w:t>
            </w:r>
          </w:p>
        </w:tc>
        <w:tc>
          <w:tcPr>
            <w:tcW w:w="37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 w:val="22"/>
              </w:rPr>
              <w:t>0</w:t>
            </w:r>
          </w:p>
        </w:tc>
        <w:tc>
          <w:tcPr>
            <w:tcW w:w="39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 w:val="22"/>
              </w:rPr>
              <w:t>1.3196</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 w:val="20"/>
                <w:szCs w:val="20"/>
              </w:rPr>
              <w:t>0.435</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 w:val="20"/>
                <w:szCs w:val="20"/>
              </w:rPr>
              <w:t>0.08</w:t>
            </w:r>
          </w:p>
        </w:tc>
        <w:tc>
          <w:tcPr>
            <w:tcW w:w="41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 w:val="20"/>
                <w:szCs w:val="20"/>
              </w:rPr>
              <w:t>0.3446</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0.2577</w:t>
            </w:r>
          </w:p>
        </w:tc>
        <w:tc>
          <w:tcPr>
            <w:tcW w:w="42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0.1765</w:t>
            </w:r>
          </w:p>
        </w:tc>
        <w:tc>
          <w:tcPr>
            <w:tcW w:w="42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0.0258</w:t>
            </w:r>
          </w:p>
        </w:tc>
        <w:tc>
          <w:tcPr>
            <w:tcW w:w="51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1.3196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3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2016年</w:t>
            </w:r>
          </w:p>
        </w:tc>
        <w:tc>
          <w:tcPr>
            <w:tcW w:w="393"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1.3059</w:t>
            </w:r>
          </w:p>
        </w:tc>
        <w:tc>
          <w:tcPr>
            <w:tcW w:w="394"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0.0038</w:t>
            </w:r>
          </w:p>
        </w:tc>
        <w:tc>
          <w:tcPr>
            <w:tcW w:w="37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0</w:t>
            </w:r>
          </w:p>
        </w:tc>
        <w:tc>
          <w:tcPr>
            <w:tcW w:w="39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1.3097</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0.4642</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0.0359</w:t>
            </w:r>
          </w:p>
        </w:tc>
        <w:tc>
          <w:tcPr>
            <w:tcW w:w="41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0.3183</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0.2807</w:t>
            </w:r>
          </w:p>
        </w:tc>
        <w:tc>
          <w:tcPr>
            <w:tcW w:w="42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0.1785</w:t>
            </w:r>
          </w:p>
        </w:tc>
        <w:tc>
          <w:tcPr>
            <w:tcW w:w="42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0.0321</w:t>
            </w:r>
          </w:p>
        </w:tc>
        <w:tc>
          <w:tcPr>
            <w:tcW w:w="51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1.3097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3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2017年</w:t>
            </w:r>
          </w:p>
        </w:tc>
        <w:tc>
          <w:tcPr>
            <w:tcW w:w="393"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1.2935</w:t>
            </w:r>
          </w:p>
        </w:tc>
        <w:tc>
          <w:tcPr>
            <w:tcW w:w="394"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0.0044</w:t>
            </w:r>
          </w:p>
        </w:tc>
        <w:tc>
          <w:tcPr>
            <w:tcW w:w="37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0.0065</w:t>
            </w:r>
          </w:p>
        </w:tc>
        <w:tc>
          <w:tcPr>
            <w:tcW w:w="39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1.3044</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0.4567</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0.0368</w:t>
            </w:r>
          </w:p>
        </w:tc>
        <w:tc>
          <w:tcPr>
            <w:tcW w:w="41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0.2742</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0.3125</w:t>
            </w:r>
          </w:p>
        </w:tc>
        <w:tc>
          <w:tcPr>
            <w:tcW w:w="42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0.1901</w:t>
            </w:r>
          </w:p>
        </w:tc>
        <w:tc>
          <w:tcPr>
            <w:tcW w:w="42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0.0341</w:t>
            </w:r>
          </w:p>
        </w:tc>
        <w:tc>
          <w:tcPr>
            <w:tcW w:w="51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1.3044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3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2018年</w:t>
            </w:r>
          </w:p>
        </w:tc>
        <w:tc>
          <w:tcPr>
            <w:tcW w:w="393"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1.2368</w:t>
            </w:r>
          </w:p>
        </w:tc>
        <w:tc>
          <w:tcPr>
            <w:tcW w:w="394"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0.0038</w:t>
            </w:r>
          </w:p>
        </w:tc>
        <w:tc>
          <w:tcPr>
            <w:tcW w:w="37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0.0146</w:t>
            </w:r>
          </w:p>
        </w:tc>
        <w:tc>
          <w:tcPr>
            <w:tcW w:w="397" w:type="pct"/>
            <w:vAlign w:val="center"/>
          </w:tcPr>
          <w:p>
            <w:pPr>
              <w:adjustRightInd w:val="0"/>
              <w:snapToGrid w:val="0"/>
              <w:jc w:val="center"/>
              <w:rPr>
                <w:rFonts w:eastAsia="仿宋_GB2312" w:asciiTheme="majorBidi" w:hAnsiTheme="majorBidi" w:cstheme="majorBidi"/>
              </w:rPr>
            </w:pPr>
            <w:r>
              <w:rPr>
                <w:rFonts w:eastAsia="仿宋_GB2312" w:asciiTheme="majorBidi" w:hAnsiTheme="majorBidi" w:cstheme="majorBidi"/>
                <w:szCs w:val="21"/>
              </w:rPr>
              <w:t>1.2552</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0.4479</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0.0366</w:t>
            </w:r>
          </w:p>
        </w:tc>
        <w:tc>
          <w:tcPr>
            <w:tcW w:w="41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0.167</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0.3968</w:t>
            </w:r>
          </w:p>
        </w:tc>
        <w:tc>
          <w:tcPr>
            <w:tcW w:w="42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0.1819</w:t>
            </w:r>
          </w:p>
        </w:tc>
        <w:tc>
          <w:tcPr>
            <w:tcW w:w="42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0.025</w:t>
            </w:r>
          </w:p>
        </w:tc>
        <w:tc>
          <w:tcPr>
            <w:tcW w:w="51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1.2552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3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2019年</w:t>
            </w:r>
          </w:p>
        </w:tc>
        <w:tc>
          <w:tcPr>
            <w:tcW w:w="393"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1.2967</w:t>
            </w:r>
          </w:p>
        </w:tc>
        <w:tc>
          <w:tcPr>
            <w:tcW w:w="39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0.0302</w:t>
            </w:r>
          </w:p>
        </w:tc>
        <w:tc>
          <w:tcPr>
            <w:tcW w:w="39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1.3269</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0.4765</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0.0501</w:t>
            </w:r>
          </w:p>
        </w:tc>
        <w:tc>
          <w:tcPr>
            <w:tcW w:w="41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0.1459</w:t>
            </w:r>
          </w:p>
        </w:tc>
        <w:tc>
          <w:tcPr>
            <w:tcW w:w="377"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0.4649</w:t>
            </w:r>
          </w:p>
        </w:tc>
        <w:tc>
          <w:tcPr>
            <w:tcW w:w="424"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0.1751</w:t>
            </w:r>
          </w:p>
        </w:tc>
        <w:tc>
          <w:tcPr>
            <w:tcW w:w="42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0.0144</w:t>
            </w:r>
          </w:p>
        </w:tc>
        <w:tc>
          <w:tcPr>
            <w:tcW w:w="511" w:type="pct"/>
            <w:vAlign w:val="center"/>
          </w:tcPr>
          <w:p>
            <w:pPr>
              <w:adjustRightInd w:val="0"/>
              <w:snapToGrid w:val="0"/>
              <w:jc w:val="center"/>
              <w:rPr>
                <w:rFonts w:eastAsia="仿宋_GB2312" w:asciiTheme="majorBidi" w:hAnsiTheme="majorBidi" w:cstheme="majorBidi"/>
                <w:szCs w:val="21"/>
              </w:rPr>
            </w:pPr>
            <w:r>
              <w:rPr>
                <w:rFonts w:eastAsia="仿宋_GB2312" w:asciiTheme="majorBidi" w:hAnsiTheme="majorBidi" w:cstheme="majorBidi"/>
                <w:szCs w:val="21"/>
              </w:rPr>
              <w:t>1.3269</w:t>
            </w:r>
          </w:p>
        </w:tc>
      </w:tr>
    </w:tbl>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淳安地域广阔，丘陵、山地地形居多，村庄分散，集中统一供水的成本和难度较高，偏远农村难以由统一供水水厂供水的，主要靠农村饮用水工程进行联村供水或单村供水。淳安现状单村供水站总计656处，总供水规模2.92万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/d，供水覆盖人口16.1万人。山区农村饮用水源地点多、面广、规模小，枯水季易出现水量不足，水资源短缺现象。</w:t>
      </w:r>
      <w:r>
        <w:rPr>
          <w:rFonts w:hint="eastAsia" w:ascii="Times New Roman" w:hAnsi="Times New Roman" w:eastAsia="仿宋_GB2312" w:cs="Times New Roman"/>
          <w:sz w:val="32"/>
          <w:szCs w:val="32"/>
        </w:rPr>
        <w:t>目前</w:t>
      </w:r>
      <w:r>
        <w:rPr>
          <w:rFonts w:ascii="Times New Roman" w:hAnsi="Times New Roman" w:eastAsia="仿宋_GB2312" w:cs="Times New Roman"/>
          <w:sz w:val="32"/>
          <w:szCs w:val="32"/>
        </w:rPr>
        <w:t>县域范围内尚有100余座小水电，已完成生态流量核定工作。</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3、水生态状况</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（1）富营养化状况。</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根据《千岛湖水生态安全评估报告（2017年）》，2016年全湖综合营养状态指数（TLI）在25.4～39.3之间，均值为31.5，处于中营养状态。2</w:t>
      </w:r>
      <w:r>
        <w:rPr>
          <w:rFonts w:ascii="Times New Roman" w:hAnsi="Times New Roman" w:eastAsia="仿宋_GB2312" w:cs="Times New Roman"/>
          <w:sz w:val="32"/>
          <w:szCs w:val="32"/>
        </w:rPr>
        <w:t>017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2019</w:t>
      </w:r>
      <w:r>
        <w:rPr>
          <w:rFonts w:hint="eastAsia" w:ascii="Times New Roman" w:hAnsi="Times New Roman" w:eastAsia="仿宋_GB2312" w:cs="Times New Roman"/>
          <w:sz w:val="32"/>
          <w:szCs w:val="32"/>
        </w:rPr>
        <w:t>年，全湖TLI值分别为2</w:t>
      </w:r>
      <w:r>
        <w:rPr>
          <w:rFonts w:ascii="Times New Roman" w:hAnsi="Times New Roman" w:eastAsia="仿宋_GB2312" w:cs="Times New Roman"/>
          <w:sz w:val="32"/>
          <w:szCs w:val="32"/>
        </w:rPr>
        <w:t>9.99</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0.05</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0.96</w:t>
      </w:r>
      <w:r>
        <w:rPr>
          <w:rFonts w:hint="eastAsia" w:ascii="Times New Roman" w:hAnsi="Times New Roman" w:eastAsia="仿宋_GB2312" w:cs="Times New Roman"/>
          <w:sz w:val="32"/>
          <w:szCs w:val="32"/>
        </w:rPr>
        <w:t>,保持中营养状态。</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（2）沉积物质量状况。</w:t>
      </w:r>
    </w:p>
    <w:p>
      <w:pPr>
        <w:autoSpaceDE w:val="0"/>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2016年千岛湖沉积物中Fe、Mn、Co、Ni、Cu、Zn、Cr的分布较均匀，As、Cd、Pb的空间变化较大。2016年，千岛湖沉积物中有机氮质量分数在0.07%～0.18%之间，有机指数在0.64～1.20之间，属有机污染范畴。重金属污染评价的结果显示：除Cd外，其他重金属元素（包括：Cr、Co、Ni、Cu、Zn、As、Pb）均处于清洁型或低污染水平。</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（3）水生生物状况。</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淳安生物种类繁多、生物多样性高、自然资源丰富，千岛湖有淡水鱼</w:t>
      </w:r>
      <w:r>
        <w:rPr>
          <w:rFonts w:hint="eastAsia" w:ascii="Times New Roman" w:hAnsi="Times New Roman" w:eastAsia="仿宋_GB2312" w:cs="Times New Roman"/>
          <w:sz w:val="32"/>
          <w:szCs w:val="32"/>
        </w:rPr>
        <w:t>114</w:t>
      </w:r>
      <w:r>
        <w:rPr>
          <w:rFonts w:ascii="Times New Roman" w:hAnsi="Times New Roman" w:eastAsia="仿宋_GB2312" w:cs="Times New Roman"/>
          <w:sz w:val="32"/>
          <w:szCs w:val="32"/>
        </w:rPr>
        <w:t>种，</w:t>
      </w:r>
      <w:r>
        <w:rPr>
          <w:rFonts w:hint="eastAsia" w:ascii="Times New Roman" w:hAnsi="Times New Roman" w:eastAsia="仿宋_GB2312" w:cs="Times New Roman"/>
          <w:sz w:val="32"/>
          <w:szCs w:val="32"/>
        </w:rPr>
        <w:t>是全国四大淡水鱼基地之一，设立有千岛湖国家级水产种质资源保护区，主要保护对象为黄尾密鲴，细鳞斜颌鲴，其他保护对象包括翘嘴红</w:t>
      </w:r>
      <w:r>
        <w:rPr>
          <w:rFonts w:hint="eastAsia" w:ascii="仿宋" w:hAnsi="仿宋" w:eastAsia="仿宋" w:cs="微软雅黑"/>
          <w:sz w:val="32"/>
          <w:szCs w:val="32"/>
        </w:rPr>
        <w:t>鲌</w:t>
      </w:r>
      <w:r>
        <w:rPr>
          <w:rFonts w:hint="eastAsia" w:ascii="仿宋_GB2312" w:hAnsi="仿宋_GB2312" w:eastAsia="仿宋_GB2312" w:cs="仿宋_GB2312"/>
          <w:sz w:val="32"/>
          <w:szCs w:val="32"/>
        </w:rPr>
        <w:t>、蒙古红</w:t>
      </w:r>
      <w:r>
        <w:rPr>
          <w:rFonts w:hint="eastAsia" w:ascii="仿宋" w:hAnsi="仿宋" w:eastAsia="仿宋" w:cs="微软雅黑"/>
          <w:sz w:val="32"/>
          <w:szCs w:val="32"/>
        </w:rPr>
        <w:t>鲌</w:t>
      </w:r>
      <w:r>
        <w:rPr>
          <w:rFonts w:hint="eastAsia" w:ascii="仿宋_GB2312" w:hAnsi="仿宋_GB2312" w:eastAsia="仿宋_GB2312" w:cs="仿宋_GB2312"/>
          <w:sz w:val="32"/>
          <w:szCs w:val="32"/>
        </w:rPr>
        <w:t>、光唇鱼、唇鱼</w:t>
      </w:r>
      <w:r>
        <w:rPr>
          <w:rFonts w:hint="eastAsia" w:ascii="仿宋" w:hAnsi="仿宋" w:eastAsia="仿宋" w:cs="微软雅黑"/>
          <w:sz w:val="32"/>
          <w:szCs w:val="32"/>
        </w:rPr>
        <w:t>䱻</w:t>
      </w:r>
      <w:r>
        <w:rPr>
          <w:rFonts w:hint="eastAsia" w:ascii="仿宋_GB2312" w:hAnsi="仿宋_GB2312" w:eastAsia="仿宋_GB2312" w:cs="仿宋_GB2312"/>
          <w:sz w:val="32"/>
          <w:szCs w:val="32"/>
        </w:rPr>
        <w:t>、大眼华鳊</w:t>
      </w:r>
      <w:r>
        <w:rPr>
          <w:rFonts w:hint="eastAsia" w:ascii="Times New Roman" w:hAnsi="Times New Roman" w:eastAsia="仿宋_GB2312" w:cs="Times New Roman"/>
          <w:sz w:val="32"/>
          <w:szCs w:val="32"/>
        </w:rPr>
        <w:t>。县域内分布有荆三棱、喜旱莲子草、凤眼莲、金鱼藻等十余种大型水生植物。</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（4）浮游植物状况。</w:t>
      </w:r>
    </w:p>
    <w:p>
      <w:pPr>
        <w:autoSpaceDE w:val="0"/>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2016年，千岛湖浮游植物密度月均值在1.65×10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个/L～6.21×10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之间，生物量在5.23～19.22mg/L之间，1月和5月硅藻门所占比例最高，3月隐藻门所占比例最高，7月、9月和11月蓝藻门所占比例最高。从空间分布上看，三潭岛点位浮游植物密度较高，大坝前、毛竹源、密山等点位浮游植物密度较低。2017年各点位浮游植物年度观测值在2.85×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个/L～8.15×10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个/L之间，街口点位浮游植物密度最高，大坝前点位密度最低。2018年各点位浮游植物年度观测值在4.18×10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个/L～30×10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个/L之间，街口点位浮游植物密度最高，茅头尖和大坝前点位密度最低。2019年各点位浮游植物年度观测值在9.33×10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个/L～38.99×10</w:t>
      </w:r>
      <w:r>
        <w:rPr>
          <w:rFonts w:ascii="Times New Roman" w:hAnsi="Times New Roman" w:eastAsia="仿宋_GB2312" w:cs="Times New Roman"/>
          <w:sz w:val="32"/>
          <w:szCs w:val="32"/>
          <w:vertAlign w:val="superscript"/>
        </w:rPr>
        <w:t>6</w:t>
      </w:r>
      <w:r>
        <w:rPr>
          <w:rFonts w:hint="eastAsia" w:ascii="Times New Roman" w:hAnsi="Times New Roman" w:eastAsia="仿宋_GB2312" w:cs="Times New Roman"/>
          <w:sz w:val="32"/>
          <w:szCs w:val="32"/>
        </w:rPr>
        <w:t>个/L之间，威坪林场点位浮游植物密度最高，毛竹源点位密度最低。</w:t>
      </w:r>
    </w:p>
    <w:p>
      <w:pPr>
        <w:autoSpaceDE w:val="0"/>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（5）透明度状况</w:t>
      </w:r>
    </w:p>
    <w:p>
      <w:pPr>
        <w:autoSpaceDE w:val="0"/>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三五”期间，对千岛湖大坝前、航头岛、街口、茅头尖、排岭水厂、三潭岛、小金山七个点位进行透明度检测分析，街口点位透明度最低，东北部湖区点位航头岛、小金山透明度略高于街口，千岛湖大坝前、茅头尖、三潭岛点位透明度较高。</w:t>
      </w:r>
    </w:p>
    <w:p>
      <w:pPr>
        <w:autoSpaceDN w:val="0"/>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4、水污染物排放状况</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根据淳安县第二次全国污染源普查结果，2017年全县废水排放总量为1784.5281万立方米，化学需氧量、氨氮、总氮、总磷各项污染物的排放情况排放量分别为3600.87吨、303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70吨、1275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吨、126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12吨。其中，化学需氧量排放量占比最大的为生活源，占比为6</w:t>
      </w:r>
      <w:r>
        <w:rPr>
          <w:rFonts w:ascii="Times New Roman" w:hAnsi="Times New Roman" w:eastAsia="仿宋_GB2312" w:cs="Times New Roman"/>
          <w:sz w:val="32"/>
          <w:szCs w:val="32"/>
        </w:rPr>
        <w:t>7.02</w:t>
      </w:r>
      <w:r>
        <w:rPr>
          <w:rFonts w:hint="eastAsia" w:ascii="Times New Roman" w:hAnsi="Times New Roman" w:eastAsia="仿宋_GB2312" w:cs="Times New Roman"/>
          <w:sz w:val="32"/>
          <w:szCs w:val="32"/>
        </w:rPr>
        <w:t>%，其次为农业源，占比为3</w:t>
      </w:r>
      <w:r>
        <w:rPr>
          <w:rFonts w:ascii="Times New Roman" w:hAnsi="Times New Roman" w:eastAsia="仿宋_GB2312" w:cs="Times New Roman"/>
          <w:sz w:val="32"/>
          <w:szCs w:val="32"/>
        </w:rPr>
        <w:t>1.36</w:t>
      </w:r>
      <w:r>
        <w:rPr>
          <w:rFonts w:hint="eastAsia" w:ascii="Times New Roman" w:hAnsi="Times New Roman" w:eastAsia="仿宋_GB2312" w:cs="Times New Roman"/>
          <w:sz w:val="32"/>
          <w:szCs w:val="32"/>
        </w:rPr>
        <w:t>%；氨氮排放量占比最大的为生活源，占比为6</w:t>
      </w:r>
      <w:r>
        <w:rPr>
          <w:rFonts w:ascii="Times New Roman" w:hAnsi="Times New Roman" w:eastAsia="仿宋_GB2312" w:cs="Times New Roman"/>
          <w:sz w:val="32"/>
          <w:szCs w:val="32"/>
        </w:rPr>
        <w:t>7.24</w:t>
      </w:r>
      <w:r>
        <w:rPr>
          <w:rFonts w:hint="eastAsia" w:ascii="Times New Roman" w:hAnsi="Times New Roman" w:eastAsia="仿宋_GB2312" w:cs="Times New Roman"/>
          <w:sz w:val="32"/>
          <w:szCs w:val="32"/>
        </w:rPr>
        <w:t>%，其次为农业源，占比为3</w:t>
      </w:r>
      <w:r>
        <w:rPr>
          <w:rFonts w:ascii="Times New Roman" w:hAnsi="Times New Roman" w:eastAsia="仿宋_GB2312" w:cs="Times New Roman"/>
          <w:sz w:val="32"/>
          <w:szCs w:val="32"/>
        </w:rPr>
        <w:t>2.26</w:t>
      </w:r>
      <w:r>
        <w:rPr>
          <w:rFonts w:hint="eastAsia" w:ascii="Times New Roman" w:hAnsi="Times New Roman" w:eastAsia="仿宋_GB2312" w:cs="Times New Roman"/>
          <w:sz w:val="32"/>
          <w:szCs w:val="32"/>
        </w:rPr>
        <w:t>%；总氮排放量占比最大的为农业源，占比达到6</w:t>
      </w:r>
      <w:r>
        <w:rPr>
          <w:rFonts w:ascii="Times New Roman" w:hAnsi="Times New Roman" w:eastAsia="仿宋_GB2312" w:cs="Times New Roman"/>
          <w:sz w:val="32"/>
          <w:szCs w:val="32"/>
        </w:rPr>
        <w:t>7.14</w:t>
      </w:r>
      <w:r>
        <w:rPr>
          <w:rFonts w:hint="eastAsia" w:ascii="Times New Roman" w:hAnsi="Times New Roman" w:eastAsia="仿宋_GB2312" w:cs="Times New Roman"/>
          <w:sz w:val="32"/>
          <w:szCs w:val="32"/>
        </w:rPr>
        <w:t>%，其次为生活源，占比为3</w:t>
      </w:r>
      <w:r>
        <w:rPr>
          <w:rFonts w:ascii="Times New Roman" w:hAnsi="Times New Roman" w:eastAsia="仿宋_GB2312" w:cs="Times New Roman"/>
          <w:sz w:val="32"/>
          <w:szCs w:val="32"/>
        </w:rPr>
        <w:t>1.84</w:t>
      </w:r>
      <w:r>
        <w:rPr>
          <w:rFonts w:hint="eastAsia" w:ascii="Times New Roman" w:hAnsi="Times New Roman" w:eastAsia="仿宋_GB2312" w:cs="Times New Roman"/>
          <w:sz w:val="32"/>
          <w:szCs w:val="32"/>
        </w:rPr>
        <w:t>%；总磷排放量占比最大的为农业源，占比达到7</w:t>
      </w:r>
      <w:r>
        <w:rPr>
          <w:rFonts w:ascii="Times New Roman" w:hAnsi="Times New Roman" w:eastAsia="仿宋_GB2312" w:cs="Times New Roman"/>
          <w:sz w:val="32"/>
          <w:szCs w:val="32"/>
        </w:rPr>
        <w:t>8.43</w:t>
      </w:r>
      <w:r>
        <w:rPr>
          <w:rFonts w:hint="eastAsia" w:ascii="Times New Roman" w:hAnsi="Times New Roman" w:eastAsia="仿宋_GB2312" w:cs="Times New Roman"/>
          <w:sz w:val="32"/>
          <w:szCs w:val="32"/>
        </w:rPr>
        <w:t>%，其次为生活源，占比为2</w:t>
      </w:r>
      <w:r>
        <w:rPr>
          <w:rFonts w:ascii="Times New Roman" w:hAnsi="Times New Roman" w:eastAsia="仿宋_GB2312" w:cs="Times New Roman"/>
          <w:sz w:val="32"/>
          <w:szCs w:val="32"/>
        </w:rPr>
        <w:t>1.21</w:t>
      </w:r>
      <w:r>
        <w:rPr>
          <w:rFonts w:hint="eastAsia" w:ascii="Times New Roman" w:hAnsi="Times New Roman" w:eastAsia="仿宋_GB2312" w:cs="Times New Roman"/>
          <w:sz w:val="32"/>
          <w:szCs w:val="32"/>
        </w:rPr>
        <w:t>%。工业源排放占比较小。</w:t>
      </w: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表</w:t>
      </w:r>
      <w:r>
        <w:rPr>
          <w:rFonts w:ascii="Times New Roman" w:hAnsi="Times New Roman" w:eastAsia="仿宋_GB2312" w:cs="Times New Roman"/>
          <w:b/>
          <w:bCs/>
          <w:sz w:val="32"/>
          <w:szCs w:val="32"/>
        </w:rPr>
        <w:t xml:space="preserve">1-3 </w:t>
      </w:r>
      <w:r>
        <w:rPr>
          <w:rFonts w:hint="eastAsia" w:ascii="Times New Roman" w:hAnsi="Times New Roman" w:eastAsia="仿宋_GB2312" w:cs="Times New Roman"/>
          <w:b/>
          <w:bCs/>
          <w:sz w:val="32"/>
          <w:szCs w:val="32"/>
        </w:rPr>
        <w:t>淳安县第二次全国污染源普查水污染物排放情况</w:t>
      </w:r>
    </w:p>
    <w:tbl>
      <w:tblPr>
        <w:tblStyle w:val="39"/>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1843"/>
        <w:gridCol w:w="1530"/>
        <w:gridCol w:w="1418"/>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62" w:type="dxa"/>
            <w:shd w:val="clear" w:color="auto" w:fill="auto"/>
            <w:noWrap/>
            <w:vAlign w:val="center"/>
          </w:tcPr>
          <w:p>
            <w:pPr>
              <w:widowControl/>
              <w:spacing w:line="400" w:lineRule="exact"/>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污染物</w:t>
            </w:r>
          </w:p>
        </w:tc>
        <w:tc>
          <w:tcPr>
            <w:tcW w:w="1843" w:type="dxa"/>
            <w:shd w:val="clear" w:color="auto" w:fill="auto"/>
            <w:noWrap/>
            <w:vAlign w:val="center"/>
          </w:tcPr>
          <w:p>
            <w:pPr>
              <w:widowControl/>
              <w:spacing w:line="400" w:lineRule="exact"/>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排放总量</w:t>
            </w:r>
          </w:p>
          <w:p>
            <w:pPr>
              <w:widowControl/>
              <w:spacing w:line="400" w:lineRule="exact"/>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（吨）</w:t>
            </w:r>
          </w:p>
        </w:tc>
        <w:tc>
          <w:tcPr>
            <w:tcW w:w="1530" w:type="dxa"/>
            <w:shd w:val="clear" w:color="auto" w:fill="auto"/>
            <w:noWrap/>
            <w:vAlign w:val="center"/>
          </w:tcPr>
          <w:p>
            <w:pPr>
              <w:widowControl/>
              <w:spacing w:line="400" w:lineRule="exact"/>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工业源排放占比</w:t>
            </w:r>
          </w:p>
        </w:tc>
        <w:tc>
          <w:tcPr>
            <w:tcW w:w="1418" w:type="dxa"/>
            <w:shd w:val="clear" w:color="auto" w:fill="auto"/>
            <w:noWrap/>
            <w:vAlign w:val="center"/>
          </w:tcPr>
          <w:p>
            <w:pPr>
              <w:widowControl/>
              <w:spacing w:line="400" w:lineRule="exact"/>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农业源排放占比</w:t>
            </w:r>
          </w:p>
        </w:tc>
        <w:tc>
          <w:tcPr>
            <w:tcW w:w="1406" w:type="dxa"/>
            <w:shd w:val="clear" w:color="auto" w:fill="auto"/>
            <w:noWrap/>
            <w:vAlign w:val="center"/>
          </w:tcPr>
          <w:p>
            <w:pPr>
              <w:widowControl/>
              <w:spacing w:line="400" w:lineRule="exact"/>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生活源排放占比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62" w:type="dxa"/>
            <w:shd w:val="clear" w:color="auto" w:fill="auto"/>
            <w:noWrap/>
            <w:vAlign w:val="center"/>
          </w:tcPr>
          <w:p>
            <w:pPr>
              <w:widowControl/>
              <w:spacing w:line="400" w:lineRule="exac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化学需氧量排放量</w:t>
            </w:r>
          </w:p>
        </w:tc>
        <w:tc>
          <w:tcPr>
            <w:tcW w:w="1843" w:type="dxa"/>
            <w:shd w:val="clear" w:color="auto" w:fill="auto"/>
            <w:noWrap/>
            <w:vAlign w:val="center"/>
          </w:tcPr>
          <w:p>
            <w:pPr>
              <w:widowControl/>
              <w:spacing w:line="400" w:lineRule="exact"/>
              <w:jc w:val="center"/>
              <w:rPr>
                <w:rFonts w:ascii="Times New Roman" w:hAnsi="Times New Roman" w:eastAsia="等线" w:cs="Times New Roman"/>
                <w:color w:val="000000"/>
                <w:kern w:val="0"/>
                <w:sz w:val="28"/>
                <w:szCs w:val="28"/>
              </w:rPr>
            </w:pPr>
            <w:r>
              <w:rPr>
                <w:rFonts w:ascii="Times New Roman" w:hAnsi="Times New Roman" w:eastAsia="等线" w:cs="Times New Roman"/>
                <w:color w:val="000000"/>
                <w:kern w:val="0"/>
                <w:sz w:val="28"/>
                <w:szCs w:val="28"/>
              </w:rPr>
              <w:t>3600.87</w:t>
            </w:r>
          </w:p>
        </w:tc>
        <w:tc>
          <w:tcPr>
            <w:tcW w:w="1530" w:type="dxa"/>
            <w:shd w:val="clear" w:color="auto" w:fill="auto"/>
            <w:noWrap/>
            <w:vAlign w:val="center"/>
          </w:tcPr>
          <w:p>
            <w:pPr>
              <w:widowControl/>
              <w:spacing w:line="400" w:lineRule="exact"/>
              <w:jc w:val="center"/>
              <w:rPr>
                <w:rFonts w:ascii="Times New Roman" w:hAnsi="Times New Roman" w:eastAsia="等线" w:cs="Times New Roman"/>
                <w:color w:val="000000"/>
                <w:kern w:val="0"/>
                <w:sz w:val="28"/>
                <w:szCs w:val="28"/>
              </w:rPr>
            </w:pPr>
            <w:r>
              <w:rPr>
                <w:rFonts w:ascii="Times New Roman" w:hAnsi="Times New Roman" w:eastAsia="等线" w:cs="Times New Roman"/>
                <w:color w:val="000000"/>
                <w:kern w:val="0"/>
                <w:sz w:val="28"/>
                <w:szCs w:val="28"/>
              </w:rPr>
              <w:t>1.62%</w:t>
            </w:r>
          </w:p>
        </w:tc>
        <w:tc>
          <w:tcPr>
            <w:tcW w:w="1418" w:type="dxa"/>
            <w:shd w:val="clear" w:color="auto" w:fill="auto"/>
            <w:noWrap/>
            <w:vAlign w:val="center"/>
          </w:tcPr>
          <w:p>
            <w:pPr>
              <w:widowControl/>
              <w:spacing w:line="400" w:lineRule="exact"/>
              <w:jc w:val="center"/>
              <w:rPr>
                <w:rFonts w:ascii="Times New Roman" w:hAnsi="Times New Roman" w:eastAsia="等线" w:cs="Times New Roman"/>
                <w:color w:val="000000"/>
                <w:kern w:val="0"/>
                <w:sz w:val="28"/>
                <w:szCs w:val="28"/>
              </w:rPr>
            </w:pPr>
            <w:r>
              <w:rPr>
                <w:rFonts w:ascii="Times New Roman" w:hAnsi="Times New Roman" w:eastAsia="等线" w:cs="Times New Roman"/>
                <w:color w:val="000000"/>
                <w:kern w:val="0"/>
                <w:sz w:val="28"/>
                <w:szCs w:val="28"/>
              </w:rPr>
              <w:t>31.36%</w:t>
            </w:r>
          </w:p>
        </w:tc>
        <w:tc>
          <w:tcPr>
            <w:tcW w:w="1406" w:type="dxa"/>
            <w:shd w:val="clear" w:color="auto" w:fill="auto"/>
            <w:noWrap/>
            <w:vAlign w:val="center"/>
          </w:tcPr>
          <w:p>
            <w:pPr>
              <w:widowControl/>
              <w:spacing w:line="400" w:lineRule="exact"/>
              <w:jc w:val="center"/>
              <w:rPr>
                <w:rFonts w:ascii="Times New Roman" w:hAnsi="Times New Roman" w:eastAsia="等线" w:cs="Times New Roman"/>
                <w:color w:val="000000"/>
                <w:kern w:val="0"/>
                <w:sz w:val="28"/>
                <w:szCs w:val="28"/>
              </w:rPr>
            </w:pPr>
            <w:r>
              <w:rPr>
                <w:rFonts w:ascii="Times New Roman" w:hAnsi="Times New Roman" w:eastAsia="等线" w:cs="Times New Roman"/>
                <w:color w:val="000000"/>
                <w:kern w:val="0"/>
                <w:sz w:val="28"/>
                <w:szCs w:val="28"/>
              </w:rPr>
              <w:t>67.02%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62" w:type="dxa"/>
            <w:shd w:val="clear" w:color="auto" w:fill="auto"/>
            <w:noWrap/>
            <w:vAlign w:val="center"/>
          </w:tcPr>
          <w:p>
            <w:pPr>
              <w:widowControl/>
              <w:spacing w:line="400" w:lineRule="exac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氨氮排放量</w:t>
            </w:r>
          </w:p>
        </w:tc>
        <w:tc>
          <w:tcPr>
            <w:tcW w:w="1843"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303.70</w:t>
            </w:r>
          </w:p>
        </w:tc>
        <w:tc>
          <w:tcPr>
            <w:tcW w:w="1530"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0.50%</w:t>
            </w:r>
          </w:p>
        </w:tc>
        <w:tc>
          <w:tcPr>
            <w:tcW w:w="1418"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32.26%</w:t>
            </w:r>
          </w:p>
        </w:tc>
        <w:tc>
          <w:tcPr>
            <w:tcW w:w="1406"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67.24%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62" w:type="dxa"/>
            <w:shd w:val="clear" w:color="auto" w:fill="auto"/>
            <w:noWrap/>
            <w:vAlign w:val="center"/>
          </w:tcPr>
          <w:p>
            <w:pPr>
              <w:widowControl/>
              <w:spacing w:line="400" w:lineRule="exac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总氮排放量</w:t>
            </w:r>
          </w:p>
        </w:tc>
        <w:tc>
          <w:tcPr>
            <w:tcW w:w="1843"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1275.31</w:t>
            </w:r>
          </w:p>
        </w:tc>
        <w:tc>
          <w:tcPr>
            <w:tcW w:w="1530"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1.02%</w:t>
            </w:r>
          </w:p>
        </w:tc>
        <w:tc>
          <w:tcPr>
            <w:tcW w:w="1418"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67.14%</w:t>
            </w:r>
          </w:p>
        </w:tc>
        <w:tc>
          <w:tcPr>
            <w:tcW w:w="1406"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31.84%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62" w:type="dxa"/>
            <w:shd w:val="clear" w:color="auto" w:fill="auto"/>
            <w:noWrap/>
            <w:vAlign w:val="center"/>
          </w:tcPr>
          <w:p>
            <w:pPr>
              <w:widowControl/>
              <w:spacing w:line="400" w:lineRule="exac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总磷排放量</w:t>
            </w:r>
          </w:p>
        </w:tc>
        <w:tc>
          <w:tcPr>
            <w:tcW w:w="1843"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126.12</w:t>
            </w:r>
          </w:p>
        </w:tc>
        <w:tc>
          <w:tcPr>
            <w:tcW w:w="1530"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0.36%</w:t>
            </w:r>
          </w:p>
        </w:tc>
        <w:tc>
          <w:tcPr>
            <w:tcW w:w="1418"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78.43%</w:t>
            </w:r>
          </w:p>
        </w:tc>
        <w:tc>
          <w:tcPr>
            <w:tcW w:w="1406" w:type="dxa"/>
            <w:shd w:val="clear" w:color="auto" w:fill="auto"/>
            <w:noWrap/>
            <w:vAlign w:val="center"/>
          </w:tcPr>
          <w:p>
            <w:pPr>
              <w:widowControl/>
              <w:spacing w:line="400" w:lineRule="exact"/>
              <w:jc w:val="center"/>
              <w:rPr>
                <w:rFonts w:ascii="Times New Roman" w:hAnsi="Times New Roman" w:eastAsia="等线" w:cs="Times New Roman"/>
                <w:kern w:val="0"/>
                <w:sz w:val="28"/>
                <w:szCs w:val="28"/>
              </w:rPr>
            </w:pPr>
            <w:r>
              <w:rPr>
                <w:rFonts w:ascii="Times New Roman" w:hAnsi="Times New Roman" w:eastAsia="等线" w:cs="Times New Roman"/>
                <w:kern w:val="0"/>
                <w:sz w:val="28"/>
                <w:szCs w:val="28"/>
              </w:rPr>
              <w:t>21.21%</w:t>
            </w:r>
          </w:p>
        </w:tc>
      </w:tr>
    </w:tbl>
    <w:p>
      <w:pPr>
        <w:pStyle w:val="3"/>
        <w:spacing w:before="0" w:after="0" w:line="560" w:lineRule="exact"/>
        <w:rPr>
          <w:rFonts w:ascii="楷体_GB2312" w:hAnsi="楷体" w:eastAsia="楷体_GB2312"/>
        </w:rPr>
      </w:pPr>
      <w:bookmarkStart w:id="8" w:name="_Toc70260336"/>
      <w:r>
        <w:rPr>
          <w:rFonts w:hint="eastAsia" w:ascii="楷体_GB2312" w:hAnsi="楷体" w:eastAsia="楷体_GB2312"/>
        </w:rPr>
        <w:t>（三）“十三五”成效与经验</w:t>
      </w:r>
      <w:bookmarkEnd w:id="8"/>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1、“十三五”期间水生态环境保护成效</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“十三五”期间，淳安坚定践行“共抓大保护、不搞大开发”理念，通过五水共治、千岛湖综合保护工程、“污水零直排区”创建、</w:t>
      </w:r>
      <w:r>
        <w:rPr>
          <w:rFonts w:hint="eastAsia" w:ascii="仿宋_GB2312" w:hAnsi="楷体" w:eastAsia="仿宋_GB2312"/>
          <w:sz w:val="32"/>
          <w:szCs w:val="32"/>
        </w:rPr>
        <w:t>建立完善千岛湖环境质量管理规范、</w:t>
      </w:r>
      <w:r>
        <w:rPr>
          <w:rFonts w:hint="eastAsia" w:ascii="Times New Roman" w:hAnsi="Times New Roman" w:eastAsia="仿宋_GB2312" w:cs="Times New Roman"/>
          <w:sz w:val="32"/>
          <w:szCs w:val="32"/>
        </w:rPr>
        <w:t>千岛湖临湖地带综合整治、水功能区水环境功能区优化调整等一系列举措，扎实做好千岛湖的保护工作。千岛湖水质总体保持为优，2020年水质综合营养状态指数在全国重要水库中排名第4，出境断面水质持续保持Ⅰ类，地表水交接断面、集中式饮用水水源地水质达标率保持100%，连续三年获省市农村治污优胜县，2</w:t>
      </w:r>
      <w:r>
        <w:rPr>
          <w:rFonts w:ascii="Times New Roman" w:hAnsi="Times New Roman" w:eastAsia="仿宋_GB2312" w:cs="Times New Roman"/>
          <w:sz w:val="32"/>
          <w:szCs w:val="32"/>
        </w:rPr>
        <w:t>015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2017</w:t>
      </w:r>
      <w:r>
        <w:rPr>
          <w:rFonts w:hint="eastAsia" w:ascii="Times New Roman" w:hAnsi="Times New Roman" w:eastAsia="仿宋_GB2312" w:cs="Times New Roman"/>
          <w:sz w:val="32"/>
          <w:szCs w:val="32"/>
        </w:rPr>
        <w:t>年连续三年获浙江省“五水共治”最高荣誉“大禹鼎”，2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年获得“大禹鼎”银鼎，2019年省政府批复设立淳安特别生态功能区。</w:t>
      </w:r>
    </w:p>
    <w:p>
      <w:pPr>
        <w:autoSpaceDN w:val="0"/>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2、“十三五”水生态环境保护举措与经验</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“十三五”期间，淳安牢固树立科学化、系统化、精准化的保护理念，全力推进千岛湖综合保护工程，不断创新完善水生态环境保护举措，强化生态制度保障，千岛湖生态环境保护水平更上一层。</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（1）建立并完善对污染零容忍的千岛湖标准</w:t>
      </w:r>
    </w:p>
    <w:p>
      <w:pPr>
        <w:autoSpaceDN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2016年</w:t>
      </w:r>
      <w:r>
        <w:rPr>
          <w:rFonts w:hint="eastAsia" w:ascii="Times New Roman" w:hAnsi="Times New Roman" w:eastAsia="仿宋_GB2312" w:cs="Times New Roman"/>
          <w:kern w:val="0"/>
          <w:sz w:val="32"/>
          <w:szCs w:val="32"/>
        </w:rPr>
        <w:t>淳安</w:t>
      </w:r>
      <w:r>
        <w:rPr>
          <w:rFonts w:ascii="Times New Roman" w:hAnsi="Times New Roman" w:eastAsia="仿宋_GB2312" w:cs="Times New Roman"/>
          <w:kern w:val="0"/>
          <w:sz w:val="32"/>
          <w:szCs w:val="32"/>
        </w:rPr>
        <w:t>发布</w:t>
      </w:r>
      <w:r>
        <w:rPr>
          <w:rFonts w:hint="eastAsia" w:ascii="Times New Roman" w:hAnsi="Times New Roman" w:eastAsia="仿宋_GB2312" w:cs="Times New Roman"/>
          <w:kern w:val="0"/>
          <w:sz w:val="32"/>
          <w:szCs w:val="32"/>
        </w:rPr>
        <w:t>实施</w:t>
      </w:r>
      <w:r>
        <w:rPr>
          <w:rFonts w:ascii="Times New Roman" w:hAnsi="Times New Roman" w:eastAsia="仿宋_GB2312" w:cs="Times New Roman"/>
          <w:kern w:val="0"/>
          <w:sz w:val="32"/>
          <w:szCs w:val="32"/>
        </w:rPr>
        <w:t>《千岛湖环境质量管理规范（试行）》</w:t>
      </w:r>
      <w:r>
        <w:rPr>
          <w:rFonts w:hint="eastAsia" w:ascii="Times New Roman" w:hAnsi="Times New Roman" w:eastAsia="仿宋_GB2312" w:cs="Times New Roman"/>
          <w:kern w:val="0"/>
          <w:sz w:val="32"/>
          <w:szCs w:val="32"/>
        </w:rPr>
        <w:t>，这是全国首个县级环境质量管理标准。规范包括严格的环境准入标准、严格的污染物排放标准、严格的环境监管标准和更优的环境质量标准。</w:t>
      </w:r>
      <w:r>
        <w:rPr>
          <w:rFonts w:ascii="Times New Roman" w:hAnsi="Times New Roman" w:eastAsia="仿宋_GB2312" w:cs="Times New Roman"/>
          <w:kern w:val="0"/>
          <w:sz w:val="32"/>
          <w:szCs w:val="32"/>
        </w:rPr>
        <w:t>2019年按照覆盖“全领域、全过程、全地域”的要求，开展修编，提标扩面至水、气、土、废全领域和规划、建设、运维、监管全过程以及湖区、农村、城镇全地域</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打造</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千岛湖标准</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2.0升级版。污水处理厂主要污染物排放限值由1.0版本的低于国家一级A标30％提升至低于45％；农家乐、民宿污水处理标准提高至《浙江省农村生活污水处理设施污染物排放标准》一级标准。</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（2）打赢千岛湖临湖综合整治攻坚战</w:t>
      </w:r>
    </w:p>
    <w:p>
      <w:pPr>
        <w:autoSpaceDN w:val="0"/>
        <w:spacing w:line="560" w:lineRule="exact"/>
        <w:ind w:firstLine="640" w:firstLineChars="200"/>
        <w:rPr>
          <w:rFonts w:ascii="Times New Roman" w:hAnsi="Times New Roman" w:eastAsia="仿宋_GB2312" w:cs="Times New Roman"/>
          <w:color w:val="FF0000"/>
          <w:sz w:val="32"/>
          <w:szCs w:val="32"/>
          <w:highlight w:val="yellow"/>
        </w:rPr>
      </w:pPr>
      <w:r>
        <w:rPr>
          <w:rFonts w:hint="eastAsia" w:ascii="Times New Roman" w:hAnsi="Times New Roman" w:eastAsia="仿宋_GB2312" w:cs="Times New Roman"/>
          <w:sz w:val="32"/>
          <w:szCs w:val="32"/>
        </w:rPr>
        <w:t>举全县之力完成千岛湖临湖地带综合整治，</w:t>
      </w:r>
      <w:r>
        <w:rPr>
          <w:rFonts w:ascii="Times New Roman" w:hAnsi="Times New Roman" w:eastAsia="仿宋_GB2312" w:cs="Times New Roman"/>
          <w:sz w:val="32"/>
          <w:szCs w:val="32"/>
        </w:rPr>
        <w:t>对位于饮用水源保护区内</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建设项目进行全面排查，开展“拆、退、改、整、控”，以“不折不扣、不留余地、不留死角、不留尾巴”的鲜明态度，拆除各类生态敏感点及环境不协调建筑38.85万平方米，完成整治项目217个。</w:t>
      </w:r>
      <w:r>
        <w:rPr>
          <w:rFonts w:hint="eastAsia" w:ascii="Times New Roman" w:hAnsi="Times New Roman" w:eastAsia="仿宋_GB2312" w:cs="Times New Roman"/>
          <w:sz w:val="32"/>
          <w:szCs w:val="32"/>
        </w:rPr>
        <w:t>积极出台《千岛湖临湖地带建设管控办法》，健全完善临湖地带建设管控、一巡多功能等机制，</w:t>
      </w:r>
      <w:r>
        <w:rPr>
          <w:rFonts w:ascii="Times New Roman" w:hAnsi="Times New Roman" w:eastAsia="仿宋_GB2312" w:cs="Times New Roman"/>
          <w:sz w:val="32"/>
          <w:szCs w:val="32"/>
        </w:rPr>
        <w:t>编制千岛湖临湖地带产业准入负面清单，严格千岛湖临湖地带产业准入。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（3）全面深化水生态环境保护领域改革创新</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sz w:val="32"/>
          <w:szCs w:val="32"/>
        </w:rPr>
        <w:t>2019</w:t>
      </w:r>
      <w:r>
        <w:rPr>
          <w:rFonts w:hint="eastAsia" w:ascii="Times New Roman" w:hAnsi="Times New Roman" w:eastAsia="仿宋_GB2312"/>
          <w:sz w:val="32"/>
          <w:szCs w:val="32"/>
        </w:rPr>
        <w:t>年省政府批复设立淳安特别生态功能区，制定实施三年行动计划，推进40项重点改革任务。</w:t>
      </w:r>
      <w:r>
        <w:rPr>
          <w:rFonts w:hint="eastAsia" w:ascii="Times New Roman" w:hAnsi="Times New Roman" w:eastAsia="仿宋_GB2312" w:cs="Times New Roman"/>
          <w:sz w:val="32"/>
          <w:szCs w:val="32"/>
        </w:rPr>
        <w:t>新设立千岛湖生态综合保护局，统筹千岛湖综合保护工作，实现横向到边、纵向到底的千岛湖生态综合保护。新设立</w:t>
      </w:r>
      <w:r>
        <w:rPr>
          <w:rFonts w:ascii="Times New Roman" w:hAnsi="Times New Roman" w:eastAsia="仿宋_GB2312" w:cs="Times New Roman"/>
          <w:sz w:val="32"/>
          <w:szCs w:val="32"/>
        </w:rPr>
        <w:t>生态产业</w:t>
      </w:r>
      <w:r>
        <w:rPr>
          <w:rFonts w:hint="eastAsia" w:ascii="Times New Roman" w:hAnsi="Times New Roman" w:eastAsia="仿宋_GB2312" w:cs="Times New Roman"/>
          <w:sz w:val="32"/>
          <w:szCs w:val="32"/>
        </w:rPr>
        <w:t>与商务</w:t>
      </w:r>
      <w:r>
        <w:rPr>
          <w:rFonts w:ascii="Times New Roman" w:hAnsi="Times New Roman" w:eastAsia="仿宋_GB2312" w:cs="Times New Roman"/>
          <w:sz w:val="32"/>
          <w:szCs w:val="32"/>
        </w:rPr>
        <w:t>局</w:t>
      </w:r>
      <w:r>
        <w:rPr>
          <w:rFonts w:hint="eastAsia" w:ascii="Times New Roman" w:hAnsi="Times New Roman" w:eastAsia="仿宋_GB2312" w:cs="Times New Roman"/>
          <w:sz w:val="32"/>
          <w:szCs w:val="32"/>
        </w:rPr>
        <w:t>，全面落实“共抓大保护，不搞大开发”，推进淳安绿色</w:t>
      </w:r>
      <w:r>
        <w:rPr>
          <w:rFonts w:ascii="Times New Roman" w:hAnsi="Times New Roman" w:eastAsia="仿宋_GB2312" w:cs="Times New Roman"/>
          <w:sz w:val="32"/>
          <w:szCs w:val="32"/>
        </w:rPr>
        <w:t>发展和转型升级，做好生态产业的文章，构建深绿产业结构</w:t>
      </w:r>
      <w:r>
        <w:rPr>
          <w:rFonts w:hint="eastAsia" w:ascii="Times New Roman" w:hAnsi="Times New Roman" w:eastAsia="仿宋_GB2312" w:cs="Times New Roman"/>
          <w:sz w:val="32"/>
          <w:szCs w:val="32"/>
        </w:rPr>
        <w:t>。推进千岛湖立法，</w:t>
      </w:r>
      <w:r>
        <w:rPr>
          <w:rFonts w:hint="eastAsia" w:ascii="Times New Roman" w:hAnsi="Times New Roman" w:eastAsia="仿宋_GB2312"/>
          <w:sz w:val="32"/>
          <w:szCs w:val="32"/>
        </w:rPr>
        <w:t>设立全省首个生态环保检察官办公室和千岛湖环境资源法庭。</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（4）系统、科学、精准地推进水生态环境保护</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水功能区水环境功能区优化调整，出台《淳安县“三线一单”生态环境分区管控方案》，生态环境空间管控机制更加完善。以入湖污染负荷的零增长、负增长为目标，推进实施淳安生活、农业、林业、工业等四大方面的污染防治方案，成功纳入国家第三批“山水林田湖草”生态保护修复工程试点，系统治理更加完善。</w:t>
      </w:r>
      <w:r>
        <w:rPr>
          <w:rFonts w:ascii="Times New Roman" w:hAnsi="Times New Roman" w:eastAsia="仿宋_GB2312" w:cs="Times New Roman"/>
          <w:sz w:val="32"/>
          <w:szCs w:val="32"/>
        </w:rPr>
        <w:t>完成智慧环保平台建设，建立覆盖全面的在线监测监控体系。</w:t>
      </w:r>
      <w:r>
        <w:rPr>
          <w:rFonts w:hint="eastAsia" w:ascii="Times New Roman" w:hAnsi="Times New Roman" w:eastAsia="仿宋_GB2312"/>
          <w:sz w:val="32"/>
          <w:szCs w:val="32"/>
        </w:rPr>
        <w:t>全面建成千岛湖预警监测系统和生态环境大数据库，为更加精准、科学地保护千岛湖提供有效保障。</w:t>
      </w:r>
      <w:r>
        <w:rPr>
          <w:rFonts w:ascii="Times New Roman" w:hAnsi="Times New Roman" w:eastAsia="仿宋_GB2312" w:cs="Times New Roman"/>
          <w:bCs/>
          <w:sz w:val="32"/>
          <w:szCs w:val="32"/>
        </w:rPr>
        <w:t>成功</w:t>
      </w:r>
      <w:r>
        <w:rPr>
          <w:rFonts w:ascii="Times New Roman" w:hAnsi="Times New Roman" w:eastAsia="仿宋_GB2312" w:cs="Times New Roman"/>
          <w:sz w:val="32"/>
          <w:szCs w:val="32"/>
        </w:rPr>
        <w:t>举办千岛湖论坛，组建高端智库和专家援助团，成立千岛湖水环境研究所、千岛湖水库生态系统研究中心等研究机构，不断加强千岛湖保护</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科技支撑。</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（5）持续创新完善流域上下游共保机制</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持续探索联动保护发展的新模式、新路径、新实践，与上游安徽歙县联合举办浙皖两省“流域共治、生态共享”接力护水、“六五环境日”等活动，成立浙皖两省河长先遣队及新安江生态环境保护党建联盟，开展水面联合打捞、水质联合监测、环境联合执法、联合会商等多项联合行动，流域共保不断深入。</w:t>
      </w:r>
    </w:p>
    <w:p>
      <w:pPr>
        <w:pStyle w:val="3"/>
        <w:spacing w:before="0" w:after="0" w:line="560" w:lineRule="exact"/>
        <w:rPr>
          <w:rFonts w:ascii="楷体_GB2312" w:hAnsi="楷体" w:eastAsia="楷体_GB2312"/>
        </w:rPr>
      </w:pPr>
      <w:bookmarkStart w:id="9" w:name="_Toc70260337"/>
      <w:r>
        <w:rPr>
          <w:rFonts w:hint="eastAsia" w:ascii="楷体_GB2312" w:hAnsi="楷体" w:eastAsia="楷体_GB2312"/>
        </w:rPr>
        <w:t>（四）存在的问题</w:t>
      </w:r>
      <w:bookmarkEnd w:id="9"/>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1、水环境方面氮、磷浓度超标且空间差异特征突出</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千岛湖总体水质符</w:t>
      </w:r>
      <w:r>
        <w:rPr>
          <w:rFonts w:ascii="Times New Roman" w:hAnsi="Times New Roman" w:eastAsia="仿宋_GB2312" w:cs="Times New Roman"/>
          <w:sz w:val="32"/>
          <w:szCs w:val="32"/>
        </w:rPr>
        <w:t>合Ⅰ-Ⅱ类标准，但空间分布差异较大，靠近上游</w:t>
      </w:r>
      <w:r>
        <w:rPr>
          <w:rFonts w:hint="eastAsia" w:ascii="Times New Roman" w:hAnsi="Times New Roman" w:eastAsia="仿宋_GB2312" w:cs="Times New Roman"/>
          <w:sz w:val="32"/>
          <w:szCs w:val="32"/>
        </w:rPr>
        <w:t>安徽</w:t>
      </w:r>
      <w:r>
        <w:rPr>
          <w:rFonts w:ascii="Times New Roman" w:hAnsi="Times New Roman" w:eastAsia="仿宋_GB2312" w:cs="Times New Roman"/>
          <w:sz w:val="32"/>
          <w:szCs w:val="32"/>
        </w:rPr>
        <w:t>，受上游来水输入影响较大的威坪林场断面水质氮、磷等污染物浓度超出Ⅱ类标准，近年来达到Ⅲ类水质标准，小金山国控断面总磷浓度呈明显上升。从跨界水质目标管理制度上，存在浙-皖跨界街口断面与小</w:t>
      </w:r>
      <w:r>
        <w:rPr>
          <w:rFonts w:hint="eastAsia" w:ascii="Times New Roman" w:hAnsi="Times New Roman" w:eastAsia="仿宋_GB2312" w:cs="Times New Roman"/>
          <w:sz w:val="32"/>
          <w:szCs w:val="32"/>
        </w:rPr>
        <w:t>金山断面总磷考核目标不衔接问题，上游来水污染物负荷较大，安徽与浙江的新安江交界街口断面水质总磷、总氮不能稳定达标。县域内种植业和林地坡面水土流失等造成的面源污染尚未得到全面有效防治，农林业面源污染水污染物排放占比较高。</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2、水资源方面资源分布不均，资源调度不合理</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农村部分区域水资源不均衡，农村饮用水水源受季节影响较大，枯水期水资源短缺现象依然存在，水资源保障压力较大。水资源利用率不高，城市污水处理厂再生水利用比率偏低。现有水资源调度方式不合理，小水电开发的强度较大，影响区域水资源调配及生态环境，生态流量监测与保障等机制尚需完善。</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3、水生态方面存在</w:t>
      </w:r>
      <w:r>
        <w:rPr>
          <w:rFonts w:hint="eastAsia" w:ascii="Times New Roman" w:hAnsi="Times New Roman" w:eastAsia="仿宋_GB2312" w:cs="Times New Roman"/>
          <w:b/>
          <w:bCs/>
          <w:sz w:val="32"/>
          <w:szCs w:val="32"/>
        </w:rPr>
        <w:t>藻类异常增殖、富营养化现象</w:t>
      </w:r>
    </w:p>
    <w:p>
      <w:pPr>
        <w:autoSpaceDN w:val="0"/>
        <w:spacing w:line="560"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sz w:val="32"/>
          <w:szCs w:val="32"/>
        </w:rPr>
        <w:t>千岛湖湖内生物多样性较低</w:t>
      </w:r>
      <w:r>
        <w:rPr>
          <w:rFonts w:hint="eastAsia" w:ascii="Times New Roman" w:hAnsi="Times New Roman" w:eastAsia="仿宋_GB2312" w:cs="Times New Roman"/>
          <w:sz w:val="32"/>
          <w:szCs w:val="32"/>
        </w:rPr>
        <w:t>，现有鱼类优势种群种类单一，生态系统自我调节能力下降。</w:t>
      </w:r>
      <w:r>
        <w:rPr>
          <w:rFonts w:ascii="Times New Roman" w:hAnsi="Times New Roman" w:eastAsia="仿宋_GB2312" w:cs="Times New Roman"/>
          <w:sz w:val="32"/>
          <w:szCs w:val="32"/>
        </w:rPr>
        <w:t>藻类异常增殖引发的生态安全问题显现，从近些年4-7月份敏感期藻类预警监测结果来看，千岛湖频繁出现季节性硅藻、蓝藻异常增殖，而且频次加快，时间延长，藻类增殖面积不断扩大，维持生态系统平衡健康压力不小。</w:t>
      </w:r>
      <w:r>
        <w:rPr>
          <w:rFonts w:hint="eastAsia" w:ascii="Times New Roman" w:hAnsi="Times New Roman" w:eastAsia="仿宋_GB2312" w:cs="Times New Roman"/>
          <w:sz w:val="32"/>
          <w:szCs w:val="32"/>
        </w:rPr>
        <w:t>近年来，千岛湖富营养化指数呈现逐年缓慢上升趋势，目前全湖平均综合营养状态指数达到中营养状态。</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4、水环境风险方面存在道路穿越、废弃矿山等风险源</w:t>
      </w:r>
    </w:p>
    <w:p>
      <w:pPr>
        <w:spacing w:line="560" w:lineRule="exact"/>
        <w:ind w:firstLine="640" w:firstLineChars="200"/>
        <w:rPr>
          <w:rFonts w:ascii="Times New Roman" w:hAnsi="Times New Roman" w:eastAsia="仿宋_GB2312" w:cs="Times New Roman"/>
          <w:b/>
          <w:sz w:val="32"/>
          <w:szCs w:val="32"/>
        </w:rPr>
      </w:pPr>
      <w:r>
        <w:rPr>
          <w:rFonts w:hint="eastAsia" w:ascii="Times New Roman" w:hAnsi="Times New Roman" w:eastAsia="仿宋_GB2312" w:cs="Times New Roman"/>
          <w:sz w:val="32"/>
          <w:szCs w:val="32"/>
        </w:rPr>
        <w:t>目前淳安县域范围水环境风险隐患尚未全面消除，主要来自以下方面：一是区域内溧宁高速、淳开线、淳杨线等道路部分路段穿越千岛湖湖区，存在交通运输水环境污染风险；二是区域内存在石材矿山开采活动及未完成治理的废弃矿山、尾矿库等风险源，矿山生产过程中污染管控不足及废弃矿山治理不到位将产生水环境风险隐患。</w:t>
      </w:r>
    </w:p>
    <w:p>
      <w:pPr>
        <w:pStyle w:val="3"/>
        <w:spacing w:before="0" w:after="0" w:line="560" w:lineRule="exact"/>
        <w:rPr>
          <w:rFonts w:ascii="楷体_GB2312" w:hAnsi="楷体" w:eastAsia="楷体_GB2312"/>
        </w:rPr>
      </w:pPr>
      <w:bookmarkStart w:id="10" w:name="_Toc70260338"/>
      <w:r>
        <w:rPr>
          <w:rFonts w:hint="eastAsia" w:ascii="楷体_GB2312" w:hAnsi="楷体" w:eastAsia="楷体_GB2312"/>
        </w:rPr>
        <w:t>（五）形势与挑战</w:t>
      </w:r>
      <w:bookmarkEnd w:id="10"/>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1、形势</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（1）淳安特别生态功能区建设需求</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2019年9月，省政府批复设立淳安特别生态功能区，相继出台《淳安特别生态功能区建设框架方案》、《淳安特别生态功能区考核办法》、《淳安特别生态功能区考核指标体系》、《淳安特别生态功能区建设行动三年计划（2019—2021年）》等指引文件，着力打造饮用水水源地保护与发展的千岛湖模式。对于巩固提升千岛湖综合保护和临湖地带综合整治成果，深入推进国家重点生态功能区高水平保护、高质量发展，打开“绿水青山”向“金山银山”转化的新通道，探索生态文明制度改革创新，具有重要战略地位和示范带动效应。“十四五”期间，淳安需要大力探索新时期湖库综合治理与管理的新思路和新技术，加大环境监管能力建设力度，强化科技在决策中的支撑作用，及时掌握千岛湖生态环境状态的变化状况，实现千岛湖水生态环境管理智慧化，全面满足特别生态功能区的水生态环境管理需求。</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（2）千岛湖配水工程正式供水的水安全保障需求</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起杭州第二水源千岛湖配水工程正式通水，该工程全线长约113公里，工程取水口位于淳安县金竹牌村，引洁净安全的千岛湖水到余杭闲林水库。2019年供水量达到9.98亿立方米左右。未来五年，该工程主要为杭州市主城区、萧山区、余杭区、嘉兴市等市县和工程沿线部分区域服务，输水线路设置的分水口可分别向沿线的建德、桐庐、富阳等部分区域供水。千岛湖由战略水源地转变为现实水源地，千岛湖的水质安全直接关系着民生，关系着饮水安全。“十四五”期间，千岛湖的水生态安全保障建设至关重要。</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（3）县域水功能区水环境功能区划体系逐步完善</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年，淳安县调整完善形成了《淳安县水功能区水环境功能区调整方案》，明确现</w:t>
      </w:r>
      <w:r>
        <w:rPr>
          <w:rFonts w:ascii="Times New Roman" w:hAnsi="Times New Roman" w:eastAsia="仿宋_GB2312" w:cs="Times New Roman"/>
          <w:sz w:val="32"/>
          <w:szCs w:val="32"/>
        </w:rPr>
        <w:t>有水功能区13个，其中缓冲区1个、饮用水源区4个、保留区5个、景观娱乐用水区2个、渔业用水区1个。水环境功能区13个，其中湖库饮用水源保护区3个、河流饮用水水源保护区2个、保留区5个、景观娱乐用水区2个、渔业用水区1个。除新安江水库淳安渔业用水区和新安江水库景观娱乐用水区水质目标为Ⅲ</w:t>
      </w:r>
      <w:r>
        <w:rPr>
          <w:rFonts w:hint="eastAsia" w:ascii="Times New Roman" w:hAnsi="Times New Roman" w:eastAsia="仿宋_GB2312" w:cs="Times New Roman"/>
          <w:sz w:val="32"/>
          <w:szCs w:val="32"/>
        </w:rPr>
        <w:t>类外，其余均为</w:t>
      </w:r>
      <w:r>
        <w:rPr>
          <w:rFonts w:ascii="Times New Roman" w:hAnsi="Times New Roman" w:eastAsia="仿宋_GB2312" w:cs="Times New Roman"/>
          <w:sz w:val="32"/>
          <w:szCs w:val="32"/>
        </w:rPr>
        <w:t>Ⅱ</w:t>
      </w:r>
      <w:r>
        <w:rPr>
          <w:rFonts w:hint="eastAsia" w:ascii="Times New Roman" w:hAnsi="Times New Roman" w:eastAsia="仿宋_GB2312" w:cs="Times New Roman"/>
          <w:sz w:val="32"/>
          <w:szCs w:val="32"/>
        </w:rPr>
        <w:t>类水质目标，目前所有水功能区水质均能达到目标要求。水功能区、水环境功能区的调整完善将推进淳安进一步落实有关水资源保护和水环境管理的法律法规，凸显水功能区水环境功能区定位，逐步建立以水功能区水环境功能区划为基底的“多规合一”空间规划体系。</w:t>
      </w:r>
    </w:p>
    <w:p>
      <w:pPr>
        <w:widowControl/>
        <w:jc w:val="left"/>
      </w:pPr>
      <w:r>
        <w:br w:type="page"/>
      </w:r>
    </w:p>
    <w:p>
      <w:pPr>
        <w:spacing w:line="560" w:lineRule="exact"/>
        <w:ind w:firstLine="640" w:firstLineChars="200"/>
        <w:rPr>
          <w:rFonts w:ascii="Times New Roman" w:hAnsi="Times New Roman" w:eastAsia="仿宋_GB2312" w:cs="Times New Roman"/>
          <w:color w:val="FF0000"/>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表</w:t>
      </w:r>
      <w:r>
        <w:rPr>
          <w:rFonts w:ascii="Times New Roman" w:hAnsi="Times New Roman" w:eastAsia="仿宋_GB2312" w:cs="Times New Roman"/>
          <w:b/>
          <w:bCs/>
          <w:sz w:val="32"/>
          <w:szCs w:val="32"/>
        </w:rPr>
        <w:t xml:space="preserve">1-4 </w:t>
      </w:r>
      <w:r>
        <w:rPr>
          <w:rFonts w:hint="eastAsia" w:ascii="Times New Roman" w:hAnsi="Times New Roman" w:eastAsia="仿宋_GB2312" w:cs="Times New Roman"/>
          <w:b/>
          <w:bCs/>
          <w:sz w:val="32"/>
          <w:szCs w:val="32"/>
        </w:rPr>
        <w:t>淳安境内水功能区水环境功能区划表</w:t>
      </w:r>
    </w:p>
    <w:tbl>
      <w:tblPr>
        <w:tblStyle w:val="93"/>
        <w:tblW w:w="14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
        <w:gridCol w:w="870"/>
        <w:gridCol w:w="992"/>
        <w:gridCol w:w="709"/>
        <w:gridCol w:w="689"/>
        <w:gridCol w:w="693"/>
        <w:gridCol w:w="1276"/>
        <w:gridCol w:w="1276"/>
        <w:gridCol w:w="1134"/>
        <w:gridCol w:w="1275"/>
        <w:gridCol w:w="1056"/>
        <w:gridCol w:w="850"/>
        <w:gridCol w:w="851"/>
        <w:gridCol w:w="567"/>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blHeader/>
          <w:jc w:val="center"/>
        </w:trPr>
        <w:tc>
          <w:tcPr>
            <w:tcW w:w="817"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序号</w:t>
            </w:r>
          </w:p>
        </w:tc>
        <w:tc>
          <w:tcPr>
            <w:tcW w:w="567"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县</w:t>
            </w:r>
          </w:p>
        </w:tc>
        <w:tc>
          <w:tcPr>
            <w:tcW w:w="870"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水功能区</w:t>
            </w:r>
          </w:p>
          <w:p>
            <w:pPr>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kern w:val="0"/>
                <w:sz w:val="15"/>
                <w:szCs w:val="15"/>
              </w:rPr>
              <w:t>名称</w:t>
            </w:r>
          </w:p>
        </w:tc>
        <w:tc>
          <w:tcPr>
            <w:tcW w:w="992"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水环境功能区</w:t>
            </w:r>
            <w:r>
              <w:rPr>
                <w:rFonts w:ascii="Times New Roman" w:hAnsi="Times New Roman" w:eastAsia="仿宋_GB2312" w:cs="Times New Roman"/>
                <w:b/>
                <w:kern w:val="0"/>
                <w:sz w:val="15"/>
                <w:szCs w:val="15"/>
              </w:rPr>
              <w:t>名称</w:t>
            </w:r>
          </w:p>
        </w:tc>
        <w:tc>
          <w:tcPr>
            <w:tcW w:w="709"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流域</w:t>
            </w:r>
          </w:p>
        </w:tc>
        <w:tc>
          <w:tcPr>
            <w:tcW w:w="689"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水系</w:t>
            </w:r>
          </w:p>
        </w:tc>
        <w:tc>
          <w:tcPr>
            <w:tcW w:w="693"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河流(湖、库)</w:t>
            </w:r>
          </w:p>
        </w:tc>
        <w:tc>
          <w:tcPr>
            <w:tcW w:w="7718" w:type="dxa"/>
            <w:gridSpan w:val="7"/>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范            围</w:t>
            </w:r>
          </w:p>
        </w:tc>
        <w:tc>
          <w:tcPr>
            <w:tcW w:w="567"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现状水质</w:t>
            </w:r>
          </w:p>
        </w:tc>
        <w:tc>
          <w:tcPr>
            <w:tcW w:w="645" w:type="dxa"/>
            <w:vMerge w:val="restart"/>
            <w:vAlign w:val="center"/>
          </w:tcPr>
          <w:p>
            <w:pPr>
              <w:widowControl/>
              <w:spacing w:line="240" w:lineRule="exact"/>
              <w:jc w:val="center"/>
              <w:rPr>
                <w:rFonts w:ascii="Times New Roman" w:hAnsi="Times New Roman" w:eastAsia="仿宋_GB2312" w:cs="Times New Roman"/>
                <w:b/>
                <w:bCs/>
                <w:kern w:val="0"/>
                <w:sz w:val="15"/>
                <w:szCs w:val="15"/>
              </w:rPr>
            </w:pPr>
            <w:r>
              <w:rPr>
                <w:rFonts w:ascii="Times New Roman" w:hAnsi="Times New Roman" w:eastAsia="仿宋_GB2312" w:cs="Times New Roman"/>
                <w:b/>
                <w:bCs/>
                <w:kern w:val="0"/>
                <w:sz w:val="15"/>
                <w:szCs w:val="15"/>
              </w:rPr>
              <w:t>目标水质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blHeader/>
          <w:jc w:val="center"/>
        </w:trPr>
        <w:tc>
          <w:tcPr>
            <w:tcW w:w="817"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b/>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b/>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1276" w:type="dxa"/>
            <w:vMerge w:val="restart"/>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起始断面</w:t>
            </w:r>
          </w:p>
        </w:tc>
        <w:tc>
          <w:tcPr>
            <w:tcW w:w="2410" w:type="dxa"/>
            <w:gridSpan w:val="2"/>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地理坐标</w:t>
            </w:r>
          </w:p>
        </w:tc>
        <w:tc>
          <w:tcPr>
            <w:tcW w:w="1275" w:type="dxa"/>
            <w:vMerge w:val="restart"/>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终止断面</w:t>
            </w:r>
          </w:p>
        </w:tc>
        <w:tc>
          <w:tcPr>
            <w:tcW w:w="1906" w:type="dxa"/>
            <w:gridSpan w:val="2"/>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地理坐标</w:t>
            </w:r>
          </w:p>
        </w:tc>
        <w:tc>
          <w:tcPr>
            <w:tcW w:w="851"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长度面积(km/km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w:t>
            </w:r>
          </w:p>
        </w:tc>
        <w:tc>
          <w:tcPr>
            <w:tcW w:w="567"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blHeader/>
          <w:jc w:val="center"/>
        </w:trPr>
        <w:tc>
          <w:tcPr>
            <w:tcW w:w="817"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1276" w:type="dxa"/>
            <w:vMerge w:val="continue"/>
            <w:vAlign w:val="center"/>
          </w:tcPr>
          <w:p>
            <w:pPr>
              <w:widowControl/>
              <w:spacing w:line="240" w:lineRule="exact"/>
              <w:jc w:val="center"/>
              <w:rPr>
                <w:rFonts w:ascii="Times New Roman" w:hAnsi="Times New Roman" w:eastAsia="仿宋_GB2312" w:cs="Times New Roman"/>
                <w:b/>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东经</w:t>
            </w:r>
          </w:p>
        </w:tc>
        <w:tc>
          <w:tcPr>
            <w:tcW w:w="1134" w:type="dxa"/>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北纬</w:t>
            </w:r>
          </w:p>
        </w:tc>
        <w:tc>
          <w:tcPr>
            <w:tcW w:w="1275" w:type="dxa"/>
            <w:vMerge w:val="continue"/>
            <w:vAlign w:val="center"/>
          </w:tcPr>
          <w:p>
            <w:pPr>
              <w:widowControl/>
              <w:spacing w:line="240" w:lineRule="exact"/>
              <w:jc w:val="center"/>
              <w:rPr>
                <w:rFonts w:ascii="Times New Roman" w:hAnsi="Times New Roman" w:eastAsia="仿宋_GB2312" w:cs="Times New Roman"/>
                <w:b/>
                <w:kern w:val="0"/>
                <w:sz w:val="15"/>
                <w:szCs w:val="15"/>
              </w:rPr>
            </w:pPr>
          </w:p>
        </w:tc>
        <w:tc>
          <w:tcPr>
            <w:tcW w:w="1056" w:type="dxa"/>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东经</w:t>
            </w:r>
          </w:p>
        </w:tc>
        <w:tc>
          <w:tcPr>
            <w:tcW w:w="850" w:type="dxa"/>
            <w:vAlign w:val="center"/>
          </w:tcPr>
          <w:p>
            <w:pPr>
              <w:widowControl/>
              <w:spacing w:line="240" w:lineRule="exact"/>
              <w:jc w:val="center"/>
              <w:rPr>
                <w:rFonts w:ascii="Times New Roman" w:hAnsi="Times New Roman" w:eastAsia="仿宋_GB2312" w:cs="Times New Roman"/>
                <w:b/>
                <w:kern w:val="0"/>
                <w:sz w:val="15"/>
                <w:szCs w:val="15"/>
              </w:rPr>
            </w:pPr>
            <w:r>
              <w:rPr>
                <w:rFonts w:ascii="Times New Roman" w:hAnsi="Times New Roman" w:eastAsia="仿宋_GB2312" w:cs="Times New Roman"/>
                <w:b/>
                <w:kern w:val="0"/>
                <w:sz w:val="15"/>
                <w:szCs w:val="15"/>
              </w:rPr>
              <w:t>北纬</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b/>
                <w:bCs/>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152</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新安江皖浙缓冲区</w:t>
            </w:r>
          </w:p>
        </w:tc>
        <w:tc>
          <w:tcPr>
            <w:tcW w:w="992"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饮用水水源二级保护区</w:t>
            </w:r>
          </w:p>
        </w:tc>
        <w:tc>
          <w:tcPr>
            <w:tcW w:w="709"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街口</w:t>
            </w:r>
          </w:p>
        </w:tc>
        <w:tc>
          <w:tcPr>
            <w:tcW w:w="1276" w:type="dxa"/>
            <w:vAlign w:val="center"/>
          </w:tcPr>
          <w:p>
            <w:pPr>
              <w:widowControl/>
              <w:autoSpaceDN w:val="0"/>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118°43′09″</w:t>
            </w:r>
          </w:p>
        </w:tc>
        <w:tc>
          <w:tcPr>
            <w:tcW w:w="1134" w:type="dxa"/>
            <w:vAlign w:val="center"/>
          </w:tcPr>
          <w:p>
            <w:pPr>
              <w:widowControl/>
              <w:autoSpaceDN w:val="0"/>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29°43′24″</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淳安威坪坝</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118°45′26″</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29°42′15″</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5.2</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新安江水库淳安饮用水源区</w:t>
            </w:r>
          </w:p>
        </w:tc>
        <w:tc>
          <w:tcPr>
            <w:tcW w:w="992"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饮用水水源保护区</w:t>
            </w:r>
          </w:p>
        </w:tc>
        <w:tc>
          <w:tcPr>
            <w:tcW w:w="70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千岛湖库区除152、154、155外水域</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/550.24</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陆域：一级保护区面积为17.94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,其中威坪、坪山、姜家、金竹牌、千岛湖湖镇5个取水口一级保护区面积12.36km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,其它水库一级保护区面积5.58km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;二级保护区面积为3352.06km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;准保护区面积为218.09km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153(1)</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新安江水库淳安饮用水源区</w:t>
            </w:r>
          </w:p>
        </w:tc>
        <w:tc>
          <w:tcPr>
            <w:tcW w:w="992"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饮用水水源一级保护区</w:t>
            </w:r>
          </w:p>
        </w:tc>
        <w:tc>
          <w:tcPr>
            <w:tcW w:w="70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水域：千岛湖镇水厂、金竹牌取水口及姜家镇水厂一级保护区、威坪自来水厂和坪山自来水厂一级保护区，水域面积为24.13 km</w:t>
            </w:r>
            <w:r>
              <w:rPr>
                <w:rFonts w:ascii="Times New Roman" w:hAnsi="Times New Roman" w:eastAsia="仿宋_GB2312" w:cs="Times New Roman"/>
                <w:kern w:val="0"/>
                <w:sz w:val="15"/>
                <w:szCs w:val="15"/>
                <w:vertAlign w:val="superscript"/>
              </w:rPr>
              <w:t>2</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/24.13</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陆域：面积为17.94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，其中千岛湖湖体5个取水口一级保护区为12.36km</w:t>
            </w:r>
            <w:r>
              <w:rPr>
                <w:rFonts w:ascii="Times New Roman" w:hAnsi="Times New Roman" w:eastAsia="仿宋_GB2312" w:cs="Times New Roman"/>
                <w:kern w:val="0"/>
                <w:sz w:val="15"/>
                <w:szCs w:val="15"/>
                <w:vertAlign w:val="superscript"/>
              </w:rPr>
              <w:t>2</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153(1-1)</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威坪自来水厂取水口上游1.5km</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118°46'20"</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29°41'58"</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威坪自来水厂取水口下游0.1km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118°47'19"</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29°41'51"</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水域：取水口侧始终断面离岸1000m内水域</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1.6/1.58</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陆域0.23km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：取水口侧沿岸纵深50m,不超过分水岭</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153(1-2)</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坪山自来水厂取水口上游北1.5km</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119°11'49"</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29°36'36"</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坪山自来水厂取水口下游0.2km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119°11'16"</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29°36'22"</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1.7/0.95</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水域：0.95平方公里</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陆域1.07km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：靠近取水口沿岸纵深50m，对岸沿岸纵深平均约500m</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153(1-3)</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千岛湖镇自来水厂取水口(119°3'47"东，29°34'35"北)半径500m范围水域以及取水口上游8km（东经118°59'38.29"，北纬29°33'29.43"）纵深500m范围水域,面积7.47 km</w:t>
            </w:r>
            <w:r>
              <w:rPr>
                <w:rFonts w:ascii="Times New Roman" w:hAnsi="Times New Roman" w:eastAsia="仿宋_GB2312" w:cs="Times New Roman"/>
                <w:kern w:val="0"/>
                <w:sz w:val="15"/>
                <w:szCs w:val="15"/>
                <w:vertAlign w:val="superscript"/>
              </w:rPr>
              <w:t>2</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/7.47</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陆域4.17km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：取水口侧沿岸至第一道分水岭及一级保护区水域涉及岛屿</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153(1-4)</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金竹牌取水口南侧1300m</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119°10'10.15"</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29°30'46.44"</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金竹牌取水口北南侧3000m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119°11'8.33"</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29°33'5.38"</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/12.55</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lef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水域：金竹牌取水口侧始终断面离岸3000m内水域及南部离岸150米水域，面积12.55km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；陆域3.98km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：取水口北侧终止断面以南2000米沿岸纵深200米，取水口南岸至分水岭，及一级保护区水域涉及岛屿</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7" w:type="dxa"/>
            <w:vMerge w:val="restart"/>
            <w:vAlign w:val="center"/>
          </w:tcPr>
          <w:p>
            <w:pPr>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153(1-5)</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tcPr>
          <w:p>
            <w:pPr>
              <w:widowControl/>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取水口上游沿岸1000m</w:t>
            </w:r>
          </w:p>
        </w:tc>
        <w:tc>
          <w:tcPr>
            <w:tcW w:w="1276" w:type="dxa"/>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118°42'24.51"</w:t>
            </w:r>
          </w:p>
        </w:tc>
        <w:tc>
          <w:tcPr>
            <w:tcW w:w="1134" w:type="dxa"/>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29°27'31.38"</w:t>
            </w:r>
          </w:p>
        </w:tc>
        <w:tc>
          <w:tcPr>
            <w:tcW w:w="1275" w:type="dxa"/>
          </w:tcPr>
          <w:p>
            <w:pPr>
              <w:widowControl/>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取水口下游沿岸2000m</w:t>
            </w:r>
          </w:p>
        </w:tc>
        <w:tc>
          <w:tcPr>
            <w:tcW w:w="1056" w:type="dxa"/>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118°44'15.62"</w:t>
            </w:r>
          </w:p>
        </w:tc>
        <w:tc>
          <w:tcPr>
            <w:tcW w:w="850" w:type="dxa"/>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29°27'17.16"</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restart"/>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水域1.58km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：始终断面离岸500米范围水域</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/1.58</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陆域2.91km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：取水口侧沿岸纵深1000米</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153(2)</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新安江水库淳安饮用水源区</w:t>
            </w:r>
          </w:p>
        </w:tc>
        <w:tc>
          <w:tcPr>
            <w:tcW w:w="992"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饮用水水源二级保护区</w:t>
            </w:r>
          </w:p>
        </w:tc>
        <w:tc>
          <w:tcPr>
            <w:tcW w:w="709"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6867" w:type="dxa"/>
            <w:gridSpan w:val="6"/>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水域：准保护区、景观娱乐用水、渔业用水以外水库库区，水域面积500.33km</w:t>
            </w:r>
            <w:r>
              <w:rPr>
                <w:rFonts w:ascii="Times New Roman" w:hAnsi="Times New Roman" w:eastAsia="仿宋_GB2312" w:cs="Times New Roman"/>
                <w:kern w:val="0"/>
                <w:sz w:val="15"/>
                <w:szCs w:val="15"/>
                <w:vertAlign w:val="superscript"/>
              </w:rPr>
              <w:t>2</w:t>
            </w:r>
          </w:p>
        </w:tc>
        <w:tc>
          <w:tcPr>
            <w:tcW w:w="851"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/489.87</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4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陆域：水库集雨区范围内除一级保护区陆域、准保护区陆域、所有村庄及非水源保护区陆域以外汇水区域，共3352.06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。（非水源保护区共计187.91km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，包括千岛湖镇69.26km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、汾口镇33.13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、威坪镇7.38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、中州镇2.14km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、枫树岭镇4.56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、姜家镇10.73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、梓桐镇3.44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、临岐镇3.61km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、文昌镇22.90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、大墅镇6.54km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、浪川乡9.05km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、界首乡0.85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、王阜乡1.81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、金峰乡0.48km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、屏门乡0.73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、瑶山乡1.06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、富文乡0.99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、安阳乡7.15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、里商乡2.10 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新安江水库淳安饮用水源区</w:t>
            </w:r>
          </w:p>
        </w:tc>
        <w:tc>
          <w:tcPr>
            <w:tcW w:w="992"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饮用水水源准保护区</w:t>
            </w:r>
          </w:p>
        </w:tc>
        <w:tc>
          <w:tcPr>
            <w:tcW w:w="70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6867" w:type="dxa"/>
            <w:gridSpan w:val="6"/>
            <w:vAlign w:val="center"/>
          </w:tcPr>
          <w:p>
            <w:pPr>
              <w:widowControl/>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水域：丰茂半岛、文昌高铁站西南侧区块、石林茶园区块、界首旅游度假区区块、威坪区块等附近区域，水域面积为36.24km</w:t>
            </w:r>
            <w:r>
              <w:rPr>
                <w:rFonts w:ascii="Times New Roman" w:hAnsi="Times New Roman" w:eastAsia="仿宋_GB2312" w:cs="Times New Roman"/>
                <w:kern w:val="0"/>
                <w:sz w:val="15"/>
                <w:szCs w:val="15"/>
                <w:vertAlign w:val="superscript"/>
              </w:rPr>
              <w:t>2</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/36.24</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陆域：218.09km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，其中千岛湖镇10.51km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、汾口镇10.05km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、威坪镇29.06km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、中洲镇5.36km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、枫树岭镇16.84km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、姜家镇13.23km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、梓桐镇10.32km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、临岐镇14.11km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、石林镇4.69km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、文昌镇14.92km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、大墅镇9.07km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、浪川乡6.07km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、界首乡9.73km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、鸠坑乡3.45km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、宋村乡2.42km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、王阜乡5.20km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、金峰乡6.04km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、屏门乡3.27km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、瑶山乡2.86km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、左口乡10.70km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、富文乡6.13km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、安阳乡5.37km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、里商乡3.69km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、基础设施用地15km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丰茂半岛Y941线西山脚</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119°08′04″</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29°44′02″</w:t>
            </w:r>
          </w:p>
        </w:tc>
        <w:tc>
          <w:tcPr>
            <w:tcW w:w="127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丰茂半岛南侧380m</w:t>
            </w:r>
          </w:p>
        </w:tc>
        <w:tc>
          <w:tcPr>
            <w:tcW w:w="1056"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119°07′59″</w:t>
            </w:r>
          </w:p>
        </w:tc>
        <w:tc>
          <w:tcPr>
            <w:tcW w:w="85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29°43′34″</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/0.31</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丰茂村委西南侧</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119°08′15″</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29°44′15″</w:t>
            </w:r>
          </w:p>
        </w:tc>
        <w:tc>
          <w:tcPr>
            <w:tcW w:w="127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056"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水域：千岛湖丰茂半岛库湾</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文昌村入湖口</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119°10'59"</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29°44'15"</w:t>
            </w:r>
          </w:p>
        </w:tc>
        <w:tc>
          <w:tcPr>
            <w:tcW w:w="127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农副产品批发市场西北侧湖边</w:t>
            </w:r>
          </w:p>
        </w:tc>
        <w:tc>
          <w:tcPr>
            <w:tcW w:w="1056"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119°03'40"</w:t>
            </w:r>
          </w:p>
        </w:tc>
        <w:tc>
          <w:tcPr>
            <w:tcW w:w="85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29°38'24"</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/4.07</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文昌镇高垄村东侧</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119°9'32"</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29°44'59</w:t>
            </w:r>
          </w:p>
        </w:tc>
        <w:tc>
          <w:tcPr>
            <w:tcW w:w="127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056"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153(3-3)</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秀水广场西侧100米</w:t>
            </w:r>
          </w:p>
        </w:tc>
        <w:tc>
          <w:tcPr>
            <w:tcW w:w="1276"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119°02′11″</w:t>
            </w:r>
          </w:p>
        </w:tc>
        <w:tc>
          <w:tcPr>
            <w:tcW w:w="1134"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29°36'50″</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开元码头西南侧100米</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119°01'50"</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29°36'56"</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/0.09</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1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134"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绿城水上项目北侧</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119°01′53″</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29°36′44″</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153(3-4)</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宋家渔村入湖口</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119°02′28″</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29°34′51″</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家渔村入湖口下游1200m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119°02′60″</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29°34′46″</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/0.16</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153(3-5)</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富文乡石头埠村脚</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119°11′32″</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29°38′08″</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人和庄园下游800米</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119°11′40″</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29°37′23″</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/0.39</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1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153(3-6)</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龙涧入湖口</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119°8′4″</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29°34′25″</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羡山林场生态公益林保护站</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119°7′54″</w:t>
            </w:r>
          </w:p>
        </w:tc>
        <w:tc>
          <w:tcPr>
            <w:tcW w:w="850"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29°34′32″</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/0.76</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洲际酒店北侧</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119°6′12″</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29°33′11″</w:t>
            </w:r>
          </w:p>
        </w:tc>
        <w:tc>
          <w:tcPr>
            <w:tcW w:w="1275"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洲际酒店南侧</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119°6′42″</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29°32′50″</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153(3-7)</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毛竹源旅游码头</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119°11′09″</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29°29′20″</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乡情水厂大门上游200m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119°09'49"</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29°29'53"</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/0.52</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水域：离岸100m</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153(3-8)</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茶园村里胡家湖岸</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119°08′48″</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29°29′19″</w:t>
            </w:r>
          </w:p>
        </w:tc>
        <w:tc>
          <w:tcPr>
            <w:tcW w:w="127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石林茶园村下游1100m</w:t>
            </w:r>
          </w:p>
        </w:tc>
        <w:tc>
          <w:tcPr>
            <w:tcW w:w="1056"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119°09′15″</w:t>
            </w:r>
          </w:p>
        </w:tc>
        <w:tc>
          <w:tcPr>
            <w:tcW w:w="85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29°29′48″</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/0.37</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石林镇茶园村九龙源自然村村脚</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119°09′17″</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29°29′6″</w:t>
            </w:r>
          </w:p>
        </w:tc>
        <w:tc>
          <w:tcPr>
            <w:tcW w:w="127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056"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153(3-9)</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石林镇镇政府西侧</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119°05′</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29°28′23″</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石林镇高马坪脚下游1570m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119°05′44″</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29°29′14″</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/0.86</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153(3-10)</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里商乡洞坑村下游600m</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118°58′58″</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29°28′54″</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港口桥东南侧上游2000米</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118°58′24″</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29°30′34″</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/1.56</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153(3-11)</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塔山村邵家坑入湖口</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118°53′34″</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29°28′15″</w:t>
            </w:r>
          </w:p>
        </w:tc>
        <w:tc>
          <w:tcPr>
            <w:tcW w:w="127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塔山村邵家坑入湖口下游2500m</w:t>
            </w:r>
          </w:p>
        </w:tc>
        <w:tc>
          <w:tcPr>
            <w:tcW w:w="1056"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118°53′44″</w:t>
            </w:r>
          </w:p>
        </w:tc>
        <w:tc>
          <w:tcPr>
            <w:tcW w:w="85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29°29′29″</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/1.48</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淳杨线里商灵佑桥</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118°54′34″</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29°28′37″</w:t>
            </w:r>
          </w:p>
        </w:tc>
        <w:tc>
          <w:tcPr>
            <w:tcW w:w="127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056"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153(3-12)</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tcPr>
          <w:p>
            <w:pPr>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安阳中心小学北侧200米</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118°51′14″</w:t>
            </w:r>
          </w:p>
        </w:tc>
        <w:tc>
          <w:tcPr>
            <w:tcW w:w="1134"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29°25′19″</w:t>
            </w:r>
          </w:p>
        </w:tc>
        <w:tc>
          <w:tcPr>
            <w:tcW w:w="1275"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山下村北侧</w:t>
            </w:r>
          </w:p>
        </w:tc>
        <w:tc>
          <w:tcPr>
            <w:tcW w:w="1056"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118°51′6″</w:t>
            </w:r>
          </w:p>
        </w:tc>
        <w:tc>
          <w:tcPr>
            <w:tcW w:w="850"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29°26′8″</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/2.01</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tcPr>
          <w:p>
            <w:pPr>
              <w:spacing w:line="22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安阳乡白象湾桥北</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118°50′24″</w:t>
            </w:r>
          </w:p>
        </w:tc>
        <w:tc>
          <w:tcPr>
            <w:tcW w:w="1134"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29°26′08″</w:t>
            </w:r>
          </w:p>
        </w:tc>
        <w:tc>
          <w:tcPr>
            <w:tcW w:w="1275"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日头山村东侧</w:t>
            </w:r>
          </w:p>
        </w:tc>
        <w:tc>
          <w:tcPr>
            <w:tcW w:w="1056"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118°49′22″</w:t>
            </w:r>
          </w:p>
        </w:tc>
        <w:tc>
          <w:tcPr>
            <w:tcW w:w="850"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29°25′18″</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153(3-13)</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源塘桥下游200米</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118°45′2″</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29°24′32″</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大墅镇胡家村西侧库湾口</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118°46′37″</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29°24′53″</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/1.44</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153(3-14)</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斗塘坞入湖口</w:t>
            </w:r>
          </w:p>
        </w:tc>
        <w:tc>
          <w:tcPr>
            <w:tcW w:w="1276"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118°39′2″</w:t>
            </w:r>
          </w:p>
        </w:tc>
        <w:tc>
          <w:tcPr>
            <w:tcW w:w="1134"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29°22′59″</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楼底村前庄湖岸</w:t>
            </w:r>
          </w:p>
        </w:tc>
        <w:tc>
          <w:tcPr>
            <w:tcW w:w="1056"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118°40′20″</w:t>
            </w:r>
          </w:p>
        </w:tc>
        <w:tc>
          <w:tcPr>
            <w:tcW w:w="850"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29°23′41″</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/0.76</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153(3-15)</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十八坞林场南侧库湾源头</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118°38′55″</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29°23′55″</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十八坞林场库湾出口</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118°39′27″</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29°25′19″</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/0.72</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水产良种繁育中心</w:t>
            </w:r>
          </w:p>
        </w:tc>
        <w:tc>
          <w:tcPr>
            <w:tcW w:w="1276"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118°38′36″</w:t>
            </w:r>
          </w:p>
        </w:tc>
        <w:tc>
          <w:tcPr>
            <w:tcW w:w="1134"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29°24′31″</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汾口镇岭后村村口</w:t>
            </w:r>
          </w:p>
        </w:tc>
        <w:tc>
          <w:tcPr>
            <w:tcW w:w="1056"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118°38′2″</w:t>
            </w:r>
          </w:p>
        </w:tc>
        <w:tc>
          <w:tcPr>
            <w:tcW w:w="850" w:type="dxa"/>
            <w:vAlign w:val="center"/>
          </w:tcPr>
          <w:p>
            <w:pPr>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29°24′57″</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153(3-16)</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龙川湾90公社</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118°39′54″</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29°27′26″</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龙川湾景区入口</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118°40′32″</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29°27′49″</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/0.21</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153(3-17)</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谢家村西侧库湾口</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118°41′32″</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29°29′13″</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姜家九门桥岛北侧300米</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118°41′12″</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29°28′37″</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/3.37</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首岭后村下游1300m</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118°43′22″</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29°30′32″</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姜家镇汪家南侧820m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118°43′41″</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29°28′47″</w:t>
            </w:r>
          </w:p>
        </w:tc>
        <w:tc>
          <w:tcPr>
            <w:tcW w:w="851"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153(3-18)</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洪家坞村入湖口</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118°45′18″</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29°30′55″</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洪家坞村入湖口下游2000m</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118°46′02″</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29°30′19″</w:t>
            </w:r>
          </w:p>
        </w:tc>
        <w:tc>
          <w:tcPr>
            <w:tcW w:w="851"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/0.70</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界首乡竹里中心塘南脚</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118°46′40″</w:t>
            </w:r>
          </w:p>
        </w:tc>
        <w:tc>
          <w:tcPr>
            <w:tcW w:w="1134" w:type="dxa"/>
            <w:vAlign w:val="center"/>
          </w:tcPr>
          <w:p>
            <w:pPr>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29°30′56″</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界首乡竹里中心塘东南400米入湖口</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118°46′51″</w:t>
            </w:r>
          </w:p>
        </w:tc>
        <w:tc>
          <w:tcPr>
            <w:tcW w:w="850" w:type="dxa"/>
            <w:vAlign w:val="center"/>
          </w:tcPr>
          <w:p>
            <w:pPr>
              <w:widowControl/>
              <w:spacing w:line="240" w:lineRule="exact"/>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29°30′48″</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界首乡竹里村南侧库湾</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118°46′33″</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29°31′34″</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界首乡竹里村南侧库湾下游入湖口</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118°46′51″</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29°31′32″</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153(3-19)</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界首乡松源村入湖口</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118°48′19″</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29°34′3″</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中财农庄入口</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118°51′34″</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29°34′15″</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/4.80</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153(3-20)</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梓桐镇并峰村湖湾</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118°46'54"</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29°37'6"</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梓桐镇练溪村大桥</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118°48′36″</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29°37′42″</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/0.68</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153(3-21)</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鸠坑乡高家东侧湖岸</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118°46′22″</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29°40′28″</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鸠坑乡凤联村</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118°46′57″</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29°40′50″</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/0.44</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7" w:type="dxa"/>
            <w:vMerge w:val="restart"/>
            <w:vAlign w:val="center"/>
          </w:tcPr>
          <w:p>
            <w:pPr>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153(3-22)</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宅上桥</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118°45′40″</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29°44′19″</w:t>
            </w:r>
          </w:p>
        </w:tc>
        <w:tc>
          <w:tcPr>
            <w:tcW w:w="127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威坪大桥西侧1000米</w:t>
            </w:r>
          </w:p>
        </w:tc>
        <w:tc>
          <w:tcPr>
            <w:tcW w:w="1056"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118°46′36″</w:t>
            </w:r>
          </w:p>
        </w:tc>
        <w:tc>
          <w:tcPr>
            <w:tcW w:w="850"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29°43′13″</w:t>
            </w:r>
          </w:p>
        </w:tc>
        <w:tc>
          <w:tcPr>
            <w:tcW w:w="851"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/2.19</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威坪镇黄金里村湖湾</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118°48′48″</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29°44′43″</w:t>
            </w:r>
          </w:p>
        </w:tc>
        <w:tc>
          <w:tcPr>
            <w:tcW w:w="127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056"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5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CellMar>
            <w:top w:w="0" w:type="dxa"/>
            <w:left w:w="108" w:type="dxa"/>
            <w:bottom w:w="0" w:type="dxa"/>
            <w:right w:w="108" w:type="dxa"/>
          </w:tblCellMar>
        </w:tblPrEx>
        <w:trPr>
          <w:trHeight w:val="442"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153(3-23)</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宋村乡政府南侧大桥桥底</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118°51′28″</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29°41′8″</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老宋村乡码头半岛南端</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118°50′49″</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29°40′14″</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/1.02</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153(3-24)</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金峰乡山后村西塘坞</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118°55′46″</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29°40′12″</w:t>
            </w:r>
          </w:p>
        </w:tc>
        <w:tc>
          <w:tcPr>
            <w:tcW w:w="127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金峰乡山后村库湾下游640m</w:t>
            </w:r>
          </w:p>
        </w:tc>
        <w:tc>
          <w:tcPr>
            <w:tcW w:w="1056"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118°56′3″</w:t>
            </w:r>
          </w:p>
        </w:tc>
        <w:tc>
          <w:tcPr>
            <w:tcW w:w="850"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29°39′55″</w:t>
            </w:r>
          </w:p>
        </w:tc>
        <w:tc>
          <w:tcPr>
            <w:tcW w:w="851"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/0.13</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金峰乡山后村库湾</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118°56′9″</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29°40′13″</w:t>
            </w:r>
          </w:p>
        </w:tc>
        <w:tc>
          <w:tcPr>
            <w:tcW w:w="127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056"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5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153(3-25)</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金峰乡五龙湾入湖口</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118°58′11″</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29°38′48″</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陆家埠半岛西南端</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118°56′59″</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29°37′19″</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/0.96</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153(3-26)</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缪家村入湖口</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118°59′55″</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29°39′37″</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淳开线屏峰桥</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118°59′53″</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29°38′53″</w:t>
            </w:r>
          </w:p>
        </w:tc>
        <w:tc>
          <w:tcPr>
            <w:tcW w:w="851"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/0.46</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源头隧道东侧口</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118°59′21″</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29°38′42″</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源头坞入湖口</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118°59′37″</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29°38′25″</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进贤湾红绿灯沿千威线700米</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119°00′45″</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29°39′27″</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进贤湾红绿灯沿千汾线540米</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119°00′47″</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29°39′08″</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153(3-27)</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茂畈村入湖与老环左路交汇</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119°01′46″</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29°41′12</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安龙森林公园树屋西岸</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119°02′56″</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29°39′45″</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/2.83</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153(3-28)</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左口乡显后村入湖口</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119°03′03″</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29°43′08″</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叶琪二桥下游1公里处</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119°04′34″</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29°41′51″</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153(3-29)</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龙门漂流终点下游750米</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119°05′58″</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29°44′2″</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龙门漂流终点</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119°5'32"</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29°44'09"</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/0.23</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153(3-30)</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瑶山溪合浦村堰坝</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119°07′15″</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29°51′26″</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对山工业园区西侧水域</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119°06′45″</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29°48′20″</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2.3/1.53</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154</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新安江水库淳安渔业用水区</w:t>
            </w:r>
          </w:p>
        </w:tc>
        <w:tc>
          <w:tcPr>
            <w:tcW w:w="992"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渔业用水区</w:t>
            </w:r>
          </w:p>
        </w:tc>
        <w:tc>
          <w:tcPr>
            <w:tcW w:w="709"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清心岛大桥东侧湖边</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118°59'30"</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29°35'37"</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云蒙列岛</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118°58'53"</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29°34'53"</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新安江水库景观娱乐用水区</w:t>
            </w:r>
          </w:p>
        </w:tc>
        <w:tc>
          <w:tcPr>
            <w:tcW w:w="992"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景观娱乐用水区</w:t>
            </w:r>
          </w:p>
        </w:tc>
        <w:tc>
          <w:tcPr>
            <w:tcW w:w="709"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highlight w:val="yellow"/>
              </w:rPr>
            </w:pPr>
            <w:r>
              <w:rPr>
                <w:rFonts w:ascii="Times New Roman" w:hAnsi="Times New Roman" w:eastAsia="仿宋_GB2312" w:cs="Times New Roman"/>
                <w:kern w:val="0"/>
                <w:sz w:val="15"/>
                <w:szCs w:val="15"/>
              </w:rPr>
              <w:t>千岛湖西园湖湾、龙山岛、猴岛、五龙岛景区(鸟岛、奇石岛、真趣园、月光岛)、神龙岛等岛屿周边及库湾水域</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14/21.16</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155(1-1)</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新安江水库景观娱乐用水区</w:t>
            </w:r>
          </w:p>
        </w:tc>
        <w:tc>
          <w:tcPr>
            <w:tcW w:w="992"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景观娱乐用水区</w:t>
            </w:r>
          </w:p>
        </w:tc>
        <w:tc>
          <w:tcPr>
            <w:tcW w:w="70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西园湖湾(西园码头)</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 2'57"</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29°36'11"</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西园湖湾(松尖顶)</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 05'51"</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29°36'39"</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/5.0</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155(1-2)</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收费站西侧</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119°08'48"</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29°36'12"</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珍珠大道南山脚</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119°06'30"</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29°35'43"</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/3.0</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155(1-3)</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芳岭桥上游1000m</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118°46'16"</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29°44'10"</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横塘源六都源交汇处</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118°45'50"</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29°44'13"</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1.0/0.3</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155(1-4)</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姜家污水厂东侧水面</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118°40′10″</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29°29′08″</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西南旅游码头北侧水面</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118°40'00″</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29°28'35″</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/0.3</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155(1-5)</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汾口水电站</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118°33'20"</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29°25'55"</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君石村</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118°37'09"</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29°24'55"</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7.0/3.35</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155(1-6)</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山下村桥下游300米</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118°51'07"</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29°26'08"</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山下村桥下游1300米</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118°49′19″</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29°25′41″</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1.0/0.09</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155(1-7)</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姚家村小桥</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118°46'51"</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29°33'15"</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界首车站西南侧</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118°47'19"</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29°32'30"</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1.8/0.11</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155(2-1)</w:t>
            </w:r>
          </w:p>
        </w:tc>
        <w:tc>
          <w:tcPr>
            <w:tcW w:w="567"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新安江水库景观娱乐用水区</w:t>
            </w:r>
          </w:p>
        </w:tc>
        <w:tc>
          <w:tcPr>
            <w:tcW w:w="992"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景观娱乐用水区</w:t>
            </w:r>
          </w:p>
        </w:tc>
        <w:tc>
          <w:tcPr>
            <w:tcW w:w="70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Merge w:val="restart"/>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新安江</w:t>
            </w: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龙山岛、猴岛、五龙岛景区(鸟岛、奇石岛、真趣园、月光岛)、神龙岛周边离岸100m水域</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155(2-2)</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农副产品批发市场西北侧湖边(119°03'41"，29°38'24")~清心岛大桥东侧湖边(118°59'30"，29°35'37")沿线离岸100m水域</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/2.2</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155(2-3)</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浪黄线太平源桥</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119°07'26"</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29°38'02"</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桃源桥</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119°07'43"</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29°36'44"</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3.2/0.31</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155(2-4)</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云蒙列岛(118°58'53"，29°34'53")~老松树湾南侧湖岸边(118°58'51"，29°33'48")离岸100m水域</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/0.8</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1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155(2-5)</w:t>
            </w:r>
          </w:p>
        </w:tc>
        <w:tc>
          <w:tcPr>
            <w:tcW w:w="567"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20" w:lineRule="exact"/>
              <w:jc w:val="center"/>
              <w:rPr>
                <w:rFonts w:ascii="Times New Roman" w:hAnsi="Times New Roman" w:eastAsia="仿宋_GB2312" w:cs="Times New Roman"/>
                <w:kern w:val="0"/>
                <w:sz w:val="15"/>
                <w:szCs w:val="15"/>
              </w:rPr>
            </w:pP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姜家镇长烈桥</w:t>
            </w:r>
          </w:p>
        </w:tc>
        <w:tc>
          <w:tcPr>
            <w:tcW w:w="127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118°38′54″</w:t>
            </w:r>
          </w:p>
        </w:tc>
        <w:tc>
          <w:tcPr>
            <w:tcW w:w="1134"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29°29′07″</w:t>
            </w:r>
          </w:p>
        </w:tc>
        <w:tc>
          <w:tcPr>
            <w:tcW w:w="127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九门桥岛</w:t>
            </w:r>
          </w:p>
        </w:tc>
        <w:tc>
          <w:tcPr>
            <w:tcW w:w="1056"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118°41′11″</w:t>
            </w:r>
          </w:p>
        </w:tc>
        <w:tc>
          <w:tcPr>
            <w:tcW w:w="850"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29°28′26″</w:t>
            </w:r>
          </w:p>
        </w:tc>
        <w:tc>
          <w:tcPr>
            <w:tcW w:w="851"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/4.6</w:t>
            </w:r>
          </w:p>
        </w:tc>
        <w:tc>
          <w:tcPr>
            <w:tcW w:w="567"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2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162</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云源港淳安保留区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保留区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云源港</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六亩</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118°53′45″</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30°00′41″</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史里</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118°51′28″</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29°41′09″</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63.8/</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163</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梓桐源淳安饮用水源区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饮用水水源准保护区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梓桐源</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源头(石门塘)</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118°37'30"</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29°36'04"</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里并坎堰坝</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118°46'54"</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29°37'06"</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22.3</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164</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瑶山溪淳安保留区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保留区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瑶山溪</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源头</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118°57′21″</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30°01′03″</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合浦村堰坝</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119°07’15″</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29°51′26″</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33.6</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165</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郁川溪淳安保留区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保留区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郁川溪</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源头</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118°37'01</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29°38'38"</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姜家镇长烈桥</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118°38′54″</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29°29′07″</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27.6</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166</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武强溪淳安保留区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保留区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武强溪</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与安徽交界处</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118°21'23"</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29°28'52"</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长埂村</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118°28'42"</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29°26'57"</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18.7</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167</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武强溪淳安景观娱乐用水区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景观娱乐用水区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武强溪</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长埂村</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118°28'42"</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29°26'57"</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汾口水电站</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118°33'20"</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29°25'55"</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11.5</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1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168</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霞源水库淳安饮用水源区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饮用水水源保护区</w:t>
            </w:r>
          </w:p>
        </w:tc>
        <w:tc>
          <w:tcPr>
            <w:tcW w:w="709"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霞源水库</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黄石塔</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118°30'51"</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29°28'34"</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水库大坝</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118°30'15"</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29°27'59"</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7.4/0.8</w:t>
            </w:r>
          </w:p>
        </w:tc>
        <w:tc>
          <w:tcPr>
            <w:tcW w:w="567"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饮用水水源一级保护区</w:t>
            </w: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正常水位线以下库区水域</w:t>
            </w:r>
          </w:p>
        </w:tc>
        <w:tc>
          <w:tcPr>
            <w:tcW w:w="851" w:type="dxa"/>
            <w:vMerge w:val="restart"/>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/0.8</w:t>
            </w: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1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870"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992"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70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9"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93"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867" w:type="dxa"/>
            <w:gridSpan w:val="6"/>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陆域5.58km</w:t>
            </w:r>
            <w:r>
              <w:rPr>
                <w:rFonts w:ascii="Times New Roman" w:hAnsi="Times New Roman" w:eastAsia="仿宋_GB2312" w:cs="Times New Roman"/>
                <w:kern w:val="0"/>
                <w:sz w:val="15"/>
                <w:szCs w:val="15"/>
                <w:vertAlign w:val="superscript"/>
              </w:rPr>
              <w:t>2</w:t>
            </w:r>
            <w:r>
              <w:rPr>
                <w:rFonts w:ascii="Times New Roman" w:hAnsi="Times New Roman" w:eastAsia="仿宋_GB2312" w:cs="Times New Roman"/>
                <w:kern w:val="0"/>
                <w:sz w:val="15"/>
                <w:szCs w:val="15"/>
              </w:rPr>
              <w:t>：库面沿岸纵深至第一道分水岭</w:t>
            </w:r>
          </w:p>
        </w:tc>
        <w:tc>
          <w:tcPr>
            <w:tcW w:w="851"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567"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c>
          <w:tcPr>
            <w:tcW w:w="645" w:type="dxa"/>
            <w:vMerge w:val="continue"/>
            <w:vAlign w:val="center"/>
          </w:tcPr>
          <w:p>
            <w:pPr>
              <w:widowControl/>
              <w:spacing w:line="240" w:lineRule="exact"/>
              <w:jc w:val="center"/>
              <w:rPr>
                <w:rFonts w:ascii="Times New Roman" w:hAnsi="Times New Roman" w:eastAsia="仿宋_GB2312" w:cs="Times New Roman"/>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169</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枫林港淳安保留区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保留区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枫林港</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源头(西坑)</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118°37′07″</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29°13′58″</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枫树岭水库大坝下游200m</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118°42′14″</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29°21′52″</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30.6</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1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170</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淳安</w:t>
            </w:r>
          </w:p>
        </w:tc>
        <w:tc>
          <w:tcPr>
            <w:tcW w:w="87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枫林港淳安饮用水源区</w:t>
            </w:r>
          </w:p>
        </w:tc>
        <w:tc>
          <w:tcPr>
            <w:tcW w:w="992"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饮用水水源准保护区</w:t>
            </w:r>
          </w:p>
        </w:tc>
        <w:tc>
          <w:tcPr>
            <w:tcW w:w="70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浙闽皖</w:t>
            </w:r>
          </w:p>
        </w:tc>
        <w:tc>
          <w:tcPr>
            <w:tcW w:w="689"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钱塘江</w:t>
            </w:r>
          </w:p>
        </w:tc>
        <w:tc>
          <w:tcPr>
            <w:tcW w:w="693"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枫林港</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枫树岭水库大坝下游200m</w:t>
            </w:r>
          </w:p>
        </w:tc>
        <w:tc>
          <w:tcPr>
            <w:tcW w:w="127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118°42′14″</w:t>
            </w:r>
          </w:p>
        </w:tc>
        <w:tc>
          <w:tcPr>
            <w:tcW w:w="1134"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29°21′52</w:t>
            </w:r>
          </w:p>
        </w:tc>
        <w:tc>
          <w:tcPr>
            <w:tcW w:w="1275"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张家村</w:t>
            </w:r>
          </w:p>
        </w:tc>
        <w:tc>
          <w:tcPr>
            <w:tcW w:w="1056"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118°45′01″</w:t>
            </w:r>
          </w:p>
        </w:tc>
        <w:tc>
          <w:tcPr>
            <w:tcW w:w="850"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29°24′31″</w:t>
            </w:r>
          </w:p>
        </w:tc>
        <w:tc>
          <w:tcPr>
            <w:tcW w:w="851"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16.7</w:t>
            </w:r>
          </w:p>
        </w:tc>
        <w:tc>
          <w:tcPr>
            <w:tcW w:w="567" w:type="dxa"/>
            <w:vAlign w:val="center"/>
          </w:tcPr>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tc>
        <w:tc>
          <w:tcPr>
            <w:tcW w:w="645" w:type="dxa"/>
            <w:vAlign w:val="center"/>
          </w:tcPr>
          <w:p>
            <w:pPr>
              <w:widowControl/>
              <w:spacing w:line="240" w:lineRule="exact"/>
              <w:rPr>
                <w:rFonts w:ascii="Times New Roman" w:hAnsi="Times New Roman" w:eastAsia="仿宋_GB2312" w:cs="Times New Roman"/>
                <w:kern w:val="0"/>
                <w:sz w:val="15"/>
                <w:szCs w:val="15"/>
              </w:rPr>
            </w:pPr>
          </w:p>
          <w:p>
            <w:pPr>
              <w:widowControl/>
              <w:spacing w:line="240" w:lineRule="exact"/>
              <w:jc w:val="center"/>
              <w:rPr>
                <w:rFonts w:ascii="Times New Roman" w:hAnsi="Times New Roman" w:eastAsia="仿宋_GB2312" w:cs="Times New Roman"/>
                <w:kern w:val="0"/>
                <w:sz w:val="15"/>
                <w:szCs w:val="15"/>
              </w:rPr>
            </w:pPr>
            <w:r>
              <w:rPr>
                <w:rFonts w:ascii="Times New Roman" w:hAnsi="Times New Roman" w:eastAsia="仿宋_GB2312" w:cs="Times New Roman"/>
                <w:kern w:val="0"/>
                <w:sz w:val="15"/>
                <w:szCs w:val="15"/>
              </w:rPr>
              <w:t>Ⅱ</w:t>
            </w:r>
          </w:p>
          <w:p>
            <w:pPr>
              <w:widowControl/>
              <w:spacing w:line="240" w:lineRule="exact"/>
              <w:jc w:val="center"/>
              <w:rPr>
                <w:rFonts w:ascii="Times New Roman" w:hAnsi="Times New Roman" w:eastAsia="仿宋_GB2312" w:cs="Times New Roman"/>
                <w:kern w:val="0"/>
                <w:sz w:val="15"/>
                <w:szCs w:val="15"/>
              </w:rPr>
            </w:pPr>
          </w:p>
        </w:tc>
      </w:tr>
    </w:tbl>
    <w:p>
      <w:pPr>
        <w:widowControl/>
        <w:jc w:val="left"/>
        <w:rPr>
          <w:rFonts w:ascii="Times New Roman" w:hAnsi="Times New Roman" w:eastAsia="仿宋_GB2312" w:cs="Times New Roman"/>
          <w:sz w:val="32"/>
          <w:szCs w:val="32"/>
        </w:rPr>
      </w:pPr>
    </w:p>
    <w:p>
      <w:pPr>
        <w:rPr>
          <w:rFonts w:ascii="Times New Roman" w:hAnsi="Times New Roman" w:eastAsia="仿宋_GB2312" w:cs="Times New Roman"/>
          <w:color w:val="FF0000"/>
          <w:sz w:val="32"/>
          <w:szCs w:val="32"/>
        </w:rPr>
        <w:sectPr>
          <w:pgSz w:w="16838" w:h="11906" w:orient="landscape"/>
          <w:pgMar w:top="1800" w:right="1440" w:bottom="1800" w:left="1440" w:header="851" w:footer="992" w:gutter="0"/>
          <w:cols w:space="425" w:num="1"/>
          <w:docGrid w:type="lines" w:linePitch="312" w:charSpace="0"/>
        </w:sectPr>
      </w:pP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2、面临挑战</w:t>
      </w:r>
    </w:p>
    <w:p>
      <w:pPr>
        <w:autoSpaceDN w:val="0"/>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（1）供水安全高压态势下，敏感生态环境的长效稳定</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自</w:t>
      </w:r>
      <w:r>
        <w:rPr>
          <w:rFonts w:ascii="Times New Roman" w:hAnsi="Times New Roman" w:eastAsia="仿宋_GB2312" w:cs="Times New Roman"/>
          <w:sz w:val="32"/>
          <w:szCs w:val="32"/>
        </w:rPr>
        <w:t>2019</w:t>
      </w:r>
      <w:r>
        <w:rPr>
          <w:rFonts w:hint="eastAsia" w:ascii="Times New Roman" w:hAnsi="Times New Roman" w:eastAsia="仿宋_GB2312" w:cs="Times New Roman"/>
          <w:sz w:val="32"/>
          <w:szCs w:val="32"/>
        </w:rPr>
        <w:t>年起，千岛湖引配水工程开始向下游杭州与嘉兴</w:t>
      </w:r>
      <w:r>
        <w:rPr>
          <w:rFonts w:ascii="Times New Roman" w:hAnsi="Times New Roman" w:eastAsia="仿宋_GB2312" w:cs="Times New Roman"/>
          <w:sz w:val="32"/>
          <w:szCs w:val="32"/>
        </w:rPr>
        <w:t>1000</w:t>
      </w:r>
      <w:r>
        <w:rPr>
          <w:rFonts w:hint="eastAsia" w:ascii="Times New Roman" w:hAnsi="Times New Roman" w:eastAsia="仿宋_GB2312" w:cs="Times New Roman"/>
          <w:sz w:val="32"/>
          <w:szCs w:val="32"/>
        </w:rPr>
        <w:t>多万人口供水，这对千岛湖的水环境安全提出了更高要求。而千岛湖目前水质虽然整体仍保持</w:t>
      </w:r>
      <w:r>
        <w:rPr>
          <w:rFonts w:ascii="Times New Roman" w:hAnsi="Times New Roman" w:eastAsia="仿宋_GB2312" w:cs="Times New Roman"/>
          <w:sz w:val="32"/>
          <w:szCs w:val="32"/>
        </w:rPr>
        <w:t>I-Ⅱ</w:t>
      </w:r>
      <w:r>
        <w:rPr>
          <w:rFonts w:hint="eastAsia" w:ascii="Times New Roman" w:hAnsi="Times New Roman" w:eastAsia="仿宋_GB2312" w:cs="Times New Roman"/>
          <w:sz w:val="32"/>
          <w:szCs w:val="32"/>
        </w:rPr>
        <w:t>类，但是存在空间差异较大、上游来水污染负荷较大、局部库湾水华风险加大等问题，整个湖区的鱼类资源种群结构不合理，湖内生物多样性较低，生态系统自我调节能力较弱，生态系统敏感脆弱的生态安全问题日益凸显。另外，交通运输及废弃矿山的水污染风险依然存在，“十四五”期间，淳安县面临全面加强水生态安全的系统研究，以问题为导向提出有效措施稳定千岛湖生态安全，针对长期、潜在和突发性水生态安全风险事件，编制一系列处置预案，保障水生态安全等一系列挑战。</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（2）水环境资源优势下，与经济社会发展的相互促进</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淳安拥有优质的山水资源，优美的自然环境与清新的洁净空气等充足的“绿金”资源，但绿水青山蕴含的生态价值转化为真金白银的有效通道尚未完全打通，一是淳安的生态产品价值有待提升，现有生态产品品牌不够响亮，未能充分体现生态价值；二是绿色生态产业体系尚未健全，全产业链尚未打通，生态产业链条普遍较短，产业经营化水平低，旅游与农业、文化、工业等产业融合度仍需进一步深化，居民经济收入与付出的严格环境保护投入不相匹配，亟需探索产业生态化、生态产业化、生态富民融合发展新模式。</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（3）特别生态功能区设立，更需水生态保护机制创新</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是如何完善体制机制，现有的水生态环境监管体制机制还不能适应当前水环境、水资源、水生态协同保护任务需求，水生态体制机制的探索创新需进一步加强，如健全完善水生态补偿制度等；二是如何建立长效机制，来巩固深化临湖综合整治成果，实现高水平长效保护千岛湖的一方秀水；三是如何做足淳安特色，借助淳安特别生态功能区的设立，加强经济社会绿色化转型发展和资源约束，探索既有利于水生态保护又实现生态富民的举措。</w:t>
      </w:r>
    </w:p>
    <w:p>
      <w:pPr>
        <w:pStyle w:val="61"/>
        <w:numPr>
          <w:ilvl w:val="0"/>
          <w:numId w:val="1"/>
        </w:numPr>
        <w:spacing w:line="560" w:lineRule="exact"/>
        <w:ind w:firstLineChars="0"/>
        <w:outlineLvl w:val="0"/>
        <w:rPr>
          <w:rFonts w:ascii="黑体" w:hAnsi="黑体" w:eastAsia="黑体" w:cs="Times New Roman"/>
          <w:sz w:val="32"/>
          <w:szCs w:val="32"/>
        </w:rPr>
      </w:pPr>
      <w:bookmarkStart w:id="11" w:name="_Toc70260339"/>
      <w:r>
        <w:rPr>
          <w:rFonts w:hint="eastAsia" w:ascii="黑体" w:hAnsi="黑体" w:eastAsia="黑体" w:cs="Times New Roman"/>
          <w:sz w:val="32"/>
          <w:szCs w:val="32"/>
        </w:rPr>
        <w:t>总体要求</w:t>
      </w:r>
      <w:bookmarkEnd w:id="11"/>
    </w:p>
    <w:p>
      <w:pPr>
        <w:pStyle w:val="3"/>
        <w:spacing w:before="0" w:after="0" w:line="560" w:lineRule="exact"/>
        <w:rPr>
          <w:rFonts w:ascii="楷体_GB2312" w:hAnsi="楷体" w:eastAsia="楷体_GB2312"/>
        </w:rPr>
      </w:pPr>
      <w:bookmarkStart w:id="12" w:name="_Toc70260340"/>
      <w:r>
        <w:rPr>
          <w:rFonts w:hint="eastAsia" w:ascii="楷体_GB2312" w:hAnsi="楷体" w:eastAsia="楷体_GB2312"/>
        </w:rPr>
        <w:t>（一）指导思想</w:t>
      </w:r>
      <w:bookmarkEnd w:id="12"/>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以习近平生态文明思想为指导，全面贯彻落实国家和省市的决策部署，坚决落实“共抓大保护、不搞大开发”，着力加强生态保护治理，促进钱塘江流域高质量发展，深入践行“绿水青山就是金山银山”理念，坚持“山水林田湖草是一个生命共同体”，坚持问题导向与目标导向，以水生态环境质量为核心，污染减排和生态扩容两手发力，统筹水资源保护、水生态保护和水环境治理，保障饮用水安全，创新淳安特别生态功能区管理机制体制，确保千岛湖生态安全和生态服务功能提升，夯实新时代美丽淳安建设的生态环境基础，全面建成人与自然和谐共生的饮用水源保护区，奋力打造“重要窗口”生态特区魅力风景线。</w:t>
      </w:r>
    </w:p>
    <w:p>
      <w:pPr>
        <w:pStyle w:val="3"/>
        <w:spacing w:before="0" w:after="0" w:line="560" w:lineRule="exact"/>
        <w:rPr>
          <w:rFonts w:ascii="楷体_GB2312" w:hAnsi="楷体" w:eastAsia="楷体_GB2312"/>
        </w:rPr>
      </w:pPr>
      <w:bookmarkStart w:id="13" w:name="_Toc70260341"/>
      <w:r>
        <w:rPr>
          <w:rFonts w:hint="eastAsia" w:ascii="楷体_GB2312" w:hAnsi="楷体" w:eastAsia="楷体_GB2312"/>
        </w:rPr>
        <w:t>（二）基本原则</w:t>
      </w:r>
      <w:bookmarkEnd w:id="1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rPr>
        <w:t>、生态优先、绿色发展</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坚持尊重自然、顺应自然、保护自然的生态文明理念，正确处理经济社会发展与水生态环境保护关系，协同推进千岛湖流域经济社会高质量发展和生态环境高水平保护，努力实现全面协调，可持续发展。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rPr>
        <w:t>、“三水”统筹，系统治理</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坚持“山水林田湖草是一个生命共同体”的科学理念，统筹水资源、水生态、水环境，统筹水陆、城乡、湖岸缓冲带、产业布局、资源开发利用与生态环境保护，构建流域一体化的生态环境保护格局，系统科学推进大保护。</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、节水优先、空间均衡</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按照“节水优先、空间均衡、系统治理、两手发力”的方针，推进水资源的高效利用、合理开发和有效保护，加强生产生活节水。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rPr>
        <w:t>、精准施策，突出重点</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运用科技手段，识别千岛湖水生态问题成因，科学精准施策。以千岛湖特别生态功能区建设为重点，重点推进工业、农业、林业、生活、旅游服务业污染治理，饮用水源保护，生态系统保护修复和千岛湖富营养化风险防控等任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rPr>
        <w:t>、全民行动、社会共治</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以公开推动监督，以监督推动落实。引导社会公众有序参与千岛湖水环境质量提升、水资源利用和水环境监管，倡导绿色生活生产方式，形成政府、企业、公众共治共保千岛湖的现代化环境治理体系。</w:t>
      </w:r>
    </w:p>
    <w:p>
      <w:pPr>
        <w:pStyle w:val="3"/>
        <w:autoSpaceDN w:val="0"/>
        <w:spacing w:before="0" w:after="0" w:line="560" w:lineRule="exact"/>
        <w:rPr>
          <w:rFonts w:ascii="楷体_GB2312" w:hAnsi="楷体" w:eastAsia="楷体_GB2312"/>
        </w:rPr>
      </w:pPr>
      <w:bookmarkStart w:id="14" w:name="_Toc70260342"/>
      <w:r>
        <w:rPr>
          <w:rFonts w:hint="eastAsia" w:ascii="楷体_GB2312" w:hAnsi="楷体" w:eastAsia="楷体_GB2312"/>
        </w:rPr>
        <w:t>（三）编制依据</w:t>
      </w:r>
      <w:bookmarkEnd w:id="14"/>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、法律法规</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（1）《中华人民共和国环境保护法》</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（2）《中华人民共和国水污染防治法》</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（3）《中华人民共和国水法》</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、政策文件</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（1）《中共中央关于制定国民经济和社会发展第十四个五年规划和二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三五年远景目标的建议》</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（2）《生态文明体制改革总体方案》</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（3）《中共中央 国务院关于全面加强生态环境保护坚决打好污染防治攻坚战的意见》</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（4）《水污染防治行动计划》</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（5）《全国重要江河湖泊水功能区划（2011-2030年）》</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（6）《长江经济带生态环境保护规划》</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）《浙江省委关于制定浙江“十四五”规划和2035年远景目标的建议》</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、相关国家标准及技术文件</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（1）《地表水环境质量标准》（GB3838-2002）</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）《生活饮用水卫生标准》（GB5749-2006）</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）《污水综合排放标准》（GB8978-96）</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）《农田灌溉水质标准》（GB5084-2005）</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）《渔业水质标准》（GB11607-89）</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）《城镇污水处理厂污染物排放标准》（GB18918-2002）</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、地方相关法规、文件、标准</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（1）《长三角地区一体化发展三年行动计划》（2021-2023）</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（2）《深化生态文明示范创建 高水平建设新时代美丽浙江规划纲要（2020—2035年）》</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）《浙江省美丽河湖建设行动方案（2019~2022）》（浙水河湖</w:t>
      </w:r>
      <w:r>
        <w:rPr>
          <w:rFonts w:hint="eastAsia" w:ascii="微软雅黑" w:hAnsi="微软雅黑" w:eastAsia="微软雅黑" w:cs="微软雅黑"/>
          <w:sz w:val="32"/>
          <w:szCs w:val="32"/>
        </w:rPr>
        <w:t>﹝</w:t>
      </w:r>
      <w:r>
        <w:rPr>
          <w:rFonts w:hint="eastAsia" w:ascii="Times New Roman" w:hAnsi="Times New Roman" w:eastAsia="仿宋_GB2312" w:cs="Times New Roman"/>
          <w:sz w:val="32"/>
          <w:szCs w:val="32"/>
        </w:rPr>
        <w:t>2019</w:t>
      </w:r>
      <w:r>
        <w:rPr>
          <w:rFonts w:hint="eastAsia" w:ascii="微软雅黑" w:hAnsi="微软雅黑" w:eastAsia="微软雅黑" w:cs="微软雅黑"/>
          <w:sz w:val="32"/>
          <w:szCs w:val="32"/>
        </w:rPr>
        <w:t>﹞</w:t>
      </w:r>
      <w:r>
        <w:rPr>
          <w:rFonts w:hint="eastAsia" w:ascii="Times New Roman" w:hAnsi="Times New Roman" w:eastAsia="仿宋_GB2312" w:cs="Times New Roman"/>
          <w:sz w:val="32"/>
          <w:szCs w:val="32"/>
        </w:rPr>
        <w:t>4号）</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（4）《淳安县水功能区水环境功能区优化调整方案》（2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（5）《淳安县（千岛湖）环境质量管理规范》</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（6）淳安县第二次全国污染源普查数据分析报告</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（7）《淳安县“三线一单”生态环境分区管控方案》</w:t>
      </w:r>
    </w:p>
    <w:p>
      <w:pPr>
        <w:pStyle w:val="3"/>
        <w:spacing w:before="0" w:after="0" w:line="560" w:lineRule="exact"/>
        <w:rPr>
          <w:rFonts w:ascii="楷体_GB2312" w:hAnsi="楷体" w:eastAsia="楷体_GB2312"/>
        </w:rPr>
      </w:pPr>
      <w:bookmarkStart w:id="15" w:name="_Toc70260343"/>
      <w:r>
        <w:rPr>
          <w:rFonts w:hint="eastAsia" w:ascii="楷体_GB2312" w:hAnsi="楷体" w:eastAsia="楷体_GB2312"/>
        </w:rPr>
        <w:t>（四）规划范围与时限</w:t>
      </w:r>
      <w:bookmarkEnd w:id="15"/>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1、规划范围：淳安县水生态环境保护 “十四五”规划范围为全县，覆盖全域4427平方公里。</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2、规划时限：2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年，基准年为2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w:t>
      </w:r>
    </w:p>
    <w:p>
      <w:pPr>
        <w:pStyle w:val="3"/>
        <w:spacing w:before="0" w:after="0" w:line="560" w:lineRule="exact"/>
        <w:rPr>
          <w:rFonts w:ascii="楷体_GB2312" w:hAnsi="楷体" w:eastAsia="楷体_GB2312"/>
        </w:rPr>
      </w:pPr>
      <w:bookmarkStart w:id="16" w:name="_Toc70260344"/>
      <w:r>
        <w:rPr>
          <w:rFonts w:hint="eastAsia" w:ascii="楷体_GB2312" w:hAnsi="楷体" w:eastAsia="楷体_GB2312"/>
        </w:rPr>
        <w:t>（五）规划目标</w:t>
      </w:r>
      <w:bookmarkEnd w:id="16"/>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基于对“十四五”千岛湖水生态环境形势的总体判断，设定“十四五”时期淳安县水生态环境保护总体目标为：</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到2025年，淳安县水生态环境质量持续进一步改善，全县地表水优良（优于Ⅲ类）比例保持在</w:t>
      </w:r>
      <w:r>
        <w:rPr>
          <w:rFonts w:ascii="Times New Roman" w:hAnsi="Times New Roman" w:eastAsia="仿宋_GB2312" w:cs="Times New Roman"/>
          <w:sz w:val="32"/>
          <w:szCs w:val="32"/>
        </w:rPr>
        <w:t>100%</w:t>
      </w:r>
      <w:r>
        <w:rPr>
          <w:rFonts w:hint="eastAsia" w:ascii="Times New Roman" w:hAnsi="Times New Roman" w:eastAsia="仿宋_GB2312" w:cs="Times New Roman"/>
          <w:sz w:val="32"/>
          <w:szCs w:val="32"/>
        </w:rPr>
        <w:t>，千岛湖水体富营养化指数得到有效控制，水生态系统健康持续向好，水环境风险得到系统控制。绿色生活蔚然成风，人民群众对水生态环境幸福感更加凸显，流域生态空间格局不断优化，绿色发展体制机制进一步健全，资源节约、环境保护、经济社会实现协调发展。更高水平的“生态文明示范区”与“绿水青山就是金山银山”实践创新基地建设效应显著增强，环境治理体系和治理能力现代化取得明显进展，努力把淳安打造成人与自然和谐共生的饮用水源保护区，成为全国重要水资源保护的“示范窗口”。</w:t>
      </w: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表</w:t>
      </w:r>
      <w:r>
        <w:rPr>
          <w:rFonts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rPr>
        <w:t>淳安县水生态环境保护指标体系</w:t>
      </w:r>
    </w:p>
    <w:tbl>
      <w:tblPr>
        <w:tblStyle w:val="39"/>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09"/>
        <w:gridCol w:w="4961"/>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2" w:type="dxa"/>
            <w:vAlign w:val="center"/>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类别</w:t>
            </w:r>
          </w:p>
        </w:tc>
        <w:tc>
          <w:tcPr>
            <w:tcW w:w="709" w:type="dxa"/>
            <w:vAlign w:val="center"/>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序号</w:t>
            </w:r>
          </w:p>
        </w:tc>
        <w:tc>
          <w:tcPr>
            <w:tcW w:w="4961" w:type="dxa"/>
            <w:vAlign w:val="center"/>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指标</w:t>
            </w:r>
          </w:p>
        </w:tc>
        <w:tc>
          <w:tcPr>
            <w:tcW w:w="993" w:type="dxa"/>
            <w:vAlign w:val="center"/>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20</w:t>
            </w:r>
            <w:r>
              <w:rPr>
                <w:rFonts w:ascii="Times New Roman" w:hAnsi="Times New Roman" w:eastAsia="仿宋_GB2312" w:cs="Times New Roman"/>
                <w:b/>
                <w:bCs/>
                <w:sz w:val="24"/>
                <w:szCs w:val="24"/>
              </w:rPr>
              <w:t>20</w:t>
            </w:r>
            <w:r>
              <w:rPr>
                <w:rFonts w:hint="eastAsia" w:ascii="Times New Roman" w:hAnsi="Times New Roman" w:eastAsia="仿宋_GB2312" w:cs="Times New Roman"/>
                <w:b/>
                <w:bCs/>
                <w:sz w:val="24"/>
                <w:szCs w:val="24"/>
              </w:rPr>
              <w:t>年</w:t>
            </w:r>
          </w:p>
        </w:tc>
        <w:tc>
          <w:tcPr>
            <w:tcW w:w="1134" w:type="dxa"/>
            <w:vAlign w:val="center"/>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spacing w:line="400" w:lineRule="exact"/>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水环境</w:t>
            </w:r>
          </w:p>
        </w:tc>
        <w:tc>
          <w:tcPr>
            <w:tcW w:w="70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地表水优良（优于</w:t>
            </w:r>
            <w:r>
              <w:rPr>
                <w:rFonts w:hint="eastAsia" w:ascii="Times New Roman" w:hAnsi="Times New Roman" w:eastAsia="微软雅黑" w:cs="Times New Roman"/>
                <w:sz w:val="24"/>
                <w:szCs w:val="24"/>
              </w:rPr>
              <w:t>Ⅲ</w:t>
            </w:r>
            <w:r>
              <w:rPr>
                <w:rFonts w:hint="eastAsia" w:ascii="Times New Roman" w:hAnsi="Times New Roman" w:eastAsia="仿宋_GB2312" w:cs="Times New Roman"/>
                <w:sz w:val="24"/>
                <w:szCs w:val="24"/>
              </w:rPr>
              <w:t>类）比率（%）</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100</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rPr>
                <w:rFonts w:ascii="Times New Roman" w:hAnsi="Times New Roman" w:eastAsia="仿宋_GB2312" w:cs="Times New Roman"/>
                <w:sz w:val="24"/>
                <w:szCs w:val="24"/>
              </w:rPr>
            </w:pPr>
          </w:p>
        </w:tc>
        <w:tc>
          <w:tcPr>
            <w:tcW w:w="70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水功能区达标率（%）</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100</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rPr>
                <w:rFonts w:ascii="Times New Roman" w:hAnsi="Times New Roman" w:eastAsia="仿宋_GB2312" w:cs="Times New Roman"/>
                <w:sz w:val="24"/>
                <w:szCs w:val="24"/>
              </w:rPr>
            </w:pPr>
          </w:p>
        </w:tc>
        <w:tc>
          <w:tcPr>
            <w:tcW w:w="709"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城市集中式饮用水水源达标率（%）</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100</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rPr>
                <w:rFonts w:ascii="Times New Roman" w:hAnsi="Times New Roman" w:eastAsia="仿宋_GB2312" w:cs="Times New Roman"/>
                <w:color w:val="FF0000"/>
                <w:sz w:val="24"/>
                <w:szCs w:val="24"/>
              </w:rPr>
            </w:pPr>
          </w:p>
        </w:tc>
        <w:tc>
          <w:tcPr>
            <w:tcW w:w="709"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主要入湖河流Ⅰ类水质占比</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r>
              <w:rPr>
                <w:rFonts w:ascii="Times New Roman" w:hAnsi="Times New Roman" w:eastAsia="仿宋_GB2312" w:cs="Times New Roman"/>
                <w:sz w:val="24"/>
                <w:szCs w:val="24"/>
              </w:rPr>
              <w:t>0</w:t>
            </w:r>
          </w:p>
        </w:tc>
        <w:tc>
          <w:tcPr>
            <w:tcW w:w="113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spacing w:line="400" w:lineRule="exact"/>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水资源</w:t>
            </w:r>
          </w:p>
        </w:tc>
        <w:tc>
          <w:tcPr>
            <w:tcW w:w="709"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大坝前生态流量（</w:t>
            </w:r>
            <w:r>
              <w:rPr>
                <w:rFonts w:ascii="Times New Roman" w:hAnsi="Times New Roman" w:eastAsia="仿宋_GB2312" w:cs="Times New Roman"/>
                <w:sz w:val="24"/>
                <w:szCs w:val="24"/>
              </w:rPr>
              <w:t>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/s</w:t>
            </w:r>
            <w:r>
              <w:rPr>
                <w:rFonts w:hint="eastAsia" w:ascii="Times New Roman" w:hAnsi="Times New Roman" w:eastAsia="仿宋_GB2312" w:cs="Times New Roman"/>
                <w:sz w:val="24"/>
                <w:szCs w:val="24"/>
              </w:rPr>
              <w:t>）</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9.5</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rPr>
                <w:rFonts w:ascii="Times New Roman" w:hAnsi="Times New Roman" w:eastAsia="仿宋_GB2312" w:cs="Times New Roman"/>
                <w:color w:val="FF0000"/>
                <w:sz w:val="24"/>
                <w:szCs w:val="24"/>
              </w:rPr>
            </w:pPr>
          </w:p>
        </w:tc>
        <w:tc>
          <w:tcPr>
            <w:tcW w:w="70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中水回用率</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5</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r>
              <w:rPr>
                <w:rFonts w:ascii="Times New Roman" w:hAnsi="Times New Roman" w:eastAsia="仿宋_GB2312"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spacing w:line="400" w:lineRule="exact"/>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水生态</w:t>
            </w:r>
          </w:p>
        </w:tc>
        <w:tc>
          <w:tcPr>
            <w:tcW w:w="70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千岛湖水体富营养化指数</w:t>
            </w:r>
          </w:p>
        </w:tc>
        <w:tc>
          <w:tcPr>
            <w:tcW w:w="993" w:type="dxa"/>
            <w:vAlign w:val="center"/>
          </w:tcPr>
          <w:p>
            <w:pPr>
              <w:jc w:val="center"/>
              <w:rPr>
                <w:rFonts w:ascii="Times New Roman" w:hAnsi="Times New Roman" w:eastAsia="仿宋_GB2312" w:cs="Times New Roman"/>
                <w:color w:val="FF0000"/>
                <w:sz w:val="24"/>
                <w:szCs w:val="24"/>
              </w:rPr>
            </w:pPr>
            <w:r>
              <w:rPr>
                <w:rFonts w:ascii="Times New Roman" w:hAnsi="Times New Roman" w:eastAsia="仿宋_GB2312" w:cs="Times New Roman"/>
                <w:color w:val="FF0000"/>
                <w:sz w:val="24"/>
                <w:szCs w:val="24"/>
              </w:rPr>
              <w:t>30.96</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r>
              <w:rPr>
                <w:rFonts w:ascii="Times New Roman" w:hAnsi="Times New Roman" w:eastAsia="仿宋_GB2312"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rPr>
                <w:rFonts w:ascii="Times New Roman" w:hAnsi="Times New Roman" w:eastAsia="仿宋_GB2312" w:cs="Times New Roman"/>
                <w:color w:val="FF0000"/>
                <w:sz w:val="24"/>
                <w:szCs w:val="24"/>
              </w:rPr>
            </w:pPr>
          </w:p>
        </w:tc>
        <w:tc>
          <w:tcPr>
            <w:tcW w:w="709"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河湖水体缓冲带修复长度（km）</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spacing w:line="400" w:lineRule="exact"/>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水生态环境保护</w:t>
            </w:r>
          </w:p>
        </w:tc>
        <w:tc>
          <w:tcPr>
            <w:tcW w:w="709"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4961" w:type="dxa"/>
            <w:vAlign w:val="center"/>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城市污水处理率（%）</w:t>
            </w:r>
          </w:p>
        </w:tc>
        <w:tc>
          <w:tcPr>
            <w:tcW w:w="993"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97</w:t>
            </w:r>
          </w:p>
        </w:tc>
        <w:tc>
          <w:tcPr>
            <w:tcW w:w="1134" w:type="dxa"/>
            <w:vAlign w:val="center"/>
          </w:tcPr>
          <w:p>
            <w:pPr>
              <w:jc w:val="center"/>
              <w:rPr>
                <w:rFonts w:ascii="Times New Roman" w:hAnsi="Times New Roman" w:eastAsia="仿宋_GB2312" w:cs="Times New Roman"/>
                <w:sz w:val="24"/>
                <w:szCs w:val="24"/>
              </w:rPr>
            </w:pPr>
            <w:r>
              <w:rPr>
                <w:rFonts w:eastAsia="仿宋_GB2312" w:asciiTheme="majorBidi" w:hAnsiTheme="majorBidi" w:cstheme="majorBidi"/>
                <w:szCs w:val="21"/>
                <w:shd w:val="clear" w:color="auto" w:fill="FFFFFF"/>
              </w:rPr>
              <w:t>完成省、市下达任务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rPr>
                <w:rFonts w:ascii="Times New Roman" w:hAnsi="Times New Roman" w:eastAsia="仿宋_GB2312" w:cs="Times New Roman"/>
                <w:sz w:val="24"/>
                <w:szCs w:val="24"/>
              </w:rPr>
            </w:pPr>
          </w:p>
        </w:tc>
        <w:tc>
          <w:tcPr>
            <w:tcW w:w="70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0</w:t>
            </w:r>
          </w:p>
        </w:tc>
        <w:tc>
          <w:tcPr>
            <w:tcW w:w="4961" w:type="dxa"/>
          </w:tcPr>
          <w:p>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农村生活污水治理设施出水水质合格率（%）</w:t>
            </w:r>
          </w:p>
        </w:tc>
        <w:tc>
          <w:tcPr>
            <w:tcW w:w="99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w:t>
            </w:r>
            <w:r>
              <w:rPr>
                <w:rFonts w:ascii="Times New Roman" w:hAnsi="Times New Roman" w:eastAsia="仿宋_GB2312" w:cs="Times New Roman"/>
                <w:sz w:val="24"/>
                <w:szCs w:val="24"/>
              </w:rPr>
              <w:t>5</w:t>
            </w:r>
          </w:p>
        </w:tc>
        <w:tc>
          <w:tcPr>
            <w:tcW w:w="113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w:t>
            </w:r>
            <w:r>
              <w:rPr>
                <w:rFonts w:ascii="Times New Roman" w:hAnsi="Times New Roman" w:eastAsia="仿宋_GB2312" w:cs="Times New Roman"/>
                <w:sz w:val="24"/>
                <w:szCs w:val="24"/>
              </w:rPr>
              <w:t>5</w:t>
            </w:r>
            <w:r>
              <w:rPr>
                <w:rFonts w:hint="eastAsia" w:ascii="Times New Roman" w:hAnsi="Times New Roman" w:eastAsia="仿宋_GB2312" w:cs="Times New Roman"/>
                <w:sz w:val="24"/>
                <w:szCs w:val="24"/>
              </w:rPr>
              <w:t>以上</w:t>
            </w:r>
          </w:p>
        </w:tc>
      </w:tr>
    </w:tbl>
    <w:p>
      <w:pPr>
        <w:rPr>
          <w:rFonts w:ascii="黑体" w:hAnsi="黑体" w:eastAsia="黑体" w:cs="Times New Roman"/>
          <w:color w:val="FF0000"/>
          <w:sz w:val="32"/>
          <w:szCs w:val="32"/>
        </w:rPr>
      </w:pPr>
    </w:p>
    <w:p>
      <w:pPr>
        <w:pStyle w:val="61"/>
        <w:numPr>
          <w:ilvl w:val="0"/>
          <w:numId w:val="1"/>
        </w:numPr>
        <w:spacing w:line="560" w:lineRule="exact"/>
        <w:ind w:firstLineChars="0"/>
        <w:outlineLvl w:val="0"/>
        <w:rPr>
          <w:rFonts w:ascii="黑体" w:hAnsi="黑体" w:eastAsia="黑体" w:cs="Times New Roman"/>
          <w:sz w:val="32"/>
          <w:szCs w:val="32"/>
        </w:rPr>
      </w:pPr>
      <w:bookmarkStart w:id="17" w:name="_Toc70260345"/>
      <w:r>
        <w:rPr>
          <w:rFonts w:hint="eastAsia" w:ascii="黑体" w:hAnsi="黑体" w:eastAsia="黑体" w:cs="Times New Roman"/>
          <w:sz w:val="32"/>
          <w:szCs w:val="32"/>
        </w:rPr>
        <w:t>主要任务</w:t>
      </w:r>
      <w:bookmarkEnd w:id="17"/>
    </w:p>
    <w:p>
      <w:pPr>
        <w:pStyle w:val="3"/>
        <w:spacing w:before="0" w:after="0" w:line="560" w:lineRule="exact"/>
        <w:rPr>
          <w:rFonts w:ascii="楷体_GB2312" w:hAnsi="楷体" w:eastAsia="楷体_GB2312"/>
        </w:rPr>
      </w:pPr>
      <w:bookmarkStart w:id="18" w:name="_Toc70260346"/>
      <w:r>
        <w:rPr>
          <w:rFonts w:hint="eastAsia" w:ascii="楷体_GB2312" w:hAnsi="楷体" w:eastAsia="楷体_GB2312"/>
        </w:rPr>
        <w:t>（一）加强饮用水水源保护</w:t>
      </w:r>
      <w:bookmarkEnd w:id="18"/>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利用无人机、遥感卫星等技术手段对饮用水水源保护区开展定期巡查，开展县级以上饮用水水源地有机污染物全指标分析，摸清污染来源及风险点位，编制实施“一源一策”治理方案，实现精准管控。严格落实饮用水水源保护区规范化建设制度，深入推进水源地排污口取缔、垃圾清运处理、农业污染控制、水产与畜禽养殖控制、资源合理开发利用等各项环境管理措施，全面消除饮用水水源保护区内所有污染隐患，</w:t>
      </w:r>
      <w:r>
        <w:rPr>
          <w:rFonts w:ascii="Times New Roman" w:hAnsi="Times New Roman" w:eastAsia="仿宋_GB2312" w:cs="Times New Roman"/>
          <w:sz w:val="32"/>
          <w:szCs w:val="32"/>
        </w:rPr>
        <w:t>确保</w:t>
      </w:r>
      <w:r>
        <w:rPr>
          <w:rFonts w:hint="eastAsia" w:ascii="Times New Roman" w:hAnsi="Times New Roman" w:eastAsia="仿宋_GB2312" w:cs="Times New Roman"/>
          <w:sz w:val="32"/>
          <w:szCs w:val="32"/>
        </w:rPr>
        <w:t>到2</w:t>
      </w:r>
      <w:r>
        <w:rPr>
          <w:rFonts w:ascii="Times New Roman" w:hAnsi="Times New Roman" w:eastAsia="仿宋_GB2312" w:cs="Times New Roman"/>
          <w:sz w:val="32"/>
          <w:szCs w:val="32"/>
        </w:rPr>
        <w:t>025</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集中式饮用水水源地水质达标率</w:t>
      </w:r>
      <w:r>
        <w:rPr>
          <w:rFonts w:hint="eastAsia" w:ascii="Times New Roman" w:hAnsi="Times New Roman" w:eastAsia="仿宋_GB2312" w:cs="Times New Roman"/>
          <w:sz w:val="32"/>
          <w:szCs w:val="32"/>
        </w:rPr>
        <w:t>保持</w:t>
      </w:r>
      <w:r>
        <w:rPr>
          <w:rFonts w:ascii="Times New Roman" w:hAnsi="Times New Roman" w:eastAsia="仿宋_GB2312" w:cs="Times New Roman"/>
          <w:sz w:val="32"/>
          <w:szCs w:val="32"/>
        </w:rPr>
        <w:t>100%。</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加强饮用水水源风险防控体系建设，完善饮用水水源地突发生态环境污染事件和藻类防控的应急预案，建立高效的预警、应急组织指挥体系，建立健全的应急物质储备体系，组织开展突发环境事件应急演练。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实施农村饮用水水源保护工程。推进“千吨万人”集中式饮用水水源保护区规范化建设及整治工作，完成“千吨万人”饮用水水源地保护区划分。开展农村饮用水达标提标建设，确保农村居民饮用水得到保障。</w:t>
      </w:r>
    </w:p>
    <w:p>
      <w:pPr>
        <w:pStyle w:val="3"/>
        <w:spacing w:before="0" w:after="0" w:line="560" w:lineRule="exact"/>
        <w:rPr>
          <w:rFonts w:ascii="楷体_GB2312" w:hAnsi="楷体" w:eastAsia="楷体_GB2312"/>
        </w:rPr>
      </w:pPr>
      <w:bookmarkStart w:id="19" w:name="_Toc70260347"/>
      <w:r>
        <w:rPr>
          <w:rFonts w:hint="eastAsia" w:ascii="楷体_GB2312" w:hAnsi="楷体" w:eastAsia="楷体_GB2312"/>
        </w:rPr>
        <w:t>（二）深化水污染物减排</w:t>
      </w:r>
      <w:bookmarkEnd w:id="19"/>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1、优化产业空间布局</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Times New Roman"/>
          <w:sz w:val="32"/>
          <w:szCs w:val="32"/>
        </w:rPr>
        <w:t>实行最严格的生态环境准入，以水功能区水环境功能区划为基底，深入推进“多规合一”，开展资源承载能力和国土空间开发适应性评价，加强国土空间规划和用途管控，建立以“三线一单”为核心的生态环境分区管控体系，落实深绿产业发展导向。优化农业空间，根据地理特点，建设主导产业示范区和特色农业精品园，注重区域主导产业连片和基地化发展；鼓励工业企业、工业项目从分散向工业园区、产业集聚区（点）及小微园集聚，推动产业平台向生态型、创新型、集约型、特色型提升发展。巩固临湖地带酒店、旅游业项目开发综合整治成果，</w:t>
      </w:r>
      <w:r>
        <w:rPr>
          <w:rFonts w:hint="eastAsia" w:ascii="Times New Roman" w:hAnsi="Times New Roman" w:eastAsia="仿宋_GB2312"/>
          <w:sz w:val="32"/>
          <w:szCs w:val="32"/>
        </w:rPr>
        <w:t>研究出台新安江水库淳安段管理和保护范围管控措施，强化临湖项目监管，严守项目建设生态红线。</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rPr>
        <w:t>、大力推进绿色经济发展</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进农林产品精深加工发展。围绕建设国家生态原产地产品保护示范区，利用山区、林区、库区的资源和生态优势，发展茶叶、水果、干水果、中药材、竹业、木本油料、有机渔业为重点的千岛湖特色生态农产品品牌和生态精加工产业，拉动特色、传统产业走生产─加工─销售一体化发展道路。</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推进以水饮料为引领的生态制造业高质量发展。深化传统制造业绿色转型，构建绿色技术创新体系，深化“</w:t>
      </w:r>
      <w:r>
        <w:rPr>
          <w:rFonts w:hint="eastAsia" w:ascii="Times New Roman" w:hAnsi="Times New Roman" w:eastAsia="仿宋_GB2312" w:cs="Times New Roman"/>
          <w:sz w:val="32"/>
          <w:szCs w:val="32"/>
          <w:lang w:eastAsia="zh-CN"/>
        </w:rPr>
        <w:t>腾笼换鸟</w:t>
      </w:r>
      <w:r>
        <w:rPr>
          <w:rFonts w:hint="eastAsia" w:ascii="Times New Roman" w:hAnsi="Times New Roman" w:eastAsia="仿宋_GB2312" w:cs="Times New Roman"/>
          <w:sz w:val="32"/>
          <w:szCs w:val="32"/>
        </w:rPr>
        <w:t>”，大力实施传统制造业转型提质行动，引导传统优势企业积极拓展新技术、新工艺、新产品，构建绿色技术创新体系，加快发展数字经济，深化“</w:t>
      </w:r>
      <w:r>
        <w:rPr>
          <w:rFonts w:hint="eastAsia" w:ascii="Times New Roman" w:hAnsi="Times New Roman" w:eastAsia="仿宋_GB2312" w:cs="Times New Roman"/>
          <w:sz w:val="32"/>
          <w:szCs w:val="32"/>
          <w:lang w:eastAsia="zh-CN"/>
        </w:rPr>
        <w:t>腾笼换鸟</w:t>
      </w:r>
      <w:r>
        <w:rPr>
          <w:rFonts w:hint="eastAsia" w:ascii="Times New Roman" w:hAnsi="Times New Roman" w:eastAsia="仿宋_GB2312" w:cs="Times New Roman"/>
          <w:sz w:val="32"/>
          <w:szCs w:val="32"/>
        </w:rPr>
        <w:t>”，持续推进“亩均论英雄”改革，培育打造无污染、小空间、低能耗、新科技、高效益的新制造业，重点支持大健康、水饮料、智能制造、有机食品、农产品精深加工等绿色产业发展。提升工业清洁化生产水平，大力发展清洁能源，提高清洁能源消费量在一次能源消费结构中的占比。</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进以生态旅游业为支柱的现代服务业发展。鼓励文化创意、会议会展、运动休闲、森林康养、科研设计、总部经济和大培训等绿色高附加值服务业的发展。围绕丰富产品类型、优化度假环境、完善功能配套、提升服务品质，培育休闲度假、会议会展、总部文创等产业，将千岛湖打造成为长三角生态休闲度假首选地、湖泊型国际旅游度假胜地，开创千岛湖全域旅游发展新局面。</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、推进生活污染防治</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深化“污水零直排县”建设。加强城镇生活小区改造，提升“污水零直排</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建设水平，完善现有城市污水处理厂管网建设和运行监管，提高南山、坪山、城西城区等污水处理厂污水处理率。完成汾口、姜家污水处理厂清洁排放改造，实施金峰乡、石林镇、梓桐镇、临岐镇和大墅镇污水处理厂（站）新建或扩建工程等，进一步减少水污染排放，探索主城区污水处理厂尾水跨千岛湖集雨区外排路径。持续推进全面彻底的污水纳管和严格的雨污分流，基本实现全县雨污管网全覆盖、污水全收集、雨污全分流、处理全达标，全县所有乡镇、千岛湖镇主城区、千岛湖湖区、平台区块达到“污水零直排区”标准。</w:t>
      </w:r>
    </w:p>
    <w:p>
      <w:pPr>
        <w:autoSpaceDN w:val="0"/>
        <w:spacing w:line="560" w:lineRule="exact"/>
        <w:ind w:firstLine="640" w:firstLineChars="200"/>
        <w:rPr>
          <w:rFonts w:ascii="仿宋_GB2312" w:eastAsia="仿宋_GB2312" w:cs="仿宋_GB2312"/>
          <w:sz w:val="32"/>
          <w:szCs w:val="32"/>
        </w:rPr>
      </w:pPr>
      <w:r>
        <w:rPr>
          <w:rFonts w:hint="eastAsia" w:ascii="Times New Roman" w:hAnsi="Times New Roman" w:eastAsia="仿宋_GB2312" w:cs="Times New Roman"/>
          <w:sz w:val="32"/>
          <w:szCs w:val="32"/>
        </w:rPr>
        <w:t>加强农村生活污染治理。开展“污水零直排村”创建，完善农村生活污水管网建设，推进未纳管农户生活污水纳管处理，提高农村生活污水收集效率与运行管理水平。实施临湖农村无动力污水处理设施提标改造等建设，深化农村生活污水处理终端标准化运维建设。完善农村生活</w:t>
      </w:r>
      <w:r>
        <w:rPr>
          <w:rFonts w:hint="eastAsia" w:ascii="仿宋_GB2312" w:eastAsia="仿宋_GB2312" w:cs="仿宋_GB2312"/>
          <w:sz w:val="32"/>
          <w:szCs w:val="32"/>
        </w:rPr>
        <w:t>垃圾分类基础设施建设，推动农村生活垃圾分类收集，集中处置全覆盖。</w:t>
      </w:r>
    </w:p>
    <w:p>
      <w:pPr>
        <w:spacing w:line="560" w:lineRule="exact"/>
        <w:ind w:firstLine="640" w:firstLineChars="200"/>
        <w:rPr>
          <w:rFonts w:ascii="Times New Roman" w:hAnsi="Times New Roman" w:eastAsia="仿宋_GB2312" w:cs="Times New Roman"/>
          <w:sz w:val="32"/>
          <w:szCs w:val="32"/>
        </w:rPr>
      </w:pPr>
      <w:r>
        <w:rPr>
          <w:rFonts w:hint="eastAsia" w:ascii="仿宋_GB2312" w:eastAsia="仿宋_GB2312" w:cs="仿宋_GB2312"/>
          <w:sz w:val="32"/>
          <w:szCs w:val="32"/>
        </w:rPr>
        <w:t>深化湖区保洁与船岛“零直排”。强化湖区垃圾打捞，加强垃圾打捞队伍建设和打捞船配置。实施污水车船收运项目，完善船舶、岛屿污水“回收—中转—处理”体系，持续推进全方位智能化管控。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rPr>
        <w:t>、推进工业污染防治</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进喷水织机等行业整治，提升喷水织机行业中水回用。持续推进工业园区（集聚区）“污水零直排”建设，对2020年年底前完成“污水零直排区”建设的工业园区（集聚区）开展“回头看”，对于检查的问题及时整改，巩固夯实工业园区（集聚区）“污水零直排区”创建成果，深化长效运维机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rPr>
        <w:t>、推进农林业污染防治</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加强农业种植污染防治。控制临湖农业开发强度，对库内1</w:t>
      </w:r>
      <w:r>
        <w:rPr>
          <w:rFonts w:ascii="Times New Roman" w:hAnsi="Times New Roman" w:eastAsia="仿宋_GB2312" w:cs="Times New Roman"/>
          <w:sz w:val="32"/>
          <w:szCs w:val="32"/>
        </w:rPr>
        <w:t>08</w:t>
      </w:r>
      <w:r>
        <w:rPr>
          <w:rFonts w:hint="eastAsia" w:ascii="Times New Roman" w:hAnsi="Times New Roman" w:eastAsia="仿宋_GB2312" w:cs="Times New Roman"/>
          <w:sz w:val="32"/>
          <w:szCs w:val="32"/>
        </w:rPr>
        <w:t>米高程以下无证耕地逐步采用休耕退耕。积极推行农业清洁生产。优化种植业发展方式，全面提升农业生产肥药双控水平，实施化肥农药减量增效工程，对农业生产主体使用农药、化肥进行培训和指导，积极推广应用有机无机复混肥、生物肥料、土壤调理剂等肥料产品，实现化肥农药使用量负增长。每年统防统治实施面积不少于10万亩，配送液肥2万吨。建立完善的农业面源污染防控体系，推行智能化农业生产管理。实施净水农业示范工程、生态拦截沟（渠）建设、耕地与园地水土保持预防保护等项目减少农业种植污染物入湖。</w:t>
      </w:r>
    </w:p>
    <w:p>
      <w:pPr>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减少林业面源污染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推进林业产业结构调整，推广林业生态经营模式。</w:t>
      </w:r>
      <w:r>
        <w:rPr>
          <w:rFonts w:hint="eastAsia" w:ascii="Times New Roman" w:hAnsi="Times New Roman" w:eastAsia="仿宋_GB2312" w:cs="Times New Roman"/>
          <w:sz w:val="32"/>
          <w:szCs w:val="32"/>
        </w:rPr>
        <w:t>鼓励林农对临湖地带高陡坡自愿退出生产耕作，对山核桃林推行有机化栽培，推广有机割草与人工割草，减少除草剂使用，“十四五”期间，沿湖沿溪及敏感地带每年开展山核桃人工割草和病虫害统防统治面积不少于8万亩。推进沿湖沿溪地带油茶、香榧等经济林除草剂禁用，自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年起，每年开展人工割草</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万亩。</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严格执行畜禽养殖区域和污染物排放总量“双控制”制度，调整优化养殖业布局，大力发展农牧紧密结合的生态养殖业，推行养殖废弃物科学处置和综合利用，畜禽粪污资源化利用率保持99%以上。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6</w:t>
      </w:r>
      <w:r>
        <w:rPr>
          <w:rFonts w:hint="eastAsia" w:ascii="Times New Roman" w:hAnsi="Times New Roman" w:eastAsia="仿宋_GB2312" w:cs="Times New Roman"/>
          <w:b/>
          <w:bCs/>
          <w:sz w:val="32"/>
          <w:szCs w:val="32"/>
        </w:rPr>
        <w:t>、加强水产养殖业污染治理</w:t>
      </w:r>
    </w:p>
    <w:p>
      <w:pPr>
        <w:autoSpaceDN w:val="0"/>
        <w:spacing w:line="560" w:lineRule="exact"/>
        <w:ind w:firstLine="629"/>
        <w:rPr>
          <w:rFonts w:ascii="Times New Roman" w:hAnsi="Times New Roman" w:eastAsia="仿宋_GB2312" w:cs="Times New Roman"/>
          <w:sz w:val="32"/>
          <w:szCs w:val="32"/>
        </w:rPr>
      </w:pPr>
      <w:bookmarkStart w:id="20" w:name="_Hlk72344194"/>
      <w:r>
        <w:rPr>
          <w:rFonts w:hint="eastAsia" w:ascii="Times New Roman" w:hAnsi="Times New Roman" w:eastAsia="仿宋_GB2312" w:cs="Times New Roman"/>
          <w:sz w:val="32"/>
          <w:szCs w:val="32"/>
        </w:rPr>
        <w:t>严格执行县域养殖水域滩涂规划中禁养区、限养区、养殖区划定成果，逐步调减网箱养殖面积，加大网箱养殖占用水域整治。实施水产绿色健康养殖，大力推广清洁养殖和生态养殖模式，逐步减少投饵养殖规模。全面启动40亩菜篮子工程摸排工作，并做好合同到期视情况退出方案。</w:t>
      </w:r>
      <w:bookmarkEnd w:id="20"/>
    </w:p>
    <w:p>
      <w:pPr>
        <w:pStyle w:val="3"/>
        <w:spacing w:before="0" w:after="0" w:line="560" w:lineRule="exact"/>
        <w:rPr>
          <w:rFonts w:ascii="楷体_GB2312" w:hAnsi="楷体" w:eastAsia="楷体_GB2312"/>
        </w:rPr>
      </w:pPr>
      <w:bookmarkStart w:id="21" w:name="_Toc70260348"/>
      <w:r>
        <w:rPr>
          <w:rFonts w:hint="eastAsia" w:ascii="楷体_GB2312" w:hAnsi="楷体" w:eastAsia="楷体_GB2312"/>
        </w:rPr>
        <w:t>（三）全方位保障水资源</w:t>
      </w:r>
      <w:bookmarkEnd w:id="21"/>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1、全面加强水资源管理</w:t>
      </w:r>
    </w:p>
    <w:p>
      <w:pPr>
        <w:spacing w:line="560"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sz w:val="32"/>
          <w:szCs w:val="32"/>
        </w:rPr>
        <w:t>开展区域水资源节约保护和开发利用总体规划编制工作，不断深化节水优先行动。开展县域水资源承载能力评价，建立用水总量监测预警机制。大力推动全社会节水减排，将节水落实到城市规划、建设、管理各环节，实现开源节流、优水优用、循环循序利用，全面实施取水许可电子照管理，完善用水单位名录。全面提升水资源节约和高效利用水平，形成节水型生产生活方式。落实水资源消耗总量和强度双控，降低工业和三产服务业水耗。深化农业水价综合改革，大力推进农业节水技术改造，推广坡面雨水集蓄利用、养殖业污水综合利用、水肥一体化等高效节水技术措施。</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rPr>
        <w:t>、推进生态流量保障工程建设</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优化水利枢纽工程调度，积极开展千岛湖库区最低水位基础理论和生态系统影响研究，探索完善发电与引水协调机制。开展水电站等生态流量设计和排放改造，按照所在河流实际情况，科学核定生态流量。实施小型水电站综合治理以及流域综合保护项目，推进绿色小水电创建。</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、推进中水回用设施建设</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进污水再生利用设施建设，建设污水处理厂人工湿地水质净化工程。升级、改造县城区内城西、南山、坪山等污水处理厂中水回用设施。开展农村污水终端中水高效回用示范区建设，推进沿湖沿溪乡镇农村污水处理终端中水高效回用建设，至2</w:t>
      </w:r>
      <w:r>
        <w:rPr>
          <w:rFonts w:ascii="Times New Roman" w:hAnsi="Times New Roman" w:eastAsia="仿宋_GB2312" w:cs="Times New Roman"/>
          <w:sz w:val="32"/>
          <w:szCs w:val="32"/>
        </w:rPr>
        <w:t>025</w:t>
      </w:r>
      <w:r>
        <w:rPr>
          <w:rFonts w:hint="eastAsia" w:ascii="Times New Roman" w:hAnsi="Times New Roman" w:eastAsia="仿宋_GB2312" w:cs="Times New Roman"/>
          <w:sz w:val="32"/>
          <w:szCs w:val="32"/>
        </w:rPr>
        <w:t>年，城市污水处理厂中水回用率达到2</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%以上。</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4、全面加强农村水资源保障</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坚持城乡统筹，形成量质并重、节约高效的农村水资源保障体系。推进集中供水水厂（供水站）建设，新建跨村镇联片集中供水工程6个，完成叶村-苏家畈、白马、梓桐新水厂、姜家郭村夫畈水厂、瑶山富强溪水厂和里商水厂等供水水厂（供水站）建设。强化农村单村供水站改造，对全县4</w:t>
      </w:r>
      <w:r>
        <w:rPr>
          <w:rFonts w:ascii="Times New Roman" w:hAnsi="Times New Roman" w:eastAsia="仿宋_GB2312" w:cs="Times New Roman"/>
          <w:sz w:val="32"/>
          <w:szCs w:val="32"/>
        </w:rPr>
        <w:t>73</w:t>
      </w:r>
      <w:r>
        <w:rPr>
          <w:rFonts w:hint="eastAsia" w:ascii="Times New Roman" w:hAnsi="Times New Roman" w:eastAsia="仿宋_GB2312" w:cs="Times New Roman"/>
          <w:sz w:val="32"/>
          <w:szCs w:val="32"/>
        </w:rPr>
        <w:t>处单村供水站进行提升改造。加强农村供水管网建设和更新改造，落实农村自来水有偿使用制度，建立农村自来水阶梯水价制度，合理确定水价，强化管理服务队伍建设。</w:t>
      </w:r>
    </w:p>
    <w:p>
      <w:pPr>
        <w:pStyle w:val="3"/>
        <w:spacing w:before="0" w:after="0" w:line="560" w:lineRule="exact"/>
        <w:rPr>
          <w:rFonts w:ascii="楷体_GB2312" w:hAnsi="楷体" w:eastAsia="楷体_GB2312"/>
        </w:rPr>
      </w:pPr>
      <w:bookmarkStart w:id="22" w:name="_Toc70260349"/>
      <w:r>
        <w:rPr>
          <w:rFonts w:hint="eastAsia" w:ascii="楷体_GB2312" w:hAnsi="楷体" w:eastAsia="楷体_GB2312"/>
        </w:rPr>
        <w:t>（四）加强水生态保护与修复</w:t>
      </w:r>
      <w:bookmarkEnd w:id="22"/>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1、开展临湖生态缓冲带修复</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进山体、湖岸、湿地、流域、河流入湖口等生态修复，推进临湖生态缓冲带、入湖口人工湿地、临湖地带主干交通生态截流沟建设，有效拦截净化陆域入湖污染，减缓人类活动对湖库环境的压力，提升水体生物多样性。实施临湖生态缓冲带及生态湿地建设项目，在枫林港、上梧溪、界首鳌山渔村、梓桐源、郁川溪等入湖口开展生态缓冲带、人工湿地等建设，至2</w:t>
      </w:r>
      <w:r>
        <w:rPr>
          <w:rFonts w:ascii="Times New Roman" w:hAnsi="Times New Roman" w:eastAsia="仿宋_GB2312" w:cs="Times New Roman"/>
          <w:sz w:val="32"/>
          <w:szCs w:val="32"/>
        </w:rPr>
        <w:t>025</w:t>
      </w:r>
      <w:r>
        <w:rPr>
          <w:rFonts w:hint="eastAsia" w:ascii="Times New Roman" w:hAnsi="Times New Roman" w:eastAsia="仿宋_GB2312" w:cs="Times New Roman"/>
          <w:sz w:val="32"/>
          <w:szCs w:val="32"/>
        </w:rPr>
        <w:t>年，生态缓冲带修复长度达到1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Km。</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2、加强千岛湖生态岸线保护与修复</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科学保护千岛湖生态岸线，树立水域严格保护意识，科学确定并严格落实临湖空间管控。落实千岛湖水域岸线保护规划刚性约束，强化水域岸线数字化监管。探索加强环湖裸露面生态修复，对千岛湖沿岸的部分立地条件差且植被覆盖少的生态脆弱地、沿湖整治地等生态薄弱地区，开展人为生态修复。</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、加强小流域水土流失综合整治</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加强水土流失重点预防区域、重点治理区域的水土流失预防监督和综合治理。通过经济林水土流失防治、裸露面植被恢复、溪沟整治等措施，</w:t>
      </w:r>
      <w:bookmarkStart w:id="23" w:name="_Hlk73875376"/>
      <w:r>
        <w:rPr>
          <w:rFonts w:hint="eastAsia" w:ascii="Times New Roman" w:hAnsi="Times New Roman" w:eastAsia="仿宋_GB2312" w:cs="Times New Roman"/>
          <w:sz w:val="32"/>
          <w:szCs w:val="32"/>
        </w:rPr>
        <w:t>完成千岛湖环湖（界首姜家片）、宋村乡宋村等7条小流域、威坪镇七都源（横川等5条小流域）、中洲镇中洲等7条小流域、瑶山乡琅坑3条小流域、金峰乡金峰3条小流域等水土流失综合治理</w:t>
      </w:r>
      <w:bookmarkEnd w:id="23"/>
      <w:r>
        <w:rPr>
          <w:rFonts w:hint="eastAsia" w:ascii="Times New Roman" w:hAnsi="Times New Roman" w:eastAsia="仿宋_GB2312" w:cs="Times New Roman"/>
          <w:sz w:val="32"/>
          <w:szCs w:val="32"/>
        </w:rPr>
        <w:t>，综合治理面积43.46平方公里。</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4、全面构建美丽幸福河湖格局</w:t>
      </w:r>
    </w:p>
    <w:p>
      <w:pPr>
        <w:autoSpaceDN w:val="0"/>
        <w:spacing w:line="560" w:lineRule="exact"/>
        <w:ind w:firstLine="640" w:firstLineChars="200"/>
        <w:rPr>
          <w:rFonts w:ascii="Times New Roman" w:hAnsi="Times New Roman" w:eastAsia="仿宋_GB2312" w:cs="Times New Roman"/>
          <w:color w:val="FF0000"/>
          <w:sz w:val="32"/>
          <w:szCs w:val="32"/>
        </w:rPr>
      </w:pPr>
      <w:r>
        <w:rPr>
          <w:rFonts w:hint="eastAsia" w:ascii="Times New Roman" w:hAnsi="Times New Roman" w:eastAsia="仿宋_GB2312" w:cs="Times New Roman"/>
          <w:sz w:val="32"/>
          <w:szCs w:val="32"/>
        </w:rPr>
        <w:t>落实《淳安县美丽河湖建设实施方案（2019-2022年）》，建设美丽河湖12条，完成桐溪、东源港、上梧溪、梓桐源、丰家源、浪川溪、龙泉溪、清平源、商家源、上坊溪、十八都源等中小流域综合治理81.6公里，重建加固堤防（护岸）63.5公里，改造堰坝9座，新建水文化、水景观节点16个。大力开展河湖库塘清淤，全面建立河湖清淤长效轮疏机制，“十四五”期间实现有效清除河湖库塘污泥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万方。开展汾口、中洲等9个乡镇的农村水系综合整治，推动小微水系保护与整治，以水为脉串联起美丽城市、美丽乡村和美丽田园，开辟水生态发展新空间，全面营造“水清流潺、锦绣家园”的江南水乡美丽诗画河湖。</w:t>
      </w:r>
    </w:p>
    <w:p>
      <w:pPr>
        <w:autoSpaceDN w:val="0"/>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rPr>
        <w:t>、加强生态湿地建设</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过人工适度干预，促进修复或重建湿地生态景观，维护湿地生态功能，最大限度地保留原生湿地生态特征和自然风貌，有效地保护生物多样性。积极推进湿地公园建设，促进修复或重建湿地生态景观，新建龙川湾湿地公园、牧心谷湿地公园、十八坞湿地公园、进贤湾湿地公园。</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6</w:t>
      </w:r>
      <w:r>
        <w:rPr>
          <w:rFonts w:hint="eastAsia" w:ascii="Times New Roman" w:hAnsi="Times New Roman" w:eastAsia="仿宋_GB2312" w:cs="Times New Roman"/>
          <w:b/>
          <w:bCs/>
          <w:sz w:val="32"/>
          <w:szCs w:val="32"/>
        </w:rPr>
        <w:t>、科学提升水生生物完整性</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开展《千岛湖浮游生物食性鱼类渔产潜力评估》等相关课题研究，加强鱼类资源调查，科学调控鲢、鳙鱼养殖比例和规模，加强增殖放流活动的科学引导和规范管理，增加土著鱼类增殖放流，每年投放鱼苗</w:t>
      </w:r>
      <w:r>
        <w:rPr>
          <w:rFonts w:ascii="Times New Roman" w:hAnsi="Times New Roman" w:eastAsia="仿宋_GB2312" w:cs="Times New Roman"/>
          <w:sz w:val="32"/>
          <w:szCs w:val="32"/>
        </w:rPr>
        <w:t>4000</w:t>
      </w:r>
      <w:r>
        <w:rPr>
          <w:rFonts w:hint="eastAsia" w:ascii="Times New Roman" w:hAnsi="Times New Roman" w:eastAsia="仿宋_GB2312" w:cs="Times New Roman"/>
          <w:sz w:val="32"/>
          <w:szCs w:val="32"/>
        </w:rPr>
        <w:t>万尾以上。</w:t>
      </w:r>
      <w:bookmarkStart w:id="24" w:name="_Hlk72344236"/>
      <w:r>
        <w:rPr>
          <w:rFonts w:hint="eastAsia" w:ascii="Times New Roman" w:hAnsi="Times New Roman" w:eastAsia="仿宋_GB2312" w:cs="Times New Roman"/>
          <w:sz w:val="32"/>
          <w:szCs w:val="32"/>
        </w:rPr>
        <w:t>开展人工鱼巢、种质资源繁育基地建设，科学保护千岛湖水生态系统，提高千岛湖水域水生生物多样性。</w:t>
      </w:r>
    </w:p>
    <w:bookmarkEnd w:id="24"/>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7</w:t>
      </w:r>
      <w:r>
        <w:rPr>
          <w:rFonts w:hint="eastAsia" w:ascii="Times New Roman" w:hAnsi="Times New Roman" w:eastAsia="仿宋_GB2312" w:cs="Times New Roman"/>
          <w:b/>
          <w:bCs/>
          <w:sz w:val="32"/>
          <w:szCs w:val="32"/>
        </w:rPr>
        <w:t>、强化水生态保护科学研究</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开展千岛湖重点区域的生物多样性调查，切实掌握千岛湖湖区现有鱼类、底栖生物、浮游生物和水生植物的分布情况。依托新成立的</w:t>
      </w:r>
      <w:bookmarkStart w:id="25" w:name="_Hlk72416241"/>
      <w:r>
        <w:rPr>
          <w:rFonts w:hint="eastAsia" w:ascii="Times New Roman" w:hAnsi="Times New Roman" w:eastAsia="仿宋_GB2312" w:cs="Times New Roman"/>
          <w:sz w:val="32"/>
          <w:szCs w:val="32"/>
        </w:rPr>
        <w:t>千岛湖生态系统研究站</w:t>
      </w:r>
      <w:bookmarkEnd w:id="25"/>
      <w:r>
        <w:rPr>
          <w:rFonts w:hint="eastAsia" w:ascii="Times New Roman" w:hAnsi="Times New Roman" w:eastAsia="仿宋_GB2312" w:cs="Times New Roman"/>
          <w:sz w:val="32"/>
          <w:szCs w:val="32"/>
        </w:rPr>
        <w:t>，深化与知名科研机构和院士专家工作室的合作对接，针对千岛湖保护面临的突出问题，在多层次多领域科学谋划《千岛湖水体氮磷污染特征、季节变化及来源诊断》《千岛湖蓝藻多样性及生理生态特征研究》等一批重点管控策略研究项目，系统分析影响千岛湖水生态保护的深层原因。开展千岛湖内库湾整治试点工程，探索千岛湖水生态保护修复新模式。</w:t>
      </w:r>
    </w:p>
    <w:p>
      <w:pPr>
        <w:pStyle w:val="3"/>
        <w:spacing w:before="0" w:after="0" w:line="560" w:lineRule="exact"/>
        <w:rPr>
          <w:rFonts w:ascii="楷体_GB2312" w:hAnsi="楷体" w:eastAsia="楷体_GB2312"/>
        </w:rPr>
      </w:pPr>
      <w:bookmarkStart w:id="26" w:name="_Toc70260350"/>
      <w:r>
        <w:rPr>
          <w:rFonts w:hint="eastAsia" w:ascii="楷体_GB2312" w:hAnsi="楷体" w:eastAsia="楷体_GB2312"/>
        </w:rPr>
        <w:t>（五）提升水环境风险防范能力</w:t>
      </w:r>
      <w:bookmarkEnd w:id="26"/>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1、加强风险防范能力建设</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善千岛湖水质水华预测预警平台建设。充分应用千岛湖水质数据库，提升千岛湖水质预警业务化运行管理平台，构建具备数据收集、分析、预警发布一体化的智能预警系统，实现千岛湖富营养化和蓝藻水华问题的灾害实时化预警。提升湖区藻类实时监测能力，</w:t>
      </w:r>
      <w:r>
        <w:rPr>
          <w:rFonts w:hint="eastAsia" w:eastAsia="仿宋_GB2312" w:asciiTheme="majorBidi" w:hAnsiTheme="majorBidi" w:cstheme="majorBidi"/>
          <w:sz w:val="32"/>
          <w:szCs w:val="32"/>
        </w:rPr>
        <w:t>加强密度期、敏感期藻类巡测，</w:t>
      </w:r>
      <w:r>
        <w:rPr>
          <w:rFonts w:hint="eastAsia" w:ascii="Times New Roman" w:hAnsi="Times New Roman" w:eastAsia="仿宋_GB2312" w:cs="Times New Roman"/>
          <w:sz w:val="32"/>
          <w:szCs w:val="32"/>
        </w:rPr>
        <w:t>对藻类异常增殖出现的时间、位置、危害程度进行预测，提高千岛湖富营养化和蓝藻水华问题等预警能力。</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2、推进生态环境风险防范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道路、水路运输安全管理，落实水源保护区及周边沿线公路等必要的隔离和防护设施建设，在重要的水环境风险隐患点，建设临湖道路截留沟、应急收集池等应急设施，提升应急处理能力。加强区域内垃圾填埋场渗滤液应急处理设施建设。开展千岛湖底泥现状及其对水质影响等累积性风险监测与调查评估，完善区域突发水生态环境事件应急管理机制，完善跨部门、跨区域环境应急协调联动机制，提高信息互通、资源共享和协同处置能力。编制应急预案，加强应急物资储备、应急队伍建设，开展应急演练等。</w:t>
      </w:r>
    </w:p>
    <w:p>
      <w:pPr>
        <w:spacing w:line="560" w:lineRule="exact"/>
        <w:ind w:firstLine="803" w:firstLineChars="25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、加强区域废弃矿山治理修复</w:t>
      </w:r>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开展废弃矿山生态修复。推进淳安千富矿业有限公司黄岩坞铅锌矿等</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家已关停矿山治理，完成千岛湖矿产品有限公司三联尾矿库清库和开展铜山锡铁矿尾矿库清库，实施蛟池和威坪横塘硫铁矿污水处理运维工程。深化提升尾矿库污染整治，建立健全尾矿库污染防治长效机制。全面推进绿色矿山建设，实现规范开采、保护环境、节约资源，新建矿山全部按照绿色矿山的要求和标准进行管理。</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rPr>
        <w:t>、数字赋能水生态环境保护</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健全生态环境“监测体系”，充分利用大数据、互联网，提升监测网络密度与效能。</w:t>
      </w:r>
      <w:r>
        <w:rPr>
          <w:rFonts w:ascii="Times New Roman" w:hAnsi="Times New Roman" w:eastAsia="仿宋_GB2312" w:cs="Times New Roman"/>
          <w:sz w:val="32"/>
          <w:szCs w:val="32"/>
        </w:rPr>
        <w:t>充分运用在线监控、卫星遥感、无人机等科技手段，</w:t>
      </w:r>
      <w:r>
        <w:rPr>
          <w:rFonts w:hint="eastAsia" w:ascii="Times New Roman" w:hAnsi="Times New Roman" w:eastAsia="仿宋_GB2312" w:cs="Times New Roman"/>
          <w:sz w:val="32"/>
          <w:szCs w:val="32"/>
        </w:rPr>
        <w:t>推动全国“数字第一湖”的应用场景建设，深化“秀水卫士”应用，形成水环境监测、预警、应急、治理协同智慧管控平台，推进水生态环境治理体系、治理能力现代化。</w:t>
      </w:r>
    </w:p>
    <w:p>
      <w:pPr>
        <w:pStyle w:val="3"/>
        <w:spacing w:before="0" w:after="0" w:line="560" w:lineRule="exact"/>
        <w:rPr>
          <w:rFonts w:ascii="楷体_GB2312" w:hAnsi="楷体" w:eastAsia="楷体_GB2312"/>
        </w:rPr>
      </w:pPr>
      <w:bookmarkStart w:id="27" w:name="_Toc70260351"/>
      <w:r>
        <w:rPr>
          <w:rFonts w:hint="eastAsia" w:ascii="楷体_GB2312" w:hAnsi="楷体" w:eastAsia="楷体_GB2312"/>
        </w:rPr>
        <w:t>（六）完善水环境管理制度建设</w:t>
      </w:r>
      <w:bookmarkEnd w:id="2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rPr>
        <w:t>、推进淳安特别生态功能区体制机制创新</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积极探索千岛湖系统保护、绿色发展、民生保障、生态环境共建共保等方面体制机制创新。</w:t>
      </w:r>
      <w:bookmarkStart w:id="28" w:name="_Hlk72417070"/>
      <w:r>
        <w:rPr>
          <w:rFonts w:hint="eastAsia" w:ascii="Times New Roman" w:hAnsi="Times New Roman" w:eastAsia="仿宋_GB2312" w:cs="Times New Roman"/>
          <w:sz w:val="32"/>
          <w:szCs w:val="32"/>
        </w:rPr>
        <w:t>严格落实杭州市淳安特别生态功能区条例、</w:t>
      </w:r>
      <w:bookmarkEnd w:id="28"/>
      <w:r>
        <w:rPr>
          <w:rFonts w:hint="eastAsia" w:ascii="Times New Roman" w:hAnsi="Times New Roman" w:eastAsia="仿宋_GB2312" w:cs="Times New Roman"/>
          <w:sz w:val="32"/>
          <w:szCs w:val="32"/>
        </w:rPr>
        <w:t>《杭州市第二水源千岛湖配水供水工程管理条例》，逐步实现“合理取水、有偿配水、优水优用、分类供水、分质供水、优水优价”，优化千岛湖水资源开发、利用和水资源调度，保持千岛湖的合理水位，维护水体的自然净化能力和自然景观的风貌特征，努力在全国率先形成饮用水水源地保护与发展的千岛湖模式，绿水青山就是金山银山理念的实践区、生态文明制度改革创新的先行区。</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2、深化生态补偿机制创新</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强化上下级联动，推动国家层面设立千岛湖保护协调机构，建立健全省市县三级共同投入的饮用水源地生态补助机制，探索建立千岛湖配水工程生态补偿办法。加快建立市场化、多元化的生态补偿机制。争取千岛湖第二水源保护专项资金、生态补偿资金、转移支付等财政共投体制，建立生态补偿收费和资金筹措制度，向引水工程的受益方征收适当的生态补偿费。</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3、深化提升五水共治、河（湖）长制</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持续深化五水共治、河（湖）长制改革，继续完善河（湖）长制组织机构。加强水污染防治，严格水资源保护。加强执法监管，抓好督查落实、问题整改、检查考核、统筹协调、强化保障。</w:t>
      </w:r>
      <w:r>
        <w:rPr>
          <w:rFonts w:ascii="Times New Roman" w:hAnsi="Times New Roman" w:eastAsia="仿宋_GB2312" w:cs="Times New Roman"/>
          <w:sz w:val="32"/>
          <w:szCs w:val="32"/>
        </w:rPr>
        <w:t>利用无人船、无人机、水下机器人等对</w:t>
      </w:r>
      <w:r>
        <w:rPr>
          <w:rFonts w:hint="eastAsia" w:ascii="Times New Roman" w:hAnsi="Times New Roman" w:eastAsia="仿宋_GB2312" w:cs="Times New Roman"/>
          <w:sz w:val="32"/>
          <w:szCs w:val="32"/>
        </w:rPr>
        <w:t>千岛湖重点区域</w:t>
      </w:r>
      <w:r>
        <w:rPr>
          <w:rFonts w:ascii="Times New Roman" w:hAnsi="Times New Roman" w:eastAsia="仿宋_GB2312" w:cs="Times New Roman"/>
          <w:sz w:val="32"/>
          <w:szCs w:val="32"/>
        </w:rPr>
        <w:t>开展走航分析，弄清问题、成因、对策、落实“四个在哪里”，实现精准溯源、科学治污</w:t>
      </w:r>
      <w:r>
        <w:rPr>
          <w:rFonts w:hint="eastAsia" w:ascii="Times New Roman" w:hAnsi="Times New Roman" w:eastAsia="仿宋_GB2312" w:cs="Times New Roman"/>
          <w:sz w:val="32"/>
          <w:szCs w:val="32"/>
        </w:rPr>
        <w:t>。加强“污水零直排区”创建、“运维精品村”创建，以智慧河道、美丽河湖建设为载体，加强流域水资源保护工作。扎实推进各乡镇“一河一策”、“一湖一策”方案的真正实施。</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4、健全生态合作互助机制</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浙皖跨省流域生态环境共建共保共享的合作，完善生态补偿与监测考核相挂钩的机制，共同保护千岛湖重要生态系统，推动杭州与黄山、淳安与建德实现流域一体化发展。全面加强水污染治理协作，推动跨界水体环境治理, 加强与上游安徽黄山的面源污染协同防治，促进上游地区污染物排放的控制，确保排污量逐年下降。</w:t>
      </w:r>
    </w:p>
    <w:p>
      <w:pPr>
        <w:pStyle w:val="61"/>
        <w:numPr>
          <w:ilvl w:val="0"/>
          <w:numId w:val="1"/>
        </w:numPr>
        <w:spacing w:line="560" w:lineRule="exact"/>
        <w:ind w:firstLineChars="0"/>
        <w:outlineLvl w:val="0"/>
        <w:rPr>
          <w:rFonts w:ascii="黑体" w:hAnsi="黑体" w:eastAsia="黑体" w:cs="Times New Roman"/>
          <w:sz w:val="32"/>
          <w:szCs w:val="32"/>
        </w:rPr>
      </w:pPr>
      <w:bookmarkStart w:id="29" w:name="_Toc70260352"/>
      <w:r>
        <w:rPr>
          <w:rFonts w:hint="eastAsia" w:ascii="黑体" w:hAnsi="黑体" w:eastAsia="黑体" w:cs="Times New Roman"/>
          <w:sz w:val="32"/>
          <w:szCs w:val="32"/>
        </w:rPr>
        <w:t>水生态环境保护要点</w:t>
      </w:r>
      <w:bookmarkEnd w:id="29"/>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针对“十四五”期间，淳安县各控制单元存在的水生态环境问题、成因分析结果、保护目标及任务和规划项目，形成如下水生态环境保护清单，见表4-</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p>
    <w:p>
      <w:pPr>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表4-</w:t>
      </w:r>
      <w:r>
        <w:rPr>
          <w:rFonts w:ascii="Times New Roman" w:hAnsi="Times New Roman" w:eastAsia="仿宋_GB2312" w:cs="Times New Roman"/>
          <w:b/>
          <w:bCs/>
          <w:sz w:val="32"/>
          <w:szCs w:val="32"/>
        </w:rPr>
        <w:t xml:space="preserve">1 </w:t>
      </w:r>
      <w:r>
        <w:rPr>
          <w:rFonts w:hint="eastAsia" w:ascii="Times New Roman" w:hAnsi="Times New Roman" w:eastAsia="仿宋_GB2312" w:cs="Times New Roman"/>
          <w:b/>
          <w:bCs/>
          <w:sz w:val="32"/>
          <w:szCs w:val="32"/>
        </w:rPr>
        <w:t>淳安县各控制单元水生态环境保护清单</w:t>
      </w:r>
    </w:p>
    <w:tbl>
      <w:tblPr>
        <w:tblStyle w:val="39"/>
        <w:tblW w:w="14044"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7"/>
        <w:gridCol w:w="1094"/>
        <w:gridCol w:w="1659"/>
        <w:gridCol w:w="3718"/>
        <w:gridCol w:w="1134"/>
        <w:gridCol w:w="3543"/>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67"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控制单元名称</w:t>
            </w:r>
          </w:p>
        </w:tc>
        <w:tc>
          <w:tcPr>
            <w:tcW w:w="1094"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现状</w:t>
            </w:r>
          </w:p>
        </w:tc>
        <w:tc>
          <w:tcPr>
            <w:tcW w:w="1659"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问题</w:t>
            </w:r>
          </w:p>
        </w:tc>
        <w:tc>
          <w:tcPr>
            <w:tcW w:w="3718"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成因</w:t>
            </w:r>
          </w:p>
        </w:tc>
        <w:tc>
          <w:tcPr>
            <w:tcW w:w="1134"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目标</w:t>
            </w:r>
          </w:p>
        </w:tc>
        <w:tc>
          <w:tcPr>
            <w:tcW w:w="3543"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任务及任务量</w:t>
            </w:r>
          </w:p>
        </w:tc>
        <w:tc>
          <w:tcPr>
            <w:tcW w:w="2029"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规划项目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restart"/>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茅头尖汇水范围</w:t>
            </w: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水环境</w:t>
            </w:r>
            <w:r>
              <w:rPr>
                <w:rFonts w:ascii="Times New Roman" w:hAnsi="Times New Roman" w:eastAsia="仿宋_GB2312" w:cs="Times New Roman"/>
                <w:szCs w:val="21"/>
              </w:rPr>
              <w:t>：2015-2020年县控以上断面均达标，无黑臭水体，无涉水突发环境事件。</w:t>
            </w:r>
          </w:p>
        </w:tc>
        <w:tc>
          <w:tcPr>
            <w:tcW w:w="1659" w:type="dxa"/>
            <w:vMerge w:val="restart"/>
            <w:vAlign w:val="center"/>
          </w:tcPr>
          <w:p>
            <w:pPr>
              <w:adjustRightInd w:val="0"/>
              <w:snapToGrid w:val="0"/>
              <w:rPr>
                <w:rFonts w:ascii="Times New Roman" w:hAnsi="Times New Roman" w:eastAsia="仿宋_GB2312" w:cs="Times New Roman"/>
                <w:szCs w:val="21"/>
              </w:rPr>
            </w:pPr>
            <w:bookmarkStart w:id="30" w:name="_Hlk53503198"/>
            <w:r>
              <w:rPr>
                <w:rFonts w:ascii="Times New Roman" w:hAnsi="Times New Roman" w:eastAsia="宋体" w:cs="Times New Roman"/>
                <w:b/>
                <w:bCs/>
                <w:szCs w:val="21"/>
              </w:rPr>
              <w:t>1.</w:t>
            </w:r>
            <w:r>
              <w:rPr>
                <w:rFonts w:ascii="Times New Roman" w:hAnsi="Times New Roman" w:eastAsia="仿宋_GB2312" w:cs="Times New Roman"/>
                <w:b/>
                <w:bCs/>
                <w:szCs w:val="21"/>
              </w:rPr>
              <w:t>断面水质</w:t>
            </w:r>
            <w:bookmarkEnd w:id="30"/>
            <w:r>
              <w:rPr>
                <w:rFonts w:ascii="Times New Roman" w:hAnsi="Times New Roman" w:eastAsia="仿宋_GB2312" w:cs="Times New Roman"/>
                <w:b/>
                <w:bCs/>
                <w:szCs w:val="21"/>
              </w:rPr>
              <w:t>受入湖支流影响</w:t>
            </w:r>
            <w:r>
              <w:rPr>
                <w:rFonts w:hint="eastAsia" w:ascii="Times New Roman" w:hAnsi="Times New Roman" w:eastAsia="仿宋_GB2312" w:cs="Times New Roman"/>
                <w:szCs w:val="21"/>
              </w:rPr>
              <w:t>：</w:t>
            </w:r>
            <w:r>
              <w:rPr>
                <w:rFonts w:ascii="Times New Roman" w:hAnsi="Times New Roman" w:eastAsia="仿宋_GB2312" w:cs="Times New Roman"/>
                <w:szCs w:val="21"/>
              </w:rPr>
              <w:t>百亩畈等断面部分月份总磷含量较高</w:t>
            </w:r>
            <w:r>
              <w:rPr>
                <w:rFonts w:hint="eastAsia"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bookmarkStart w:id="31" w:name="_Hlk53503220"/>
            <w:r>
              <w:rPr>
                <w:rFonts w:ascii="Times New Roman" w:hAnsi="Times New Roman" w:eastAsia="宋体" w:cs="Times New Roman"/>
                <w:b/>
                <w:bCs/>
                <w:szCs w:val="21"/>
              </w:rPr>
              <w:t>2.</w:t>
            </w:r>
            <w:r>
              <w:rPr>
                <w:rFonts w:ascii="Times New Roman" w:hAnsi="Times New Roman" w:eastAsia="仿宋_GB2312" w:cs="Times New Roman"/>
                <w:b/>
                <w:bCs/>
                <w:szCs w:val="21"/>
              </w:rPr>
              <w:t>存在废弃矿山污染</w:t>
            </w:r>
            <w:bookmarkEnd w:id="31"/>
            <w:r>
              <w:rPr>
                <w:rFonts w:ascii="Times New Roman" w:hAnsi="Times New Roman" w:eastAsia="仿宋_GB2312" w:cs="Times New Roman"/>
                <w:b/>
                <w:bCs/>
                <w:szCs w:val="21"/>
              </w:rPr>
              <w:t>风险隐患</w:t>
            </w:r>
            <w:r>
              <w:rPr>
                <w:rFonts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3.</w:t>
            </w:r>
            <w:bookmarkStart w:id="32" w:name="_Hlk70077715"/>
            <w:r>
              <w:rPr>
                <w:rFonts w:ascii="Times New Roman" w:hAnsi="Times New Roman" w:eastAsia="仿宋_GB2312" w:cs="Times New Roman"/>
                <w:b/>
                <w:bCs/>
                <w:szCs w:val="21"/>
              </w:rPr>
              <w:t>现有鱼类种群较为单一</w:t>
            </w:r>
            <w:bookmarkEnd w:id="32"/>
            <w:r>
              <w:rPr>
                <w:rFonts w:hint="eastAsia" w:ascii="Times New Roman" w:hAnsi="Times New Roman" w:eastAsia="仿宋_GB2312" w:cs="Times New Roman"/>
                <w:szCs w:val="21"/>
              </w:rPr>
              <w:t>：</w:t>
            </w:r>
            <w:r>
              <w:rPr>
                <w:rFonts w:ascii="Times New Roman" w:hAnsi="Times New Roman" w:eastAsia="仿宋_GB2312" w:cs="Times New Roman"/>
                <w:szCs w:val="21"/>
              </w:rPr>
              <w:t>鱼类生态结构不稳定；</w:t>
            </w:r>
          </w:p>
          <w:p>
            <w:pPr>
              <w:adjustRightInd w:val="0"/>
              <w:snapToGrid w:val="0"/>
              <w:rPr>
                <w:rFonts w:ascii="Times New Roman" w:hAnsi="Times New Roman" w:eastAsia="仿宋_GB2312" w:cs="Times New Roman"/>
                <w:szCs w:val="21"/>
              </w:rPr>
            </w:pPr>
            <w:bookmarkStart w:id="33" w:name="_Hlk53503502"/>
            <w:r>
              <w:rPr>
                <w:rFonts w:ascii="Times New Roman" w:hAnsi="Times New Roman" w:eastAsia="宋体" w:cs="Times New Roman"/>
                <w:b/>
                <w:bCs/>
                <w:szCs w:val="21"/>
              </w:rPr>
              <w:t>4.</w:t>
            </w:r>
            <w:r>
              <w:rPr>
                <w:rFonts w:ascii="Times New Roman" w:hAnsi="Times New Roman" w:eastAsia="仿宋_GB2312" w:cs="Times New Roman"/>
                <w:b/>
                <w:bCs/>
                <w:szCs w:val="21"/>
              </w:rPr>
              <w:t>存在藻类爆发风险</w:t>
            </w:r>
            <w:r>
              <w:rPr>
                <w:rFonts w:hint="eastAsia" w:ascii="Times New Roman" w:hAnsi="Times New Roman" w:eastAsia="仿宋_GB2312" w:cs="Times New Roman"/>
                <w:szCs w:val="21"/>
              </w:rPr>
              <w:t>：</w:t>
            </w:r>
            <w:r>
              <w:rPr>
                <w:rFonts w:ascii="Times New Roman" w:hAnsi="Times New Roman" w:eastAsia="仿宋_GB2312" w:cs="Times New Roman"/>
                <w:szCs w:val="21"/>
              </w:rPr>
              <w:t>藻类聚集性异常增殖有增加趋势；</w:t>
            </w:r>
            <w:bookmarkEnd w:id="33"/>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5.</w:t>
            </w:r>
            <w:r>
              <w:rPr>
                <w:rFonts w:ascii="Times New Roman" w:hAnsi="Times New Roman" w:eastAsia="仿宋_GB2312" w:cs="Times New Roman"/>
                <w:b/>
                <w:bCs/>
                <w:szCs w:val="21"/>
              </w:rPr>
              <w:t>新安江水电站运行调度影响水生态环境</w:t>
            </w:r>
            <w:r>
              <w:rPr>
                <w:rFonts w:ascii="Times New Roman" w:hAnsi="Times New Roman" w:eastAsia="仿宋_GB2312" w:cs="Times New Roman"/>
                <w:szCs w:val="21"/>
              </w:rPr>
              <w:t>；</w:t>
            </w:r>
          </w:p>
          <w:p>
            <w:pPr>
              <w:adjustRightInd w:val="0"/>
              <w:snapToGrid w:val="0"/>
              <w:rPr>
                <w:rFonts w:ascii="Times New Roman" w:hAnsi="Times New Roman" w:eastAsia="仿宋_GB2312" w:cs="Times New Roman"/>
                <w:color w:val="FF0000"/>
                <w:szCs w:val="21"/>
              </w:rPr>
            </w:pPr>
            <w:r>
              <w:rPr>
                <w:rFonts w:ascii="Times New Roman" w:hAnsi="Times New Roman" w:eastAsia="宋体" w:cs="Times New Roman"/>
                <w:b/>
                <w:bCs/>
                <w:szCs w:val="21"/>
              </w:rPr>
              <w:t>6.</w:t>
            </w:r>
            <w:r>
              <w:rPr>
                <w:rFonts w:ascii="Times New Roman" w:hAnsi="Times New Roman" w:eastAsia="仿宋_GB2312" w:cs="Times New Roman"/>
                <w:b/>
                <w:bCs/>
                <w:szCs w:val="21"/>
              </w:rPr>
              <w:t>水资源利用率不高</w:t>
            </w:r>
            <w:r>
              <w:rPr>
                <w:rFonts w:ascii="Times New Roman" w:hAnsi="Times New Roman" w:eastAsia="仿宋_GB2312" w:cs="Times New Roman"/>
                <w:szCs w:val="21"/>
              </w:rPr>
              <w:t>。</w:t>
            </w:r>
          </w:p>
        </w:tc>
        <w:tc>
          <w:tcPr>
            <w:tcW w:w="3718" w:type="dxa"/>
            <w:vMerge w:val="restart"/>
            <w:vAlign w:val="center"/>
          </w:tcPr>
          <w:p>
            <w:pPr>
              <w:adjustRightInd w:val="0"/>
              <w:snapToGrid w:val="0"/>
              <w:rPr>
                <w:rFonts w:ascii="Times New Roman" w:hAnsi="Times New Roman" w:eastAsia="仿宋_GB2312" w:cs="Times New Roman"/>
                <w:b/>
                <w:bCs/>
                <w:szCs w:val="21"/>
              </w:rPr>
            </w:pPr>
            <w:bookmarkStart w:id="34" w:name="_Hlk53504680"/>
            <w:r>
              <w:rPr>
                <w:rFonts w:ascii="Times New Roman" w:hAnsi="Times New Roman" w:eastAsia="宋体" w:cs="Times New Roman"/>
                <w:b/>
                <w:bCs/>
                <w:szCs w:val="21"/>
              </w:rPr>
              <w:t>1-1.</w:t>
            </w:r>
            <w:r>
              <w:rPr>
                <w:rFonts w:ascii="Times New Roman" w:hAnsi="Times New Roman" w:eastAsia="仿宋_GB2312" w:cs="Times New Roman"/>
                <w:b/>
                <w:bCs/>
                <w:szCs w:val="21"/>
              </w:rPr>
              <w:t>截污纳管不彻底</w:t>
            </w:r>
            <w:bookmarkEnd w:id="34"/>
            <w:r>
              <w:rPr>
                <w:rFonts w:ascii="Times New Roman" w:hAnsi="Times New Roman" w:eastAsia="仿宋_GB2312" w:cs="Times New Roman"/>
                <w:b/>
                <w:bCs/>
                <w:szCs w:val="21"/>
              </w:rPr>
              <w:t>：</w:t>
            </w:r>
            <w:r>
              <w:rPr>
                <w:rFonts w:ascii="Times New Roman" w:hAnsi="Times New Roman" w:eastAsia="仿宋_GB2312" w:cs="Times New Roman"/>
                <w:szCs w:val="21"/>
              </w:rPr>
              <w:t>汇水范围行政村截污纳管已实现全覆盖，但存在少量农村生活污水未纳管，简单处理后排入就近水体；部分农村污水处理终端出水水质排放标准不严或部分污水管网有破损；</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1-2.</w:t>
            </w:r>
            <w:r>
              <w:rPr>
                <w:rFonts w:ascii="Times New Roman" w:hAnsi="Times New Roman" w:eastAsia="仿宋_GB2312" w:cs="Times New Roman"/>
                <w:b/>
                <w:bCs/>
                <w:szCs w:val="21"/>
              </w:rPr>
              <w:t>存在农业、林业面源污染：</w:t>
            </w:r>
            <w:r>
              <w:rPr>
                <w:rFonts w:ascii="Times New Roman" w:hAnsi="Times New Roman" w:eastAsia="仿宋_GB2312" w:cs="Times New Roman"/>
                <w:szCs w:val="21"/>
              </w:rPr>
              <w:t>汇水范围林业种植与农业种植、养殖，部分存在水土流失现象，氮、磷</w:t>
            </w:r>
            <w:r>
              <w:rPr>
                <w:rFonts w:hint="eastAsia" w:ascii="Times New Roman" w:hAnsi="Times New Roman" w:eastAsia="仿宋_GB2312" w:cs="Times New Roman"/>
                <w:szCs w:val="21"/>
              </w:rPr>
              <w:t>污染物</w:t>
            </w:r>
            <w:r>
              <w:rPr>
                <w:rFonts w:ascii="Times New Roman" w:hAnsi="Times New Roman" w:eastAsia="仿宋_GB2312" w:cs="Times New Roman"/>
                <w:szCs w:val="21"/>
              </w:rPr>
              <w:t>随降水和地表径流进入水体；</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生活垃圾分类处置不规范：</w:t>
            </w:r>
            <w:r>
              <w:rPr>
                <w:rFonts w:ascii="Times New Roman" w:hAnsi="Times New Roman" w:eastAsia="仿宋_GB2312" w:cs="Times New Roman"/>
                <w:szCs w:val="21"/>
              </w:rPr>
              <w:t>汇水范围内部分乡镇居民居住分散，少量农户生活垃圾不能及时回收和有效处理，存在水环境污染隐患；</w:t>
            </w:r>
            <w:bookmarkStart w:id="35" w:name="_Hlk53504689"/>
            <w:r>
              <w:rPr>
                <w:rFonts w:ascii="Times New Roman" w:hAnsi="Times New Roman" w:eastAsia="仿宋_GB2312" w:cs="Times New Roman"/>
                <w:b/>
                <w:bCs/>
                <w:szCs w:val="21"/>
              </w:rPr>
              <w:t xml:space="preserve"> </w:t>
            </w:r>
            <w:bookmarkEnd w:id="35"/>
          </w:p>
          <w:p>
            <w:pPr>
              <w:adjustRightInd w:val="0"/>
              <w:snapToGrid w:val="0"/>
              <w:rPr>
                <w:rFonts w:ascii="Times New Roman" w:hAnsi="Times New Roman" w:eastAsia="仿宋_GB2312" w:cs="Times New Roman"/>
                <w:szCs w:val="21"/>
              </w:rPr>
            </w:pPr>
            <w:bookmarkStart w:id="36" w:name="_Hlk53504695"/>
            <w:r>
              <w:rPr>
                <w:rFonts w:ascii="Times New Roman" w:hAnsi="Times New Roman" w:eastAsia="宋体" w:cs="Times New Roman"/>
                <w:b/>
                <w:bCs/>
                <w:szCs w:val="21"/>
              </w:rPr>
              <w:t>1-4.</w:t>
            </w:r>
            <w:r>
              <w:rPr>
                <w:rFonts w:ascii="Times New Roman" w:hAnsi="Times New Roman" w:eastAsia="仿宋_GB2312" w:cs="Times New Roman"/>
                <w:b/>
                <w:bCs/>
                <w:szCs w:val="21"/>
              </w:rPr>
              <w:t>工业污染防控不足：</w:t>
            </w:r>
            <w:r>
              <w:rPr>
                <w:rFonts w:ascii="Times New Roman" w:hAnsi="Times New Roman" w:eastAsia="仿宋_GB2312" w:cs="Times New Roman"/>
                <w:szCs w:val="21"/>
              </w:rPr>
              <w:t>汇水范围内工业集聚点工业企业废水污染防治水平有待提高；</w:t>
            </w:r>
            <w:bookmarkEnd w:id="36"/>
          </w:p>
          <w:p>
            <w:pPr>
              <w:adjustRightInd w:val="0"/>
              <w:snapToGrid w:val="0"/>
              <w:rPr>
                <w:rFonts w:ascii="Times New Roman" w:hAnsi="Times New Roman" w:eastAsia="仿宋_GB2312" w:cs="Times New Roman"/>
                <w:szCs w:val="21"/>
              </w:rPr>
            </w:pPr>
            <w:bookmarkStart w:id="37" w:name="_Hlk53504707"/>
            <w:r>
              <w:rPr>
                <w:rFonts w:ascii="Times New Roman" w:hAnsi="Times New Roman" w:eastAsia="宋体" w:cs="Times New Roman"/>
                <w:b/>
                <w:bCs/>
                <w:szCs w:val="21"/>
              </w:rPr>
              <w:t xml:space="preserve">2. </w:t>
            </w:r>
            <w:bookmarkEnd w:id="37"/>
            <w:r>
              <w:rPr>
                <w:rFonts w:ascii="Times New Roman" w:hAnsi="Times New Roman" w:eastAsia="仿宋_GB2312" w:cs="Times New Roman"/>
                <w:b/>
                <w:bCs/>
                <w:szCs w:val="21"/>
              </w:rPr>
              <w:t>存在尚未治理完全的废弃矿山</w:t>
            </w:r>
            <w:r>
              <w:rPr>
                <w:rFonts w:ascii="Times New Roman" w:hAnsi="Times New Roman" w:eastAsia="仿宋_GB2312" w:cs="Times New Roman"/>
                <w:szCs w:val="21"/>
              </w:rPr>
              <w:t>：区域内废弃矿山尚未全部完成治理工作，存在污染外流风险；</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 鱼类生态多样性丰度较低：</w:t>
            </w:r>
            <w:r>
              <w:rPr>
                <w:rFonts w:ascii="Times New Roman" w:hAnsi="Times New Roman" w:eastAsia="仿宋_GB2312" w:cs="Times New Roman"/>
                <w:szCs w:val="21"/>
              </w:rPr>
              <w:t>汇水范围水产养殖以人工养殖为主，营养来源单一、养殖种类单一，鱼类种群较为单一，不利于生态多样性发展；</w:t>
            </w:r>
          </w:p>
          <w:p>
            <w:pPr>
              <w:adjustRightInd w:val="0"/>
              <w:snapToGrid w:val="0"/>
              <w:rPr>
                <w:rFonts w:ascii="Times New Roman" w:hAnsi="Times New Roman" w:eastAsia="仿宋_GB2312" w:cs="Times New Roman"/>
                <w:b/>
                <w:bCs/>
                <w:szCs w:val="21"/>
              </w:rPr>
            </w:pPr>
            <w:r>
              <w:rPr>
                <w:rFonts w:ascii="Times New Roman" w:hAnsi="Times New Roman" w:eastAsia="仿宋_GB2312" w:cs="Times New Roman"/>
                <w:b/>
                <w:bCs/>
                <w:szCs w:val="21"/>
              </w:rPr>
              <w:t>4-1.</w:t>
            </w:r>
            <w:r>
              <w:rPr>
                <w:rFonts w:ascii="Times New Roman" w:hAnsi="Times New Roman" w:eastAsia="仿宋_GB2312" w:cs="Times New Roman"/>
                <w:szCs w:val="21"/>
              </w:rPr>
              <w:t xml:space="preserve"> </w:t>
            </w:r>
            <w:r>
              <w:rPr>
                <w:rFonts w:ascii="Times New Roman" w:hAnsi="Times New Roman" w:eastAsia="仿宋_GB2312" w:cs="Times New Roman"/>
                <w:b/>
                <w:bCs/>
                <w:szCs w:val="21"/>
              </w:rPr>
              <w:t>藻类异常增殖：</w:t>
            </w:r>
            <w:r>
              <w:rPr>
                <w:rFonts w:ascii="Times New Roman" w:hAnsi="Times New Roman" w:eastAsia="仿宋_GB2312" w:cs="Times New Roman"/>
                <w:szCs w:val="21"/>
              </w:rPr>
              <w:t>上游来水氨氮总磷浓度有所增加，造成藻类异常增殖有所增多，种群结构不稳定，存在藻类爆发及水华隐患；</w:t>
            </w:r>
          </w:p>
          <w:p>
            <w:pPr>
              <w:adjustRightInd w:val="0"/>
              <w:snapToGrid w:val="0"/>
              <w:rPr>
                <w:rFonts w:ascii="Times New Roman" w:hAnsi="Times New Roman" w:eastAsia="仿宋_GB2312" w:cs="Times New Roman"/>
                <w:szCs w:val="21"/>
              </w:rPr>
            </w:pPr>
            <w:bookmarkStart w:id="38" w:name="_Hlk53504715"/>
            <w:r>
              <w:rPr>
                <w:rFonts w:ascii="Times New Roman" w:hAnsi="Times New Roman" w:eastAsia="宋体" w:cs="Times New Roman"/>
                <w:b/>
                <w:bCs/>
                <w:szCs w:val="21"/>
              </w:rPr>
              <w:t xml:space="preserve">4-2. </w:t>
            </w:r>
            <w:r>
              <w:rPr>
                <w:rFonts w:ascii="Times New Roman" w:hAnsi="Times New Roman" w:eastAsia="仿宋_GB2312" w:cs="Times New Roman"/>
                <w:b/>
                <w:bCs/>
                <w:szCs w:val="21"/>
              </w:rPr>
              <w:t>水生态环境待优化</w:t>
            </w:r>
            <w:bookmarkEnd w:id="38"/>
            <w:r>
              <w:rPr>
                <w:rFonts w:ascii="Times New Roman" w:hAnsi="Times New Roman" w:eastAsia="仿宋_GB2312" w:cs="Times New Roman"/>
                <w:b/>
                <w:bCs/>
                <w:szCs w:val="21"/>
              </w:rPr>
              <w:t>：</w:t>
            </w:r>
            <w:bookmarkStart w:id="39" w:name="_Hlk53505400"/>
            <w:r>
              <w:rPr>
                <w:rFonts w:ascii="Times New Roman" w:hAnsi="Times New Roman" w:eastAsia="仿宋_GB2312" w:cs="Times New Roman"/>
                <w:szCs w:val="21"/>
              </w:rPr>
              <w:t>河湖生态缓冲带等生态自然修复措施不到位，水污染物未充分降解就伴随降水进入千岛湖水体，加重水体的富营养化，加快底泥的沉积速度；</w:t>
            </w:r>
            <w:bookmarkEnd w:id="39"/>
          </w:p>
          <w:p>
            <w:pPr>
              <w:adjustRightInd w:val="0"/>
              <w:snapToGrid w:val="0"/>
              <w:rPr>
                <w:rFonts w:ascii="Times New Roman" w:hAnsi="Times New Roman" w:eastAsia="仿宋_GB2312" w:cs="Times New Roman"/>
                <w:b/>
                <w:bCs/>
                <w:szCs w:val="21"/>
              </w:rPr>
            </w:pPr>
            <w:bookmarkStart w:id="40" w:name="_Hlk53504740"/>
            <w:r>
              <w:rPr>
                <w:rFonts w:ascii="Times New Roman" w:hAnsi="Times New Roman" w:eastAsia="宋体" w:cs="Times New Roman"/>
                <w:b/>
                <w:bCs/>
                <w:szCs w:val="21"/>
              </w:rPr>
              <w:t>5.</w:t>
            </w:r>
            <w:r>
              <w:rPr>
                <w:rFonts w:ascii="Times New Roman" w:hAnsi="Times New Roman" w:eastAsia="仿宋_GB2312" w:cs="Times New Roman"/>
                <w:b/>
                <w:bCs/>
                <w:szCs w:val="21"/>
              </w:rPr>
              <w:t>现有水利调度</w:t>
            </w:r>
            <w:bookmarkEnd w:id="40"/>
            <w:r>
              <w:rPr>
                <w:rFonts w:ascii="Times New Roman" w:hAnsi="Times New Roman" w:eastAsia="仿宋_GB2312" w:cs="Times New Roman"/>
                <w:b/>
                <w:bCs/>
                <w:szCs w:val="21"/>
              </w:rPr>
              <w:t>待优化：</w:t>
            </w:r>
            <w:r>
              <w:rPr>
                <w:rFonts w:ascii="Times New Roman" w:hAnsi="Times New Roman" w:eastAsia="仿宋_GB2312" w:cs="Times New Roman"/>
                <w:szCs w:val="21"/>
              </w:rPr>
              <w:t>小水电开发的强度较大，影响区域水资源调配及生态环境；新安江水库现有生态系统受新安江水电站水利调度影响较大，水岸消落带明显，原生态特性受影响；</w:t>
            </w:r>
          </w:p>
          <w:p>
            <w:pPr>
              <w:adjustRightInd w:val="0"/>
              <w:snapToGrid w:val="0"/>
              <w:rPr>
                <w:rFonts w:ascii="Times New Roman" w:hAnsi="Times New Roman" w:eastAsia="仿宋_GB2312" w:cs="Times New Roman"/>
                <w:b/>
                <w:bCs/>
                <w:szCs w:val="21"/>
              </w:rPr>
            </w:pPr>
            <w:bookmarkStart w:id="41" w:name="_Hlk53504750"/>
            <w:r>
              <w:rPr>
                <w:rFonts w:ascii="Times New Roman" w:hAnsi="Times New Roman" w:eastAsia="仿宋_GB2312" w:cs="Times New Roman"/>
                <w:b/>
                <w:bCs/>
                <w:szCs w:val="21"/>
              </w:rPr>
              <w:t>6. 农村饮用水基本是山塘水库就近取用饮用水，水源小且无备用水源</w:t>
            </w:r>
            <w:bookmarkEnd w:id="41"/>
            <w:r>
              <w:rPr>
                <w:rFonts w:hint="eastAsia" w:ascii="Times New Roman" w:hAnsi="Times New Roman" w:eastAsia="仿宋_GB2312" w:cs="Times New Roman"/>
                <w:b/>
                <w:bCs/>
                <w:szCs w:val="21"/>
              </w:rPr>
              <w:t>；</w:t>
            </w:r>
          </w:p>
          <w:p>
            <w:pPr>
              <w:adjustRightInd w:val="0"/>
              <w:snapToGrid w:val="0"/>
              <w:rPr>
                <w:rFonts w:ascii="Times New Roman" w:hAnsi="Times New Roman" w:eastAsia="仿宋_GB2312" w:cs="Times New Roman"/>
                <w:color w:val="FF0000"/>
                <w:szCs w:val="21"/>
              </w:rPr>
            </w:pPr>
            <w:r>
              <w:rPr>
                <w:rFonts w:ascii="Times New Roman" w:hAnsi="Times New Roman" w:eastAsia="仿宋_GB2312" w:cs="Times New Roman"/>
                <w:b/>
                <w:bCs/>
                <w:szCs w:val="21"/>
              </w:rPr>
              <w:t>7. 区域再生水利用不足：</w:t>
            </w:r>
            <w:r>
              <w:rPr>
                <w:rFonts w:ascii="Times New Roman" w:hAnsi="Times New Roman" w:eastAsia="仿宋_GB2312" w:cs="Times New Roman"/>
                <w:szCs w:val="21"/>
              </w:rPr>
              <w:t>再生水利用设施和管网建设滞后、再生水管理体系不健全等。</w:t>
            </w:r>
          </w:p>
        </w:tc>
        <w:tc>
          <w:tcPr>
            <w:tcW w:w="1134" w:type="dxa"/>
            <w:vAlign w:val="center"/>
          </w:tcPr>
          <w:p>
            <w:pPr>
              <w:adjustRightInd w:val="0"/>
              <w:snapToGrid w:val="0"/>
              <w:rPr>
                <w:rFonts w:ascii="Times New Roman" w:hAnsi="Times New Roman" w:eastAsia="仿宋_GB2312" w:cs="Times New Roman"/>
                <w:color w:val="FF0000"/>
                <w:szCs w:val="21"/>
              </w:rPr>
            </w:pPr>
            <w:r>
              <w:rPr>
                <w:rFonts w:ascii="Times New Roman" w:hAnsi="Times New Roman" w:eastAsia="仿宋_GB2312" w:cs="Times New Roman"/>
                <w:b/>
                <w:bCs/>
                <w:szCs w:val="21"/>
              </w:rPr>
              <w:t>水环境：</w:t>
            </w:r>
            <w:r>
              <w:rPr>
                <w:rFonts w:ascii="Times New Roman" w:hAnsi="Times New Roman" w:eastAsia="仿宋_GB2312" w:cs="Times New Roman"/>
                <w:szCs w:val="21"/>
              </w:rPr>
              <w:t>茅头尖断面稳定达到</w:t>
            </w:r>
            <w:r>
              <w:rPr>
                <w:rFonts w:hint="eastAsia" w:ascii="Times New Roman" w:hAnsi="Times New Roman" w:eastAsia="仿宋_GB2312" w:cs="Times New Roman"/>
                <w:szCs w:val="21"/>
              </w:rPr>
              <w:t>河流水质Ⅰ</w:t>
            </w:r>
            <w:r>
              <w:rPr>
                <w:rFonts w:ascii="Times New Roman" w:hAnsi="Times New Roman" w:eastAsia="仿宋_GB2312" w:cs="Times New Roman"/>
                <w:szCs w:val="21"/>
              </w:rPr>
              <w:t>类目标；汇水范围水环境风险可控</w:t>
            </w:r>
            <w:r>
              <w:rPr>
                <w:rFonts w:hint="eastAsia" w:ascii="Times New Roman" w:hAnsi="Times New Roman" w:eastAsia="仿宋_GB2312" w:cs="Times New Roman"/>
                <w:szCs w:val="21"/>
              </w:rPr>
              <w:t>。</w:t>
            </w:r>
          </w:p>
        </w:tc>
        <w:tc>
          <w:tcPr>
            <w:tcW w:w="3543" w:type="dxa"/>
            <w:vMerge w:val="restart"/>
            <w:vAlign w:val="center"/>
          </w:tcPr>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1-1.</w:t>
            </w:r>
            <w:r>
              <w:rPr>
                <w:rFonts w:ascii="Times New Roman" w:hAnsi="Times New Roman" w:eastAsia="仿宋_GB2312" w:cs="Times New Roman"/>
                <w:b/>
                <w:bCs/>
                <w:szCs w:val="21"/>
              </w:rPr>
              <w:t>推进“污水零直排区”建设：</w:t>
            </w:r>
            <w:r>
              <w:rPr>
                <w:rFonts w:ascii="Times New Roman" w:hAnsi="Times New Roman" w:eastAsia="仿宋_GB2312" w:cs="Times New Roman"/>
                <w:szCs w:val="21"/>
              </w:rPr>
              <w:t>完善污水收集系统建设，提高农村生活污水收集率；完成20t/d以上农村生活污水处理设施提标改造与标准化运维；</w:t>
            </w:r>
          </w:p>
          <w:p>
            <w:pPr>
              <w:pStyle w:val="265"/>
              <w:adjustRightInd w:val="0"/>
              <w:snapToGrid w:val="0"/>
              <w:ind w:firstLine="0" w:firstLineChars="0"/>
              <w:rPr>
                <w:rFonts w:ascii="Times New Roman" w:hAnsi="Times New Roman" w:eastAsia="仿宋_GB2312" w:cs="Times New Roman"/>
                <w:szCs w:val="21"/>
              </w:rPr>
            </w:pPr>
            <w:r>
              <w:rPr>
                <w:rFonts w:ascii="Times New Roman" w:hAnsi="Times New Roman" w:eastAsia="宋体" w:cs="Times New Roman"/>
                <w:b/>
                <w:bCs/>
                <w:szCs w:val="21"/>
              </w:rPr>
              <w:t>1-2.</w:t>
            </w:r>
            <w:r>
              <w:rPr>
                <w:rFonts w:ascii="Times New Roman" w:hAnsi="Times New Roman" w:eastAsia="仿宋_GB2312" w:cs="Times New Roman"/>
                <w:b/>
                <w:bCs/>
                <w:szCs w:val="21"/>
              </w:rPr>
              <w:t>落实农业、林业面源污染治理：</w:t>
            </w:r>
            <w:r>
              <w:rPr>
                <w:rFonts w:ascii="Times New Roman" w:hAnsi="Times New Roman" w:eastAsia="仿宋_GB2312" w:cs="Times New Roman"/>
                <w:szCs w:val="21"/>
              </w:rPr>
              <w:t>开展化肥农药减量增效工程，推进库内休耕与高陡坡地退耕休耕，控制临湖农业开发强度，健全农业污染防控体系，建设生态拦截沟</w:t>
            </w:r>
            <w:r>
              <w:rPr>
                <w:rFonts w:hint="eastAsia" w:ascii="Times New Roman" w:hAnsi="Times New Roman" w:eastAsia="仿宋_GB2312" w:cs="Times New Roman"/>
                <w:szCs w:val="21"/>
              </w:rPr>
              <w:t>（</w:t>
            </w:r>
            <w:r>
              <w:rPr>
                <w:rFonts w:ascii="Times New Roman" w:hAnsi="Times New Roman" w:eastAsia="仿宋_GB2312" w:cs="Times New Roman"/>
                <w:szCs w:val="21"/>
              </w:rPr>
              <w:t>渠</w:t>
            </w:r>
            <w:r>
              <w:rPr>
                <w:rFonts w:hint="eastAsia" w:ascii="Times New Roman" w:hAnsi="Times New Roman" w:eastAsia="仿宋_GB2312" w:cs="Times New Roman"/>
                <w:szCs w:val="21"/>
              </w:rPr>
              <w:t>）</w:t>
            </w:r>
            <w:r>
              <w:rPr>
                <w:rFonts w:ascii="Times New Roman" w:hAnsi="Times New Roman" w:eastAsia="仿宋_GB2312" w:cs="Times New Roman"/>
                <w:szCs w:val="21"/>
              </w:rPr>
              <w:t>；</w:t>
            </w:r>
            <w:r>
              <w:rPr>
                <w:rFonts w:hint="eastAsia" w:ascii="Times New Roman" w:hAnsi="Times New Roman" w:eastAsia="仿宋_GB2312" w:cs="Times New Roman"/>
                <w:szCs w:val="21"/>
              </w:rPr>
              <w:t>加强小流域水土流失治理；</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完善生活垃圾分类收集设施建设：</w:t>
            </w:r>
            <w:r>
              <w:rPr>
                <w:rFonts w:ascii="Times New Roman" w:hAnsi="Times New Roman" w:eastAsia="仿宋_GB2312" w:cs="Times New Roman"/>
                <w:szCs w:val="21"/>
              </w:rPr>
              <w:t>完善垃圾分类基础设施建设，推动农村生活垃圾分类收集，集中处置全覆盖；</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1-4.</w:t>
            </w:r>
            <w:r>
              <w:rPr>
                <w:rFonts w:ascii="Times New Roman" w:hAnsi="Times New Roman" w:eastAsia="仿宋_GB2312" w:cs="Times New Roman"/>
                <w:b/>
                <w:bCs/>
                <w:szCs w:val="21"/>
              </w:rPr>
              <w:t>推进工业污染防治：</w:t>
            </w:r>
            <w:r>
              <w:rPr>
                <w:rFonts w:ascii="Times New Roman" w:hAnsi="Times New Roman" w:eastAsia="仿宋_GB2312" w:cs="Times New Roman"/>
                <w:szCs w:val="21"/>
              </w:rPr>
              <w:t>全面完成工业集聚区（点）“污水零直排区”创建；</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2. </w:t>
            </w:r>
            <w:r>
              <w:rPr>
                <w:rFonts w:ascii="Times New Roman" w:hAnsi="Times New Roman" w:eastAsia="仿宋_GB2312" w:cs="Times New Roman"/>
                <w:b/>
                <w:bCs/>
                <w:szCs w:val="21"/>
              </w:rPr>
              <w:t>推进矿山整治消除风险隐患：</w:t>
            </w:r>
            <w:r>
              <w:rPr>
                <w:rFonts w:ascii="Times New Roman" w:hAnsi="Times New Roman" w:eastAsia="仿宋_GB2312" w:cs="Times New Roman"/>
                <w:szCs w:val="21"/>
              </w:rPr>
              <w:t>落实关停矿山尾矿砂后续处理等工作，妥善处理矿山和尾矿闭矿后渗滤液治理和生态修复；</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 优化鱼类种群结构：</w:t>
            </w:r>
            <w:r>
              <w:rPr>
                <w:rFonts w:ascii="Times New Roman" w:hAnsi="Times New Roman" w:eastAsia="仿宋_GB2312" w:cs="Times New Roman"/>
                <w:szCs w:val="21"/>
              </w:rPr>
              <w:t>开展增殖放流，增加土著鱼类投放比例，科学调控鲢鳙鱼种群比例；</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仿宋_GB2312" w:cs="Times New Roman"/>
                <w:b/>
                <w:bCs/>
                <w:szCs w:val="21"/>
              </w:rPr>
              <w:t>4-1. 维护生物多样性：</w:t>
            </w:r>
            <w:r>
              <w:rPr>
                <w:rFonts w:ascii="Times New Roman" w:hAnsi="Times New Roman" w:eastAsia="仿宋_GB2312" w:cs="Times New Roman"/>
                <w:szCs w:val="21"/>
              </w:rPr>
              <w:t>开展藻类等浮游生物多样性研究，探索藻类的生理生态学特征及防控措施，降低藻类爆发隐患；</w:t>
            </w:r>
          </w:p>
          <w:p>
            <w:pPr>
              <w:adjustRightInd w:val="0"/>
              <w:snapToGrid w:val="0"/>
              <w:rPr>
                <w:rFonts w:ascii="Times New Roman" w:hAnsi="Times New Roman" w:eastAsia="仿宋_GB2312" w:cs="Times New Roman"/>
                <w:bCs/>
                <w:szCs w:val="21"/>
              </w:rPr>
            </w:pPr>
            <w:r>
              <w:rPr>
                <w:rFonts w:ascii="Times New Roman" w:hAnsi="Times New Roman" w:eastAsia="宋体" w:cs="Times New Roman"/>
                <w:b/>
                <w:bCs/>
                <w:szCs w:val="21"/>
              </w:rPr>
              <w:t xml:space="preserve">4-2. </w:t>
            </w:r>
            <w:r>
              <w:rPr>
                <w:rFonts w:ascii="Times New Roman" w:hAnsi="Times New Roman" w:eastAsia="仿宋_GB2312" w:cs="Times New Roman"/>
                <w:b/>
                <w:bCs/>
                <w:szCs w:val="21"/>
              </w:rPr>
              <w:t>推进河湖生态缓冲带建设：</w:t>
            </w:r>
            <w:r>
              <w:rPr>
                <w:rFonts w:ascii="Times New Roman" w:hAnsi="Times New Roman" w:eastAsia="仿宋_GB2312" w:cs="Times New Roman"/>
                <w:bCs/>
                <w:szCs w:val="21"/>
              </w:rPr>
              <w:t>在主要入湖口开展生态缓冲带、人工湿地等建设；推进沿湖地带及裸露区块实施生态修复、绿化等</w:t>
            </w:r>
            <w:r>
              <w:rPr>
                <w:rFonts w:hint="eastAsia" w:ascii="Times New Roman" w:hAnsi="Times New Roman" w:eastAsia="仿宋_GB2312" w:cs="Times New Roman"/>
                <w:bCs/>
                <w:szCs w:val="21"/>
              </w:rPr>
              <w:t>；</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 xml:space="preserve">5. </w:t>
            </w:r>
            <w:r>
              <w:rPr>
                <w:rFonts w:ascii="Times New Roman" w:hAnsi="Times New Roman" w:eastAsia="仿宋_GB2312" w:cs="Times New Roman"/>
                <w:b/>
                <w:bCs/>
                <w:szCs w:val="21"/>
              </w:rPr>
              <w:t>合理优化水资源配置：</w:t>
            </w:r>
            <w:r>
              <w:rPr>
                <w:rFonts w:ascii="Times New Roman" w:hAnsi="Times New Roman" w:eastAsia="仿宋_GB2312" w:cs="Times New Roman"/>
                <w:szCs w:val="21"/>
              </w:rPr>
              <w:t xml:space="preserve">探索小水电、生态流量和生态响应关系，降低小水电开发强度；协调新安江水电站水利调度、降水、生态流量的关系，降低对于生态环境的影响； </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6. 农村饮用水源建设：</w:t>
            </w:r>
            <w:r>
              <w:rPr>
                <w:rFonts w:ascii="Times New Roman" w:hAnsi="Times New Roman" w:eastAsia="仿宋_GB2312" w:cs="Times New Roman"/>
                <w:szCs w:val="21"/>
              </w:rPr>
              <w:t>建设农村饮用水厂或站</w:t>
            </w:r>
            <w:r>
              <w:rPr>
                <w:rFonts w:hint="eastAsia" w:ascii="Times New Roman" w:hAnsi="Times New Roman" w:eastAsia="仿宋_GB2312" w:cs="Times New Roman"/>
                <w:szCs w:val="21"/>
              </w:rPr>
              <w:t>；</w:t>
            </w:r>
          </w:p>
          <w:p>
            <w:pPr>
              <w:adjustRightInd w:val="0"/>
              <w:snapToGrid w:val="0"/>
              <w:rPr>
                <w:rFonts w:ascii="Times New Roman" w:hAnsi="Times New Roman" w:eastAsia="仿宋_GB2312" w:cs="Times New Roman"/>
                <w:b/>
                <w:bCs/>
                <w:color w:val="FF0000"/>
                <w:szCs w:val="21"/>
              </w:rPr>
            </w:pPr>
            <w:r>
              <w:rPr>
                <w:rFonts w:ascii="Times New Roman" w:hAnsi="Times New Roman" w:eastAsia="仿宋_GB2312" w:cs="Times New Roman"/>
                <w:b/>
                <w:bCs/>
                <w:szCs w:val="21"/>
              </w:rPr>
              <w:t>7. 加强再生水利用：</w:t>
            </w:r>
            <w:r>
              <w:rPr>
                <w:rFonts w:ascii="Times New Roman" w:hAnsi="Times New Roman" w:eastAsia="仿宋_GB2312" w:cs="Times New Roman"/>
                <w:szCs w:val="21"/>
              </w:rPr>
              <w:t>推进企业开展中水回用（再生水回用）。</w:t>
            </w:r>
          </w:p>
        </w:tc>
        <w:tc>
          <w:tcPr>
            <w:tcW w:w="2029"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szCs w:val="21"/>
              </w:rPr>
              <w:t>1-1.</w:t>
            </w:r>
            <w:r>
              <w:rPr>
                <w:rFonts w:ascii="Times New Roman" w:hAnsi="Times New Roman" w:eastAsia="仿宋_GB2312" w:cs="Times New Roman"/>
                <w:szCs w:val="21"/>
              </w:rPr>
              <w:t>实施汾口镇、姜家镇、浪川乡、中洲镇乡镇农村生活污水提标改造设备更换及中水回用项目；</w:t>
            </w:r>
          </w:p>
          <w:p>
            <w:pPr>
              <w:adjustRightInd w:val="0"/>
              <w:snapToGrid w:val="0"/>
              <w:rPr>
                <w:rFonts w:ascii="Times New Roman" w:hAnsi="Times New Roman" w:eastAsia="仿宋_GB2312" w:cs="Times New Roman"/>
                <w:szCs w:val="21"/>
              </w:rPr>
            </w:pPr>
            <w:r>
              <w:rPr>
                <w:rFonts w:ascii="Times New Roman" w:hAnsi="Times New Roman" w:eastAsia="宋体" w:cs="Times New Roman"/>
                <w:szCs w:val="21"/>
              </w:rPr>
              <w:t>1-2.</w:t>
            </w:r>
            <w:r>
              <w:rPr>
                <w:rFonts w:ascii="Times New Roman" w:hAnsi="Times New Roman" w:eastAsia="仿宋_GB2312" w:cs="Times New Roman"/>
                <w:szCs w:val="21"/>
              </w:rPr>
              <w:t>实施淳安县农业、林业污染防治方案设置的项目</w:t>
            </w:r>
            <w:r>
              <w:rPr>
                <w:rFonts w:hint="eastAsia" w:ascii="Times New Roman" w:hAnsi="Times New Roman" w:eastAsia="仿宋_GB2312" w:cs="Times New Roman"/>
                <w:szCs w:val="21"/>
              </w:rPr>
              <w:t>和水土流失综合治理项目；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1-3. 实施农村生活垃圾分类处理提升工程；</w:t>
            </w:r>
          </w:p>
          <w:p>
            <w:pPr>
              <w:adjustRightInd w:val="0"/>
              <w:snapToGrid w:val="0"/>
              <w:rPr>
                <w:rFonts w:ascii="Times New Roman" w:hAnsi="Times New Roman" w:eastAsia="仿宋_GB2312" w:cs="Times New Roman"/>
                <w:b/>
                <w:bCs/>
                <w:color w:val="FF0000"/>
                <w:szCs w:val="21"/>
              </w:rPr>
            </w:pPr>
            <w:r>
              <w:rPr>
                <w:rFonts w:ascii="Times New Roman" w:hAnsi="Times New Roman" w:eastAsia="仿宋_GB2312" w:cs="Times New Roman"/>
                <w:szCs w:val="21"/>
              </w:rPr>
              <w:t>1-4. 实施工业企业整治提升项目；</w:t>
            </w:r>
          </w:p>
          <w:p>
            <w:pPr>
              <w:adjustRightInd w:val="0"/>
              <w:snapToGrid w:val="0"/>
              <w:rPr>
                <w:rFonts w:ascii="Times New Roman" w:hAnsi="Times New Roman" w:eastAsia="仿宋_GB2312" w:cs="Times New Roman"/>
                <w:szCs w:val="21"/>
              </w:rPr>
            </w:pPr>
            <w:r>
              <w:rPr>
                <w:rFonts w:ascii="Times New Roman" w:hAnsi="Times New Roman" w:eastAsia="宋体" w:cs="Times New Roman"/>
                <w:szCs w:val="21"/>
              </w:rPr>
              <w:t>2.</w:t>
            </w:r>
            <w:r>
              <w:rPr>
                <w:rFonts w:ascii="Times New Roman" w:hAnsi="Times New Roman" w:eastAsia="仿宋_GB2312" w:cs="Times New Roman"/>
                <w:szCs w:val="21"/>
              </w:rPr>
              <w:t>实施矿山治理项目；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3.实施优化湖内鱼类种群项目；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4-1.实施管控策略研究项目、千岛湖内库湾整治试点工程、湖区藻类监测能力建设等项目；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4-2. 实施临湖生态缓冲带及生态湿地建设项目、生态修复项目；</w:t>
            </w:r>
          </w:p>
          <w:p>
            <w:pPr>
              <w:adjustRightInd w:val="0"/>
              <w:snapToGrid w:val="0"/>
              <w:rPr>
                <w:rFonts w:ascii="Times New Roman" w:hAnsi="Times New Roman" w:eastAsia="仿宋_GB2312" w:cs="Times New Roman"/>
                <w:b/>
                <w:bCs/>
                <w:szCs w:val="21"/>
              </w:rPr>
            </w:pPr>
            <w:r>
              <w:rPr>
                <w:rFonts w:ascii="Times New Roman" w:hAnsi="Times New Roman" w:eastAsia="仿宋_GB2312" w:cs="Times New Roman"/>
                <w:b/>
                <w:bCs/>
                <w:szCs w:val="21"/>
              </w:rPr>
              <w:t>5.</w:t>
            </w:r>
            <w:r>
              <w:rPr>
                <w:rFonts w:ascii="Times New Roman" w:hAnsi="Times New Roman" w:eastAsia="仿宋_GB2312" w:cs="Times New Roman"/>
                <w:szCs w:val="21"/>
              </w:rPr>
              <w:t xml:space="preserve"> 开展区域水资源节约保护和开发利用总体规划编制工作，推进节水型社会建设。</w:t>
            </w:r>
          </w:p>
          <w:p>
            <w:pPr>
              <w:adjustRightInd w:val="0"/>
              <w:snapToGrid w:val="0"/>
              <w:rPr>
                <w:rFonts w:ascii="Times New Roman" w:hAnsi="Times New Roman" w:eastAsia="仿宋_GB2312" w:cs="Times New Roman"/>
                <w:color w:val="FF0000"/>
                <w:szCs w:val="21"/>
              </w:rPr>
            </w:pPr>
            <w:r>
              <w:rPr>
                <w:rFonts w:ascii="Times New Roman" w:hAnsi="Times New Roman" w:eastAsia="仿宋_GB2312" w:cs="Times New Roman"/>
                <w:szCs w:val="21"/>
              </w:rPr>
              <w:t xml:space="preserve">6. </w:t>
            </w:r>
            <w:r>
              <w:rPr>
                <w:rFonts w:hint="eastAsia" w:ascii="Times New Roman" w:hAnsi="Times New Roman" w:eastAsia="仿宋_GB2312" w:cs="Times New Roman"/>
                <w:szCs w:val="21"/>
              </w:rPr>
              <w:t>实施农村饮水提升工程，合理布局自来水厂，完成姜家郭村夫畈水厂等供水站（厂）建设；</w:t>
            </w:r>
          </w:p>
          <w:p>
            <w:pPr>
              <w:pStyle w:val="265"/>
              <w:adjustRightInd w:val="0"/>
              <w:snapToGrid w:val="0"/>
              <w:ind w:firstLine="0" w:firstLineChars="0"/>
              <w:rPr>
                <w:rFonts w:ascii="Times New Roman" w:hAnsi="Times New Roman" w:eastAsia="仿宋_GB2312" w:cs="Times New Roman"/>
                <w:szCs w:val="21"/>
              </w:rPr>
            </w:pPr>
            <w:r>
              <w:rPr>
                <w:rFonts w:ascii="Times New Roman" w:hAnsi="Times New Roman" w:eastAsia="仿宋_GB2312" w:cs="Times New Roman"/>
                <w:szCs w:val="21"/>
              </w:rPr>
              <w:t>7.</w:t>
            </w:r>
            <w:r>
              <w:rPr>
                <w:rFonts w:ascii="Times New Roman" w:hAnsi="Times New Roman" w:eastAsia="仿宋_GB2312" w:cs="Times New Roman"/>
                <w:color w:val="FF0000"/>
                <w:szCs w:val="21"/>
              </w:rPr>
              <w:t xml:space="preserve"> </w:t>
            </w:r>
            <w:r>
              <w:rPr>
                <w:rFonts w:ascii="Times New Roman" w:hAnsi="Times New Roman" w:eastAsia="仿宋_GB2312" w:cs="Times New Roman"/>
                <w:szCs w:val="21"/>
              </w:rPr>
              <w:t>推进喷水织机企业中水回用；</w:t>
            </w:r>
          </w:p>
          <w:p>
            <w:pPr>
              <w:adjustRightInd w:val="0"/>
              <w:snapToGrid w:val="0"/>
              <w:rPr>
                <w:rFonts w:ascii="Times New Roman" w:hAnsi="Times New Roman" w:eastAsia="仿宋_GB2312" w:cs="Times New Roman"/>
                <w:b/>
                <w:bCs/>
                <w:color w:val="FF0000"/>
                <w:szCs w:val="21"/>
              </w:rPr>
            </w:pPr>
            <w:r>
              <w:rPr>
                <w:rFonts w:ascii="Times New Roman" w:hAnsi="Times New Roman" w:eastAsia="仿宋_GB2312" w:cs="Times New Roman"/>
                <w:szCs w:val="21"/>
              </w:rPr>
              <w:t>8. 推进40项淳安特别生态功能区重点改革任务。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szCs w:val="21"/>
              </w:rPr>
            </w:pP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水生态</w:t>
            </w:r>
            <w:r>
              <w:rPr>
                <w:rFonts w:ascii="Times New Roman" w:hAnsi="Times New Roman" w:eastAsia="仿宋_GB2312" w:cs="Times New Roman"/>
                <w:szCs w:val="21"/>
              </w:rPr>
              <w:t>：茅头尖断面富营养化指数为贫营养。</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水生态：</w:t>
            </w:r>
            <w:r>
              <w:rPr>
                <w:rFonts w:ascii="Times New Roman" w:hAnsi="Times New Roman" w:eastAsia="仿宋_GB2312" w:cs="Times New Roman"/>
                <w:szCs w:val="21"/>
              </w:rPr>
              <w:t>河道有水、有鱼、有草，生态系统保持稳定。</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color w:val="FF0000"/>
                <w:szCs w:val="21"/>
              </w:rPr>
            </w:pPr>
          </w:p>
        </w:tc>
        <w:tc>
          <w:tcPr>
            <w:tcW w:w="1094"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b/>
                <w:bCs/>
                <w:szCs w:val="21"/>
              </w:rPr>
              <w:t>水资源</w:t>
            </w:r>
            <w:r>
              <w:rPr>
                <w:rFonts w:ascii="Times New Roman" w:hAnsi="Times New Roman" w:eastAsia="仿宋_GB2312" w:cs="Times New Roman"/>
                <w:szCs w:val="21"/>
              </w:rPr>
              <w:t>：水资源丰富。</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水资源：</w:t>
            </w:r>
            <w:r>
              <w:rPr>
                <w:rFonts w:ascii="Times New Roman" w:hAnsi="Times New Roman" w:eastAsia="仿宋_GB2312" w:cs="Times New Roman"/>
                <w:szCs w:val="21"/>
              </w:rPr>
              <w:t>河道保证生态流量；优化水资源调度</w:t>
            </w:r>
            <w:r>
              <w:rPr>
                <w:rFonts w:hint="eastAsia" w:ascii="Times New Roman" w:hAnsi="Times New Roman" w:eastAsia="仿宋_GB2312" w:cs="Times New Roman"/>
                <w:szCs w:val="21"/>
              </w:rPr>
              <w:t>。</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867" w:type="dxa"/>
            <w:vMerge w:val="restart"/>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三潭岛汇水范围</w:t>
            </w: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水环境</w:t>
            </w:r>
            <w:r>
              <w:rPr>
                <w:rFonts w:ascii="Times New Roman" w:hAnsi="Times New Roman" w:eastAsia="仿宋_GB2312" w:cs="Times New Roman"/>
                <w:szCs w:val="21"/>
              </w:rPr>
              <w:t>：2015-2020年县控以上断面均达标；无黑臭水体，无涉水突发环境事件。</w:t>
            </w:r>
          </w:p>
        </w:tc>
        <w:tc>
          <w:tcPr>
            <w:tcW w:w="1659"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w:t>
            </w:r>
            <w:r>
              <w:rPr>
                <w:rFonts w:ascii="Times New Roman" w:hAnsi="Times New Roman" w:eastAsia="仿宋_GB2312" w:cs="Times New Roman"/>
                <w:b/>
                <w:bCs/>
                <w:szCs w:val="21"/>
              </w:rPr>
              <w:t>断面水质存在波动：</w:t>
            </w:r>
            <w:r>
              <w:rPr>
                <w:rFonts w:ascii="Times New Roman" w:hAnsi="Times New Roman" w:eastAsia="仿宋_GB2312" w:cs="Times New Roman"/>
                <w:szCs w:val="21"/>
              </w:rPr>
              <w:t>总磷浓度上升趋势显著；</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2.</w:t>
            </w:r>
            <w:r>
              <w:rPr>
                <w:rFonts w:ascii="Times New Roman" w:hAnsi="Times New Roman" w:eastAsia="仿宋_GB2312" w:cs="Times New Roman"/>
                <w:b/>
                <w:bCs/>
                <w:szCs w:val="21"/>
              </w:rPr>
              <w:t>存在废弃矿山污染风险隐患</w:t>
            </w:r>
            <w:r>
              <w:rPr>
                <w:rFonts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3.</w:t>
            </w:r>
            <w:r>
              <w:rPr>
                <w:rFonts w:ascii="Times New Roman" w:hAnsi="Times New Roman" w:eastAsia="仿宋_GB2312" w:cs="Times New Roman"/>
                <w:b/>
                <w:bCs/>
                <w:szCs w:val="21"/>
              </w:rPr>
              <w:t>鱼类生态系统结构单一：</w:t>
            </w:r>
            <w:r>
              <w:rPr>
                <w:rFonts w:ascii="Times New Roman" w:hAnsi="Times New Roman" w:eastAsia="仿宋_GB2312" w:cs="Times New Roman"/>
                <w:szCs w:val="21"/>
              </w:rPr>
              <w:t>现有鱼类种群单一，鱼类生态系统结构不稳定；</w:t>
            </w:r>
          </w:p>
          <w:p>
            <w:pPr>
              <w:adjustRightInd w:val="0"/>
              <w:snapToGrid w:val="0"/>
              <w:rPr>
                <w:rFonts w:ascii="Times New Roman" w:hAnsi="Times New Roman" w:eastAsia="仿宋_GB2312" w:cs="Times New Roman"/>
                <w:szCs w:val="21"/>
              </w:rPr>
            </w:pPr>
            <w:bookmarkStart w:id="42" w:name="_Hlk53503509"/>
            <w:r>
              <w:rPr>
                <w:rFonts w:ascii="Times New Roman" w:hAnsi="Times New Roman" w:eastAsia="宋体" w:cs="Times New Roman"/>
                <w:b/>
                <w:bCs/>
                <w:szCs w:val="21"/>
              </w:rPr>
              <w:t>4.</w:t>
            </w:r>
            <w:r>
              <w:rPr>
                <w:rFonts w:ascii="Times New Roman" w:hAnsi="Times New Roman" w:eastAsia="仿宋_GB2312" w:cs="Times New Roman"/>
                <w:b/>
                <w:bCs/>
                <w:szCs w:val="21"/>
              </w:rPr>
              <w:t>存在藻类爆发风险：</w:t>
            </w:r>
            <w:r>
              <w:rPr>
                <w:rFonts w:ascii="Times New Roman" w:hAnsi="Times New Roman" w:eastAsia="仿宋_GB2312" w:cs="Times New Roman"/>
                <w:szCs w:val="21"/>
              </w:rPr>
              <w:t>藻类聚集性异常增殖，有增加趋势；</w:t>
            </w:r>
            <w:bookmarkEnd w:id="42"/>
            <w:bookmarkStart w:id="43" w:name="_Hlk53503515"/>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5.</w:t>
            </w:r>
            <w:r>
              <w:rPr>
                <w:rFonts w:ascii="Times New Roman" w:hAnsi="Times New Roman" w:eastAsia="仿宋_GB2312" w:cs="Times New Roman"/>
                <w:b/>
                <w:bCs/>
                <w:szCs w:val="21"/>
              </w:rPr>
              <w:t>新安江水电站运行调度影响水生态环境</w:t>
            </w:r>
            <w:bookmarkEnd w:id="43"/>
            <w:r>
              <w:rPr>
                <w:rFonts w:ascii="Times New Roman" w:hAnsi="Times New Roman" w:eastAsia="仿宋_GB2312" w:cs="Times New Roman"/>
                <w:b/>
                <w:bCs/>
                <w:szCs w:val="21"/>
              </w:rPr>
              <w:t>；</w:t>
            </w:r>
          </w:p>
          <w:p>
            <w:pPr>
              <w:adjustRightInd w:val="0"/>
              <w:snapToGrid w:val="0"/>
              <w:rPr>
                <w:rFonts w:ascii="Times New Roman" w:hAnsi="Times New Roman" w:eastAsia="仿宋_GB2312" w:cs="Times New Roman"/>
                <w:b/>
                <w:bCs/>
                <w:szCs w:val="21"/>
              </w:rPr>
            </w:pPr>
            <w:bookmarkStart w:id="44" w:name="_Hlk53503522"/>
            <w:r>
              <w:rPr>
                <w:rFonts w:ascii="Times New Roman" w:hAnsi="Times New Roman" w:eastAsia="宋体" w:cs="Times New Roman"/>
                <w:b/>
                <w:bCs/>
                <w:szCs w:val="21"/>
              </w:rPr>
              <w:t xml:space="preserve">6. </w:t>
            </w:r>
            <w:r>
              <w:rPr>
                <w:rFonts w:ascii="Times New Roman" w:hAnsi="Times New Roman" w:eastAsia="仿宋_GB2312" w:cs="Times New Roman"/>
                <w:b/>
                <w:bCs/>
                <w:szCs w:val="21"/>
              </w:rPr>
              <w:t>水资源调度待优化</w:t>
            </w:r>
            <w:bookmarkEnd w:id="44"/>
            <w:bookmarkStart w:id="45" w:name="_Hlk53504316"/>
            <w:r>
              <w:rPr>
                <w:rFonts w:ascii="Times New Roman" w:hAnsi="Times New Roman" w:eastAsia="仿宋_GB2312" w:cs="Times New Roman"/>
                <w:b/>
                <w:bCs/>
                <w:szCs w:val="21"/>
              </w:rPr>
              <w:t>：</w:t>
            </w:r>
            <w:r>
              <w:rPr>
                <w:rFonts w:ascii="Times New Roman" w:hAnsi="Times New Roman" w:eastAsia="仿宋_GB2312" w:cs="Times New Roman"/>
                <w:szCs w:val="21"/>
              </w:rPr>
              <w:t>现有调度方式不合理；农村部分区域水资源不均衡</w:t>
            </w:r>
            <w:bookmarkEnd w:id="45"/>
            <w:r>
              <w:rPr>
                <w:rFonts w:ascii="Times New Roman" w:hAnsi="Times New Roman" w:eastAsia="仿宋_GB2312" w:cs="Times New Roman"/>
                <w:szCs w:val="21"/>
              </w:rPr>
              <w:t>。</w:t>
            </w:r>
          </w:p>
        </w:tc>
        <w:tc>
          <w:tcPr>
            <w:tcW w:w="3718" w:type="dxa"/>
            <w:vMerge w:val="restart"/>
          </w:tcPr>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1-1.</w:t>
            </w:r>
            <w:r>
              <w:rPr>
                <w:rFonts w:ascii="Times New Roman" w:hAnsi="Times New Roman" w:eastAsia="仿宋_GB2312" w:cs="Times New Roman"/>
                <w:b/>
                <w:bCs/>
                <w:szCs w:val="21"/>
              </w:rPr>
              <w:t>截污纳管不彻底：</w:t>
            </w:r>
            <w:r>
              <w:rPr>
                <w:rFonts w:ascii="Times New Roman" w:hAnsi="Times New Roman" w:eastAsia="仿宋_GB2312" w:cs="Times New Roman"/>
                <w:szCs w:val="21"/>
              </w:rPr>
              <w:t>汇水范围行政村截污纳管已实现全覆盖，但存在少量农村生活污水未纳管，简单处理后排入就近水体；部分农村污水处理终端出水水质排放标准不严或部分污水管网有破损；</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1-2.</w:t>
            </w:r>
            <w:r>
              <w:rPr>
                <w:rFonts w:ascii="Times New Roman" w:hAnsi="Times New Roman" w:eastAsia="仿宋_GB2312" w:cs="Times New Roman"/>
                <w:b/>
                <w:bCs/>
                <w:szCs w:val="21"/>
              </w:rPr>
              <w:t>存在农业、林业面源污染：</w:t>
            </w:r>
            <w:r>
              <w:rPr>
                <w:rFonts w:ascii="Times New Roman" w:hAnsi="Times New Roman" w:eastAsia="仿宋_GB2312" w:cs="Times New Roman"/>
                <w:szCs w:val="21"/>
              </w:rPr>
              <w:t>汇水范围林业种植与农业种植、养殖，部分存在水土流失现象，氮、磷</w:t>
            </w:r>
            <w:r>
              <w:rPr>
                <w:rFonts w:hint="eastAsia" w:ascii="Times New Roman" w:hAnsi="Times New Roman" w:eastAsia="仿宋_GB2312" w:cs="Times New Roman"/>
                <w:szCs w:val="21"/>
              </w:rPr>
              <w:t>污染物</w:t>
            </w:r>
            <w:r>
              <w:rPr>
                <w:rFonts w:ascii="Times New Roman" w:hAnsi="Times New Roman" w:eastAsia="仿宋_GB2312" w:cs="Times New Roman"/>
                <w:szCs w:val="21"/>
              </w:rPr>
              <w:t>随降水和地表径流进入水体；</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生活垃圾分类处置不规范：</w:t>
            </w:r>
            <w:r>
              <w:rPr>
                <w:rFonts w:ascii="Times New Roman" w:hAnsi="Times New Roman" w:eastAsia="仿宋_GB2312" w:cs="Times New Roman"/>
                <w:szCs w:val="21"/>
              </w:rPr>
              <w:t>汇水范围内部分乡镇居民居住分散，少量农户生活垃圾不能及时回收和有效处理，存在水环境污染隐患；</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2. </w:t>
            </w:r>
            <w:r>
              <w:rPr>
                <w:rFonts w:ascii="Times New Roman" w:hAnsi="Times New Roman" w:eastAsia="仿宋_GB2312" w:cs="Times New Roman"/>
                <w:b/>
                <w:bCs/>
                <w:szCs w:val="21"/>
              </w:rPr>
              <w:t>存在尚未治理完全的废弃矿山</w:t>
            </w:r>
            <w:r>
              <w:rPr>
                <w:rFonts w:ascii="Times New Roman" w:hAnsi="Times New Roman" w:eastAsia="仿宋_GB2312" w:cs="Times New Roman"/>
                <w:szCs w:val="21"/>
              </w:rPr>
              <w:t>：区域内铜山锡铁尾矿库等尚未全部完成清库工作，存在污染风险；</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 鱼类生态多样性丰度较低：</w:t>
            </w:r>
            <w:r>
              <w:rPr>
                <w:rFonts w:ascii="Times New Roman" w:hAnsi="Times New Roman" w:eastAsia="仿宋_GB2312" w:cs="Times New Roman"/>
                <w:szCs w:val="21"/>
              </w:rPr>
              <w:t>汇水范围水产养殖以人工养殖为主，营养来源单一、养殖种类单一，鱼类种群较为单一，不利于生态多样性发展；</w:t>
            </w:r>
          </w:p>
          <w:p>
            <w:pPr>
              <w:adjustRightInd w:val="0"/>
              <w:snapToGrid w:val="0"/>
              <w:rPr>
                <w:rFonts w:ascii="Times New Roman" w:hAnsi="Times New Roman" w:eastAsia="仿宋_GB2312" w:cs="Times New Roman"/>
                <w:b/>
                <w:bCs/>
                <w:szCs w:val="21"/>
              </w:rPr>
            </w:pPr>
            <w:r>
              <w:rPr>
                <w:rFonts w:ascii="Times New Roman" w:hAnsi="Times New Roman" w:eastAsia="仿宋_GB2312" w:cs="Times New Roman"/>
                <w:szCs w:val="21"/>
              </w:rPr>
              <w:t xml:space="preserve">4-1. </w:t>
            </w:r>
            <w:r>
              <w:rPr>
                <w:rFonts w:ascii="Times New Roman" w:hAnsi="Times New Roman" w:eastAsia="仿宋_GB2312" w:cs="Times New Roman"/>
                <w:b/>
                <w:bCs/>
                <w:szCs w:val="21"/>
              </w:rPr>
              <w:t>藻类异常增殖：</w:t>
            </w:r>
            <w:r>
              <w:rPr>
                <w:rFonts w:ascii="Times New Roman" w:hAnsi="Times New Roman" w:eastAsia="仿宋_GB2312" w:cs="Times New Roman"/>
                <w:szCs w:val="21"/>
              </w:rPr>
              <w:t>上游来水氨氮总磷浓度有所增加，造成藻类异常增殖有所增多，种群结构不稳定，存在藻类爆发及水华隐患；</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4-2. </w:t>
            </w:r>
            <w:r>
              <w:rPr>
                <w:rFonts w:ascii="Times New Roman" w:hAnsi="Times New Roman" w:eastAsia="仿宋_GB2312" w:cs="Times New Roman"/>
                <w:b/>
                <w:bCs/>
                <w:szCs w:val="21"/>
              </w:rPr>
              <w:t>水生态环境待优化：</w:t>
            </w:r>
            <w:r>
              <w:rPr>
                <w:rFonts w:ascii="Times New Roman" w:hAnsi="Times New Roman" w:eastAsia="仿宋_GB2312" w:cs="Times New Roman"/>
                <w:szCs w:val="21"/>
              </w:rPr>
              <w:t>河湖生态缓冲带等生态自然修复措施不到位，水污染物未充分降解就伴随降水进入千岛湖水体，加重水体的富营养化，加快底泥的沉积速度；</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5.</w:t>
            </w:r>
            <w:r>
              <w:rPr>
                <w:rFonts w:ascii="Times New Roman" w:hAnsi="Times New Roman" w:eastAsia="仿宋_GB2312" w:cs="Times New Roman"/>
                <w:b/>
                <w:bCs/>
                <w:szCs w:val="21"/>
              </w:rPr>
              <w:t>现有水利调度待优化：</w:t>
            </w:r>
            <w:r>
              <w:rPr>
                <w:rFonts w:ascii="Times New Roman" w:hAnsi="Times New Roman" w:eastAsia="仿宋_GB2312" w:cs="Times New Roman"/>
                <w:szCs w:val="21"/>
              </w:rPr>
              <w:t>小水电开发的强度较大，影响区域水资源调配及生态环境；新安江水库现有生态系统受新安江水电站水利调度影响较大，水岸消落带明显，原生态特性受影响；</w:t>
            </w:r>
          </w:p>
          <w:p>
            <w:pPr>
              <w:adjustRightInd w:val="0"/>
              <w:snapToGrid w:val="0"/>
              <w:rPr>
                <w:rFonts w:ascii="Times New Roman" w:hAnsi="Times New Roman" w:eastAsia="仿宋_GB2312" w:cs="Times New Roman"/>
                <w:b/>
                <w:bCs/>
                <w:color w:val="FF0000"/>
                <w:szCs w:val="21"/>
              </w:rPr>
            </w:pPr>
            <w:r>
              <w:rPr>
                <w:rFonts w:ascii="Times New Roman" w:hAnsi="Times New Roman" w:eastAsia="仿宋_GB2312" w:cs="Times New Roman"/>
                <w:b/>
                <w:bCs/>
                <w:szCs w:val="21"/>
              </w:rPr>
              <w:t>6. 农村饮用水基本是山塘水库就近取用饮用水，水源小且无备用水源。</w:t>
            </w: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水环境</w:t>
            </w:r>
            <w:r>
              <w:rPr>
                <w:rFonts w:ascii="Times New Roman" w:hAnsi="Times New Roman" w:eastAsia="仿宋_GB2312" w:cs="Times New Roman"/>
                <w:szCs w:val="21"/>
              </w:rPr>
              <w:t>：三潭岛断面稳定达到</w:t>
            </w:r>
            <w:r>
              <w:rPr>
                <w:rFonts w:hint="eastAsia" w:ascii="Times New Roman" w:hAnsi="Times New Roman" w:eastAsia="仿宋_GB2312" w:cs="Times New Roman"/>
                <w:szCs w:val="21"/>
              </w:rPr>
              <w:t>湖库</w:t>
            </w:r>
            <w:r>
              <w:rPr>
                <w:rFonts w:ascii="Times New Roman" w:hAnsi="Times New Roman" w:eastAsia="仿宋_GB2312" w:cs="Times New Roman"/>
                <w:szCs w:val="21"/>
              </w:rPr>
              <w:t>Ⅰ</w:t>
            </w:r>
            <w:r>
              <w:rPr>
                <w:rFonts w:hint="eastAsia" w:ascii="Times New Roman" w:hAnsi="Times New Roman" w:eastAsia="仿宋_GB2312" w:cs="Times New Roman"/>
                <w:szCs w:val="21"/>
              </w:rPr>
              <w:t>-</w:t>
            </w:r>
            <w:r>
              <w:rPr>
                <w:rFonts w:ascii="Times New Roman" w:hAnsi="Times New Roman" w:eastAsia="仿宋_GB2312" w:cs="Times New Roman"/>
                <w:szCs w:val="21"/>
              </w:rPr>
              <w:t>Ⅱ类水质目标；汇水范围水环境风险可控。</w:t>
            </w:r>
          </w:p>
        </w:tc>
        <w:tc>
          <w:tcPr>
            <w:tcW w:w="3543" w:type="dxa"/>
            <w:vMerge w:val="restart"/>
            <w:vAlign w:val="center"/>
          </w:tcPr>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1-1.</w:t>
            </w:r>
            <w:r>
              <w:rPr>
                <w:rFonts w:ascii="Times New Roman" w:hAnsi="Times New Roman" w:eastAsia="仿宋_GB2312" w:cs="Times New Roman"/>
                <w:b/>
                <w:bCs/>
                <w:szCs w:val="21"/>
              </w:rPr>
              <w:t>推进“污水零直排区”建设：</w:t>
            </w:r>
            <w:r>
              <w:rPr>
                <w:rFonts w:ascii="Times New Roman" w:hAnsi="Times New Roman" w:eastAsia="仿宋_GB2312" w:cs="Times New Roman"/>
                <w:szCs w:val="21"/>
              </w:rPr>
              <w:t>完善污水收集系统建设，提高农村生活污水收集率；完成20t/d以上农村生活污水处理设施提标改造与标准化运维；</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1-2.</w:t>
            </w:r>
            <w:r>
              <w:rPr>
                <w:rFonts w:ascii="Times New Roman" w:hAnsi="Times New Roman" w:eastAsia="仿宋_GB2312" w:cs="Times New Roman"/>
                <w:b/>
                <w:bCs/>
                <w:szCs w:val="21"/>
              </w:rPr>
              <w:t>落实农业、林业面源污染治理：</w:t>
            </w:r>
            <w:r>
              <w:rPr>
                <w:rFonts w:ascii="Times New Roman" w:hAnsi="Times New Roman" w:eastAsia="仿宋_GB2312" w:cs="Times New Roman"/>
                <w:szCs w:val="21"/>
              </w:rPr>
              <w:t>开展化肥农药减量增效工程，推进库内休耕与高陡坡地退耕休耕，控制临湖农业开发强度，健全农业污染防控体系，建设生态拦截沟</w:t>
            </w:r>
            <w:r>
              <w:rPr>
                <w:rFonts w:hint="eastAsia" w:ascii="Times New Roman" w:hAnsi="Times New Roman" w:eastAsia="仿宋_GB2312" w:cs="Times New Roman"/>
                <w:szCs w:val="21"/>
              </w:rPr>
              <w:t>（</w:t>
            </w:r>
            <w:r>
              <w:rPr>
                <w:rFonts w:ascii="Times New Roman" w:hAnsi="Times New Roman" w:eastAsia="仿宋_GB2312" w:cs="Times New Roman"/>
                <w:szCs w:val="21"/>
              </w:rPr>
              <w:t>渠</w:t>
            </w:r>
            <w:r>
              <w:rPr>
                <w:rFonts w:hint="eastAsia" w:ascii="Times New Roman" w:hAnsi="Times New Roman" w:eastAsia="仿宋_GB2312" w:cs="Times New Roman"/>
                <w:szCs w:val="21"/>
              </w:rPr>
              <w:t>）</w:t>
            </w:r>
            <w:r>
              <w:rPr>
                <w:rFonts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完善生活垃圾分类收集设施建设：</w:t>
            </w:r>
            <w:r>
              <w:rPr>
                <w:rFonts w:ascii="Times New Roman" w:hAnsi="Times New Roman" w:eastAsia="仿宋_GB2312" w:cs="Times New Roman"/>
                <w:szCs w:val="21"/>
              </w:rPr>
              <w:t>完善垃圾分类基础设施建设，推动农村生活垃圾分类收集，集中处置全覆盖；</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color w:val="FF0000"/>
                <w:szCs w:val="21"/>
              </w:rPr>
              <w:t xml:space="preserve"> </w:t>
            </w:r>
            <w:r>
              <w:rPr>
                <w:rFonts w:ascii="Times New Roman" w:hAnsi="Times New Roman" w:eastAsia="宋体" w:cs="Times New Roman"/>
                <w:b/>
                <w:bCs/>
                <w:szCs w:val="21"/>
              </w:rPr>
              <w:t xml:space="preserve">2. </w:t>
            </w:r>
            <w:r>
              <w:rPr>
                <w:rFonts w:ascii="Times New Roman" w:hAnsi="Times New Roman" w:eastAsia="仿宋_GB2312" w:cs="Times New Roman"/>
                <w:b/>
                <w:bCs/>
                <w:szCs w:val="21"/>
              </w:rPr>
              <w:t>推进矿山整治消除风险隐患：</w:t>
            </w:r>
            <w:r>
              <w:rPr>
                <w:rFonts w:ascii="Times New Roman" w:hAnsi="Times New Roman" w:eastAsia="仿宋_GB2312" w:cs="Times New Roman"/>
                <w:szCs w:val="21"/>
              </w:rPr>
              <w:t>落实关停矿山尾矿砂后续处理等工作，妥善处理矿山和尾矿闭矿后渗滤液治理和生态修复；</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 优化鱼类种群结构：</w:t>
            </w:r>
            <w:r>
              <w:rPr>
                <w:rFonts w:ascii="Times New Roman" w:hAnsi="Times New Roman" w:eastAsia="仿宋_GB2312" w:cs="Times New Roman"/>
                <w:szCs w:val="21"/>
              </w:rPr>
              <w:t>开展增殖放流，增加土著鱼类投放比例，科学调控鲢鳙鱼种群比例；</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仿宋_GB2312" w:cs="Times New Roman"/>
                <w:b/>
                <w:bCs/>
                <w:szCs w:val="21"/>
              </w:rPr>
              <w:t>4-1. 维护生物多样性：</w:t>
            </w:r>
            <w:r>
              <w:rPr>
                <w:rFonts w:ascii="Times New Roman" w:hAnsi="Times New Roman" w:eastAsia="仿宋_GB2312" w:cs="Times New Roman"/>
                <w:szCs w:val="21"/>
              </w:rPr>
              <w:t>开展藻类等浮游生物多样性研究，探索藻类的生理生态学特征及防控措施，降低藻类爆发隐患；</w:t>
            </w:r>
          </w:p>
          <w:p>
            <w:pPr>
              <w:adjustRightInd w:val="0"/>
              <w:snapToGrid w:val="0"/>
              <w:rPr>
                <w:rFonts w:ascii="Times New Roman" w:hAnsi="Times New Roman" w:eastAsia="仿宋_GB2312" w:cs="Times New Roman"/>
                <w:bCs/>
                <w:szCs w:val="21"/>
              </w:rPr>
            </w:pPr>
            <w:r>
              <w:rPr>
                <w:rFonts w:ascii="Times New Roman" w:hAnsi="Times New Roman" w:eastAsia="宋体" w:cs="Times New Roman"/>
                <w:b/>
                <w:bCs/>
                <w:szCs w:val="21"/>
              </w:rPr>
              <w:t xml:space="preserve">4-2. </w:t>
            </w:r>
            <w:r>
              <w:rPr>
                <w:rFonts w:ascii="Times New Roman" w:hAnsi="Times New Roman" w:eastAsia="仿宋_GB2312" w:cs="Times New Roman"/>
                <w:b/>
                <w:bCs/>
                <w:szCs w:val="21"/>
              </w:rPr>
              <w:t>推进河湖生态缓冲带建设：</w:t>
            </w:r>
            <w:r>
              <w:rPr>
                <w:rFonts w:ascii="Times New Roman" w:hAnsi="Times New Roman" w:eastAsia="仿宋_GB2312" w:cs="Times New Roman"/>
                <w:bCs/>
                <w:szCs w:val="21"/>
              </w:rPr>
              <w:t>在主要入湖口开展生态缓冲带、人工湿地等建设；推进沿湖地带及裸露区块实施生态修复、绿化等</w:t>
            </w:r>
            <w:r>
              <w:rPr>
                <w:rFonts w:hint="eastAsia" w:ascii="Times New Roman" w:hAnsi="Times New Roman" w:eastAsia="仿宋_GB2312" w:cs="Times New Roman"/>
                <w:bCs/>
                <w:szCs w:val="21"/>
              </w:rPr>
              <w:t>；</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 xml:space="preserve">5. </w:t>
            </w:r>
            <w:r>
              <w:rPr>
                <w:rFonts w:ascii="Times New Roman" w:hAnsi="Times New Roman" w:eastAsia="仿宋_GB2312" w:cs="Times New Roman"/>
                <w:b/>
                <w:bCs/>
                <w:szCs w:val="21"/>
              </w:rPr>
              <w:t>合理优化水资源配置：</w:t>
            </w:r>
            <w:r>
              <w:rPr>
                <w:rFonts w:ascii="Times New Roman" w:hAnsi="Times New Roman" w:eastAsia="仿宋_GB2312" w:cs="Times New Roman"/>
                <w:szCs w:val="21"/>
              </w:rPr>
              <w:t xml:space="preserve">探索小水电、生态流量和生态响应关系，降低小水电开发强度；协调新安江水电站水利调度、降水、生态流量的关系，降低对于生态环境的影响； </w:t>
            </w:r>
          </w:p>
          <w:p>
            <w:pPr>
              <w:adjustRightInd w:val="0"/>
              <w:snapToGrid w:val="0"/>
              <w:jc w:val="left"/>
              <w:rPr>
                <w:rFonts w:ascii="Times New Roman" w:hAnsi="Times New Roman" w:eastAsia="仿宋_GB2312" w:cs="Times New Roman"/>
                <w:color w:val="FF0000"/>
                <w:szCs w:val="21"/>
              </w:rPr>
            </w:pPr>
            <w:r>
              <w:rPr>
                <w:rFonts w:ascii="Times New Roman" w:hAnsi="Times New Roman" w:eastAsia="仿宋_GB2312" w:cs="Times New Roman"/>
                <w:b/>
                <w:bCs/>
                <w:szCs w:val="21"/>
              </w:rPr>
              <w:t>6. 农村饮用水源建设：</w:t>
            </w:r>
            <w:r>
              <w:rPr>
                <w:rFonts w:ascii="Times New Roman" w:hAnsi="Times New Roman" w:eastAsia="仿宋_GB2312" w:cs="Times New Roman"/>
                <w:szCs w:val="21"/>
              </w:rPr>
              <w:t>建设农村饮用水厂或站。</w:t>
            </w:r>
          </w:p>
        </w:tc>
        <w:tc>
          <w:tcPr>
            <w:tcW w:w="2029"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szCs w:val="21"/>
              </w:rPr>
              <w:t>1-1.</w:t>
            </w:r>
            <w:r>
              <w:rPr>
                <w:rFonts w:ascii="Times New Roman" w:hAnsi="Times New Roman" w:eastAsia="仿宋_GB2312" w:cs="Times New Roman"/>
                <w:szCs w:val="21"/>
              </w:rPr>
              <w:t>实施安阳乡、大墅镇、枫树岭镇、界首乡、里商乡农村生活污水提标改造设备更换及中水回用项目；</w:t>
            </w:r>
          </w:p>
          <w:p>
            <w:pPr>
              <w:adjustRightInd w:val="0"/>
              <w:snapToGrid w:val="0"/>
              <w:rPr>
                <w:rFonts w:ascii="Times New Roman" w:hAnsi="Times New Roman" w:eastAsia="仿宋_GB2312" w:cs="Times New Roman"/>
                <w:szCs w:val="21"/>
              </w:rPr>
            </w:pPr>
            <w:r>
              <w:rPr>
                <w:rFonts w:ascii="Times New Roman" w:hAnsi="Times New Roman" w:eastAsia="宋体" w:cs="Times New Roman"/>
                <w:szCs w:val="21"/>
              </w:rPr>
              <w:t>1-2.</w:t>
            </w:r>
            <w:r>
              <w:rPr>
                <w:rFonts w:ascii="Times New Roman" w:hAnsi="Times New Roman" w:eastAsia="仿宋_GB2312" w:cs="Times New Roman"/>
                <w:szCs w:val="21"/>
              </w:rPr>
              <w:t>实施淳安县农业、林业污染防治方案设置的项目；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1-3. 实施农村生活垃圾分类处理提升工程；</w:t>
            </w:r>
          </w:p>
          <w:p>
            <w:pPr>
              <w:adjustRightInd w:val="0"/>
              <w:snapToGrid w:val="0"/>
              <w:rPr>
                <w:rFonts w:ascii="Times New Roman" w:hAnsi="Times New Roman" w:eastAsia="宋体" w:cs="Times New Roman"/>
                <w:b/>
                <w:bCs/>
                <w:color w:val="FF0000"/>
                <w:szCs w:val="21"/>
              </w:rPr>
            </w:pPr>
            <w:r>
              <w:rPr>
                <w:rFonts w:ascii="Times New Roman" w:hAnsi="Times New Roman" w:eastAsia="宋体" w:cs="Times New Roman"/>
                <w:szCs w:val="21"/>
              </w:rPr>
              <w:t>2.</w:t>
            </w:r>
            <w:r>
              <w:rPr>
                <w:rFonts w:ascii="Times New Roman" w:hAnsi="Times New Roman" w:eastAsia="仿宋_GB2312" w:cs="Times New Roman"/>
                <w:szCs w:val="21"/>
              </w:rPr>
              <w:t>实施铜山锡铁矿尾矿库清库项目</w:t>
            </w:r>
            <w:r>
              <w:rPr>
                <w:rFonts w:hint="eastAsia" w:ascii="Times New Roman" w:hAnsi="Times New Roman" w:eastAsia="仿宋_GB2312" w:cs="Times New Roman"/>
                <w:szCs w:val="21"/>
              </w:rPr>
              <w:t>、</w:t>
            </w:r>
            <w:r>
              <w:rPr>
                <w:rFonts w:ascii="Times New Roman" w:hAnsi="Times New Roman" w:eastAsia="仿宋_GB2312" w:cs="Times New Roman"/>
                <w:szCs w:val="21"/>
              </w:rPr>
              <w:t>矿山治理项目</w:t>
            </w:r>
            <w:r>
              <w:rPr>
                <w:rFonts w:hint="eastAsia"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3.实施优化湖内鱼类种群项目；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4-1.实施管控策略研究项目、千岛湖内库湾整治试点工程、湖区藻类监测能力建设等项目；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4-2. 实施临湖生态缓冲带及生态湿地建设项目、生态修复项目；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5.</w:t>
            </w:r>
            <w:r>
              <w:rPr>
                <w:rFonts w:ascii="Times New Roman" w:hAnsi="Times New Roman" w:eastAsia="仿宋_GB2312" w:cs="Times New Roman"/>
                <w:szCs w:val="21"/>
              </w:rPr>
              <w:t xml:space="preserve"> 开展区域水资源节约保护和开发利用总体规</w:t>
            </w:r>
            <w:r>
              <w:rPr>
                <w:rFonts w:hint="eastAsia" w:ascii="Times New Roman" w:hAnsi="Times New Roman" w:eastAsia="仿宋_GB2312" w:cs="Times New Roman"/>
                <w:szCs w:val="21"/>
              </w:rPr>
              <w:t>划编制工作，推进节水型社会建设；</w:t>
            </w:r>
          </w:p>
          <w:p>
            <w:pPr>
              <w:adjustRightInd w:val="0"/>
              <w:snapToGrid w:val="0"/>
              <w:rPr>
                <w:rFonts w:ascii="Times New Roman" w:hAnsi="Times New Roman" w:eastAsia="仿宋_GB2312" w:cs="Times New Roman"/>
                <w:b/>
                <w:bCs/>
                <w:szCs w:val="21"/>
              </w:rPr>
            </w:pPr>
            <w:r>
              <w:rPr>
                <w:rFonts w:ascii="Times New Roman" w:hAnsi="Times New Roman" w:eastAsia="仿宋_GB2312" w:cs="Times New Roman"/>
                <w:szCs w:val="21"/>
              </w:rPr>
              <w:t xml:space="preserve">6. </w:t>
            </w:r>
            <w:r>
              <w:rPr>
                <w:rFonts w:hint="eastAsia" w:ascii="Times New Roman" w:hAnsi="Times New Roman" w:eastAsia="仿宋_GB2312" w:cs="Times New Roman"/>
                <w:szCs w:val="21"/>
              </w:rPr>
              <w:t>实施农村饮水提升工程，合理布局自来水厂，完成白马、里商水厂等供水站（厂）建设；</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 xml:space="preserve">7. </w:t>
            </w:r>
            <w:r>
              <w:rPr>
                <w:rFonts w:hint="eastAsia" w:ascii="Times New Roman" w:hAnsi="Times New Roman" w:eastAsia="仿宋_GB2312" w:cs="Times New Roman"/>
                <w:szCs w:val="21"/>
              </w:rPr>
              <w:t>推进</w:t>
            </w:r>
            <w:r>
              <w:rPr>
                <w:rFonts w:ascii="Times New Roman" w:hAnsi="Times New Roman" w:eastAsia="仿宋_GB2312" w:cs="Times New Roman"/>
                <w:szCs w:val="21"/>
              </w:rPr>
              <w:t>40</w:t>
            </w:r>
            <w:r>
              <w:rPr>
                <w:rFonts w:hint="eastAsia" w:ascii="Times New Roman" w:hAnsi="Times New Roman" w:eastAsia="仿宋_GB2312" w:cs="Times New Roman"/>
                <w:szCs w:val="21"/>
              </w:rPr>
              <w:t>项淳安特别生态功能区重点</w:t>
            </w:r>
            <w:r>
              <w:rPr>
                <w:rFonts w:ascii="Times New Roman" w:hAnsi="Times New Roman" w:eastAsia="仿宋_GB2312" w:cs="Times New Roman"/>
                <w:szCs w:val="21"/>
              </w:rPr>
              <w:t>改革任务。</w:t>
            </w:r>
          </w:p>
          <w:p>
            <w:pPr>
              <w:adjustRightInd w:val="0"/>
              <w:snapToGrid w:val="0"/>
              <w:jc w:val="left"/>
              <w:rPr>
                <w:rFonts w:ascii="Times New Roman" w:hAnsi="Times New Roman" w:eastAsia="仿宋_GB2312"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szCs w:val="21"/>
              </w:rPr>
            </w:pP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水生态</w:t>
            </w:r>
            <w:r>
              <w:rPr>
                <w:rFonts w:ascii="Times New Roman" w:hAnsi="Times New Roman" w:eastAsia="仿宋_GB2312" w:cs="Times New Roman"/>
                <w:szCs w:val="21"/>
              </w:rPr>
              <w:t>：三潭岛断面富营养化指数在贫营养-中营养间波动。</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水生态</w:t>
            </w:r>
            <w:r>
              <w:rPr>
                <w:rFonts w:ascii="Times New Roman" w:hAnsi="Times New Roman" w:eastAsia="仿宋_GB2312" w:cs="Times New Roman"/>
                <w:szCs w:val="21"/>
              </w:rPr>
              <w:t xml:space="preserve">：汇水范围内河道有水、有鱼、有草；生态系统保持稳定。 </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color w:val="FF0000"/>
                <w:szCs w:val="21"/>
              </w:rPr>
            </w:pPr>
          </w:p>
        </w:tc>
        <w:tc>
          <w:tcPr>
            <w:tcW w:w="1094"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b/>
                <w:bCs/>
                <w:szCs w:val="21"/>
              </w:rPr>
              <w:t>水资源</w:t>
            </w:r>
            <w:r>
              <w:rPr>
                <w:rFonts w:ascii="Times New Roman" w:hAnsi="Times New Roman" w:eastAsia="仿宋_GB2312" w:cs="Times New Roman"/>
                <w:szCs w:val="21"/>
              </w:rPr>
              <w:t>：水资源丰富。</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水资源</w:t>
            </w:r>
            <w:r>
              <w:rPr>
                <w:rFonts w:ascii="Times New Roman" w:hAnsi="Times New Roman" w:eastAsia="仿宋_GB2312" w:cs="Times New Roman"/>
                <w:szCs w:val="21"/>
              </w:rPr>
              <w:t>：汇水范围内河道确保生态流量。</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restart"/>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小金山汇水范围</w:t>
            </w: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水环境</w:t>
            </w:r>
            <w:r>
              <w:rPr>
                <w:rFonts w:ascii="Times New Roman" w:hAnsi="Times New Roman" w:eastAsia="仿宋_GB2312" w:cs="Times New Roman"/>
                <w:szCs w:val="21"/>
              </w:rPr>
              <w:t>：2015-2020年县控以上断面均达标；无黑臭水体，无涉水突发环境事件。</w:t>
            </w:r>
          </w:p>
        </w:tc>
        <w:tc>
          <w:tcPr>
            <w:tcW w:w="1659" w:type="dxa"/>
            <w:vMerge w:val="restart"/>
            <w:vAlign w:val="center"/>
          </w:tcPr>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1.</w:t>
            </w:r>
            <w:r>
              <w:rPr>
                <w:rFonts w:ascii="Times New Roman" w:hAnsi="Times New Roman" w:eastAsia="仿宋_GB2312" w:cs="Times New Roman"/>
                <w:b/>
                <w:bCs/>
                <w:szCs w:val="21"/>
              </w:rPr>
              <w:t>断面水质存在波动，总磷浓度较高：</w:t>
            </w:r>
            <w:r>
              <w:rPr>
                <w:rFonts w:ascii="Times New Roman" w:hAnsi="Times New Roman" w:eastAsia="仿宋_GB2312" w:cs="Times New Roman"/>
                <w:szCs w:val="21"/>
              </w:rPr>
              <w:t>威坪林场断面5-7月份总磷不能稳定达标；</w:t>
            </w:r>
            <w:r>
              <w:rPr>
                <w:rFonts w:ascii="Times New Roman" w:hAnsi="Times New Roman" w:eastAsia="仿宋_GB2312" w:cs="Times New Roman"/>
                <w:b/>
                <w:bCs/>
                <w:szCs w:val="21"/>
              </w:rPr>
              <w:t>存在富营养化：</w:t>
            </w:r>
            <w:r>
              <w:rPr>
                <w:rFonts w:ascii="Times New Roman" w:hAnsi="Times New Roman" w:eastAsia="仿宋_GB2312" w:cs="Times New Roman"/>
                <w:szCs w:val="21"/>
              </w:rPr>
              <w:t>富营养化评价结果多年为中营养；</w:t>
            </w:r>
          </w:p>
          <w:p>
            <w:pPr>
              <w:adjustRightInd w:val="0"/>
              <w:snapToGrid w:val="0"/>
              <w:rPr>
                <w:rFonts w:ascii="Times New Roman" w:hAnsi="Times New Roman" w:eastAsia="仿宋_GB2312" w:cs="Times New Roman"/>
                <w:b/>
                <w:bCs/>
                <w:szCs w:val="21"/>
              </w:rPr>
            </w:pPr>
            <w:r>
              <w:rPr>
                <w:rFonts w:ascii="Times New Roman" w:hAnsi="Times New Roman" w:eastAsia="仿宋_GB2312" w:cs="Times New Roman"/>
                <w:b/>
                <w:bCs/>
                <w:szCs w:val="21"/>
              </w:rPr>
              <w:t>2</w:t>
            </w:r>
            <w:r>
              <w:rPr>
                <w:rFonts w:ascii="Times New Roman" w:hAnsi="Times New Roman" w:eastAsia="宋体" w:cs="Times New Roman"/>
                <w:b/>
                <w:bCs/>
                <w:szCs w:val="21"/>
              </w:rPr>
              <w:t>.</w:t>
            </w:r>
            <w:r>
              <w:rPr>
                <w:rFonts w:ascii="Times New Roman" w:hAnsi="Times New Roman" w:eastAsia="仿宋_GB2312" w:cs="Times New Roman"/>
                <w:b/>
                <w:bCs/>
                <w:szCs w:val="21"/>
              </w:rPr>
              <w:t>存在矿山、道路穿越等污染风险隐患</w:t>
            </w:r>
            <w:r>
              <w:rPr>
                <w:rFonts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3.</w:t>
            </w:r>
            <w:r>
              <w:rPr>
                <w:rFonts w:ascii="Times New Roman" w:hAnsi="Times New Roman" w:eastAsia="仿宋_GB2312" w:cs="Times New Roman"/>
                <w:b/>
                <w:bCs/>
                <w:szCs w:val="21"/>
              </w:rPr>
              <w:t>鱼类生态系统结构单一：</w:t>
            </w:r>
            <w:r>
              <w:rPr>
                <w:rFonts w:ascii="Times New Roman" w:hAnsi="Times New Roman" w:eastAsia="仿宋_GB2312" w:cs="Times New Roman"/>
                <w:szCs w:val="21"/>
              </w:rPr>
              <w:t>现有鱼类种群单一，鱼类生态系统结构不稳定；</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4.</w:t>
            </w:r>
            <w:r>
              <w:rPr>
                <w:rFonts w:ascii="Times New Roman" w:hAnsi="Times New Roman" w:eastAsia="仿宋_GB2312" w:cs="Times New Roman"/>
                <w:b/>
                <w:bCs/>
                <w:szCs w:val="21"/>
              </w:rPr>
              <w:t>存在藻类爆发风险：</w:t>
            </w:r>
            <w:r>
              <w:rPr>
                <w:rFonts w:ascii="Times New Roman" w:hAnsi="Times New Roman" w:eastAsia="仿宋_GB2312" w:cs="Times New Roman"/>
                <w:szCs w:val="21"/>
              </w:rPr>
              <w:t>藻类聚集性异常增殖，有增加趋势；</w:t>
            </w:r>
          </w:p>
          <w:p>
            <w:pPr>
              <w:adjustRightInd w:val="0"/>
              <w:snapToGrid w:val="0"/>
              <w:rPr>
                <w:rFonts w:ascii="Times New Roman" w:hAnsi="Times New Roman" w:eastAsia="仿宋_GB2312" w:cs="Times New Roman"/>
                <w:b/>
                <w:bCs/>
                <w:color w:val="FF0000"/>
                <w:szCs w:val="21"/>
              </w:rPr>
            </w:pPr>
            <w:bookmarkStart w:id="46" w:name="_Hlk53503590"/>
            <w:r>
              <w:rPr>
                <w:rFonts w:ascii="Times New Roman" w:hAnsi="Times New Roman" w:eastAsia="宋体" w:cs="Times New Roman"/>
                <w:b/>
                <w:bCs/>
                <w:szCs w:val="21"/>
              </w:rPr>
              <w:t>5.</w:t>
            </w:r>
            <w:r>
              <w:rPr>
                <w:rFonts w:ascii="Times New Roman" w:hAnsi="Times New Roman" w:eastAsia="仿宋_GB2312" w:cs="Times New Roman"/>
                <w:b/>
                <w:bCs/>
                <w:szCs w:val="21"/>
              </w:rPr>
              <w:t>水资源利用率不高，农村水资源短缺</w:t>
            </w:r>
            <w:bookmarkEnd w:id="46"/>
            <w:r>
              <w:rPr>
                <w:rFonts w:ascii="Times New Roman" w:hAnsi="Times New Roman" w:eastAsia="仿宋_GB2312" w:cs="Times New Roman"/>
                <w:b/>
                <w:bCs/>
                <w:szCs w:val="21"/>
              </w:rPr>
              <w:t>。</w:t>
            </w:r>
          </w:p>
        </w:tc>
        <w:tc>
          <w:tcPr>
            <w:tcW w:w="3718"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1-1. 新安江上游安徽省黄山市来水达到河流Ⅱ类功能区要求，但远高于断面湖库功能区I类考核要求，断面距两省交界处仅27公里，河流自然降解无法实现断面达标；上游来水中氨氮、总磷含量较高，导致湖区富营养化指数微增；</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 xml:space="preserve">1-2. </w:t>
            </w:r>
            <w:r>
              <w:rPr>
                <w:rFonts w:ascii="Times New Roman" w:hAnsi="Times New Roman" w:eastAsia="仿宋_GB2312" w:cs="Times New Roman"/>
                <w:b/>
                <w:bCs/>
                <w:szCs w:val="21"/>
              </w:rPr>
              <w:t>截污纳管不彻底：</w:t>
            </w:r>
            <w:r>
              <w:rPr>
                <w:rFonts w:ascii="Times New Roman" w:hAnsi="Times New Roman" w:eastAsia="仿宋_GB2312" w:cs="Times New Roman"/>
                <w:szCs w:val="21"/>
              </w:rPr>
              <w:t>汇水范围行政村截污纳管已实现全覆盖，但存在少量农村生活污水未纳管，简单处理后排入就近水体；部分农村污水处理终端出水水质排放标准不严或部分污水管网有破损；</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工业污染防治不足：</w:t>
            </w:r>
            <w:r>
              <w:rPr>
                <w:rFonts w:ascii="Times New Roman" w:hAnsi="Times New Roman" w:eastAsia="仿宋_GB2312" w:cs="Times New Roman"/>
                <w:szCs w:val="21"/>
              </w:rPr>
              <w:t>汇水范围内威坪工业集聚点工业企业废水污染防治水平有待提高；</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1-4. </w:t>
            </w:r>
            <w:r>
              <w:rPr>
                <w:rFonts w:ascii="Times New Roman" w:hAnsi="Times New Roman" w:eastAsia="仿宋_GB2312" w:cs="Times New Roman"/>
                <w:b/>
                <w:bCs/>
                <w:szCs w:val="21"/>
              </w:rPr>
              <w:t>生活垃圾收集不彻底：</w:t>
            </w:r>
            <w:r>
              <w:rPr>
                <w:rFonts w:ascii="Times New Roman" w:hAnsi="Times New Roman" w:eastAsia="仿宋_GB2312" w:cs="Times New Roman"/>
                <w:szCs w:val="21"/>
              </w:rPr>
              <w:t>汇水范围内部分乡镇居民居住分散，少量农户生活垃圾不能及时回收和有效处理，存在水环境污染隐患；</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 xml:space="preserve">1-5. </w:t>
            </w:r>
            <w:r>
              <w:rPr>
                <w:rFonts w:ascii="Times New Roman" w:hAnsi="Times New Roman" w:eastAsia="仿宋_GB2312" w:cs="Times New Roman"/>
                <w:b/>
                <w:bCs/>
                <w:szCs w:val="21"/>
              </w:rPr>
              <w:t>农业、林业面源污染影响区域水质：</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汇水范围林业种植与农业种植、养殖，部分存在水土流失现象，氮、磷</w:t>
            </w:r>
            <w:r>
              <w:rPr>
                <w:rFonts w:hint="eastAsia" w:ascii="Times New Roman" w:hAnsi="Times New Roman" w:eastAsia="仿宋_GB2312" w:cs="Times New Roman"/>
                <w:szCs w:val="21"/>
              </w:rPr>
              <w:t>污染物</w:t>
            </w:r>
            <w:r>
              <w:rPr>
                <w:rFonts w:ascii="Times New Roman" w:hAnsi="Times New Roman" w:eastAsia="仿宋_GB2312" w:cs="Times New Roman"/>
                <w:szCs w:val="21"/>
              </w:rPr>
              <w:t>随降水和地表径流进入水体；</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2.</w:t>
            </w:r>
            <w:r>
              <w:rPr>
                <w:rFonts w:ascii="Times New Roman" w:hAnsi="Times New Roman" w:eastAsia="仿宋_GB2312" w:cs="Times New Roman"/>
                <w:szCs w:val="21"/>
              </w:rPr>
              <w:t xml:space="preserve"> </w:t>
            </w:r>
            <w:r>
              <w:rPr>
                <w:rFonts w:ascii="Times New Roman" w:hAnsi="Times New Roman" w:eastAsia="仿宋_GB2312" w:cs="Times New Roman"/>
                <w:b/>
                <w:bCs/>
                <w:szCs w:val="21"/>
              </w:rPr>
              <w:t>存在水环境风险源</w:t>
            </w:r>
            <w:r>
              <w:rPr>
                <w:rFonts w:ascii="Times New Roman" w:hAnsi="Times New Roman" w:eastAsia="仿宋_GB2312" w:cs="Times New Roman"/>
                <w:szCs w:val="21"/>
              </w:rPr>
              <w:t>：存在矿山开采，部分开采作业过程中污染管控不到位；交通道路部分路段穿越千岛湖湖区等；</w:t>
            </w:r>
          </w:p>
          <w:p>
            <w:pPr>
              <w:adjustRightInd w:val="0"/>
              <w:snapToGrid w:val="0"/>
              <w:rPr>
                <w:rFonts w:ascii="Times New Roman" w:hAnsi="Times New Roman" w:eastAsia="仿宋_GB2312" w:cs="Times New Roman"/>
                <w:b/>
                <w:bCs/>
                <w:szCs w:val="21"/>
              </w:rPr>
            </w:pPr>
            <w:bookmarkStart w:id="47" w:name="_Hlk53505100"/>
            <w:r>
              <w:rPr>
                <w:rFonts w:ascii="Times New Roman" w:hAnsi="Times New Roman" w:eastAsia="宋体" w:cs="Times New Roman"/>
                <w:b/>
                <w:bCs/>
                <w:szCs w:val="21"/>
              </w:rPr>
              <w:t xml:space="preserve">3. </w:t>
            </w:r>
            <w:r>
              <w:rPr>
                <w:rFonts w:ascii="Times New Roman" w:hAnsi="Times New Roman" w:eastAsia="仿宋_GB2312" w:cs="Times New Roman"/>
                <w:b/>
                <w:bCs/>
                <w:szCs w:val="21"/>
              </w:rPr>
              <w:t>水生物种群结构不科学</w:t>
            </w:r>
            <w:bookmarkEnd w:id="47"/>
            <w:r>
              <w:rPr>
                <w:rFonts w:ascii="Times New Roman" w:hAnsi="Times New Roman" w:eastAsia="仿宋_GB2312" w:cs="Times New Roman"/>
                <w:b/>
                <w:bCs/>
                <w:szCs w:val="21"/>
              </w:rPr>
              <w:t>：</w:t>
            </w:r>
            <w:r>
              <w:rPr>
                <w:rFonts w:ascii="Times New Roman" w:hAnsi="Times New Roman" w:eastAsia="仿宋_GB2312" w:cs="Times New Roman"/>
                <w:szCs w:val="21"/>
              </w:rPr>
              <w:t>水生生物（鱼类）种群结构不科学,水产养殖投放鲢鳙等鱼种比例不科学；</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4-1.</w:t>
            </w:r>
            <w:r>
              <w:rPr>
                <w:rFonts w:ascii="Times New Roman" w:hAnsi="Times New Roman" w:eastAsia="仿宋_GB2312" w:cs="Times New Roman"/>
                <w:b/>
                <w:bCs/>
                <w:szCs w:val="21"/>
              </w:rPr>
              <w:t>藻类异常增殖：</w:t>
            </w:r>
            <w:r>
              <w:rPr>
                <w:rFonts w:ascii="Times New Roman" w:hAnsi="Times New Roman" w:eastAsia="仿宋_GB2312" w:cs="Times New Roman"/>
                <w:szCs w:val="21"/>
              </w:rPr>
              <w:t>上游来水氨氮总磷浓度有所增加，造成藻类异常增殖现象，种群结构不稳定，存在藻类爆发及水华隐患；</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4-2.</w:t>
            </w:r>
            <w:r>
              <w:rPr>
                <w:rFonts w:ascii="Times New Roman" w:hAnsi="Times New Roman" w:eastAsia="仿宋_GB2312" w:cs="Times New Roman"/>
                <w:b/>
                <w:bCs/>
                <w:szCs w:val="21"/>
              </w:rPr>
              <w:t>水生态环境待优化：</w:t>
            </w:r>
            <w:r>
              <w:rPr>
                <w:rFonts w:ascii="Times New Roman" w:hAnsi="Times New Roman" w:eastAsia="仿宋_GB2312" w:cs="Times New Roman"/>
                <w:szCs w:val="21"/>
              </w:rPr>
              <w:t>河湖生态缓冲带等生态自然修复措施不到位，水污染物未充分降解就伴随降水进入千岛湖水体，加重水体富营养化，加快底泥的沉积速度；</w:t>
            </w:r>
          </w:p>
          <w:p>
            <w:pPr>
              <w:adjustRightInd w:val="0"/>
              <w:snapToGrid w:val="0"/>
              <w:rPr>
                <w:rFonts w:ascii="Times New Roman" w:hAnsi="Times New Roman" w:eastAsia="仿宋_GB2312" w:cs="Times New Roman"/>
                <w:b/>
                <w:bCs/>
                <w:color w:val="FF0000"/>
                <w:szCs w:val="21"/>
              </w:rPr>
            </w:pPr>
            <w:r>
              <w:rPr>
                <w:rFonts w:ascii="Times New Roman" w:hAnsi="Times New Roman" w:eastAsia="仿宋_GB2312" w:cs="Times New Roman"/>
                <w:b/>
                <w:bCs/>
                <w:szCs w:val="21"/>
              </w:rPr>
              <w:t>5. 水资源配置不合理、生态用水不足：</w:t>
            </w:r>
            <w:r>
              <w:rPr>
                <w:rFonts w:ascii="Times New Roman" w:hAnsi="Times New Roman" w:eastAsia="仿宋_GB2312" w:cs="Times New Roman"/>
                <w:szCs w:val="21"/>
              </w:rPr>
              <w:t>水资源配置中生态用水占比低、河流闸坝下泄流量不足</w:t>
            </w:r>
            <w:r>
              <w:rPr>
                <w:rFonts w:hint="eastAsia" w:ascii="Times New Roman" w:hAnsi="Times New Roman" w:eastAsia="仿宋_GB2312" w:cs="Times New Roman"/>
                <w:szCs w:val="21"/>
              </w:rPr>
              <w:t>。</w:t>
            </w: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水环境</w:t>
            </w:r>
            <w:r>
              <w:rPr>
                <w:rFonts w:ascii="Times New Roman" w:hAnsi="Times New Roman" w:eastAsia="仿宋_GB2312" w:cs="Times New Roman"/>
                <w:szCs w:val="21"/>
              </w:rPr>
              <w:t>：小金山断面稳定达到</w:t>
            </w:r>
            <w:r>
              <w:rPr>
                <w:rFonts w:hint="eastAsia" w:ascii="Times New Roman" w:hAnsi="Times New Roman" w:eastAsia="仿宋_GB2312" w:cs="Times New Roman"/>
                <w:szCs w:val="21"/>
              </w:rPr>
              <w:t>湖库</w:t>
            </w:r>
            <w:r>
              <w:rPr>
                <w:rFonts w:ascii="Times New Roman" w:hAnsi="Times New Roman" w:eastAsia="仿宋_GB2312" w:cs="Times New Roman"/>
                <w:szCs w:val="21"/>
              </w:rPr>
              <w:t>Ⅰ</w:t>
            </w:r>
            <w:r>
              <w:rPr>
                <w:rFonts w:hint="eastAsia" w:ascii="Times New Roman" w:hAnsi="Times New Roman" w:eastAsia="仿宋_GB2312" w:cs="Times New Roman"/>
                <w:szCs w:val="21"/>
              </w:rPr>
              <w:t>-</w:t>
            </w:r>
            <w:r>
              <w:rPr>
                <w:rFonts w:ascii="Times New Roman" w:hAnsi="Times New Roman" w:eastAsia="仿宋_GB2312" w:cs="Times New Roman"/>
                <w:szCs w:val="21"/>
              </w:rPr>
              <w:t>Ⅱ类水质目标；汇水范围水环境风险可控。</w:t>
            </w:r>
          </w:p>
        </w:tc>
        <w:tc>
          <w:tcPr>
            <w:tcW w:w="3543"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1-1. </w:t>
            </w:r>
            <w:r>
              <w:rPr>
                <w:rFonts w:ascii="Times New Roman" w:hAnsi="Times New Roman" w:eastAsia="仿宋_GB2312" w:cs="Times New Roman"/>
                <w:b/>
                <w:bCs/>
                <w:szCs w:val="21"/>
              </w:rPr>
              <w:t>加强区域联防联控：</w:t>
            </w:r>
            <w:r>
              <w:rPr>
                <w:rFonts w:ascii="Times New Roman" w:hAnsi="Times New Roman" w:eastAsia="仿宋_GB2312" w:cs="Times New Roman"/>
                <w:szCs w:val="21"/>
              </w:rPr>
              <w:t>推动上下游水环境联合治理；</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 xml:space="preserve">1-2. </w:t>
            </w:r>
            <w:r>
              <w:rPr>
                <w:rFonts w:ascii="Times New Roman" w:hAnsi="Times New Roman" w:eastAsia="仿宋_GB2312" w:cs="Times New Roman"/>
                <w:b/>
                <w:bCs/>
                <w:szCs w:val="21"/>
              </w:rPr>
              <w:t>加强污水处理基础设施建设：</w:t>
            </w:r>
            <w:r>
              <w:rPr>
                <w:rFonts w:ascii="Times New Roman" w:hAnsi="Times New Roman" w:eastAsia="仿宋_GB2312" w:cs="Times New Roman"/>
                <w:szCs w:val="21"/>
              </w:rPr>
              <w:t>落实污水处理设施提标改造与20t/d以上农村污水处理设施改造与标准化运营；完善污水管网建设；</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推进工业污染防治:</w:t>
            </w:r>
            <w:r>
              <w:rPr>
                <w:rFonts w:ascii="Times New Roman" w:hAnsi="Times New Roman" w:eastAsia="仿宋_GB2312" w:cs="Times New Roman"/>
                <w:szCs w:val="21"/>
              </w:rPr>
              <w:t>全面推进威坪产业集聚区“污水零直排区”创建，积极开展“散乱污”行业污染整治工作；</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1-4.</w:t>
            </w:r>
            <w:r>
              <w:rPr>
                <w:rFonts w:ascii="Times New Roman" w:hAnsi="Times New Roman" w:eastAsia="仿宋_GB2312" w:cs="Times New Roman"/>
                <w:b/>
                <w:bCs/>
                <w:szCs w:val="21"/>
              </w:rPr>
              <w:t>完善生活垃圾分类收集设施建设：</w:t>
            </w:r>
            <w:r>
              <w:rPr>
                <w:rFonts w:ascii="Times New Roman" w:hAnsi="Times New Roman" w:eastAsia="仿宋_GB2312" w:cs="Times New Roman"/>
                <w:szCs w:val="21"/>
              </w:rPr>
              <w:t>完善垃圾分类基础设施建设，推动农村生活垃圾分类收集，集中处置全覆盖；</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1-5.</w:t>
            </w:r>
            <w:r>
              <w:rPr>
                <w:rFonts w:ascii="Times New Roman" w:hAnsi="Times New Roman" w:eastAsia="仿宋_GB2312" w:cs="Times New Roman"/>
                <w:b/>
                <w:bCs/>
                <w:szCs w:val="21"/>
              </w:rPr>
              <w:t>落实农业、林业面源污染治理：</w:t>
            </w:r>
            <w:r>
              <w:rPr>
                <w:rFonts w:ascii="Times New Roman" w:hAnsi="Times New Roman" w:eastAsia="仿宋_GB2312" w:cs="Times New Roman"/>
                <w:szCs w:val="21"/>
              </w:rPr>
              <w:t>开展化肥农药减量增效工程，推进库内休耕与高陡坡地退耕休耕，控制临湖农业开发强度，健全农业污染防控体系，建设生态拦截沟</w:t>
            </w:r>
            <w:r>
              <w:rPr>
                <w:rFonts w:hint="eastAsia" w:ascii="Times New Roman" w:hAnsi="Times New Roman" w:eastAsia="仿宋_GB2312" w:cs="Times New Roman"/>
                <w:szCs w:val="21"/>
              </w:rPr>
              <w:t>（</w:t>
            </w:r>
            <w:r>
              <w:rPr>
                <w:rFonts w:ascii="Times New Roman" w:hAnsi="Times New Roman" w:eastAsia="仿宋_GB2312" w:cs="Times New Roman"/>
                <w:szCs w:val="21"/>
              </w:rPr>
              <w:t>渠</w:t>
            </w:r>
            <w:r>
              <w:rPr>
                <w:rFonts w:hint="eastAsia" w:ascii="Times New Roman" w:hAnsi="Times New Roman" w:eastAsia="仿宋_GB2312" w:cs="Times New Roman"/>
                <w:szCs w:val="21"/>
              </w:rPr>
              <w:t>），加强小流域水土流失治理；</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2. </w:t>
            </w:r>
            <w:r>
              <w:rPr>
                <w:rFonts w:ascii="Times New Roman" w:hAnsi="Times New Roman" w:eastAsia="仿宋_GB2312" w:cs="Times New Roman"/>
                <w:b/>
                <w:bCs/>
                <w:szCs w:val="21"/>
              </w:rPr>
              <w:t>推进矿山整治消除风险隐患：</w:t>
            </w:r>
            <w:r>
              <w:rPr>
                <w:rFonts w:ascii="Times New Roman" w:hAnsi="Times New Roman" w:eastAsia="仿宋_GB2312" w:cs="Times New Roman"/>
                <w:szCs w:val="21"/>
              </w:rPr>
              <w:t>落实矿山和采矿企业依法退出以及尾矿砂后续处理等工作，妥善处理矿山和尾矿闭矿后渗滤液治理和生态修复；预防设施建设，如道路临湖截留沟、应急收集池等建设；预警体系建设，提升预警处理能力，实施应急物资的准备和演练等;</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 优化鱼类种群结构：</w:t>
            </w:r>
            <w:r>
              <w:rPr>
                <w:rFonts w:ascii="Times New Roman" w:hAnsi="Times New Roman" w:eastAsia="仿宋_GB2312" w:cs="Times New Roman"/>
                <w:szCs w:val="21"/>
              </w:rPr>
              <w:t>开展增殖放流，增加土著鱼类投放比例，科学调控鲢鳙鱼种群比例；</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仿宋_GB2312" w:cs="Times New Roman"/>
                <w:b/>
                <w:bCs/>
                <w:szCs w:val="21"/>
              </w:rPr>
              <w:t>4-1. 维护生物多样性：</w:t>
            </w:r>
            <w:r>
              <w:rPr>
                <w:rFonts w:ascii="Times New Roman" w:hAnsi="Times New Roman" w:eastAsia="仿宋_GB2312" w:cs="Times New Roman"/>
                <w:szCs w:val="21"/>
              </w:rPr>
              <w:t>开展藻类等浮游生物多样性研究，探索藻类的生理生态学特征及防控措施，降低藻类爆发隐患；</w:t>
            </w:r>
          </w:p>
          <w:p>
            <w:pPr>
              <w:adjustRightInd w:val="0"/>
              <w:snapToGrid w:val="0"/>
              <w:rPr>
                <w:rFonts w:ascii="Times New Roman" w:hAnsi="Times New Roman" w:eastAsia="仿宋_GB2312" w:cs="Times New Roman"/>
                <w:bCs/>
                <w:szCs w:val="21"/>
              </w:rPr>
            </w:pPr>
            <w:r>
              <w:rPr>
                <w:rFonts w:ascii="Times New Roman" w:hAnsi="Times New Roman" w:eastAsia="宋体" w:cs="Times New Roman"/>
                <w:b/>
                <w:bCs/>
                <w:szCs w:val="21"/>
              </w:rPr>
              <w:t xml:space="preserve">4-2. </w:t>
            </w:r>
            <w:r>
              <w:rPr>
                <w:rFonts w:ascii="Times New Roman" w:hAnsi="Times New Roman" w:eastAsia="仿宋_GB2312" w:cs="Times New Roman"/>
                <w:b/>
                <w:bCs/>
                <w:szCs w:val="21"/>
              </w:rPr>
              <w:t>推进河湖生态缓冲带建设：</w:t>
            </w:r>
            <w:r>
              <w:rPr>
                <w:rFonts w:ascii="Times New Roman" w:hAnsi="Times New Roman" w:eastAsia="仿宋_GB2312" w:cs="Times New Roman"/>
                <w:bCs/>
                <w:szCs w:val="21"/>
              </w:rPr>
              <w:t>在主要入湖口开展生态缓冲带、人工湿地等建设；推进沿湖地带及裸露区块实施生态修复、绿化等</w:t>
            </w:r>
            <w:r>
              <w:rPr>
                <w:rFonts w:hint="eastAsia" w:ascii="Times New Roman" w:hAnsi="Times New Roman" w:eastAsia="仿宋_GB2312" w:cs="Times New Roman"/>
                <w:bCs/>
                <w:szCs w:val="21"/>
              </w:rPr>
              <w:t>；</w:t>
            </w:r>
          </w:p>
          <w:p>
            <w:pPr>
              <w:adjustRightInd w:val="0"/>
              <w:snapToGrid w:val="0"/>
              <w:rPr>
                <w:rFonts w:ascii="Times New Roman" w:hAnsi="Times New Roman" w:eastAsia="仿宋_GB2312" w:cs="Times New Roman"/>
                <w:b/>
                <w:bCs/>
                <w:color w:val="FF0000"/>
                <w:szCs w:val="21"/>
              </w:rPr>
            </w:pPr>
            <w:r>
              <w:rPr>
                <w:rFonts w:ascii="Times New Roman" w:hAnsi="Times New Roman" w:eastAsia="宋体" w:cs="Times New Roman"/>
                <w:b/>
                <w:bCs/>
                <w:szCs w:val="21"/>
              </w:rPr>
              <w:t>5.</w:t>
            </w:r>
            <w:r>
              <w:rPr>
                <w:rFonts w:ascii="Times New Roman" w:hAnsi="Times New Roman" w:eastAsia="仿宋_GB2312" w:cs="Times New Roman"/>
                <w:b/>
                <w:bCs/>
                <w:szCs w:val="21"/>
              </w:rPr>
              <w:t>合理优化水资源配置：</w:t>
            </w:r>
            <w:r>
              <w:rPr>
                <w:rFonts w:ascii="Times New Roman" w:hAnsi="Times New Roman" w:eastAsia="仿宋_GB2312" w:cs="Times New Roman"/>
                <w:szCs w:val="21"/>
              </w:rPr>
              <w:t>科学合理按照河流情况设置生态流量，合理调控水电站生态流量</w:t>
            </w:r>
            <w:r>
              <w:rPr>
                <w:rFonts w:hint="eastAsia" w:ascii="Times New Roman" w:hAnsi="Times New Roman" w:eastAsia="仿宋_GB2312" w:cs="Times New Roman"/>
                <w:szCs w:val="21"/>
              </w:rPr>
              <w:t>。</w:t>
            </w:r>
          </w:p>
        </w:tc>
        <w:tc>
          <w:tcPr>
            <w:tcW w:w="2029" w:type="dxa"/>
            <w:vMerge w:val="restart"/>
          </w:tcPr>
          <w:p>
            <w:pPr>
              <w:pStyle w:val="265"/>
              <w:adjustRightInd w:val="0"/>
              <w:snapToGrid w:val="0"/>
              <w:ind w:firstLine="0" w:firstLineChars="0"/>
              <w:rPr>
                <w:rFonts w:ascii="Times New Roman" w:hAnsi="Times New Roman" w:eastAsia="仿宋_GB2312" w:cs="Times New Roman"/>
                <w:szCs w:val="21"/>
              </w:rPr>
            </w:pPr>
            <w:r>
              <w:rPr>
                <w:rFonts w:ascii="Times New Roman" w:hAnsi="Times New Roman" w:eastAsia="仿宋_GB2312" w:cs="Times New Roman"/>
                <w:szCs w:val="21"/>
              </w:rPr>
              <w:t>1-1. 加强上下游联合治理，开展联合检查、联合监测、联合执法等;</w:t>
            </w:r>
          </w:p>
          <w:p>
            <w:pPr>
              <w:pStyle w:val="265"/>
              <w:adjustRightInd w:val="0"/>
              <w:snapToGrid w:val="0"/>
              <w:ind w:firstLine="0" w:firstLineChars="0"/>
              <w:rPr>
                <w:rFonts w:ascii="Times New Roman" w:hAnsi="Times New Roman" w:eastAsia="仿宋_GB2312" w:cs="Times New Roman"/>
                <w:szCs w:val="21"/>
              </w:rPr>
            </w:pPr>
            <w:r>
              <w:rPr>
                <w:rFonts w:ascii="Times New Roman" w:hAnsi="Times New Roman" w:eastAsia="仿宋_GB2312" w:cs="Times New Roman"/>
                <w:szCs w:val="21"/>
              </w:rPr>
              <w:t>1-2. 实施金峰乡、鸠坑乡、宋村乡、王阜乡、威坪镇、梓桐镇农村生活污水提标改造设备更换及中水回用项目，新建金峰乡污水处理</w:t>
            </w:r>
            <w:r>
              <w:rPr>
                <w:rFonts w:hint="eastAsia" w:ascii="Times New Roman" w:hAnsi="Times New Roman" w:eastAsia="仿宋_GB2312" w:cs="Times New Roman"/>
                <w:szCs w:val="21"/>
              </w:rPr>
              <w:t>站</w:t>
            </w:r>
            <w:r>
              <w:rPr>
                <w:rFonts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1-3. 实施工业企业整治提升项目；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1-4. 实施农村生活垃圾分类处理提升工程；</w:t>
            </w:r>
          </w:p>
          <w:p>
            <w:pPr>
              <w:adjustRightInd w:val="0"/>
              <w:snapToGrid w:val="0"/>
              <w:rPr>
                <w:rFonts w:ascii="Times New Roman" w:hAnsi="Times New Roman" w:eastAsia="仿宋_GB2312" w:cs="Times New Roman"/>
                <w:b/>
                <w:bCs/>
                <w:color w:val="FF0000"/>
                <w:szCs w:val="21"/>
              </w:rPr>
            </w:pPr>
            <w:r>
              <w:rPr>
                <w:rFonts w:ascii="Times New Roman" w:hAnsi="Times New Roman" w:eastAsia="仿宋_GB2312" w:cs="Times New Roman"/>
                <w:szCs w:val="21"/>
              </w:rPr>
              <w:t>1-5. 实施淳安县农业、林业污染防治方案设置的项目</w:t>
            </w:r>
            <w:r>
              <w:rPr>
                <w:rFonts w:hint="eastAsia" w:ascii="Times New Roman" w:hAnsi="Times New Roman" w:eastAsia="仿宋_GB2312" w:cs="Times New Roman"/>
                <w:szCs w:val="21"/>
              </w:rPr>
              <w:t>和水土流失综合治理项目</w:t>
            </w:r>
            <w:r>
              <w:rPr>
                <w:rFonts w:ascii="Times New Roman" w:hAnsi="Times New Roman" w:eastAsia="仿宋_GB2312" w:cs="Times New Roman"/>
                <w:szCs w:val="21"/>
              </w:rPr>
              <w:t>；</w:t>
            </w:r>
          </w:p>
          <w:p>
            <w:pPr>
              <w:adjustRightInd w:val="0"/>
              <w:snapToGrid w:val="0"/>
              <w:rPr>
                <w:rFonts w:ascii="Times New Roman" w:hAnsi="Times New Roman" w:eastAsia="仿宋_GB2312" w:cs="Times New Roman"/>
                <w:szCs w:val="21"/>
              </w:rPr>
            </w:pPr>
            <w:r>
              <w:rPr>
                <w:rFonts w:ascii="Times New Roman" w:hAnsi="Times New Roman" w:eastAsia="宋体" w:cs="Times New Roman"/>
                <w:szCs w:val="21"/>
              </w:rPr>
              <w:t>2.</w:t>
            </w:r>
            <w:r>
              <w:rPr>
                <w:rFonts w:ascii="Times New Roman" w:hAnsi="Times New Roman" w:eastAsia="仿宋_GB2312" w:cs="Times New Roman"/>
                <w:szCs w:val="21"/>
              </w:rPr>
              <w:t>实施千岛湖矿产品有限公司尾矿库清库项目、蛟池和威坪横塘硫铁矿污水处理运维项目和矿山治理项目；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3.实施优化湖内鱼类种群项目；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4-1.实施管控策略研究项目、千岛湖内库湾整治试点工程、湖区藻类监测能力建设等项目；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4-2. 实施临湖生态缓冲带及生态湿地建设项目、生态修复项目；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5. 开展区域水资源节约保护和开发利用总体规划编制工作，推进节水型社会建设；</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6. 推进40项淳安特别生态功能区重点改革任务。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szCs w:val="21"/>
              </w:rPr>
            </w:pP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水生态</w:t>
            </w:r>
            <w:r>
              <w:rPr>
                <w:rFonts w:ascii="Times New Roman" w:hAnsi="Times New Roman" w:eastAsia="仿宋_GB2312" w:cs="Times New Roman"/>
                <w:szCs w:val="21"/>
              </w:rPr>
              <w:t>：小金山断面富营养化指数为中营养。</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水生态</w:t>
            </w:r>
            <w:r>
              <w:rPr>
                <w:rFonts w:ascii="Times New Roman" w:hAnsi="Times New Roman" w:eastAsia="仿宋_GB2312" w:cs="Times New Roman"/>
                <w:szCs w:val="21"/>
              </w:rPr>
              <w:t>：汇水范围内河道有水、有鱼、有草；生态系统保持稳定。</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szCs w:val="21"/>
              </w:rPr>
            </w:pPr>
          </w:p>
        </w:tc>
        <w:tc>
          <w:tcPr>
            <w:tcW w:w="1094" w:type="dxa"/>
            <w:vAlign w:val="center"/>
          </w:tcPr>
          <w:p>
            <w:pPr>
              <w:adjustRightInd w:val="0"/>
              <w:snapToGrid w:val="0"/>
              <w:jc w:val="left"/>
              <w:rPr>
                <w:rFonts w:ascii="Times New Roman" w:hAnsi="Times New Roman" w:eastAsia="仿宋_GB2312" w:cs="Times New Roman"/>
                <w:szCs w:val="21"/>
              </w:rPr>
            </w:pPr>
            <w:r>
              <w:rPr>
                <w:rFonts w:ascii="Times New Roman" w:hAnsi="Times New Roman" w:eastAsia="仿宋_GB2312" w:cs="Times New Roman"/>
                <w:b/>
                <w:bCs/>
                <w:szCs w:val="21"/>
              </w:rPr>
              <w:t>水资源</w:t>
            </w:r>
            <w:r>
              <w:rPr>
                <w:rFonts w:ascii="Times New Roman" w:hAnsi="Times New Roman" w:eastAsia="仿宋_GB2312" w:cs="Times New Roman"/>
                <w:szCs w:val="21"/>
              </w:rPr>
              <w:t>：水资源丰富。</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水资源</w:t>
            </w:r>
            <w:r>
              <w:rPr>
                <w:rFonts w:ascii="Times New Roman" w:hAnsi="Times New Roman" w:eastAsia="仿宋_GB2312" w:cs="Times New Roman"/>
                <w:szCs w:val="21"/>
              </w:rPr>
              <w:t>：汇水范围内河道确保生态流量；优化水资源调度</w:t>
            </w:r>
            <w:r>
              <w:rPr>
                <w:rFonts w:hint="eastAsia" w:ascii="Times New Roman" w:hAnsi="Times New Roman" w:eastAsia="仿宋_GB2312" w:cs="Times New Roman"/>
                <w:szCs w:val="21"/>
              </w:rPr>
              <w:t>。</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867" w:type="dxa"/>
            <w:vMerge w:val="restart"/>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航头岛汇水范围</w:t>
            </w: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水环境</w:t>
            </w:r>
            <w:r>
              <w:rPr>
                <w:rFonts w:ascii="Times New Roman" w:hAnsi="Times New Roman" w:eastAsia="仿宋_GB2312" w:cs="Times New Roman"/>
                <w:szCs w:val="21"/>
              </w:rPr>
              <w:t>：2015-2020年县控以上断面均达标；无黑臭水体，无涉水突发环境事件。</w:t>
            </w:r>
          </w:p>
        </w:tc>
        <w:tc>
          <w:tcPr>
            <w:tcW w:w="1659"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 </w:t>
            </w:r>
            <w:r>
              <w:rPr>
                <w:rFonts w:ascii="Times New Roman" w:hAnsi="Times New Roman" w:eastAsia="仿宋_GB2312" w:cs="Times New Roman"/>
                <w:b/>
                <w:bCs/>
                <w:szCs w:val="21"/>
              </w:rPr>
              <w:t>断面水质受入湖支流影响：</w:t>
            </w:r>
            <w:r>
              <w:rPr>
                <w:rFonts w:ascii="Times New Roman" w:hAnsi="Times New Roman" w:eastAsia="仿宋_GB2312" w:cs="Times New Roman"/>
                <w:szCs w:val="21"/>
              </w:rPr>
              <w:t>断面位于支流入湖口附近，呈现河流相；</w:t>
            </w:r>
          </w:p>
          <w:p>
            <w:pPr>
              <w:adjustRightInd w:val="0"/>
              <w:snapToGrid w:val="0"/>
              <w:rPr>
                <w:rFonts w:ascii="Times New Roman" w:hAnsi="Times New Roman" w:eastAsia="仿宋_GB2312" w:cs="Times New Roman"/>
                <w:b/>
                <w:bCs/>
                <w:szCs w:val="21"/>
              </w:rPr>
            </w:pPr>
            <w:r>
              <w:rPr>
                <w:rFonts w:ascii="Times New Roman" w:hAnsi="Times New Roman" w:eastAsia="仿宋_GB2312" w:cs="Times New Roman"/>
                <w:b/>
                <w:bCs/>
                <w:szCs w:val="21"/>
              </w:rPr>
              <w:t>2. 富营养化评价结果多年为中营养；</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3.</w:t>
            </w:r>
            <w:r>
              <w:rPr>
                <w:rFonts w:ascii="Times New Roman" w:hAnsi="Times New Roman" w:eastAsia="仿宋_GB2312" w:cs="Times New Roman"/>
                <w:b/>
                <w:bCs/>
                <w:szCs w:val="21"/>
              </w:rPr>
              <w:t>鱼类生态系统结构单一：</w:t>
            </w:r>
            <w:r>
              <w:rPr>
                <w:rFonts w:ascii="Times New Roman" w:hAnsi="Times New Roman" w:eastAsia="仿宋_GB2312" w:cs="Times New Roman"/>
                <w:szCs w:val="21"/>
              </w:rPr>
              <w:t>现有鱼类种群单一，鱼类生态系统结构不稳定；</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4. </w:t>
            </w:r>
            <w:r>
              <w:rPr>
                <w:rFonts w:ascii="Times New Roman" w:hAnsi="Times New Roman" w:eastAsia="仿宋_GB2312" w:cs="Times New Roman"/>
                <w:b/>
                <w:bCs/>
                <w:szCs w:val="21"/>
              </w:rPr>
              <w:t>存在藻类爆发风险：</w:t>
            </w:r>
            <w:r>
              <w:rPr>
                <w:rFonts w:ascii="Times New Roman" w:hAnsi="Times New Roman" w:eastAsia="仿宋_GB2312" w:cs="Times New Roman"/>
                <w:szCs w:val="21"/>
              </w:rPr>
              <w:t>藻类聚集性异常增殖，有增加趋势；</w:t>
            </w:r>
          </w:p>
          <w:p>
            <w:pPr>
              <w:adjustRightInd w:val="0"/>
              <w:snapToGrid w:val="0"/>
              <w:rPr>
                <w:rFonts w:ascii="Times New Roman" w:hAnsi="Times New Roman" w:eastAsia="仿宋_GB2312" w:cs="Times New Roman"/>
                <w:b/>
                <w:bCs/>
                <w:szCs w:val="21"/>
              </w:rPr>
            </w:pPr>
            <w:r>
              <w:rPr>
                <w:rFonts w:ascii="Times New Roman" w:hAnsi="Times New Roman" w:eastAsia="仿宋_GB2312" w:cs="Times New Roman"/>
                <w:b/>
                <w:bCs/>
                <w:szCs w:val="21"/>
              </w:rPr>
              <w:t>5. 新安江水电站运行调度影响水生态环境。</w:t>
            </w:r>
          </w:p>
        </w:tc>
        <w:tc>
          <w:tcPr>
            <w:tcW w:w="3718" w:type="dxa"/>
            <w:vMerge w:val="restart"/>
            <w:vAlign w:val="center"/>
          </w:tcPr>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1-1.</w:t>
            </w:r>
            <w:r>
              <w:rPr>
                <w:rFonts w:ascii="Times New Roman" w:hAnsi="Times New Roman" w:eastAsia="仿宋_GB2312" w:cs="Times New Roman"/>
                <w:b/>
                <w:bCs/>
                <w:szCs w:val="21"/>
              </w:rPr>
              <w:t>截污纳管不彻底：</w:t>
            </w:r>
            <w:r>
              <w:rPr>
                <w:rFonts w:ascii="Times New Roman" w:hAnsi="Times New Roman" w:eastAsia="仿宋_GB2312" w:cs="Times New Roman"/>
                <w:szCs w:val="21"/>
              </w:rPr>
              <w:t>汇水范围行政村截污纳管已实现全覆盖，但存在少量农村生活污水未纳管，简单处理后排入就近水体；部分农村污水处理终端出水水质排放标准不严或部分污水管网有破损；</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1-2.</w:t>
            </w:r>
            <w:r>
              <w:rPr>
                <w:rFonts w:ascii="Times New Roman" w:hAnsi="Times New Roman" w:eastAsia="仿宋_GB2312" w:cs="Times New Roman"/>
                <w:b/>
                <w:bCs/>
                <w:szCs w:val="21"/>
              </w:rPr>
              <w:t>存在农业、林业面源污染：</w:t>
            </w:r>
            <w:r>
              <w:rPr>
                <w:rFonts w:ascii="Times New Roman" w:hAnsi="Times New Roman" w:eastAsia="仿宋_GB2312" w:cs="Times New Roman"/>
                <w:szCs w:val="21"/>
              </w:rPr>
              <w:t>汇水范围林业种植与农业种植、养殖，部分存在水土流失现象，氮、磷随降水和地表径流进入水体；</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生活垃圾分类处置不规范：</w:t>
            </w:r>
            <w:r>
              <w:rPr>
                <w:rFonts w:ascii="Times New Roman" w:hAnsi="Times New Roman" w:eastAsia="仿宋_GB2312" w:cs="Times New Roman"/>
                <w:szCs w:val="21"/>
              </w:rPr>
              <w:t>汇水范围内部分乡镇居民居住分散，少量农户生活垃圾不能及时回收和有效处理，存在水环境污染隐患；</w:t>
            </w:r>
            <w:r>
              <w:rPr>
                <w:rFonts w:ascii="Times New Roman" w:hAnsi="Times New Roman" w:eastAsia="仿宋_GB2312" w:cs="Times New Roman"/>
                <w:b/>
                <w:bCs/>
                <w:szCs w:val="21"/>
              </w:rPr>
              <w:t xml:space="preserve"> </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1-4.</w:t>
            </w:r>
            <w:r>
              <w:rPr>
                <w:rFonts w:ascii="Times New Roman" w:hAnsi="Times New Roman" w:eastAsia="仿宋_GB2312" w:cs="Times New Roman"/>
                <w:b/>
                <w:bCs/>
                <w:szCs w:val="21"/>
              </w:rPr>
              <w:t>工业污染防控不足：</w:t>
            </w:r>
            <w:r>
              <w:rPr>
                <w:rFonts w:ascii="Times New Roman" w:hAnsi="Times New Roman" w:eastAsia="仿宋_GB2312" w:cs="Times New Roman"/>
                <w:szCs w:val="21"/>
              </w:rPr>
              <w:t>汇水范围内工业集聚点工业企业废水污染防治水平有待提高；</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2. </w:t>
            </w:r>
            <w:r>
              <w:rPr>
                <w:rFonts w:ascii="Times New Roman" w:hAnsi="Times New Roman" w:eastAsia="仿宋_GB2312" w:cs="Times New Roman"/>
                <w:b/>
                <w:bCs/>
                <w:szCs w:val="21"/>
              </w:rPr>
              <w:t>上游来水影响：</w:t>
            </w:r>
            <w:r>
              <w:rPr>
                <w:rFonts w:ascii="Times New Roman" w:hAnsi="Times New Roman" w:eastAsia="仿宋_GB2312" w:cs="Times New Roman"/>
                <w:szCs w:val="21"/>
              </w:rPr>
              <w:t>新安江上游安徽省来水中氨氮、总磷含量较高；</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 xml:space="preserve">3. </w:t>
            </w:r>
            <w:r>
              <w:rPr>
                <w:rFonts w:ascii="Times New Roman" w:hAnsi="Times New Roman" w:eastAsia="仿宋_GB2312" w:cs="Times New Roman"/>
                <w:b/>
                <w:bCs/>
                <w:szCs w:val="21"/>
              </w:rPr>
              <w:t>水生物种群结构不科学：</w:t>
            </w:r>
            <w:r>
              <w:rPr>
                <w:rFonts w:ascii="Times New Roman" w:hAnsi="Times New Roman" w:eastAsia="仿宋_GB2312" w:cs="Times New Roman"/>
                <w:szCs w:val="21"/>
              </w:rPr>
              <w:t>水生生物（鱼类）种群结构不科学,水产养殖投放鲢鳙等鱼种比例不科学；</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4-1.</w:t>
            </w:r>
            <w:r>
              <w:rPr>
                <w:rFonts w:ascii="Times New Roman" w:hAnsi="Times New Roman" w:eastAsia="仿宋_GB2312" w:cs="Times New Roman"/>
                <w:b/>
                <w:bCs/>
                <w:szCs w:val="21"/>
              </w:rPr>
              <w:t>藻类异常增殖：</w:t>
            </w:r>
            <w:r>
              <w:rPr>
                <w:rFonts w:ascii="Times New Roman" w:hAnsi="Times New Roman" w:eastAsia="仿宋_GB2312" w:cs="Times New Roman"/>
                <w:szCs w:val="21"/>
              </w:rPr>
              <w:t>上游来水氨氮总磷浓度有所增加，造成藻类异常增殖现象，种群结构不稳定，存在藻类爆发及水华隐患；</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4-2.</w:t>
            </w:r>
            <w:r>
              <w:rPr>
                <w:rFonts w:ascii="Times New Roman" w:hAnsi="Times New Roman" w:eastAsia="仿宋_GB2312" w:cs="Times New Roman"/>
                <w:b/>
                <w:bCs/>
                <w:szCs w:val="21"/>
              </w:rPr>
              <w:t>水生态环境待优化：</w:t>
            </w:r>
            <w:r>
              <w:rPr>
                <w:rFonts w:ascii="Times New Roman" w:hAnsi="Times New Roman" w:eastAsia="仿宋_GB2312" w:cs="Times New Roman"/>
                <w:szCs w:val="21"/>
              </w:rPr>
              <w:t>河湖生态缓冲带等生态自然修复措施不到位，水污染物未充分降解就伴随降水进入千岛湖水体，加重水体的富营养化，加快底泥的沉积速度；</w:t>
            </w:r>
          </w:p>
          <w:p>
            <w:pPr>
              <w:adjustRightInd w:val="0"/>
              <w:snapToGrid w:val="0"/>
              <w:jc w:val="left"/>
              <w:rPr>
                <w:rFonts w:ascii="Times New Roman" w:hAnsi="Times New Roman" w:eastAsia="仿宋_GB2312" w:cs="Times New Roman"/>
                <w:szCs w:val="21"/>
              </w:rPr>
            </w:pPr>
            <w:r>
              <w:rPr>
                <w:rFonts w:ascii="Times New Roman" w:hAnsi="Times New Roman" w:eastAsia="宋体" w:cs="Times New Roman"/>
                <w:b/>
                <w:bCs/>
                <w:szCs w:val="21"/>
              </w:rPr>
              <w:t xml:space="preserve">5. </w:t>
            </w:r>
            <w:r>
              <w:rPr>
                <w:rFonts w:ascii="Times New Roman" w:hAnsi="Times New Roman" w:eastAsia="仿宋_GB2312" w:cs="Times New Roman"/>
                <w:b/>
                <w:bCs/>
                <w:szCs w:val="21"/>
              </w:rPr>
              <w:t>现有水利调度不合理：</w:t>
            </w:r>
            <w:r>
              <w:rPr>
                <w:rFonts w:ascii="Times New Roman" w:hAnsi="Times New Roman" w:eastAsia="仿宋_GB2312" w:cs="Times New Roman"/>
                <w:szCs w:val="21"/>
              </w:rPr>
              <w:t>小水电开发的强度较大，影响区域水资源调配及生态环境；新安江水库现有生态系统受新安江水电站水利调度影响较大，水岸消落带明显，原生态特性受影响。</w:t>
            </w: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水环境</w:t>
            </w:r>
            <w:r>
              <w:rPr>
                <w:rFonts w:ascii="Times New Roman" w:hAnsi="Times New Roman" w:eastAsia="仿宋_GB2312" w:cs="Times New Roman"/>
                <w:szCs w:val="21"/>
              </w:rPr>
              <w:t>：航头岛断面稳定达到</w:t>
            </w:r>
            <w:r>
              <w:rPr>
                <w:rFonts w:hint="eastAsia" w:ascii="Times New Roman" w:hAnsi="Times New Roman" w:eastAsia="仿宋_GB2312" w:cs="Times New Roman"/>
                <w:szCs w:val="21"/>
              </w:rPr>
              <w:t>河流水质</w:t>
            </w:r>
            <w:r>
              <w:rPr>
                <w:rFonts w:ascii="Times New Roman" w:hAnsi="Times New Roman" w:eastAsia="仿宋_GB2312" w:cs="Times New Roman"/>
                <w:szCs w:val="21"/>
              </w:rPr>
              <w:t>Ⅰ类目标；汇水范围水环境风险可控。</w:t>
            </w:r>
          </w:p>
        </w:tc>
        <w:tc>
          <w:tcPr>
            <w:tcW w:w="3543" w:type="dxa"/>
            <w:vMerge w:val="restart"/>
            <w:vAlign w:val="center"/>
          </w:tcPr>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 xml:space="preserve">1-1. </w:t>
            </w:r>
            <w:r>
              <w:rPr>
                <w:rFonts w:ascii="Times New Roman" w:hAnsi="Times New Roman" w:eastAsia="仿宋_GB2312" w:cs="Times New Roman"/>
                <w:b/>
                <w:bCs/>
                <w:szCs w:val="21"/>
              </w:rPr>
              <w:t>加强污水处理基础设施建设：</w:t>
            </w:r>
            <w:r>
              <w:rPr>
                <w:rFonts w:ascii="Times New Roman" w:hAnsi="Times New Roman" w:eastAsia="仿宋_GB2312" w:cs="Times New Roman"/>
                <w:szCs w:val="21"/>
              </w:rPr>
              <w:t>落实污水处理设施提标改造与20t/d以上农村污水处理设施改造与标准化运营；完善污水管网建设；</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1-2. </w:t>
            </w:r>
            <w:r>
              <w:rPr>
                <w:rFonts w:ascii="Times New Roman" w:hAnsi="Times New Roman" w:eastAsia="仿宋_GB2312" w:cs="Times New Roman"/>
                <w:b/>
                <w:bCs/>
                <w:szCs w:val="21"/>
              </w:rPr>
              <w:t>落实农业、林业面源污染治理：</w:t>
            </w:r>
            <w:r>
              <w:rPr>
                <w:rFonts w:ascii="Times New Roman" w:hAnsi="Times New Roman" w:eastAsia="仿宋_GB2312" w:cs="Times New Roman"/>
                <w:szCs w:val="21"/>
              </w:rPr>
              <w:t>开展化肥农药减量增效工程，推进库内休耕与高陡坡地退耕休耕，控制临湖农业开发强度，健全农业污染防控体系，建设生态拦截沟</w:t>
            </w:r>
            <w:r>
              <w:rPr>
                <w:rFonts w:hint="eastAsia" w:ascii="Times New Roman" w:hAnsi="Times New Roman" w:eastAsia="仿宋_GB2312" w:cs="Times New Roman"/>
                <w:szCs w:val="21"/>
              </w:rPr>
              <w:t>（</w:t>
            </w:r>
            <w:r>
              <w:rPr>
                <w:rFonts w:ascii="Times New Roman" w:hAnsi="Times New Roman" w:eastAsia="仿宋_GB2312" w:cs="Times New Roman"/>
                <w:szCs w:val="21"/>
              </w:rPr>
              <w:t>渠</w:t>
            </w:r>
            <w:r>
              <w:rPr>
                <w:rFonts w:hint="eastAsia" w:ascii="Times New Roman" w:hAnsi="Times New Roman" w:eastAsia="仿宋_GB2312" w:cs="Times New Roman"/>
                <w:szCs w:val="21"/>
              </w:rPr>
              <w:t>），加强小流域水土流失治理；</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1-3.</w:t>
            </w:r>
            <w:r>
              <w:rPr>
                <w:rFonts w:ascii="Times New Roman" w:hAnsi="Times New Roman" w:eastAsia="仿宋_GB2312" w:cs="Times New Roman"/>
                <w:b/>
                <w:bCs/>
                <w:szCs w:val="21"/>
              </w:rPr>
              <w:t>完善生活垃圾分类收集设施建设：</w:t>
            </w:r>
            <w:r>
              <w:rPr>
                <w:rFonts w:ascii="Times New Roman" w:hAnsi="Times New Roman" w:eastAsia="仿宋_GB2312" w:cs="Times New Roman"/>
                <w:szCs w:val="21"/>
              </w:rPr>
              <w:t>完善垃圾分类基础设施建设，推动农村生活垃圾分类收集，集中处置全覆盖；</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1-4.</w:t>
            </w:r>
            <w:r>
              <w:rPr>
                <w:rFonts w:ascii="Times New Roman" w:hAnsi="Times New Roman" w:eastAsia="仿宋_GB2312" w:cs="Times New Roman"/>
                <w:b/>
                <w:bCs/>
                <w:szCs w:val="21"/>
              </w:rPr>
              <w:t>推进工业污染防治：</w:t>
            </w:r>
            <w:r>
              <w:rPr>
                <w:rFonts w:ascii="Times New Roman" w:hAnsi="Times New Roman" w:eastAsia="仿宋_GB2312" w:cs="Times New Roman"/>
                <w:szCs w:val="21"/>
              </w:rPr>
              <w:t>全面完成工业集聚区（点）“污水零直排区”创建；</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2. </w:t>
            </w:r>
            <w:r>
              <w:rPr>
                <w:rFonts w:ascii="Times New Roman" w:hAnsi="Times New Roman" w:eastAsia="仿宋_GB2312" w:cs="Times New Roman"/>
                <w:b/>
                <w:bCs/>
                <w:szCs w:val="21"/>
              </w:rPr>
              <w:t>加强区域联防联控：</w:t>
            </w:r>
            <w:r>
              <w:rPr>
                <w:rFonts w:ascii="Times New Roman" w:hAnsi="Times New Roman" w:eastAsia="仿宋_GB2312" w:cs="Times New Roman"/>
                <w:szCs w:val="21"/>
              </w:rPr>
              <w:t>推动上下游水环境联合治理；</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 优化鱼类种群结构：</w:t>
            </w:r>
            <w:r>
              <w:rPr>
                <w:rFonts w:ascii="Times New Roman" w:hAnsi="Times New Roman" w:eastAsia="仿宋_GB2312" w:cs="Times New Roman"/>
                <w:szCs w:val="21"/>
              </w:rPr>
              <w:t>开展增殖放流，增加土著鱼类投放比例，科学调控鲢鳙鱼种群比例；</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仿宋_GB2312" w:cs="Times New Roman"/>
                <w:b/>
                <w:bCs/>
                <w:szCs w:val="21"/>
              </w:rPr>
              <w:t>4-1. 维护生物多样性：</w:t>
            </w:r>
            <w:r>
              <w:rPr>
                <w:rFonts w:ascii="Times New Roman" w:hAnsi="Times New Roman" w:eastAsia="仿宋_GB2312" w:cs="Times New Roman"/>
                <w:szCs w:val="21"/>
              </w:rPr>
              <w:t>开展藻类等浮游生物多样性研究，探索藻类的生理生态学特征及防控措施，降低藻类爆发隐患；</w:t>
            </w:r>
          </w:p>
          <w:p>
            <w:pPr>
              <w:adjustRightInd w:val="0"/>
              <w:snapToGrid w:val="0"/>
              <w:rPr>
                <w:rFonts w:ascii="Times New Roman" w:hAnsi="Times New Roman" w:eastAsia="仿宋_GB2312" w:cs="Times New Roman"/>
                <w:bCs/>
                <w:szCs w:val="21"/>
              </w:rPr>
            </w:pPr>
            <w:r>
              <w:rPr>
                <w:rFonts w:ascii="Times New Roman" w:hAnsi="Times New Roman" w:eastAsia="宋体" w:cs="Times New Roman"/>
                <w:b/>
                <w:bCs/>
                <w:szCs w:val="21"/>
              </w:rPr>
              <w:t xml:space="preserve">4-2. </w:t>
            </w:r>
            <w:r>
              <w:rPr>
                <w:rFonts w:ascii="Times New Roman" w:hAnsi="Times New Roman" w:eastAsia="仿宋_GB2312" w:cs="Times New Roman"/>
                <w:b/>
                <w:bCs/>
                <w:szCs w:val="21"/>
              </w:rPr>
              <w:t>推进河湖生态缓冲带建设：</w:t>
            </w:r>
            <w:r>
              <w:rPr>
                <w:rFonts w:ascii="Times New Roman" w:hAnsi="Times New Roman" w:eastAsia="仿宋_GB2312" w:cs="Times New Roman"/>
                <w:bCs/>
                <w:szCs w:val="21"/>
              </w:rPr>
              <w:t>在主要入湖口开展生态缓冲带、人工湿地等建设；推进沿湖地带及裸露区块实施生态修复、绿化等</w:t>
            </w:r>
            <w:r>
              <w:rPr>
                <w:rFonts w:hint="eastAsia" w:ascii="Times New Roman" w:hAnsi="Times New Roman" w:eastAsia="仿宋_GB2312" w:cs="Times New Roman"/>
                <w:bCs/>
                <w:szCs w:val="21"/>
              </w:rPr>
              <w:t>；</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5.</w:t>
            </w:r>
            <w:r>
              <w:rPr>
                <w:rFonts w:ascii="Times New Roman" w:hAnsi="Times New Roman" w:eastAsia="仿宋_GB2312" w:cs="Times New Roman"/>
                <w:b/>
                <w:bCs/>
                <w:szCs w:val="21"/>
              </w:rPr>
              <w:t>合理优化水资源配置：</w:t>
            </w:r>
            <w:r>
              <w:rPr>
                <w:rFonts w:ascii="Times New Roman" w:hAnsi="Times New Roman" w:eastAsia="仿宋_GB2312" w:cs="Times New Roman"/>
                <w:szCs w:val="21"/>
              </w:rPr>
              <w:t>科学合理按照河流情况设置生态流量，合理调控水电站生态流量。</w:t>
            </w:r>
          </w:p>
        </w:tc>
        <w:tc>
          <w:tcPr>
            <w:tcW w:w="2029" w:type="dxa"/>
            <w:vMerge w:val="restart"/>
            <w:vAlign w:val="center"/>
          </w:tcPr>
          <w:p>
            <w:pPr>
              <w:pStyle w:val="265"/>
              <w:adjustRightInd w:val="0"/>
              <w:snapToGrid w:val="0"/>
              <w:ind w:firstLine="0" w:firstLineChars="0"/>
              <w:rPr>
                <w:rFonts w:ascii="Times New Roman" w:hAnsi="Times New Roman" w:eastAsia="仿宋_GB2312" w:cs="Times New Roman"/>
                <w:szCs w:val="21"/>
              </w:rPr>
            </w:pPr>
            <w:r>
              <w:rPr>
                <w:rFonts w:ascii="Times New Roman" w:hAnsi="Times New Roman" w:eastAsia="宋体" w:cs="Times New Roman"/>
                <w:szCs w:val="21"/>
              </w:rPr>
              <w:t>1-1.</w:t>
            </w:r>
            <w:r>
              <w:rPr>
                <w:rFonts w:ascii="Times New Roman" w:hAnsi="Times New Roman" w:eastAsia="仿宋_GB2312" w:cs="Times New Roman"/>
                <w:szCs w:val="21"/>
              </w:rPr>
              <w:t>实施临岐镇、屏门乡、文昌镇、瑶山乡、左口乡农村生活污水提标改造设备更换及中水回用项目；</w:t>
            </w:r>
          </w:p>
          <w:p>
            <w:pPr>
              <w:adjustRightInd w:val="0"/>
              <w:snapToGrid w:val="0"/>
              <w:rPr>
                <w:rFonts w:ascii="Times New Roman" w:hAnsi="Times New Roman" w:eastAsia="仿宋_GB2312" w:cs="Times New Roman"/>
                <w:b/>
                <w:bCs/>
                <w:color w:val="FF0000"/>
                <w:szCs w:val="21"/>
              </w:rPr>
            </w:pPr>
            <w:r>
              <w:rPr>
                <w:rFonts w:ascii="Times New Roman" w:hAnsi="Times New Roman" w:eastAsia="宋体" w:cs="Times New Roman"/>
                <w:szCs w:val="21"/>
              </w:rPr>
              <w:t>1-2.</w:t>
            </w:r>
            <w:r>
              <w:rPr>
                <w:rFonts w:ascii="Times New Roman" w:hAnsi="Times New Roman" w:eastAsia="仿宋_GB2312" w:cs="Times New Roman"/>
                <w:szCs w:val="21"/>
              </w:rPr>
              <w:t>实施淳安县农业、林业污染防治方案设置的项目</w:t>
            </w:r>
            <w:r>
              <w:rPr>
                <w:rFonts w:hint="eastAsia" w:ascii="Times New Roman" w:hAnsi="Times New Roman" w:eastAsia="仿宋_GB2312" w:cs="Times New Roman"/>
                <w:szCs w:val="21"/>
              </w:rPr>
              <w:t>和水土流失综合治理项目；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1-3. 实施农村生活垃圾分类处理提升工程；</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1-4. 实施工业企业整治提升项目；</w:t>
            </w:r>
          </w:p>
          <w:p>
            <w:pPr>
              <w:pStyle w:val="265"/>
              <w:adjustRightInd w:val="0"/>
              <w:snapToGrid w:val="0"/>
              <w:ind w:firstLine="0" w:firstLineChars="0"/>
              <w:rPr>
                <w:rFonts w:ascii="Times New Roman" w:hAnsi="Times New Roman" w:eastAsia="仿宋_GB2312" w:cs="Times New Roman"/>
                <w:szCs w:val="21"/>
              </w:rPr>
            </w:pPr>
            <w:r>
              <w:rPr>
                <w:rFonts w:ascii="Times New Roman" w:hAnsi="Times New Roman" w:eastAsia="仿宋_GB2312" w:cs="Times New Roman"/>
                <w:szCs w:val="21"/>
              </w:rPr>
              <w:t>2. 加强上下游联合治理，开展联合检查、联合监测、联合执法等;</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3.实施优化湖内鱼类种群项目；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4-1.实施管控策略研究项目、千岛湖内库湾整治试点工程、湖区藻类监测能力建设等项目；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4-2. 实施临湖生态缓冲带及生态湿地建设项目、生态修复项目；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5.</w:t>
            </w:r>
            <w:r>
              <w:rPr>
                <w:rFonts w:ascii="Times New Roman" w:hAnsi="Times New Roman" w:eastAsia="仿宋_GB2312" w:cs="Times New Roman"/>
                <w:szCs w:val="21"/>
              </w:rPr>
              <w:t xml:space="preserve"> 开展区域水资源节约保护和开发利用总体规划编制工作，推进节水型社会建设；</w:t>
            </w:r>
          </w:p>
          <w:p>
            <w:pPr>
              <w:pStyle w:val="265"/>
              <w:adjustRightInd w:val="0"/>
              <w:snapToGrid w:val="0"/>
              <w:ind w:firstLine="0" w:firstLineChars="0"/>
              <w:rPr>
                <w:rFonts w:ascii="Times New Roman" w:hAnsi="Times New Roman" w:eastAsia="仿宋_GB2312" w:cs="Times New Roman"/>
                <w:szCs w:val="21"/>
              </w:rPr>
            </w:pPr>
            <w:r>
              <w:rPr>
                <w:rFonts w:ascii="Times New Roman" w:hAnsi="Times New Roman" w:eastAsia="宋体" w:cs="Times New Roman"/>
                <w:szCs w:val="21"/>
              </w:rPr>
              <w:t>6.</w:t>
            </w:r>
            <w:r>
              <w:rPr>
                <w:rFonts w:ascii="Times New Roman" w:hAnsi="Times New Roman" w:eastAsia="仿宋_GB2312" w:cs="Times New Roman"/>
                <w:szCs w:val="21"/>
              </w:rPr>
              <w:t>推进40项淳安特别生态功能区重点改革任务。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color w:val="FF0000"/>
                <w:szCs w:val="21"/>
              </w:rPr>
            </w:pP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水生态</w:t>
            </w:r>
            <w:r>
              <w:rPr>
                <w:rFonts w:ascii="Times New Roman" w:hAnsi="Times New Roman" w:eastAsia="仿宋_GB2312" w:cs="Times New Roman"/>
                <w:szCs w:val="21"/>
              </w:rPr>
              <w:t>：航头岛断面富营养化指数为中营养。</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水生态</w:t>
            </w:r>
            <w:r>
              <w:rPr>
                <w:rFonts w:ascii="Times New Roman" w:hAnsi="Times New Roman" w:eastAsia="仿宋_GB2312" w:cs="Times New Roman"/>
                <w:szCs w:val="21"/>
              </w:rPr>
              <w:t xml:space="preserve">：汇水范围内河道有水、有鱼、有草，生态系统保持稳定。 </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color w:val="FF0000"/>
                <w:szCs w:val="21"/>
              </w:rPr>
            </w:pP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水资源</w:t>
            </w:r>
            <w:r>
              <w:rPr>
                <w:rFonts w:ascii="Times New Roman" w:hAnsi="Times New Roman" w:eastAsia="仿宋_GB2312" w:cs="Times New Roman"/>
                <w:szCs w:val="21"/>
              </w:rPr>
              <w:t>：水资源丰富。</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水资源</w:t>
            </w:r>
            <w:r>
              <w:rPr>
                <w:rFonts w:ascii="Times New Roman" w:hAnsi="Times New Roman" w:eastAsia="仿宋_GB2312" w:cs="Times New Roman"/>
                <w:szCs w:val="21"/>
              </w:rPr>
              <w:t>：汇水范围内河道确保生态流量。</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restart"/>
            <w:vAlign w:val="center"/>
          </w:tcPr>
          <w:p>
            <w:pPr>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千岛湖大坝前汇水范围</w:t>
            </w: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水环境</w:t>
            </w:r>
            <w:r>
              <w:rPr>
                <w:rFonts w:ascii="Times New Roman" w:hAnsi="Times New Roman" w:eastAsia="仿宋_GB2312" w:cs="Times New Roman"/>
                <w:szCs w:val="21"/>
              </w:rPr>
              <w:t>：2015-2020年县控以上断面均达标；无黑臭水体，无涉水突发环境事件。</w:t>
            </w:r>
          </w:p>
        </w:tc>
        <w:tc>
          <w:tcPr>
            <w:tcW w:w="1659"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 </w:t>
            </w:r>
            <w:r>
              <w:rPr>
                <w:rFonts w:ascii="Times New Roman" w:hAnsi="Times New Roman" w:eastAsia="仿宋_GB2312" w:cs="Times New Roman"/>
                <w:b/>
                <w:bCs/>
                <w:szCs w:val="21"/>
              </w:rPr>
              <w:t>断面水质存在波动：</w:t>
            </w:r>
            <w:r>
              <w:rPr>
                <w:rFonts w:ascii="Times New Roman" w:hAnsi="Times New Roman" w:eastAsia="仿宋_GB2312" w:cs="Times New Roman"/>
                <w:szCs w:val="21"/>
              </w:rPr>
              <w:t>断面年均达到功能区要求，但在夏季受气候影响，单月易出现溶解氧波动；</w:t>
            </w:r>
          </w:p>
          <w:p>
            <w:pPr>
              <w:adjustRightInd w:val="0"/>
              <w:snapToGrid w:val="0"/>
              <w:rPr>
                <w:rFonts w:ascii="Times New Roman" w:hAnsi="Times New Roman" w:eastAsia="仿宋_GB2312" w:cs="Times New Roman"/>
                <w:szCs w:val="21"/>
              </w:rPr>
            </w:pP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2、</w:t>
            </w:r>
            <w:r>
              <w:rPr>
                <w:rFonts w:ascii="Times New Roman" w:hAnsi="Times New Roman" w:eastAsia="仿宋_GB2312" w:cs="Times New Roman"/>
                <w:b/>
                <w:bCs/>
                <w:szCs w:val="21"/>
              </w:rPr>
              <w:t>新安江水电站运行调度影响水生态环境；</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3、水资源利用率不高。</w:t>
            </w:r>
          </w:p>
        </w:tc>
        <w:tc>
          <w:tcPr>
            <w:tcW w:w="3718"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1-1. </w:t>
            </w:r>
            <w:r>
              <w:rPr>
                <w:rFonts w:ascii="Times New Roman" w:hAnsi="Times New Roman" w:eastAsia="仿宋_GB2312" w:cs="Times New Roman"/>
                <w:b/>
                <w:bCs/>
                <w:szCs w:val="21"/>
              </w:rPr>
              <w:t>针规划对性不足：</w:t>
            </w:r>
            <w:r>
              <w:rPr>
                <w:rFonts w:ascii="Times New Roman" w:hAnsi="Times New Roman" w:eastAsia="仿宋_GB2312" w:cs="Times New Roman"/>
                <w:szCs w:val="21"/>
              </w:rPr>
              <w:t>淳安县现行污水专项规划编制范围为千岛湖中心城区，对乡镇污水系统建设指导性较弱，乡镇污水系统建设缺乏针对性规划；</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 xml:space="preserve">1-2. </w:t>
            </w:r>
            <w:r>
              <w:rPr>
                <w:rFonts w:ascii="Times New Roman" w:hAnsi="Times New Roman" w:eastAsia="仿宋_GB2312" w:cs="Times New Roman"/>
                <w:b/>
                <w:bCs/>
                <w:szCs w:val="21"/>
              </w:rPr>
              <w:t>截污纳管不彻底；</w:t>
            </w:r>
            <w:r>
              <w:rPr>
                <w:rFonts w:ascii="Times New Roman" w:hAnsi="Times New Roman" w:eastAsia="仿宋_GB2312" w:cs="Times New Roman"/>
                <w:szCs w:val="21"/>
              </w:rPr>
              <w:t>汇水范围行政村截污纳管已实现全覆盖，但存在少量农村生活污水未纳管，简单处理后排入就近水体；部分农村污水处理终端出水水质排放标准不严或部分污水管网有破损；</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1-3. </w:t>
            </w:r>
            <w:r>
              <w:rPr>
                <w:rFonts w:ascii="Times New Roman" w:hAnsi="Times New Roman" w:eastAsia="仿宋_GB2312" w:cs="Times New Roman"/>
                <w:b/>
                <w:bCs/>
                <w:szCs w:val="21"/>
              </w:rPr>
              <w:t>存在农业、林业面源污染：</w:t>
            </w:r>
            <w:r>
              <w:rPr>
                <w:rFonts w:ascii="Times New Roman" w:hAnsi="Times New Roman" w:eastAsia="仿宋_GB2312" w:cs="Times New Roman"/>
                <w:szCs w:val="21"/>
              </w:rPr>
              <w:t>汇水范围林业种植与农业种植、养殖，部分存在水土流失现象，氮、磷</w:t>
            </w:r>
            <w:r>
              <w:rPr>
                <w:rFonts w:hint="eastAsia" w:ascii="Times New Roman" w:hAnsi="Times New Roman" w:eastAsia="仿宋_GB2312" w:cs="Times New Roman"/>
                <w:szCs w:val="21"/>
              </w:rPr>
              <w:t>污染物</w:t>
            </w:r>
            <w:r>
              <w:rPr>
                <w:rFonts w:ascii="Times New Roman" w:hAnsi="Times New Roman" w:eastAsia="仿宋_GB2312" w:cs="Times New Roman"/>
                <w:szCs w:val="21"/>
              </w:rPr>
              <w:t>随降水和地表径流进入水体；</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1-4.</w:t>
            </w:r>
            <w:r>
              <w:rPr>
                <w:rFonts w:ascii="Times New Roman" w:hAnsi="Times New Roman" w:eastAsia="仿宋_GB2312" w:cs="Times New Roman"/>
                <w:b/>
                <w:bCs/>
                <w:szCs w:val="21"/>
              </w:rPr>
              <w:t>生活垃圾分类处置不规范：</w:t>
            </w:r>
            <w:r>
              <w:rPr>
                <w:rFonts w:ascii="Times New Roman" w:hAnsi="Times New Roman" w:eastAsia="仿宋_GB2312" w:cs="Times New Roman"/>
                <w:szCs w:val="21"/>
              </w:rPr>
              <w:t>汇水范围内部分乡镇居民居住分散，少量农户生活垃圾不能及时回收和有效处理，存在水环境污染隐患；</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1-5.</w:t>
            </w:r>
            <w:r>
              <w:rPr>
                <w:rFonts w:ascii="Times New Roman" w:hAnsi="Times New Roman" w:eastAsia="仿宋_GB2312" w:cs="Times New Roman"/>
                <w:b/>
                <w:bCs/>
                <w:szCs w:val="21"/>
              </w:rPr>
              <w:t>工业污染防控不足：</w:t>
            </w:r>
            <w:r>
              <w:rPr>
                <w:rFonts w:ascii="Times New Roman" w:hAnsi="Times New Roman" w:eastAsia="仿宋_GB2312" w:cs="Times New Roman"/>
                <w:szCs w:val="21"/>
              </w:rPr>
              <w:t>汇水范围内工业集聚点工业企业废水污染防治水平有待提高；</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1-6.</w:t>
            </w:r>
            <w:r>
              <w:rPr>
                <w:rFonts w:ascii="Times New Roman" w:hAnsi="Times New Roman" w:eastAsia="仿宋_GB2312" w:cs="Times New Roman"/>
                <w:b/>
                <w:bCs/>
                <w:szCs w:val="21"/>
              </w:rPr>
              <w:t>水生态环境待优化:</w:t>
            </w:r>
            <w:r>
              <w:rPr>
                <w:rFonts w:ascii="Times New Roman" w:hAnsi="Times New Roman" w:eastAsia="仿宋_GB2312" w:cs="Times New Roman"/>
                <w:szCs w:val="21"/>
              </w:rPr>
              <w:t>河湖生态缓冲带等生态自然修复措施不到位，水污染物未充分降解就伴随降水进入千岛湖水体，加重水体的富营养化，加快底泥的沉积速度；</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b/>
                <w:bCs/>
                <w:szCs w:val="21"/>
              </w:rPr>
              <w:t xml:space="preserve">2. </w:t>
            </w:r>
            <w:r>
              <w:rPr>
                <w:rFonts w:ascii="Times New Roman" w:hAnsi="Times New Roman" w:eastAsia="仿宋_GB2312" w:cs="Times New Roman"/>
                <w:b/>
                <w:bCs/>
                <w:szCs w:val="21"/>
              </w:rPr>
              <w:t>现有水利调度不合理；</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小水电开发的强度较大，影响区域水资源调配及生态环境；新安江水库现有生态系统受新安江水电站水利调度影响较大，水岸消落带明显，形成水岸间生态荒漠化，原生态特性受影响；</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3. 区域再生水利用不足：</w:t>
            </w:r>
            <w:r>
              <w:rPr>
                <w:rFonts w:ascii="Times New Roman" w:hAnsi="Times New Roman" w:eastAsia="仿宋_GB2312" w:cs="Times New Roman"/>
                <w:szCs w:val="21"/>
              </w:rPr>
              <w:t>再生水利用设施和管网建设滞后、再生水管理体系不健全等。</w:t>
            </w: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水环境</w:t>
            </w:r>
            <w:r>
              <w:rPr>
                <w:rFonts w:ascii="Times New Roman" w:hAnsi="Times New Roman" w:eastAsia="仿宋_GB2312" w:cs="Times New Roman"/>
                <w:szCs w:val="21"/>
              </w:rPr>
              <w:t>：大坝前断面稳定达到湖库</w:t>
            </w:r>
            <w:r>
              <w:rPr>
                <w:rFonts w:hint="eastAsia" w:ascii="Times New Roman" w:hAnsi="Times New Roman" w:eastAsia="仿宋_GB2312" w:cs="Times New Roman"/>
                <w:szCs w:val="21"/>
              </w:rPr>
              <w:t>水质</w:t>
            </w:r>
            <w:r>
              <w:rPr>
                <w:rFonts w:ascii="Times New Roman" w:hAnsi="Times New Roman" w:eastAsia="仿宋_GB2312" w:cs="Times New Roman"/>
                <w:szCs w:val="21"/>
              </w:rPr>
              <w:t>Ⅰ类</w:t>
            </w:r>
            <w:r>
              <w:rPr>
                <w:rFonts w:hint="eastAsia" w:ascii="Times New Roman" w:hAnsi="Times New Roman" w:eastAsia="仿宋_GB2312" w:cs="Times New Roman"/>
                <w:szCs w:val="21"/>
              </w:rPr>
              <w:t>目标</w:t>
            </w:r>
            <w:r>
              <w:rPr>
                <w:rFonts w:ascii="Times New Roman" w:hAnsi="Times New Roman" w:eastAsia="仿宋_GB2312" w:cs="Times New Roman"/>
                <w:szCs w:val="21"/>
              </w:rPr>
              <w:t>；汇水范围水环境风险可控。</w:t>
            </w:r>
          </w:p>
        </w:tc>
        <w:tc>
          <w:tcPr>
            <w:tcW w:w="3543" w:type="dxa"/>
            <w:vMerge w:val="restart"/>
            <w:vAlign w:val="center"/>
          </w:tcPr>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1-1. </w:t>
            </w:r>
            <w:r>
              <w:rPr>
                <w:rFonts w:ascii="Times New Roman" w:hAnsi="Times New Roman" w:eastAsia="仿宋_GB2312" w:cs="Times New Roman"/>
                <w:b/>
                <w:bCs/>
                <w:szCs w:val="21"/>
              </w:rPr>
              <w:t>修编污水专项规划:</w:t>
            </w:r>
            <w:r>
              <w:rPr>
                <w:rFonts w:ascii="Times New Roman" w:hAnsi="Times New Roman" w:eastAsia="仿宋_GB2312" w:cs="Times New Roman"/>
                <w:szCs w:val="21"/>
              </w:rPr>
              <w:t>将污水专项规划编制范围扩大至千岛湖镇周边乡镇及淳安县其他中心城镇，为乡镇污水系统建设提供指导；</w:t>
            </w:r>
          </w:p>
          <w:p>
            <w:pPr>
              <w:autoSpaceDN w:val="0"/>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1-2. </w:t>
            </w:r>
            <w:r>
              <w:rPr>
                <w:rFonts w:ascii="Times New Roman" w:hAnsi="Times New Roman" w:eastAsia="仿宋_GB2312" w:cs="Times New Roman"/>
                <w:b/>
                <w:bCs/>
                <w:szCs w:val="21"/>
              </w:rPr>
              <w:t>推进污水零直排区建设:</w:t>
            </w:r>
            <w:r>
              <w:rPr>
                <w:rFonts w:ascii="Times New Roman" w:hAnsi="Times New Roman" w:eastAsia="仿宋_GB2312" w:cs="Times New Roman"/>
                <w:szCs w:val="21"/>
              </w:rPr>
              <w:t>完善污水收集系统建设，提高农村生活污水收集率；完成20t/d以上农村生活污水处理设施提标改造与标准化运营；</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 xml:space="preserve">1-3. </w:t>
            </w:r>
            <w:r>
              <w:rPr>
                <w:rFonts w:ascii="Times New Roman" w:hAnsi="Times New Roman" w:eastAsia="仿宋_GB2312" w:cs="Times New Roman"/>
                <w:b/>
                <w:bCs/>
                <w:szCs w:val="21"/>
              </w:rPr>
              <w:t>落实农业、林业面源污染治理：</w:t>
            </w:r>
            <w:r>
              <w:rPr>
                <w:rFonts w:ascii="Times New Roman" w:hAnsi="Times New Roman" w:eastAsia="仿宋_GB2312" w:cs="Times New Roman"/>
                <w:szCs w:val="21"/>
              </w:rPr>
              <w:t>开展化肥农药减量增效工程，推进库内休耕与高陡坡地退耕休耕，控制临湖农业开发强度，健全农业污染防控体系，建设生态拦截沟</w:t>
            </w:r>
            <w:r>
              <w:rPr>
                <w:rFonts w:hint="eastAsia" w:ascii="Times New Roman" w:hAnsi="Times New Roman" w:eastAsia="仿宋_GB2312" w:cs="Times New Roman"/>
                <w:szCs w:val="21"/>
              </w:rPr>
              <w:t>（</w:t>
            </w:r>
            <w:r>
              <w:rPr>
                <w:rFonts w:ascii="Times New Roman" w:hAnsi="Times New Roman" w:eastAsia="仿宋_GB2312" w:cs="Times New Roman"/>
                <w:szCs w:val="21"/>
              </w:rPr>
              <w:t>渠</w:t>
            </w:r>
            <w:r>
              <w:rPr>
                <w:rFonts w:hint="eastAsia" w:ascii="Times New Roman" w:hAnsi="Times New Roman" w:eastAsia="仿宋_GB2312" w:cs="Times New Roman"/>
                <w:szCs w:val="21"/>
              </w:rPr>
              <w:t>），加强小流域水土流失治理；</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1-4.</w:t>
            </w:r>
            <w:r>
              <w:rPr>
                <w:rFonts w:ascii="Times New Roman" w:hAnsi="Times New Roman" w:eastAsia="仿宋_GB2312" w:cs="Times New Roman"/>
                <w:b/>
                <w:bCs/>
                <w:szCs w:val="21"/>
              </w:rPr>
              <w:t>完善生活垃圾分类收集设施建设：</w:t>
            </w:r>
            <w:r>
              <w:rPr>
                <w:rFonts w:ascii="Times New Roman" w:hAnsi="Times New Roman" w:eastAsia="仿宋_GB2312" w:cs="Times New Roman"/>
                <w:szCs w:val="21"/>
              </w:rPr>
              <w:t>完善垃圾分类基础设施建设，推动农村生活垃圾分类收集，集中处置全覆盖；</w:t>
            </w:r>
          </w:p>
          <w:p>
            <w:pPr>
              <w:pStyle w:val="265"/>
              <w:adjustRightInd w:val="0"/>
              <w:snapToGrid w:val="0"/>
              <w:ind w:firstLine="0" w:firstLineChars="0"/>
              <w:rPr>
                <w:rFonts w:ascii="Times New Roman" w:hAnsi="Times New Roman" w:eastAsia="仿宋_GB2312" w:cs="Times New Roman"/>
                <w:b/>
                <w:bCs/>
                <w:szCs w:val="21"/>
              </w:rPr>
            </w:pPr>
            <w:r>
              <w:rPr>
                <w:rFonts w:ascii="Times New Roman" w:hAnsi="Times New Roman" w:eastAsia="宋体" w:cs="Times New Roman"/>
                <w:b/>
                <w:bCs/>
                <w:szCs w:val="21"/>
              </w:rPr>
              <w:t>1-5.</w:t>
            </w:r>
            <w:r>
              <w:rPr>
                <w:rFonts w:ascii="Times New Roman" w:hAnsi="Times New Roman" w:eastAsia="仿宋_GB2312" w:cs="Times New Roman"/>
                <w:b/>
                <w:bCs/>
                <w:szCs w:val="21"/>
              </w:rPr>
              <w:t>推进工业污染防治：</w:t>
            </w:r>
            <w:r>
              <w:rPr>
                <w:rFonts w:ascii="Times New Roman" w:hAnsi="Times New Roman" w:eastAsia="仿宋_GB2312" w:cs="Times New Roman"/>
                <w:szCs w:val="21"/>
              </w:rPr>
              <w:t>全面完成工业集聚区（点）“污水零直排区”创建；</w:t>
            </w:r>
          </w:p>
          <w:p>
            <w:pPr>
              <w:adjustRightInd w:val="0"/>
              <w:snapToGrid w:val="0"/>
              <w:rPr>
                <w:rFonts w:ascii="Times New Roman" w:hAnsi="Times New Roman" w:eastAsia="宋体" w:cs="Times New Roman"/>
                <w:b/>
                <w:bCs/>
                <w:color w:val="FF0000"/>
                <w:szCs w:val="21"/>
              </w:rPr>
            </w:pPr>
            <w:r>
              <w:rPr>
                <w:rFonts w:ascii="Times New Roman" w:hAnsi="Times New Roman" w:eastAsia="宋体" w:cs="Times New Roman"/>
                <w:b/>
                <w:bCs/>
                <w:szCs w:val="21"/>
              </w:rPr>
              <w:t xml:space="preserve">1-6. </w:t>
            </w:r>
            <w:r>
              <w:rPr>
                <w:rFonts w:ascii="Times New Roman" w:hAnsi="Times New Roman" w:eastAsia="仿宋_GB2312" w:cs="Times New Roman"/>
                <w:b/>
                <w:bCs/>
                <w:szCs w:val="21"/>
              </w:rPr>
              <w:t>推进河湖生态缓冲带建设：</w:t>
            </w:r>
            <w:r>
              <w:rPr>
                <w:rFonts w:ascii="Times New Roman" w:hAnsi="Times New Roman" w:eastAsia="仿宋_GB2312" w:cs="Times New Roman"/>
                <w:bCs/>
                <w:szCs w:val="21"/>
              </w:rPr>
              <w:t>在主要入湖口开展生态缓冲带、人工湿地等建设；推进沿湖地带及裸露区块实施生态修复、绿化等</w:t>
            </w:r>
            <w:r>
              <w:rPr>
                <w:rFonts w:hint="eastAsia" w:ascii="Times New Roman" w:hAnsi="Times New Roman" w:eastAsia="仿宋_GB2312" w:cs="Times New Roman"/>
                <w:bCs/>
                <w:szCs w:val="21"/>
              </w:rPr>
              <w:t>；</w:t>
            </w:r>
          </w:p>
          <w:p>
            <w:pPr>
              <w:adjustRightInd w:val="0"/>
              <w:snapToGrid w:val="0"/>
              <w:rPr>
                <w:rFonts w:ascii="Times New Roman" w:hAnsi="Times New Roman" w:eastAsia="仿宋_GB2312" w:cs="Times New Roman"/>
                <w:szCs w:val="21"/>
              </w:rPr>
            </w:pPr>
            <w:r>
              <w:rPr>
                <w:rFonts w:ascii="Times New Roman" w:hAnsi="Times New Roman" w:eastAsia="宋体" w:cs="Times New Roman"/>
                <w:b/>
                <w:bCs/>
                <w:szCs w:val="21"/>
              </w:rPr>
              <w:t>2.</w:t>
            </w:r>
            <w:r>
              <w:rPr>
                <w:rFonts w:ascii="Times New Roman" w:hAnsi="Times New Roman" w:eastAsia="仿宋_GB2312" w:cs="Times New Roman"/>
                <w:b/>
                <w:bCs/>
                <w:szCs w:val="21"/>
              </w:rPr>
              <w:t>合理优化水资源配置：</w:t>
            </w:r>
            <w:r>
              <w:rPr>
                <w:rFonts w:ascii="Times New Roman" w:hAnsi="Times New Roman" w:eastAsia="仿宋_GB2312" w:cs="Times New Roman"/>
                <w:szCs w:val="21"/>
              </w:rPr>
              <w:t>科学合理按照河流情况设置生态流量，合理调控水电站生态流量</w:t>
            </w:r>
            <w:r>
              <w:rPr>
                <w:rFonts w:hint="eastAsia" w:ascii="Times New Roman" w:hAnsi="Times New Roman" w:eastAsia="仿宋_GB2312" w:cs="Times New Roman"/>
                <w:szCs w:val="21"/>
              </w:rPr>
              <w:t>；</w:t>
            </w:r>
          </w:p>
          <w:p>
            <w:pPr>
              <w:adjustRightInd w:val="0"/>
              <w:snapToGrid w:val="0"/>
              <w:rPr>
                <w:rFonts w:ascii="Times New Roman" w:hAnsi="Times New Roman" w:eastAsia="仿宋_GB2312" w:cs="Times New Roman"/>
                <w:color w:val="FF0000"/>
                <w:szCs w:val="21"/>
              </w:rPr>
            </w:pPr>
            <w:r>
              <w:rPr>
                <w:rFonts w:ascii="Times New Roman" w:hAnsi="Times New Roman" w:eastAsia="仿宋_GB2312" w:cs="Times New Roman"/>
                <w:b/>
                <w:bCs/>
                <w:szCs w:val="21"/>
              </w:rPr>
              <w:t>3. 加强再生水利用：</w:t>
            </w:r>
            <w:r>
              <w:rPr>
                <w:rFonts w:ascii="Times New Roman" w:hAnsi="Times New Roman" w:eastAsia="仿宋_GB2312" w:cs="Times New Roman"/>
                <w:szCs w:val="21"/>
              </w:rPr>
              <w:t>推进污水处理厂和企业开展中水回用（再生水回用）。</w:t>
            </w:r>
          </w:p>
        </w:tc>
        <w:tc>
          <w:tcPr>
            <w:tcW w:w="2029" w:type="dxa"/>
            <w:vMerge w:val="restar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 xml:space="preserve">1-1. </w:t>
            </w:r>
            <w:r>
              <w:rPr>
                <w:rFonts w:ascii="Times New Roman" w:hAnsi="Times New Roman" w:eastAsia="仿宋_GB2312" w:cs="Times New Roman"/>
                <w:szCs w:val="21"/>
              </w:rPr>
              <w:t>完成污水专项规划修编</w:t>
            </w:r>
            <w:r>
              <w:rPr>
                <w:rFonts w:ascii="Times New Roman" w:hAnsi="Times New Roman" w:eastAsia="宋体" w:cs="Times New Roman"/>
                <w:szCs w:val="21"/>
              </w:rPr>
              <w:t>；</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1-2.</w:t>
            </w:r>
            <w:r>
              <w:rPr>
                <w:rFonts w:ascii="Times New Roman" w:hAnsi="Times New Roman" w:eastAsia="仿宋_GB2312" w:cs="Times New Roman"/>
                <w:szCs w:val="21"/>
              </w:rPr>
              <w:t xml:space="preserve"> 实施青溪西城污水零直排工程</w:t>
            </w:r>
            <w:r>
              <w:rPr>
                <w:rFonts w:hint="eastAsia" w:ascii="Times New Roman" w:hAnsi="Times New Roman" w:eastAsia="仿宋_GB2312" w:cs="Times New Roman"/>
                <w:szCs w:val="21"/>
              </w:rPr>
              <w:t>、</w:t>
            </w:r>
            <w:r>
              <w:rPr>
                <w:rFonts w:ascii="Times New Roman" w:hAnsi="Times New Roman" w:eastAsia="仿宋_GB2312" w:cs="Times New Roman"/>
                <w:szCs w:val="21"/>
              </w:rPr>
              <w:t>富文乡、石林镇农村生活污水提标改造设备更换及中水回用项目</w:t>
            </w:r>
            <w:r>
              <w:rPr>
                <w:rFonts w:hint="eastAsia" w:ascii="Times New Roman" w:hAnsi="Times New Roman" w:eastAsia="仿宋_GB2312" w:cs="Times New Roman"/>
                <w:szCs w:val="21"/>
              </w:rPr>
              <w:t>、</w:t>
            </w:r>
            <w:r>
              <w:rPr>
                <w:rFonts w:ascii="Times New Roman" w:hAnsi="Times New Roman" w:eastAsia="仿宋_GB2312" w:cs="Times New Roman"/>
                <w:szCs w:val="21"/>
              </w:rPr>
              <w:t>新建石林镇污水处理厂</w:t>
            </w:r>
            <w:r>
              <w:rPr>
                <w:rFonts w:ascii="Times New Roman" w:hAnsi="Times New Roman" w:eastAsia="宋体" w:cs="Times New Roman"/>
                <w:szCs w:val="21"/>
              </w:rPr>
              <w:t>；</w:t>
            </w:r>
          </w:p>
          <w:p>
            <w:pPr>
              <w:adjustRightInd w:val="0"/>
              <w:snapToGrid w:val="0"/>
              <w:rPr>
                <w:rFonts w:ascii="Times New Roman" w:hAnsi="Times New Roman" w:eastAsia="仿宋_GB2312" w:cs="Times New Roman"/>
                <w:b/>
                <w:bCs/>
                <w:color w:val="FF0000"/>
                <w:szCs w:val="21"/>
              </w:rPr>
            </w:pPr>
            <w:r>
              <w:rPr>
                <w:rFonts w:ascii="Times New Roman" w:hAnsi="Times New Roman" w:eastAsia="宋体" w:cs="Times New Roman"/>
                <w:szCs w:val="21"/>
              </w:rPr>
              <w:t>1-3.</w:t>
            </w:r>
            <w:r>
              <w:rPr>
                <w:rFonts w:ascii="Times New Roman" w:hAnsi="Times New Roman" w:eastAsia="仿宋_GB2312" w:cs="Times New Roman"/>
                <w:szCs w:val="21"/>
              </w:rPr>
              <w:t>实施淳安县农业、林业污染防治方案设置的项目</w:t>
            </w:r>
            <w:r>
              <w:rPr>
                <w:rFonts w:hint="eastAsia" w:ascii="Times New Roman" w:hAnsi="Times New Roman" w:eastAsia="仿宋_GB2312" w:cs="Times New Roman"/>
                <w:szCs w:val="21"/>
              </w:rPr>
              <w:t>和水土流失综合治理项目；</w:t>
            </w:r>
            <w:r>
              <w:rPr>
                <w:rFonts w:ascii="Times New Roman" w:hAnsi="Times New Roman" w:eastAsia="仿宋_GB2312" w:cs="Times New Roman"/>
                <w:b/>
                <w:bCs/>
                <w:color w:val="FF0000"/>
                <w:szCs w:val="21"/>
              </w:rPr>
              <w:t xml:space="preserve"> </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1-4. 实施农村生活垃圾分类处理提升工程；</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1-5. 实施工业企业整治提升项目；</w:t>
            </w:r>
          </w:p>
          <w:p>
            <w:pPr>
              <w:adjustRightInd w:val="0"/>
              <w:snapToGrid w:val="0"/>
              <w:rPr>
                <w:rFonts w:ascii="Times New Roman" w:hAnsi="Times New Roman" w:eastAsia="宋体" w:cs="Times New Roman"/>
                <w:szCs w:val="21"/>
              </w:rPr>
            </w:pPr>
            <w:r>
              <w:rPr>
                <w:rFonts w:ascii="Times New Roman" w:hAnsi="Times New Roman" w:eastAsia="仿宋_GB2312" w:cs="Times New Roman"/>
                <w:szCs w:val="21"/>
              </w:rPr>
              <w:t>1-6. 实施临湖生态缓冲带及生态湿地建设项目、生态修复项目；</w:t>
            </w:r>
          </w:p>
          <w:p>
            <w:pPr>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2. 开展区域水资源节约保护和开发利用总体规划编制工作，推进节水型社会建设；</w:t>
            </w:r>
          </w:p>
          <w:p>
            <w:pPr>
              <w:adjustRightInd w:val="0"/>
              <w:snapToGrid w:val="0"/>
              <w:rPr>
                <w:rFonts w:ascii="Times New Roman" w:hAnsi="Times New Roman" w:eastAsia="宋体" w:cs="Times New Roman"/>
                <w:szCs w:val="21"/>
              </w:rPr>
            </w:pPr>
            <w:r>
              <w:rPr>
                <w:rFonts w:ascii="Times New Roman" w:hAnsi="Times New Roman" w:eastAsia="仿宋_GB2312" w:cs="Times New Roman"/>
                <w:szCs w:val="21"/>
              </w:rPr>
              <w:t>3. 实施城西、南山、坪山污水厂中水设施提升回用，清洁排放改造工程</w:t>
            </w:r>
            <w:r>
              <w:rPr>
                <w:rFonts w:hint="eastAsia" w:ascii="Times New Roman" w:hAnsi="Times New Roman" w:eastAsia="仿宋_GB2312" w:cs="Times New Roman"/>
                <w:szCs w:val="21"/>
              </w:rPr>
              <w:t>,</w:t>
            </w:r>
            <w:r>
              <w:rPr>
                <w:rFonts w:hint="eastAsia"/>
              </w:rPr>
              <w:t xml:space="preserve"> </w:t>
            </w:r>
            <w:r>
              <w:rPr>
                <w:rFonts w:hint="eastAsia" w:ascii="Times New Roman" w:hAnsi="Times New Roman" w:eastAsia="仿宋_GB2312" w:cs="Times New Roman"/>
                <w:szCs w:val="21"/>
              </w:rPr>
              <w:t>推进喷水织机企业中水回用；</w:t>
            </w:r>
          </w:p>
          <w:p>
            <w:pPr>
              <w:adjustRightInd w:val="0"/>
              <w:snapToGrid w:val="0"/>
              <w:rPr>
                <w:rFonts w:ascii="Times New Roman" w:hAnsi="Times New Roman" w:eastAsia="仿宋_GB2312" w:cs="Times New Roman"/>
                <w:b/>
                <w:bCs/>
                <w:szCs w:val="21"/>
              </w:rPr>
            </w:pPr>
            <w:r>
              <w:rPr>
                <w:rFonts w:ascii="Times New Roman" w:hAnsi="Times New Roman" w:eastAsia="宋体" w:cs="Times New Roman"/>
                <w:szCs w:val="21"/>
              </w:rPr>
              <w:t>4.</w:t>
            </w:r>
            <w:r>
              <w:rPr>
                <w:rFonts w:ascii="Times New Roman" w:hAnsi="Times New Roman" w:eastAsia="仿宋_GB2312" w:cs="Times New Roman"/>
                <w:szCs w:val="21"/>
              </w:rPr>
              <w:t>推进40项淳安特别生态功能区重点改革任务。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color w:val="FF0000"/>
                <w:szCs w:val="21"/>
              </w:rPr>
            </w:pP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水生态</w:t>
            </w:r>
            <w:r>
              <w:rPr>
                <w:rFonts w:ascii="Times New Roman" w:hAnsi="Times New Roman" w:eastAsia="仿宋_GB2312" w:cs="Times New Roman"/>
                <w:szCs w:val="21"/>
              </w:rPr>
              <w:t>：大坝前断面富营养化指数为贫营养。</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水生态</w:t>
            </w:r>
            <w:r>
              <w:rPr>
                <w:rFonts w:ascii="Times New Roman" w:hAnsi="Times New Roman" w:eastAsia="仿宋_GB2312" w:cs="Times New Roman"/>
                <w:szCs w:val="21"/>
              </w:rPr>
              <w:t>：汇水范围内河道有水、有鱼、有草；透明度年均值达到4.5m以上。</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7" w:type="dxa"/>
            <w:vMerge w:val="continue"/>
            <w:vAlign w:val="center"/>
          </w:tcPr>
          <w:p>
            <w:pPr>
              <w:adjustRightInd w:val="0"/>
              <w:snapToGrid w:val="0"/>
              <w:jc w:val="center"/>
              <w:rPr>
                <w:rFonts w:ascii="Times New Roman" w:hAnsi="Times New Roman" w:eastAsia="仿宋_GB2312" w:cs="Times New Roman"/>
                <w:color w:val="FF0000"/>
                <w:szCs w:val="21"/>
              </w:rPr>
            </w:pPr>
          </w:p>
        </w:tc>
        <w:tc>
          <w:tcPr>
            <w:tcW w:w="109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cs="Times New Roman"/>
                <w:b/>
                <w:bCs/>
                <w:szCs w:val="21"/>
              </w:rPr>
              <w:t>水资源</w:t>
            </w:r>
            <w:r>
              <w:rPr>
                <w:rFonts w:ascii="Times New Roman" w:hAnsi="Times New Roman" w:eastAsia="仿宋_GB2312" w:cs="Times New Roman"/>
                <w:szCs w:val="21"/>
              </w:rPr>
              <w:t>：水资源丰富。</w:t>
            </w:r>
          </w:p>
        </w:tc>
        <w:tc>
          <w:tcPr>
            <w:tcW w:w="1659"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3718"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1134" w:type="dxa"/>
            <w:vAlign w:val="center"/>
          </w:tcPr>
          <w:p>
            <w:pPr>
              <w:adjustRightInd w:val="0"/>
              <w:snapToGrid w:val="0"/>
              <w:rPr>
                <w:rFonts w:ascii="Times New Roman" w:hAnsi="Times New Roman" w:eastAsia="仿宋_GB2312" w:cs="Times New Roman"/>
                <w:szCs w:val="21"/>
              </w:rPr>
            </w:pPr>
            <w:r>
              <w:rPr>
                <w:rFonts w:hint="eastAsia" w:ascii="Times New Roman" w:hAnsi="Times New Roman" w:eastAsia="仿宋_GB2312" w:cs="Times New Roman"/>
                <w:b/>
                <w:bCs/>
                <w:szCs w:val="21"/>
              </w:rPr>
              <w:t>水资源</w:t>
            </w:r>
            <w:r>
              <w:rPr>
                <w:rFonts w:ascii="Times New Roman" w:hAnsi="Times New Roman" w:eastAsia="仿宋_GB2312" w:cs="Times New Roman"/>
                <w:szCs w:val="21"/>
              </w:rPr>
              <w:t>：汇水范围内河道确保生态流量。</w:t>
            </w:r>
          </w:p>
        </w:tc>
        <w:tc>
          <w:tcPr>
            <w:tcW w:w="3543" w:type="dxa"/>
            <w:vMerge w:val="continue"/>
            <w:vAlign w:val="center"/>
          </w:tcPr>
          <w:p>
            <w:pPr>
              <w:adjustRightInd w:val="0"/>
              <w:snapToGrid w:val="0"/>
              <w:jc w:val="left"/>
              <w:rPr>
                <w:rFonts w:ascii="Times New Roman" w:hAnsi="Times New Roman" w:eastAsia="仿宋_GB2312" w:cs="Times New Roman"/>
                <w:color w:val="FF0000"/>
                <w:szCs w:val="21"/>
              </w:rPr>
            </w:pPr>
          </w:p>
        </w:tc>
        <w:tc>
          <w:tcPr>
            <w:tcW w:w="2029" w:type="dxa"/>
            <w:vMerge w:val="continue"/>
            <w:vAlign w:val="center"/>
          </w:tcPr>
          <w:p>
            <w:pPr>
              <w:adjustRightInd w:val="0"/>
              <w:snapToGrid w:val="0"/>
              <w:jc w:val="left"/>
              <w:rPr>
                <w:rFonts w:ascii="Times New Roman" w:hAnsi="Times New Roman" w:eastAsia="仿宋_GB2312" w:cs="Times New Roman"/>
                <w:color w:val="FF0000"/>
                <w:szCs w:val="21"/>
              </w:rPr>
            </w:pPr>
          </w:p>
        </w:tc>
      </w:tr>
    </w:tbl>
    <w:p>
      <w:pPr>
        <w:rPr>
          <w:rFonts w:ascii="黑体" w:hAnsi="黑体" w:eastAsia="黑体" w:cs="Times New Roman"/>
          <w:color w:val="FF0000"/>
          <w:sz w:val="32"/>
          <w:szCs w:val="32"/>
        </w:rPr>
        <w:sectPr>
          <w:pgSz w:w="16838" w:h="11906" w:orient="landscape"/>
          <w:pgMar w:top="1800" w:right="1440" w:bottom="1800" w:left="1440" w:header="851" w:footer="992" w:gutter="0"/>
          <w:cols w:space="425" w:num="1"/>
          <w:docGrid w:type="lines" w:linePitch="312" w:charSpace="0"/>
        </w:sectPr>
      </w:pPr>
    </w:p>
    <w:p>
      <w:pPr>
        <w:pStyle w:val="61"/>
        <w:numPr>
          <w:ilvl w:val="0"/>
          <w:numId w:val="1"/>
        </w:numPr>
        <w:spacing w:line="560" w:lineRule="exact"/>
        <w:ind w:firstLineChars="0"/>
        <w:outlineLvl w:val="0"/>
        <w:rPr>
          <w:rFonts w:ascii="黑体" w:hAnsi="黑体" w:eastAsia="黑体" w:cs="Times New Roman"/>
          <w:sz w:val="32"/>
          <w:szCs w:val="32"/>
        </w:rPr>
      </w:pPr>
      <w:bookmarkStart w:id="48" w:name="_Toc70260353"/>
      <w:r>
        <w:rPr>
          <w:rFonts w:hint="eastAsia" w:ascii="黑体" w:hAnsi="黑体" w:eastAsia="黑体" w:cs="Times New Roman"/>
          <w:sz w:val="32"/>
          <w:szCs w:val="32"/>
        </w:rPr>
        <w:t>水环境保护重点工程</w:t>
      </w:r>
      <w:bookmarkEnd w:id="48"/>
    </w:p>
    <w:p>
      <w:pPr>
        <w:autoSpaceDN w:val="0"/>
        <w:spacing w:line="560" w:lineRule="exact"/>
        <w:ind w:firstLine="62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“十四五”期间，拟安排实施饮用水水源保护、城镇及农村污水处理、工业污染防治、农林业面源污染防治、水生态保护修复、风险管控等方面水生态环境保护重点工程</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4项，总投资为25.2646亿元。具体项目实施内容与投资估算等见表</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-1。</w:t>
      </w:r>
    </w:p>
    <w:p>
      <w:pPr>
        <w:spacing w:line="560" w:lineRule="exact"/>
        <w:rPr>
          <w:rFonts w:ascii="Times New Roman" w:hAnsi="Times New Roman" w:eastAsia="仿宋_GB2312" w:cs="Times New Roman"/>
          <w:color w:val="FF0000"/>
          <w:sz w:val="32"/>
          <w:szCs w:val="32"/>
        </w:rPr>
      </w:pPr>
    </w:p>
    <w:p>
      <w:pPr>
        <w:spacing w:line="560" w:lineRule="exact"/>
        <w:rPr>
          <w:rFonts w:ascii="Times New Roman" w:hAnsi="Times New Roman" w:eastAsia="仿宋_GB2312" w:cs="Times New Roman"/>
          <w:color w:val="FF0000"/>
          <w:sz w:val="32"/>
          <w:szCs w:val="32"/>
        </w:rPr>
      </w:pPr>
    </w:p>
    <w:p>
      <w:pPr>
        <w:spacing w:line="560" w:lineRule="exact"/>
        <w:rPr>
          <w:rFonts w:ascii="Times New Roman" w:hAnsi="Times New Roman" w:eastAsia="仿宋_GB2312" w:cs="Times New Roman"/>
          <w:color w:val="FF0000"/>
          <w:sz w:val="32"/>
          <w:szCs w:val="32"/>
        </w:rPr>
      </w:pPr>
    </w:p>
    <w:p>
      <w:pPr>
        <w:spacing w:line="560" w:lineRule="exact"/>
        <w:rPr>
          <w:rFonts w:ascii="Times New Roman" w:hAnsi="Times New Roman" w:eastAsia="仿宋_GB2312" w:cs="Times New Roman"/>
          <w:color w:val="FF0000"/>
          <w:sz w:val="32"/>
          <w:szCs w:val="32"/>
        </w:rPr>
        <w:sectPr>
          <w:pgSz w:w="11906" w:h="16838"/>
          <w:pgMar w:top="1440" w:right="1800" w:bottom="1440" w:left="1800" w:header="851" w:footer="992" w:gutter="0"/>
          <w:cols w:space="425" w:num="1"/>
          <w:docGrid w:type="lines" w:linePitch="312" w:charSpace="0"/>
        </w:sectPr>
      </w:pPr>
    </w:p>
    <w:p>
      <w:pPr>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表</w:t>
      </w:r>
      <w:r>
        <w:rPr>
          <w:rFonts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 xml:space="preserve">1 </w:t>
      </w:r>
      <w:r>
        <w:rPr>
          <w:rFonts w:hint="eastAsia" w:ascii="Times New Roman" w:hAnsi="Times New Roman" w:eastAsia="仿宋_GB2312" w:cs="Times New Roman"/>
          <w:b/>
          <w:bCs/>
          <w:sz w:val="32"/>
          <w:szCs w:val="32"/>
        </w:rPr>
        <w:t>淳安县“十四五”水生态环境保护规划重点工程</w:t>
      </w:r>
    </w:p>
    <w:tbl>
      <w:tblPr>
        <w:tblStyle w:val="39"/>
        <w:tblW w:w="14293" w:type="dxa"/>
        <w:jc w:val="center"/>
        <w:tblLayout w:type="fixed"/>
        <w:tblCellMar>
          <w:top w:w="0" w:type="dxa"/>
          <w:left w:w="108" w:type="dxa"/>
          <w:bottom w:w="0" w:type="dxa"/>
          <w:right w:w="108" w:type="dxa"/>
        </w:tblCellMar>
      </w:tblPr>
      <w:tblGrid>
        <w:gridCol w:w="735"/>
        <w:gridCol w:w="1701"/>
        <w:gridCol w:w="1560"/>
        <w:gridCol w:w="4394"/>
        <w:gridCol w:w="1134"/>
        <w:gridCol w:w="953"/>
        <w:gridCol w:w="1315"/>
        <w:gridCol w:w="1134"/>
        <w:gridCol w:w="1131"/>
        <w:gridCol w:w="236"/>
      </w:tblGrid>
      <w:tr>
        <w:tblPrEx>
          <w:tblCellMar>
            <w:top w:w="0" w:type="dxa"/>
            <w:left w:w="108" w:type="dxa"/>
            <w:bottom w:w="0" w:type="dxa"/>
            <w:right w:w="108" w:type="dxa"/>
          </w:tblCellMar>
        </w:tblPrEx>
        <w:trPr>
          <w:gridAfter w:val="1"/>
          <w:wAfter w:w="236" w:type="dxa"/>
          <w:trHeight w:val="312" w:hRule="atLeast"/>
          <w:tblHeader/>
          <w:jc w:val="center"/>
        </w:trPr>
        <w:tc>
          <w:tcPr>
            <w:tcW w:w="73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序号</w:t>
            </w:r>
          </w:p>
        </w:tc>
        <w:tc>
          <w:tcPr>
            <w:tcW w:w="170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控制单元</w:t>
            </w:r>
          </w:p>
        </w:tc>
        <w:tc>
          <w:tcPr>
            <w:tcW w:w="156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项目名称</w:t>
            </w:r>
          </w:p>
        </w:tc>
        <w:tc>
          <w:tcPr>
            <w:tcW w:w="439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项目概况</w:t>
            </w:r>
          </w:p>
        </w:tc>
        <w:tc>
          <w:tcPr>
            <w:tcW w:w="11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起止年限</w:t>
            </w:r>
          </w:p>
        </w:tc>
        <w:tc>
          <w:tcPr>
            <w:tcW w:w="95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总投资（万元）</w:t>
            </w:r>
          </w:p>
        </w:tc>
        <w:tc>
          <w:tcPr>
            <w:tcW w:w="131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责任单位</w:t>
            </w:r>
          </w:p>
        </w:tc>
        <w:tc>
          <w:tcPr>
            <w:tcW w:w="11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项目大类</w:t>
            </w:r>
          </w:p>
        </w:tc>
        <w:tc>
          <w:tcPr>
            <w:tcW w:w="113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项目细类</w:t>
            </w:r>
          </w:p>
        </w:tc>
      </w:tr>
      <w:tr>
        <w:tblPrEx>
          <w:tblCellMar>
            <w:top w:w="0" w:type="dxa"/>
            <w:left w:w="108" w:type="dxa"/>
            <w:bottom w:w="0" w:type="dxa"/>
            <w:right w:w="108" w:type="dxa"/>
          </w:tblCellMar>
        </w:tblPrEx>
        <w:trPr>
          <w:trHeight w:val="300" w:hRule="atLeast"/>
          <w:tblHeader/>
          <w:jc w:val="center"/>
        </w:trPr>
        <w:tc>
          <w:tcPr>
            <w:tcW w:w="735"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1701"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1560"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4394"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1134"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953"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1315"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1134"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1131"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黑体" w:cs="Times New Roman"/>
                <w:kern w:val="0"/>
                <w:szCs w:val="21"/>
              </w:rPr>
            </w:pPr>
          </w:p>
        </w:tc>
        <w:tc>
          <w:tcPr>
            <w:tcW w:w="236" w:type="dxa"/>
            <w:tcBorders>
              <w:top w:val="nil"/>
              <w:left w:val="nil"/>
              <w:bottom w:val="nil"/>
              <w:right w:val="nil"/>
            </w:tcBorders>
            <w:shd w:val="clear" w:color="auto" w:fill="auto"/>
            <w:noWrap/>
            <w:vAlign w:val="bottom"/>
          </w:tcPr>
          <w:p>
            <w:pPr>
              <w:widowControl/>
              <w:jc w:val="center"/>
              <w:rPr>
                <w:rFonts w:ascii="Times New Roman" w:hAnsi="Times New Roman" w:eastAsia="黑体" w:cs="Times New Roman"/>
                <w:kern w:val="0"/>
                <w:szCs w:val="21"/>
              </w:rPr>
            </w:pPr>
          </w:p>
        </w:tc>
      </w:tr>
      <w:tr>
        <w:tblPrEx>
          <w:tblCellMar>
            <w:top w:w="0" w:type="dxa"/>
            <w:left w:w="108" w:type="dxa"/>
            <w:bottom w:w="0" w:type="dxa"/>
            <w:right w:w="108" w:type="dxa"/>
          </w:tblCellMar>
        </w:tblPrEx>
        <w:trPr>
          <w:trHeight w:val="1036" w:hRule="atLeast"/>
          <w:jc w:val="center"/>
        </w:trPr>
        <w:tc>
          <w:tcPr>
            <w:tcW w:w="73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1</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淳安农村饮水安全提升工程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设计供水人口 3.21万人，供水总规模为4万立方米/天，包括新建跨村镇联片集中供水工程6个和水厂管网铺设供水工程1个。</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2020-2023</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29000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生态综保局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饮用水水源保护</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农村饮用水水源保护</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823" w:hRule="atLeast"/>
          <w:jc w:val="center"/>
        </w:trPr>
        <w:tc>
          <w:tcPr>
            <w:tcW w:w="73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黑体" w:cs="Times New Roman"/>
                <w:kern w:val="0"/>
                <w:szCs w:val="21"/>
              </w:rPr>
            </w:pPr>
            <w:r>
              <w:rPr>
                <w:rFonts w:ascii="Times New Roman" w:hAnsi="Times New Roman" w:eastAsia="黑体" w:cs="Times New Roman"/>
                <w:kern w:val="0"/>
                <w:szCs w:val="21"/>
              </w:rPr>
              <w:t>2</w:t>
            </w:r>
          </w:p>
        </w:tc>
        <w:tc>
          <w:tcPr>
            <w:tcW w:w="170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青溪</w:t>
            </w:r>
            <w:r>
              <w:rPr>
                <w:rFonts w:hint="eastAsia" w:ascii="Times New Roman" w:hAnsi="Times New Roman" w:eastAsia="仿宋_GB2312" w:cs="Times New Roman"/>
                <w:kern w:val="0"/>
                <w:szCs w:val="21"/>
              </w:rPr>
              <w:t>新</w:t>
            </w:r>
            <w:r>
              <w:rPr>
                <w:rFonts w:ascii="Times New Roman" w:hAnsi="Times New Roman" w:eastAsia="仿宋_GB2312" w:cs="Times New Roman"/>
                <w:kern w:val="0"/>
                <w:szCs w:val="21"/>
              </w:rPr>
              <w:t>城污水零直排工程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管道铺设、化粪池、检查井、隔油池、污水处理池、沉渣池、渗漏井、水泥路面拆除修复、沥青路面拆除修复、立管改造等工程。</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2020-2021</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2500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经济</w:t>
            </w:r>
            <w:r>
              <w:rPr>
                <w:rFonts w:ascii="Times New Roman" w:hAnsi="Times New Roman" w:eastAsia="仿宋_GB2312" w:cs="Times New Roman"/>
                <w:kern w:val="0"/>
                <w:szCs w:val="21"/>
              </w:rPr>
              <w:t>开发区（青溪新城）</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城镇污水处理及管网建设</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配套管网工程</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843"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市政管网建设工程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kern w:val="0"/>
                <w:szCs w:val="21"/>
              </w:rPr>
              <w:t>1</w:t>
            </w:r>
            <w:r>
              <w:rPr>
                <w:rFonts w:ascii="Times New Roman" w:hAnsi="Times New Roman" w:eastAsia="仿宋_GB2312" w:cs="Times New Roman"/>
                <w:kern w:val="0"/>
                <w:szCs w:val="21"/>
              </w:rPr>
              <w:t>、建设农副产品批发市场至碧桂园、千岛湖大桥至阳光泵站等路段污水管线约</w:t>
            </w:r>
            <w:r>
              <w:rPr>
                <w:rFonts w:ascii="Times New Roman" w:hAnsi="Times New Roman" w:eastAsia="等线" w:cs="Times New Roman"/>
                <w:kern w:val="0"/>
                <w:szCs w:val="21"/>
              </w:rPr>
              <w:t>2</w:t>
            </w:r>
            <w:r>
              <w:rPr>
                <w:rFonts w:ascii="Times New Roman" w:hAnsi="Times New Roman" w:eastAsia="仿宋_GB2312" w:cs="Times New Roman"/>
                <w:kern w:val="0"/>
                <w:szCs w:val="21"/>
              </w:rPr>
              <w:t>公里；</w:t>
            </w:r>
            <w:r>
              <w:rPr>
                <w:rFonts w:ascii="Times New Roman" w:hAnsi="Times New Roman" w:eastAsia="等线" w:cs="Times New Roman"/>
                <w:kern w:val="0"/>
                <w:szCs w:val="21"/>
              </w:rPr>
              <w:t>2</w:t>
            </w:r>
            <w:r>
              <w:rPr>
                <w:rFonts w:ascii="Times New Roman" w:hAnsi="Times New Roman" w:eastAsia="仿宋_GB2312" w:cs="Times New Roman"/>
                <w:kern w:val="0"/>
                <w:szCs w:val="21"/>
              </w:rPr>
              <w:t>、完成千岛湖城区污水管道疏通与检测、修复</w:t>
            </w:r>
            <w:r>
              <w:rPr>
                <w:rFonts w:hint="eastAsia" w:ascii="Times New Roman" w:hAnsi="Times New Roman" w:eastAsia="仿宋_GB2312" w:cs="Times New Roman"/>
                <w:kern w:val="0"/>
                <w:szCs w:val="21"/>
              </w:rPr>
              <w:t>、整改</w:t>
            </w:r>
            <w:r>
              <w:rPr>
                <w:rFonts w:ascii="Times New Roman" w:hAnsi="Times New Roman" w:eastAsia="仿宋_GB2312" w:cs="Times New Roman"/>
                <w:kern w:val="0"/>
                <w:szCs w:val="21"/>
              </w:rPr>
              <w:t>。</w:t>
            </w:r>
            <w:r>
              <w:rPr>
                <w:rFonts w:ascii="Times New Roman" w:hAnsi="Times New Roman" w:eastAsia="等线" w:cs="Times New Roman"/>
                <w:kern w:val="0"/>
                <w:szCs w:val="21"/>
              </w:rPr>
              <w:t>3</w:t>
            </w:r>
            <w:r>
              <w:rPr>
                <w:rFonts w:ascii="Times New Roman" w:hAnsi="Times New Roman" w:eastAsia="仿宋_GB2312" w:cs="Times New Roman"/>
                <w:kern w:val="0"/>
                <w:szCs w:val="21"/>
              </w:rPr>
              <w:t>、新建界首自来水厂废水池至亚运会淳安场馆前</w:t>
            </w:r>
            <w:r>
              <w:rPr>
                <w:rFonts w:ascii="Times New Roman" w:hAnsi="Times New Roman" w:eastAsia="等线" w:cs="Times New Roman"/>
                <w:kern w:val="0"/>
                <w:szCs w:val="21"/>
              </w:rPr>
              <w:t>1#</w:t>
            </w:r>
            <w:r>
              <w:rPr>
                <w:rFonts w:ascii="Times New Roman" w:hAnsi="Times New Roman" w:eastAsia="仿宋_GB2312" w:cs="Times New Roman"/>
                <w:kern w:val="0"/>
                <w:szCs w:val="21"/>
              </w:rPr>
              <w:t>污水泵站约</w:t>
            </w:r>
            <w:r>
              <w:rPr>
                <w:rFonts w:ascii="Times New Roman" w:hAnsi="Times New Roman" w:eastAsia="等线" w:cs="Times New Roman"/>
                <w:kern w:val="0"/>
                <w:szCs w:val="21"/>
              </w:rPr>
              <w:t>3km</w:t>
            </w:r>
            <w:r>
              <w:rPr>
                <w:rFonts w:ascii="Times New Roman" w:hAnsi="Times New Roman" w:eastAsia="仿宋_GB2312" w:cs="Times New Roman"/>
                <w:kern w:val="0"/>
                <w:szCs w:val="21"/>
              </w:rPr>
              <w:t>污水管网以及其它路段管网等。</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5000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建设集团</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城镇污水处理及管网建设</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配套管网工程</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447"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城西、南山、坪山污水厂中水回用设施和中水管网进行提升改造，坪山污水处理厂设备扩建</w:t>
            </w:r>
            <w:r>
              <w:rPr>
                <w:rFonts w:ascii="Times New Roman" w:hAnsi="Times New Roman" w:eastAsia="仿宋_GB2312" w:cs="Times New Roman"/>
                <w:kern w:val="0"/>
                <w:szCs w:val="21"/>
              </w:rPr>
              <w:t>，清洁排放改造工程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城西厂新建1万吨V形滤池一座、将初沉池改造成调节池，南山厂新建到西园泵站污水联通管网、扩建明珠泵站至1万吨、纤维转盘滤池溢流管改造，坪山厂新增1万吨脱氮除磷提标工艺；三座污水处理厂扩建中水回用设施到2000吨/日、中水主管检修改造，新增中水支管、中水回用设施等；</w:t>
            </w:r>
            <w:r>
              <w:rPr>
                <w:rFonts w:hint="eastAsia" w:ascii="仿宋_GB2312" w:hAnsi="等线" w:eastAsia="仿宋_GB2312" w:cs="宋体"/>
                <w:color w:val="000000"/>
                <w:kern w:val="0"/>
                <w:sz w:val="24"/>
                <w:szCs w:val="24"/>
              </w:rPr>
              <w:t>扩建坪山污水处理厂10000吨/日设施设备；</w:t>
            </w:r>
            <w:r>
              <w:rPr>
                <w:rFonts w:ascii="Times New Roman" w:hAnsi="Times New Roman" w:eastAsia="仿宋_GB2312" w:cs="Times New Roman"/>
                <w:kern w:val="0"/>
                <w:szCs w:val="21"/>
              </w:rPr>
              <w:t>实施汾口镇和姜家镇污水处理厂清洁排放改造。</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2021-2024</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5200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住建局、建设集团、汾口镇、姜家镇</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城镇污水处理及管网建设</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城镇污水处理设施建设与改造</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731"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茅头尖、千岛湖大坝前</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工业企业整治提升项目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7 家喷水织机企业中水回用</w:t>
            </w:r>
            <w:r>
              <w:rPr>
                <w:rFonts w:hint="eastAsia" w:ascii="Times New Roman" w:hAnsi="Times New Roman" w:eastAsia="仿宋_GB2312" w:cs="Times New Roman"/>
                <w:kern w:val="0"/>
                <w:szCs w:val="21"/>
              </w:rPr>
              <w:t>。</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kern w:val="0"/>
                <w:szCs w:val="21"/>
              </w:rPr>
              <w:t>2021-2022</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3200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工业污染防治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清洁化改造</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225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乡镇农村生活污水提标改造设备更换及中水回用项目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沿湖沿溪1055个处理终端整体提升、中水回用等（农村生活污水提标改造、设备更新、中水回用、村级污水零直排建设以及乡镇所在地污水零直排改造等）；梓桐镇污水处理站，金峰乡和石林镇污水处理厂规模各为800吨/天、临岐镇污水处理厂和大墅镇污水处理厂二期扩建规模各为2000吨/天</w:t>
            </w:r>
            <w:r>
              <w:rPr>
                <w:rFonts w:hint="eastAsia" w:ascii="Times New Roman" w:hAnsi="Times New Roman" w:eastAsia="仿宋_GB2312" w:cs="Times New Roman"/>
                <w:kern w:val="0"/>
                <w:szCs w:val="21"/>
              </w:rPr>
              <w:t>。</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68199</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农村污水收集与处理工程</w:t>
            </w:r>
          </w:p>
        </w:tc>
        <w:tc>
          <w:tcPr>
            <w:tcW w:w="236" w:type="dxa"/>
            <w:vAlign w:val="center"/>
          </w:tcPr>
          <w:p>
            <w:pPr>
              <w:widowControl/>
              <w:jc w:val="left"/>
              <w:rPr>
                <w:rFonts w:ascii="Times New Roman" w:hAnsi="Times New Roman" w:cs="Times New Roman"/>
                <w:kern w:val="0"/>
                <w:szCs w:val="21"/>
              </w:rPr>
            </w:pPr>
          </w:p>
        </w:tc>
      </w:tr>
      <w:tr>
        <w:tblPrEx>
          <w:tblCellMar>
            <w:top w:w="0" w:type="dxa"/>
            <w:left w:w="108" w:type="dxa"/>
            <w:bottom w:w="0" w:type="dxa"/>
            <w:right w:w="108" w:type="dxa"/>
          </w:tblCellMar>
        </w:tblPrEx>
        <w:trPr>
          <w:trHeight w:val="129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农村生活垃圾分类处理提升工程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8个乡镇垃圾中转站设备更新，6个乡镇垃圾资源化处理设备更新，对全县33个站点中转站和资源化处理站废水建管网和储存池，委托第三方开展垃圾中转站及资源化处理站废水外运综合处理，建设50座农村建筑垃圾填埋场，全县23个乡镇需采购其他垃圾运输车辆26辆（其中汾口、威坪各2辆），更新垃圾中转站设备，资源化处理设备更新，太阳能堆肥房提升改造，，每年50座建筑垃圾填埋场以及更换垃圾桶、垃圾运输车等。</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szCs w:val="21"/>
              </w:rPr>
              <w:t>8978</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szCs w:val="21"/>
              </w:rPr>
              <w:t>城市管理局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szCs w:val="21"/>
              </w:rPr>
              <w:t>农村环境整治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29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生态拦截沟</w:t>
            </w:r>
            <w:r>
              <w:rPr>
                <w:rFonts w:hint="eastAsia" w:ascii="Times New Roman" w:hAnsi="Times New Roman" w:eastAsia="仿宋_GB2312" w:cs="Times New Roman"/>
                <w:kern w:val="0"/>
                <w:szCs w:val="21"/>
              </w:rPr>
              <w:t>（</w:t>
            </w:r>
            <w:r>
              <w:rPr>
                <w:rFonts w:ascii="Times New Roman" w:hAnsi="Times New Roman" w:eastAsia="仿宋_GB2312" w:cs="Times New Roman"/>
                <w:kern w:val="0"/>
                <w:szCs w:val="21"/>
              </w:rPr>
              <w:t>渠</w:t>
            </w:r>
            <w:r>
              <w:rPr>
                <w:rFonts w:hint="eastAsia" w:ascii="Times New Roman" w:hAnsi="Times New Roman" w:eastAsia="仿宋_GB2312" w:cs="Times New Roman"/>
                <w:kern w:val="0"/>
                <w:szCs w:val="21"/>
              </w:rPr>
              <w:t>）</w:t>
            </w:r>
            <w:r>
              <w:rPr>
                <w:rFonts w:ascii="Times New Roman" w:hAnsi="Times New Roman" w:eastAsia="仿宋_GB2312" w:cs="Times New Roman"/>
                <w:kern w:val="0"/>
                <w:szCs w:val="21"/>
              </w:rPr>
              <w:t>建设项目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实施农田、茶园、果园等生态拦截沟建设。2021-2024年农田、茶园、果园每年各实施一项目，2025年农田、茶园、果园各实施二处</w:t>
            </w:r>
            <w:r>
              <w:rPr>
                <w:rFonts w:hint="eastAsia" w:ascii="Times New Roman" w:hAnsi="Times New Roman" w:eastAsia="仿宋_GB2312" w:cs="Times New Roman"/>
                <w:kern w:val="0"/>
                <w:szCs w:val="21"/>
              </w:rPr>
              <w:t>。</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2760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农田退水和地表径流净化工程</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29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9</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化肥农药减量增效工程——有机无机复混肥替代</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根据土壤理化性质，重点推广应用有机无机复混肥，生物肥料、土壤调理剂等肥料产品，从而进一步减少单质化肥的使用。2022年后每年推广有机无机复混肥0.3万吨及其它新型肥料</w:t>
            </w:r>
            <w:r>
              <w:rPr>
                <w:rFonts w:hint="eastAsia" w:ascii="Times New Roman" w:hAnsi="Times New Roman" w:eastAsia="仿宋_GB2312" w:cs="Times New Roman"/>
                <w:kern w:val="0"/>
                <w:szCs w:val="21"/>
              </w:rPr>
              <w:t>。</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2022-2025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1620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07"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化肥农药减量增效工程——液肥异地配送</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每年异地配送液肥在2万吨以上</w:t>
            </w:r>
            <w:r>
              <w:rPr>
                <w:rFonts w:hint="eastAsia" w:ascii="Times New Roman" w:hAnsi="Times New Roman" w:eastAsia="仿宋_GB2312" w:cs="Times New Roman"/>
                <w:kern w:val="0"/>
                <w:szCs w:val="21"/>
              </w:rPr>
              <w:t>。</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11</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化肥农药减量增效工程——水土保持预防保护</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以沿湖沿溪的园地、耕地为重点，2022-2025年每年茶园果园等植物中实施2万亩次以上</w:t>
            </w:r>
            <w:r>
              <w:rPr>
                <w:rFonts w:hint="eastAsia" w:ascii="Times New Roman" w:hAnsi="Times New Roman" w:eastAsia="仿宋_GB2312" w:cs="Times New Roman"/>
                <w:kern w:val="0"/>
                <w:szCs w:val="21"/>
              </w:rPr>
              <w:t>。</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2022-2025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3200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12</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控制临湖农业开发强度项目--实施农业统防统治项目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2021-2025年实施农业统防统治面积分别为12、15、15、15、15万亩,其中第三方服务组织实施面积不少于2、5、5、5、5万亩。</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14400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29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13</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鼓励生态农业发展项目—净水农业示范工程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围绕敏感区域，积极开展技术课题攻关，通过种植高秆作物及吸附氮磷强的农作物，净化敏感区块的氮磷，在取得一定农业效益的同时又达到净化千岛湖水体的功能。</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750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农田退水和地表径流净化工程</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14</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库内休耕工程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摸清108米高程以下耕地底数及耕地的性质、权属结构，依据分类施策原则，制定好相应政策，推进休耕。</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4536</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29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15</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防控体系建设项目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建立完善的农业面源污染防控人员管理制度，在全县每个行政村至少配备一名村级防控人员，形成县、乡、村三级防控体系，为农业面源污染治理工作提供技术及绩效保障。</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1875</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16</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农业面源污染治理保障经费项目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对实施的项目在测绘、过程管理、组织验收、档案管理等给予一定经费保障。</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2500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5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17</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智能化监控体系建设项目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在沿湖沿溪及敏感区域规模主体基地安装一批视频监控，数据纳入到农业中控平台,实现农业生产智能化管理,提高项目实施绩效。</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2022-2025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18</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高陡坡地退耕休耕工程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临湖地带高陡坡地退耕休耕。</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4000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林业面源污染防治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77"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19</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山核桃禁用除草剂项目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在沿湖沿溪及敏感地带，2021年-2025年分别开展8、9、10、10、10万亩的山核桃人工割草和病虫害统防统治。</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17860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林业面源污染防治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经济林禁用除草剂项目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在沿湖沿溪及敏感地带，开展油茶、香榧等山核桃以外的经济林禁止使用除草剂，从2022年开始每年开展人工割草3万亩。</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2022-2025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2160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林业面源污染防治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林业面源污染防治</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21</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污水车船收运项目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含固定趸船污水提升、机动收集船污水收集、吸粪车污水收运。</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1340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城市管理局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移动源污染防治</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车船污水收运</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vMerge w:val="restart"/>
            <w:tcBorders>
              <w:top w:val="nil"/>
              <w:left w:val="single" w:color="auto" w:sz="8" w:space="0"/>
              <w:bottom w:val="single" w:color="000000" w:sz="8" w:space="0"/>
              <w:right w:val="nil"/>
            </w:tcBorders>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22</w:t>
            </w:r>
          </w:p>
        </w:tc>
        <w:tc>
          <w:tcPr>
            <w:tcW w:w="1701"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优化湖内鱼类种群项目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开展年度千岛湖鱼类资源调查（第三方），获得鱼类空间分布和大规格鱼类资源存量结果，并指导鲢鳙鱼捕捞配额管理及投放数量、比例。</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kern w:val="0"/>
                <w:szCs w:val="21"/>
              </w:rPr>
              <w:t>2022-2025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水生态保护修复</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水生生物多样性保护</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05" w:hRule="atLeast"/>
          <w:jc w:val="center"/>
        </w:trPr>
        <w:tc>
          <w:tcPr>
            <w:tcW w:w="735" w:type="dxa"/>
            <w:vMerge w:val="continue"/>
            <w:tcBorders>
              <w:top w:val="nil"/>
              <w:left w:val="single" w:color="auto" w:sz="8" w:space="0"/>
              <w:bottom w:val="single" w:color="000000" w:sz="8" w:space="0"/>
              <w:right w:val="nil"/>
            </w:tcBorders>
            <w:vAlign w:val="center"/>
          </w:tcPr>
          <w:p>
            <w:pPr>
              <w:widowControl/>
              <w:jc w:val="left"/>
              <w:rPr>
                <w:rFonts w:ascii="Times New Roman" w:hAnsi="Times New Roman" w:eastAsia="等线" w:cs="Times New Roman"/>
                <w:color w:val="000000"/>
                <w:kern w:val="0"/>
                <w:szCs w:val="21"/>
              </w:rPr>
            </w:pPr>
          </w:p>
        </w:tc>
        <w:tc>
          <w:tcPr>
            <w:tcW w:w="1701"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仿宋_GB2312" w:cs="Times New Roman"/>
                <w:kern w:val="0"/>
                <w:szCs w:val="21"/>
              </w:rPr>
            </w:pPr>
          </w:p>
        </w:tc>
        <w:tc>
          <w:tcPr>
            <w:tcW w:w="15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仿宋_GB2312" w:cs="Times New Roman"/>
                <w:kern w:val="0"/>
                <w:szCs w:val="21"/>
              </w:rPr>
            </w:pP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实施土著鱼渔业资源增殖放流，开展人工鱼巢、种质资源繁育基地建设，开展千岛湖土著鱼类种质资源保护工作。</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4400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农业农村局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水生态保护修复</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水生生物多样性保护</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78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23</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三潭岛、小金山、茅头尖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临湖生态缓冲带及生态湿地建设项目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在枫林港、上梧溪、界首鳌山渔村、梓桐源、郁川溪等入湖口开展生态缓冲带、人工湿地等建设。</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8000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水生态保护修复</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河湖生态缓冲带修复</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24</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生态修复项目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沿湖地带及裸露区块实施生态修复、绿化等（含水土流失综合治理）。</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7258</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eastAsia="zh-CN"/>
              </w:rPr>
              <w:t>规划和自然资源局</w:t>
            </w:r>
            <w:r>
              <w:rPr>
                <w:rFonts w:ascii="Times New Roman" w:hAnsi="Times New Roman" w:eastAsia="仿宋_GB2312" w:cs="Times New Roman"/>
                <w:kern w:val="0"/>
                <w:szCs w:val="21"/>
              </w:rPr>
              <w:t>、生态综保局、林业局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水生态保护修复</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河湖水生植被恢复</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11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25</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千岛湖内库湾整治试点工程</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实施千岛湖内库湾水体原位生态浮岛脱氮除磷示范研究工程。</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2970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水生态保护修复</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河湖水生植被恢复</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11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26</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水土流失综合治理项目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完成千岛湖环湖（界首姜家片）、宋村乡宋村等7条小流域、威坪镇七都源（横川等5条小流域）、中洲镇中洲等7条小流域、瑶山乡琅坑3条小流域、金峰乡金峰3条小流域等水土流失综合治理，综合治理面积43.46平方公里。</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2910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生态综保局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水生态保护修复</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河湖水生植被恢复</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11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27</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美丽河湖建设项目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建设美丽河湖12条，综合治理中小河流81.6公里，重建加固堤防（护岸）63.5公里，改造堰坝9座，新建水文化、水景观节点16个。</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等线" w:cs="Times New Roman"/>
                <w:kern w:val="0"/>
                <w:szCs w:val="21"/>
              </w:rPr>
            </w:pPr>
            <w:r>
              <w:rPr>
                <w:rFonts w:ascii="Times New Roman" w:hAnsi="Times New Roman" w:eastAsia="等线" w:cs="Times New Roman"/>
                <w:kern w:val="0"/>
                <w:szCs w:val="21"/>
              </w:rPr>
              <w:t>2020-2023</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24000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生态综保局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水生态保护修复</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河湖水生植被恢复</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205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28</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管控策略研究项目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水体氮磷污染特征、季节变化及来源诊断项目，多源遥感大数据支持下的千岛湖环湖生态带高精度土地利用调查项目，千岛湖底泥现况及其对水质影响的风险评估项目，深化千岛湖水环境容量研究，开展千岛湖库区最低水位基础理论和生态系统影响研究，臭氧污染现状及成因研究等项目</w:t>
            </w:r>
            <w:r>
              <w:rPr>
                <w:rFonts w:hint="eastAsia" w:ascii="Times New Roman" w:hAnsi="Times New Roman" w:eastAsia="仿宋_GB2312" w:cs="Times New Roman"/>
                <w:kern w:val="0"/>
                <w:szCs w:val="21"/>
              </w:rPr>
              <w:t>。</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2021-2024</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750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风险预防</w:t>
            </w:r>
          </w:p>
        </w:tc>
        <w:tc>
          <w:tcPr>
            <w:tcW w:w="113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土地利用、河湖底泥等</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23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29</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矿山和化工治理项目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9家已关停矿山和关停1家精细化工企业补助。</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2023-2025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10500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eastAsia="zh-CN"/>
              </w:rPr>
              <w:t>规划和自然资源局</w:t>
            </w:r>
            <w:r>
              <w:rPr>
                <w:rFonts w:ascii="Times New Roman" w:hAnsi="Times New Roman" w:eastAsia="仿宋_GB2312" w:cs="Times New Roman"/>
                <w:kern w:val="0"/>
                <w:szCs w:val="21"/>
              </w:rPr>
              <w:t>、</w:t>
            </w: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风险预防</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矿山污染风险预防</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123"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小金山</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千岛湖矿产品有限公司尾矿库清库项目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千岛湖矿产品有限公司尾矿库清库</w:t>
            </w:r>
            <w:r>
              <w:rPr>
                <w:rFonts w:hint="eastAsia" w:ascii="Times New Roman" w:hAnsi="Times New Roman" w:eastAsia="仿宋_GB2312" w:cs="Times New Roman"/>
                <w:kern w:val="0"/>
                <w:szCs w:val="21"/>
              </w:rPr>
              <w:t>约</w:t>
            </w:r>
            <w:r>
              <w:rPr>
                <w:rFonts w:ascii="Times New Roman" w:hAnsi="Times New Roman" w:eastAsia="仿宋_GB2312" w:cs="Times New Roman"/>
                <w:kern w:val="0"/>
                <w:szCs w:val="21"/>
              </w:rPr>
              <w:t>13.28万方。</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2021-2022</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1080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应急管理局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风险预防</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矿山污染风险预防</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780"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31</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三潭岛</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铜山锡铁矿尾矿库清库项目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铜山锡铁矿尾矿库清库。</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6500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工贸公司、应急管理局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风险预防</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矿山污染风险预防</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77"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32</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小金山</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蛟池和威坪横塘硫铁矿污水处理运维项目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开展蛟池和威坪横塘硫铁矿污水处理运维管理。</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2021-2025</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威坪镇、工贸公司</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风险预防</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矿山污染风险预防</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85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33</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湖区监测能力建设项目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实施3处湖区藻类实时监测监控设备，2处国控断面在线监测监控设备和水质监测浮标更新设备等。</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2021-2023</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生态环境分局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能力建设</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监测能力提升</w:t>
            </w:r>
          </w:p>
        </w:tc>
        <w:tc>
          <w:tcPr>
            <w:tcW w:w="236" w:type="dxa"/>
            <w:vAlign w:val="center"/>
          </w:tcPr>
          <w:p>
            <w:pPr>
              <w:widowControl/>
              <w:jc w:val="left"/>
              <w:rPr>
                <w:rFonts w:ascii="Times New Roman" w:hAnsi="Times New Roman" w:eastAsia="Times New Roman" w:cs="Times New Roman"/>
                <w:kern w:val="0"/>
                <w:szCs w:val="21"/>
              </w:rPr>
            </w:pPr>
          </w:p>
        </w:tc>
      </w:tr>
      <w:tr>
        <w:tblPrEx>
          <w:tblCellMar>
            <w:top w:w="0" w:type="dxa"/>
            <w:left w:w="108" w:type="dxa"/>
            <w:bottom w:w="0" w:type="dxa"/>
            <w:right w:w="108" w:type="dxa"/>
          </w:tblCellMar>
        </w:tblPrEx>
        <w:trPr>
          <w:trHeight w:val="1035" w:hRule="atLeast"/>
          <w:jc w:val="center"/>
        </w:trPr>
        <w:tc>
          <w:tcPr>
            <w:tcW w:w="735"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34</w:t>
            </w:r>
          </w:p>
        </w:tc>
        <w:tc>
          <w:tcPr>
            <w:tcW w:w="1701"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千岛湖大坝前、三潭岛、小金山、航头岛、茅头尖</w:t>
            </w:r>
          </w:p>
        </w:tc>
        <w:tc>
          <w:tcPr>
            <w:tcW w:w="1560"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新建两艘垃圾打捞船和一艘污水收集船项目</w:t>
            </w:r>
          </w:p>
        </w:tc>
        <w:tc>
          <w:tcPr>
            <w:tcW w:w="4394"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新建40米长垃圾打捞船舶一艘，2022年建设一艘150吨污水收集船，2024再建一艘垃圾打捞船。</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2021-2024</w:t>
            </w:r>
          </w:p>
        </w:tc>
        <w:tc>
          <w:tcPr>
            <w:tcW w:w="95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1900</w:t>
            </w:r>
          </w:p>
        </w:tc>
        <w:tc>
          <w:tcPr>
            <w:tcW w:w="1315" w:type="dxa"/>
            <w:tcBorders>
              <w:top w:val="nil"/>
              <w:left w:val="nil"/>
              <w:bottom w:val="single" w:color="auto" w:sz="8" w:space="0"/>
              <w:right w:val="single" w:color="auto" w:sz="8"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城市管理局、生态综保局</w:t>
            </w:r>
          </w:p>
        </w:tc>
        <w:tc>
          <w:tcPr>
            <w:tcW w:w="1134"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能力建设</w:t>
            </w:r>
          </w:p>
        </w:tc>
        <w:tc>
          <w:tcPr>
            <w:tcW w:w="1131"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治理能力提升</w:t>
            </w:r>
          </w:p>
        </w:tc>
        <w:tc>
          <w:tcPr>
            <w:tcW w:w="236" w:type="dxa"/>
            <w:vAlign w:val="center"/>
          </w:tcPr>
          <w:p>
            <w:pPr>
              <w:widowControl/>
              <w:jc w:val="left"/>
              <w:rPr>
                <w:rFonts w:ascii="Times New Roman" w:hAnsi="Times New Roman" w:eastAsia="Times New Roman" w:cs="Times New Roman"/>
                <w:kern w:val="0"/>
                <w:szCs w:val="21"/>
              </w:rPr>
            </w:pPr>
          </w:p>
        </w:tc>
      </w:tr>
    </w:tbl>
    <w:p>
      <w:pPr>
        <w:spacing w:line="560" w:lineRule="exact"/>
        <w:jc w:val="center"/>
        <w:rPr>
          <w:rFonts w:ascii="Times New Roman" w:hAnsi="Times New Roman" w:eastAsia="仿宋_GB2312" w:cs="Times New Roman"/>
          <w:b/>
          <w:bCs/>
          <w:color w:val="FF0000"/>
          <w:sz w:val="32"/>
          <w:szCs w:val="32"/>
        </w:rPr>
      </w:pPr>
    </w:p>
    <w:p>
      <w:pPr>
        <w:spacing w:line="560" w:lineRule="exact"/>
        <w:rPr>
          <w:rFonts w:ascii="Times New Roman" w:hAnsi="Times New Roman" w:eastAsia="仿宋_GB2312" w:cs="Times New Roman"/>
          <w:color w:val="FF0000"/>
          <w:sz w:val="32"/>
          <w:szCs w:val="32"/>
        </w:rPr>
        <w:sectPr>
          <w:pgSz w:w="16838" w:h="11906" w:orient="landscape"/>
          <w:pgMar w:top="1800" w:right="1440" w:bottom="1800" w:left="1440" w:header="851" w:footer="992" w:gutter="0"/>
          <w:cols w:space="425" w:num="1"/>
          <w:docGrid w:type="lines" w:linePitch="312" w:charSpace="0"/>
        </w:sectPr>
      </w:pPr>
    </w:p>
    <w:p>
      <w:pPr>
        <w:pStyle w:val="61"/>
        <w:numPr>
          <w:ilvl w:val="0"/>
          <w:numId w:val="1"/>
        </w:numPr>
        <w:spacing w:line="560" w:lineRule="exact"/>
        <w:ind w:firstLineChars="0"/>
        <w:outlineLvl w:val="0"/>
        <w:rPr>
          <w:rFonts w:ascii="黑体" w:hAnsi="黑体" w:eastAsia="黑体" w:cs="Times New Roman"/>
          <w:sz w:val="32"/>
          <w:szCs w:val="32"/>
        </w:rPr>
      </w:pPr>
      <w:bookmarkStart w:id="49" w:name="_Toc70260354"/>
      <w:r>
        <w:rPr>
          <w:rFonts w:hint="eastAsia" w:ascii="黑体" w:hAnsi="黑体" w:eastAsia="黑体" w:cs="Times New Roman"/>
          <w:sz w:val="32"/>
          <w:szCs w:val="32"/>
        </w:rPr>
        <w:t>保障措施</w:t>
      </w:r>
      <w:bookmarkEnd w:id="49"/>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积极探索适合千岛湖水生态环境保护的长效机制，进一步健全组织保障机制、创新激励和约束机制、建立全社会参与环保的工作机制、建立多元化的环境保护投融资机制、完善生态经济推进机制和创新资源节约利用科技支撑机制等。</w:t>
      </w:r>
    </w:p>
    <w:p>
      <w:pPr>
        <w:pStyle w:val="3"/>
        <w:spacing w:before="0" w:after="0" w:line="560" w:lineRule="exact"/>
        <w:rPr>
          <w:rFonts w:ascii="楷体_GB2312" w:hAnsi="楷体" w:eastAsia="楷体_GB2312"/>
        </w:rPr>
      </w:pPr>
      <w:bookmarkStart w:id="50" w:name="_Toc70260355"/>
      <w:r>
        <w:rPr>
          <w:rFonts w:hint="eastAsia" w:ascii="楷体_GB2312" w:hAnsi="楷体" w:eastAsia="楷体_GB2312"/>
        </w:rPr>
        <w:t>（一）加强组织领导</w:t>
      </w:r>
      <w:bookmarkEnd w:id="50"/>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切实加强组织领导，细化规划目标、主要任务等，常抓不懈，强化监督，狠抓责任落实，建立健全领导责任制、任期目标责任制和责任追究制，把千岛湖水环境保护工作作为对各乡镇、部门领导综合考评和领导素质考核的重要内容。对因工作不力造成饮用水安全危机的，要依法追究相关政府、部门及有关人员的责任。</w:t>
      </w:r>
    </w:p>
    <w:p>
      <w:pPr>
        <w:pStyle w:val="3"/>
        <w:spacing w:before="0" w:after="0" w:line="560" w:lineRule="exact"/>
        <w:rPr>
          <w:rFonts w:ascii="楷体_GB2312" w:hAnsi="楷体" w:eastAsia="楷体_GB2312"/>
        </w:rPr>
      </w:pPr>
      <w:bookmarkStart w:id="51" w:name="_Toc70260356"/>
      <w:r>
        <w:rPr>
          <w:rFonts w:hint="eastAsia" w:ascii="楷体_GB2312" w:hAnsi="楷体" w:eastAsia="楷体_GB2312"/>
        </w:rPr>
        <w:t>（二）加强队伍建设</w:t>
      </w:r>
      <w:bookmarkEnd w:id="51"/>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环境法制、宣教和应急机构建设，不断健全环境保护机构队伍。按照环境监察、环境监测队伍标准化、规范化、现代化建设要求，继续增加硬件投入，充实队伍力量。各乡镇设置环保岗位，配备环保专职人员，全面加强环保队伍能力建设。</w:t>
      </w:r>
    </w:p>
    <w:p>
      <w:pPr>
        <w:pStyle w:val="3"/>
        <w:spacing w:before="0" w:after="0" w:line="560" w:lineRule="exact"/>
        <w:rPr>
          <w:rFonts w:ascii="楷体_GB2312" w:hAnsi="楷体" w:eastAsia="楷体_GB2312"/>
        </w:rPr>
      </w:pPr>
      <w:bookmarkStart w:id="52" w:name="_Toc70260357"/>
      <w:r>
        <w:rPr>
          <w:rFonts w:hint="eastAsia" w:ascii="楷体_GB2312" w:hAnsi="楷体" w:eastAsia="楷体_GB2312"/>
        </w:rPr>
        <w:t>（三）加强执法监管</w:t>
      </w:r>
      <w:bookmarkEnd w:id="52"/>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法律法规和千岛湖保护的实际需要，积极推动制定有利于千岛湖水环境保护的地方性法规、规章或规范性文件，强化依法治湖，将水源保护区、特别生态功能区建设纳入法制化轨道，严厉查处各类破坏千岛湖生态环境的违法行为。</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强化水资源、水环境保护管理部门的日常监管，严格执法，预防各类水污染事件的发生。依照法律、法规，对造成水质污染的单位或个人进行经济处罚，情节严重的追究法律责任；对因监管不力造成水质污染的责任人，依法追究行政责任或法律责任。</w:t>
      </w:r>
    </w:p>
    <w:p>
      <w:pPr>
        <w:pStyle w:val="3"/>
        <w:spacing w:before="0" w:after="0" w:line="560" w:lineRule="exact"/>
        <w:rPr>
          <w:rFonts w:ascii="楷体_GB2312" w:hAnsi="楷体" w:eastAsia="楷体_GB2312"/>
        </w:rPr>
      </w:pPr>
      <w:bookmarkStart w:id="53" w:name="_Toc70260358"/>
      <w:r>
        <w:rPr>
          <w:rFonts w:hint="eastAsia" w:ascii="楷体_GB2312" w:hAnsi="楷体" w:eastAsia="楷体_GB2312"/>
        </w:rPr>
        <w:t>（四）加强资金筹措</w:t>
      </w:r>
      <w:bookmarkEnd w:id="53"/>
    </w:p>
    <w:p>
      <w:pPr>
        <w:autoSpaceDN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大政府财政投入。按照建立公共财政的要求，切实保障水环境保护事业发展所需经费。不断增加环保投入，争取全县生态建设和环保投入比例逐步达到5%以上。充分利用省、市政策，通过各种途径积极争取生态补偿，全面提高千岛湖保护投入资金保障力度。</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善投融资体制。完善有利于筹集水生态建设资金的各项政策，鼓励不同经济成份和各类投资主体以独资、合资、承包、股份制、股份合作制等不同形式积极参与水生态建设，充分调动全社会各界和群众投入的积极性，多渠道筹措资金，积极引进外资，不断加大水生态环境保护重点项目的资金投入力度。</w:t>
      </w:r>
    </w:p>
    <w:p>
      <w:pPr>
        <w:pStyle w:val="3"/>
        <w:spacing w:before="0" w:after="0" w:line="560" w:lineRule="exact"/>
        <w:rPr>
          <w:rFonts w:ascii="楷体_GB2312" w:hAnsi="楷体" w:eastAsia="楷体_GB2312"/>
        </w:rPr>
      </w:pPr>
      <w:bookmarkStart w:id="54" w:name="_Toc70260359"/>
      <w:r>
        <w:rPr>
          <w:rFonts w:hint="eastAsia" w:ascii="楷体_GB2312" w:hAnsi="楷体" w:eastAsia="楷体_GB2312"/>
        </w:rPr>
        <w:t>（五）加强宣传教育</w:t>
      </w:r>
      <w:bookmarkEnd w:id="54"/>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断加大水生态环境保护基本国策和环境法制的宣传力度，倡导生态文明，加强企业法人环境管理体系、清洁生产和污染防治法规的宣传。结合公民道德教育和普法活动，开展环境警示教育，增进公民环境安全和忧患意识。重视环境保护的基础教育和专业教育，充分利用新闻媒介广泛开展多层次、多形式的舆论及科普宣传，提高全民保护环境的自觉性，形成保护环境、人人有责的良好社会风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4E553B-1D46-4A1E-A7A3-7751DD90C4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304FEE9B-4D4C-4CA3-8888-1ED62252D7EA}"/>
  </w:font>
  <w:font w:name="Minion">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2AFE646F-9EB4-4D61-B8B2-C2B2DAC5BEF4}"/>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embedRegular r:id="rId4" w:fontKey="{E2EC340D-7ECC-44BB-8540-65CC94117B42}"/>
  </w:font>
  <w:font w:name="等线">
    <w:panose1 w:val="02010600030101010101"/>
    <w:charset w:val="86"/>
    <w:family w:val="auto"/>
    <w:pitch w:val="default"/>
    <w:sig w:usb0="A00002BF" w:usb1="38CF7CFA" w:usb2="00000016" w:usb3="00000000" w:csb0="0004000F" w:csb1="00000000"/>
    <w:embedRegular r:id="rId5" w:fontKey="{3A944D09-35B0-493D-AD01-3DF3C229F766}"/>
  </w:font>
  <w:font w:name="方正小标宋简体">
    <w:panose1 w:val="02000000000000000000"/>
    <w:charset w:val="86"/>
    <w:family w:val="auto"/>
    <w:pitch w:val="default"/>
    <w:sig w:usb0="00000001" w:usb1="080E0000" w:usb2="00000000" w:usb3="00000000" w:csb0="00040000" w:csb1="00000000"/>
    <w:embedRegular r:id="rId6" w:fontKey="{F6A872DA-ECB0-448F-B05F-5E545E0B40AC}"/>
  </w:font>
  <w:font w:name="楷体">
    <w:panose1 w:val="02010609060101010101"/>
    <w:charset w:val="86"/>
    <w:family w:val="modern"/>
    <w:pitch w:val="default"/>
    <w:sig w:usb0="800002BF" w:usb1="38CF7CFA" w:usb2="00000016" w:usb3="00000000" w:csb0="00040001" w:csb1="00000000"/>
    <w:embedRegular r:id="rId7" w:fontKey="{D48A446A-26FD-41A5-A8AF-2B1D30A9D141}"/>
  </w:font>
  <w:font w:name="仿宋">
    <w:panose1 w:val="02010609060101010101"/>
    <w:charset w:val="86"/>
    <w:family w:val="modern"/>
    <w:pitch w:val="default"/>
    <w:sig w:usb0="800002BF" w:usb1="38CF7CFA" w:usb2="00000016" w:usb3="00000000" w:csb0="00040001" w:csb1="00000000"/>
    <w:embedRegular r:id="rId8" w:fontKey="{FC11C0D1-DAA2-48EA-BA40-BE933E3158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9916120"/>
    </w:sdtPr>
    <w:sdtContent>
      <w:p>
        <w:pPr>
          <w:pStyle w:val="25"/>
          <w:jc w:val="center"/>
        </w:pPr>
        <w:r>
          <w:fldChar w:fldCharType="begin"/>
        </w:r>
        <w:r>
          <w:instrText xml:space="preserve">PAGE   \* MERGEFORMAT</w:instrText>
        </w:r>
        <w:r>
          <w:fldChar w:fldCharType="separate"/>
        </w:r>
        <w:r>
          <w:rPr>
            <w:lang w:val="zh-CN"/>
          </w:rPr>
          <w:t>30</w:t>
        </w:r>
        <w:r>
          <w:rPr>
            <w:lang w:val="zh-CN"/>
          </w:rPr>
          <w:fldChar w:fldCharType="end"/>
        </w:r>
      </w:p>
    </w:sdtContent>
  </w:sdt>
  <w:p>
    <w:pPr>
      <w:pStyle w:val="2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D6720D"/>
    <w:multiLevelType w:val="multilevel"/>
    <w:tmpl w:val="06D6720D"/>
    <w:lvl w:ilvl="0" w:tentative="0">
      <w:start w:val="1"/>
      <w:numFmt w:val="japaneseCounting"/>
      <w:lvlText w:val="%1、"/>
      <w:lvlJc w:val="left"/>
      <w:pPr>
        <w:ind w:left="562" w:hanging="420"/>
      </w:pPr>
      <w:rPr>
        <w:rFonts w:hint="default"/>
      </w:rPr>
    </w:lvl>
    <w:lvl w:ilvl="1" w:tentative="0">
      <w:start w:val="1"/>
      <w:numFmt w:val="japaneseCounting"/>
      <w:lvlText w:val="（%2）"/>
      <w:lvlJc w:val="left"/>
      <w:pPr>
        <w:ind w:left="1500" w:hanging="10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345999"/>
    <w:multiLevelType w:val="multilevel"/>
    <w:tmpl w:val="5D34599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Y2UwM2Q5MDU0N2FmYTNjZjJlYjQ3YjI2ZjVjMmMifQ=="/>
  </w:docVars>
  <w:rsids>
    <w:rsidRoot w:val="00E05D02"/>
    <w:rsid w:val="000010FB"/>
    <w:rsid w:val="00001748"/>
    <w:rsid w:val="00002D8A"/>
    <w:rsid w:val="00006549"/>
    <w:rsid w:val="00011D37"/>
    <w:rsid w:val="0001336F"/>
    <w:rsid w:val="0001496F"/>
    <w:rsid w:val="00014E4E"/>
    <w:rsid w:val="00016B23"/>
    <w:rsid w:val="00020BDD"/>
    <w:rsid w:val="000218BD"/>
    <w:rsid w:val="000237C4"/>
    <w:rsid w:val="00023ABC"/>
    <w:rsid w:val="00024C52"/>
    <w:rsid w:val="0002681D"/>
    <w:rsid w:val="00030598"/>
    <w:rsid w:val="00031153"/>
    <w:rsid w:val="0003234B"/>
    <w:rsid w:val="00032CCF"/>
    <w:rsid w:val="00033EBC"/>
    <w:rsid w:val="000346A6"/>
    <w:rsid w:val="000361D4"/>
    <w:rsid w:val="00036D0F"/>
    <w:rsid w:val="00036D7E"/>
    <w:rsid w:val="00037806"/>
    <w:rsid w:val="000402AD"/>
    <w:rsid w:val="00040372"/>
    <w:rsid w:val="00041A70"/>
    <w:rsid w:val="00041C6E"/>
    <w:rsid w:val="00042929"/>
    <w:rsid w:val="00042BBB"/>
    <w:rsid w:val="00046031"/>
    <w:rsid w:val="00052336"/>
    <w:rsid w:val="0005372D"/>
    <w:rsid w:val="00054448"/>
    <w:rsid w:val="00056AF9"/>
    <w:rsid w:val="00061164"/>
    <w:rsid w:val="0006177F"/>
    <w:rsid w:val="00062530"/>
    <w:rsid w:val="0006347D"/>
    <w:rsid w:val="00064291"/>
    <w:rsid w:val="00064B6A"/>
    <w:rsid w:val="0006545E"/>
    <w:rsid w:val="00065C20"/>
    <w:rsid w:val="00066625"/>
    <w:rsid w:val="0006670D"/>
    <w:rsid w:val="000706B2"/>
    <w:rsid w:val="00070A9B"/>
    <w:rsid w:val="00070EA9"/>
    <w:rsid w:val="00071850"/>
    <w:rsid w:val="00072BAF"/>
    <w:rsid w:val="00073836"/>
    <w:rsid w:val="00073927"/>
    <w:rsid w:val="00073F11"/>
    <w:rsid w:val="000868AE"/>
    <w:rsid w:val="0009027D"/>
    <w:rsid w:val="00094161"/>
    <w:rsid w:val="00095F46"/>
    <w:rsid w:val="00096D89"/>
    <w:rsid w:val="00097347"/>
    <w:rsid w:val="000A0CB7"/>
    <w:rsid w:val="000A1BCF"/>
    <w:rsid w:val="000A2738"/>
    <w:rsid w:val="000A54F3"/>
    <w:rsid w:val="000A57EF"/>
    <w:rsid w:val="000A5FBD"/>
    <w:rsid w:val="000B1AD1"/>
    <w:rsid w:val="000B1B84"/>
    <w:rsid w:val="000B2105"/>
    <w:rsid w:val="000B24A4"/>
    <w:rsid w:val="000B3D43"/>
    <w:rsid w:val="000B4CF5"/>
    <w:rsid w:val="000B6F54"/>
    <w:rsid w:val="000C02C0"/>
    <w:rsid w:val="000C3F62"/>
    <w:rsid w:val="000C40DF"/>
    <w:rsid w:val="000D0871"/>
    <w:rsid w:val="000D1D13"/>
    <w:rsid w:val="000D1D8B"/>
    <w:rsid w:val="000D2731"/>
    <w:rsid w:val="000D3B8D"/>
    <w:rsid w:val="000D456B"/>
    <w:rsid w:val="000D49FE"/>
    <w:rsid w:val="000D52AC"/>
    <w:rsid w:val="000E00C8"/>
    <w:rsid w:val="000E1120"/>
    <w:rsid w:val="000E1BF0"/>
    <w:rsid w:val="000E2D18"/>
    <w:rsid w:val="000E3008"/>
    <w:rsid w:val="000E7443"/>
    <w:rsid w:val="000F35D7"/>
    <w:rsid w:val="000F6E75"/>
    <w:rsid w:val="00103145"/>
    <w:rsid w:val="001047FB"/>
    <w:rsid w:val="0010498E"/>
    <w:rsid w:val="00104E24"/>
    <w:rsid w:val="0011277B"/>
    <w:rsid w:val="00113958"/>
    <w:rsid w:val="001141E3"/>
    <w:rsid w:val="00115923"/>
    <w:rsid w:val="00115FA3"/>
    <w:rsid w:val="001174A8"/>
    <w:rsid w:val="00120BA4"/>
    <w:rsid w:val="00121FBF"/>
    <w:rsid w:val="001228FE"/>
    <w:rsid w:val="0012404E"/>
    <w:rsid w:val="001261D4"/>
    <w:rsid w:val="0012791F"/>
    <w:rsid w:val="00132299"/>
    <w:rsid w:val="001322B4"/>
    <w:rsid w:val="00135D07"/>
    <w:rsid w:val="00135D41"/>
    <w:rsid w:val="00136AA5"/>
    <w:rsid w:val="001401C7"/>
    <w:rsid w:val="00141792"/>
    <w:rsid w:val="0014229A"/>
    <w:rsid w:val="001427AB"/>
    <w:rsid w:val="00145B88"/>
    <w:rsid w:val="00146D46"/>
    <w:rsid w:val="00147573"/>
    <w:rsid w:val="00150337"/>
    <w:rsid w:val="00150363"/>
    <w:rsid w:val="00150B1C"/>
    <w:rsid w:val="001543CA"/>
    <w:rsid w:val="00154599"/>
    <w:rsid w:val="00154F3B"/>
    <w:rsid w:val="001571B6"/>
    <w:rsid w:val="00157CD2"/>
    <w:rsid w:val="00160095"/>
    <w:rsid w:val="00163459"/>
    <w:rsid w:val="00163637"/>
    <w:rsid w:val="00164E4E"/>
    <w:rsid w:val="00165C5B"/>
    <w:rsid w:val="00171378"/>
    <w:rsid w:val="001715F9"/>
    <w:rsid w:val="00171A6A"/>
    <w:rsid w:val="00171DDB"/>
    <w:rsid w:val="001772F3"/>
    <w:rsid w:val="00177A6B"/>
    <w:rsid w:val="001808BB"/>
    <w:rsid w:val="00180928"/>
    <w:rsid w:val="0018154E"/>
    <w:rsid w:val="00182251"/>
    <w:rsid w:val="00182CC5"/>
    <w:rsid w:val="001857F6"/>
    <w:rsid w:val="00186807"/>
    <w:rsid w:val="00186974"/>
    <w:rsid w:val="00190790"/>
    <w:rsid w:val="0019139D"/>
    <w:rsid w:val="00191972"/>
    <w:rsid w:val="0019259A"/>
    <w:rsid w:val="00192A0E"/>
    <w:rsid w:val="00192C55"/>
    <w:rsid w:val="0019315A"/>
    <w:rsid w:val="00193B64"/>
    <w:rsid w:val="00194F99"/>
    <w:rsid w:val="001954FA"/>
    <w:rsid w:val="00197D48"/>
    <w:rsid w:val="001A2452"/>
    <w:rsid w:val="001A277D"/>
    <w:rsid w:val="001A5296"/>
    <w:rsid w:val="001A60BE"/>
    <w:rsid w:val="001A696E"/>
    <w:rsid w:val="001A71A9"/>
    <w:rsid w:val="001B003B"/>
    <w:rsid w:val="001B0667"/>
    <w:rsid w:val="001B29A1"/>
    <w:rsid w:val="001B30C0"/>
    <w:rsid w:val="001B5A14"/>
    <w:rsid w:val="001B68E2"/>
    <w:rsid w:val="001B7627"/>
    <w:rsid w:val="001C0A05"/>
    <w:rsid w:val="001C1135"/>
    <w:rsid w:val="001C2258"/>
    <w:rsid w:val="001C2B83"/>
    <w:rsid w:val="001C60CB"/>
    <w:rsid w:val="001C7B99"/>
    <w:rsid w:val="001D0615"/>
    <w:rsid w:val="001D097C"/>
    <w:rsid w:val="001D3129"/>
    <w:rsid w:val="001D4604"/>
    <w:rsid w:val="001D584A"/>
    <w:rsid w:val="001D5863"/>
    <w:rsid w:val="001D5E3B"/>
    <w:rsid w:val="001D6A9F"/>
    <w:rsid w:val="001D6B5E"/>
    <w:rsid w:val="001D75E2"/>
    <w:rsid w:val="001D78E1"/>
    <w:rsid w:val="001E1266"/>
    <w:rsid w:val="001E1612"/>
    <w:rsid w:val="001E1A62"/>
    <w:rsid w:val="001E5CF9"/>
    <w:rsid w:val="001E6CBB"/>
    <w:rsid w:val="001F08E9"/>
    <w:rsid w:val="001F105C"/>
    <w:rsid w:val="001F15CB"/>
    <w:rsid w:val="001F1E9D"/>
    <w:rsid w:val="001F65C9"/>
    <w:rsid w:val="001F7996"/>
    <w:rsid w:val="00202A31"/>
    <w:rsid w:val="00202AEE"/>
    <w:rsid w:val="00203058"/>
    <w:rsid w:val="00203B13"/>
    <w:rsid w:val="00204390"/>
    <w:rsid w:val="00204E5F"/>
    <w:rsid w:val="00205A01"/>
    <w:rsid w:val="00206FBB"/>
    <w:rsid w:val="002070C0"/>
    <w:rsid w:val="002073A4"/>
    <w:rsid w:val="002132DF"/>
    <w:rsid w:val="00214433"/>
    <w:rsid w:val="002155E1"/>
    <w:rsid w:val="00217330"/>
    <w:rsid w:val="00220513"/>
    <w:rsid w:val="002206A8"/>
    <w:rsid w:val="00221A5A"/>
    <w:rsid w:val="00222D42"/>
    <w:rsid w:val="00222FBB"/>
    <w:rsid w:val="00223690"/>
    <w:rsid w:val="00223892"/>
    <w:rsid w:val="00223983"/>
    <w:rsid w:val="00224562"/>
    <w:rsid w:val="00224D63"/>
    <w:rsid w:val="00231269"/>
    <w:rsid w:val="00233F98"/>
    <w:rsid w:val="00235117"/>
    <w:rsid w:val="00237F76"/>
    <w:rsid w:val="00240690"/>
    <w:rsid w:val="00241089"/>
    <w:rsid w:val="00241276"/>
    <w:rsid w:val="00241A09"/>
    <w:rsid w:val="0024388D"/>
    <w:rsid w:val="0024576A"/>
    <w:rsid w:val="002463BD"/>
    <w:rsid w:val="002479BD"/>
    <w:rsid w:val="00247CE6"/>
    <w:rsid w:val="00247F1A"/>
    <w:rsid w:val="0025009F"/>
    <w:rsid w:val="00252B59"/>
    <w:rsid w:val="00254107"/>
    <w:rsid w:val="002559CB"/>
    <w:rsid w:val="00256377"/>
    <w:rsid w:val="0026036B"/>
    <w:rsid w:val="002631DA"/>
    <w:rsid w:val="00266F7F"/>
    <w:rsid w:val="00267042"/>
    <w:rsid w:val="00270503"/>
    <w:rsid w:val="002706B2"/>
    <w:rsid w:val="0027163C"/>
    <w:rsid w:val="002719A6"/>
    <w:rsid w:val="00272B0F"/>
    <w:rsid w:val="002736EE"/>
    <w:rsid w:val="00274E30"/>
    <w:rsid w:val="0027704B"/>
    <w:rsid w:val="0027798C"/>
    <w:rsid w:val="00280BB3"/>
    <w:rsid w:val="0028115A"/>
    <w:rsid w:val="00281E27"/>
    <w:rsid w:val="00283092"/>
    <w:rsid w:val="002832BC"/>
    <w:rsid w:val="00286A1E"/>
    <w:rsid w:val="0028754B"/>
    <w:rsid w:val="0029172E"/>
    <w:rsid w:val="0029280E"/>
    <w:rsid w:val="00294989"/>
    <w:rsid w:val="00294C15"/>
    <w:rsid w:val="002959A3"/>
    <w:rsid w:val="0029668E"/>
    <w:rsid w:val="00297E27"/>
    <w:rsid w:val="002A1D67"/>
    <w:rsid w:val="002A3327"/>
    <w:rsid w:val="002A3417"/>
    <w:rsid w:val="002A4B65"/>
    <w:rsid w:val="002A69D2"/>
    <w:rsid w:val="002B2F32"/>
    <w:rsid w:val="002B3A53"/>
    <w:rsid w:val="002B3A8E"/>
    <w:rsid w:val="002B3D2C"/>
    <w:rsid w:val="002B5581"/>
    <w:rsid w:val="002B7495"/>
    <w:rsid w:val="002C3AA0"/>
    <w:rsid w:val="002C432F"/>
    <w:rsid w:val="002C5D8D"/>
    <w:rsid w:val="002C75E2"/>
    <w:rsid w:val="002D092B"/>
    <w:rsid w:val="002D1B2F"/>
    <w:rsid w:val="002D5975"/>
    <w:rsid w:val="002E05B2"/>
    <w:rsid w:val="002E46DF"/>
    <w:rsid w:val="002E5EAB"/>
    <w:rsid w:val="002E6B25"/>
    <w:rsid w:val="002F16D7"/>
    <w:rsid w:val="002F3642"/>
    <w:rsid w:val="002F3694"/>
    <w:rsid w:val="002F4414"/>
    <w:rsid w:val="002F4955"/>
    <w:rsid w:val="002F618D"/>
    <w:rsid w:val="003018FD"/>
    <w:rsid w:val="003037E3"/>
    <w:rsid w:val="00305C95"/>
    <w:rsid w:val="00306089"/>
    <w:rsid w:val="00306B35"/>
    <w:rsid w:val="003145B6"/>
    <w:rsid w:val="003178BE"/>
    <w:rsid w:val="00322F8E"/>
    <w:rsid w:val="00323A7F"/>
    <w:rsid w:val="00334A8B"/>
    <w:rsid w:val="00340075"/>
    <w:rsid w:val="00344C4D"/>
    <w:rsid w:val="0034738B"/>
    <w:rsid w:val="00352F0B"/>
    <w:rsid w:val="00356F3A"/>
    <w:rsid w:val="003576D6"/>
    <w:rsid w:val="00360C20"/>
    <w:rsid w:val="0036151B"/>
    <w:rsid w:val="00362D32"/>
    <w:rsid w:val="00365468"/>
    <w:rsid w:val="0036783C"/>
    <w:rsid w:val="003719AB"/>
    <w:rsid w:val="00372604"/>
    <w:rsid w:val="003774B7"/>
    <w:rsid w:val="003801BA"/>
    <w:rsid w:val="0038090E"/>
    <w:rsid w:val="00383F65"/>
    <w:rsid w:val="003845C6"/>
    <w:rsid w:val="00385D30"/>
    <w:rsid w:val="00391153"/>
    <w:rsid w:val="00392B17"/>
    <w:rsid w:val="00392BCE"/>
    <w:rsid w:val="00393F59"/>
    <w:rsid w:val="0039563B"/>
    <w:rsid w:val="003A09C8"/>
    <w:rsid w:val="003A17AA"/>
    <w:rsid w:val="003A2129"/>
    <w:rsid w:val="003A33FD"/>
    <w:rsid w:val="003A4926"/>
    <w:rsid w:val="003A575C"/>
    <w:rsid w:val="003B1ECE"/>
    <w:rsid w:val="003B22B0"/>
    <w:rsid w:val="003B4E7D"/>
    <w:rsid w:val="003C0E53"/>
    <w:rsid w:val="003C2421"/>
    <w:rsid w:val="003C5194"/>
    <w:rsid w:val="003C7075"/>
    <w:rsid w:val="003D0784"/>
    <w:rsid w:val="003D1114"/>
    <w:rsid w:val="003D19BD"/>
    <w:rsid w:val="003D20E9"/>
    <w:rsid w:val="003D3047"/>
    <w:rsid w:val="003D4D28"/>
    <w:rsid w:val="003D77A2"/>
    <w:rsid w:val="003D7A01"/>
    <w:rsid w:val="003E2404"/>
    <w:rsid w:val="003E6B17"/>
    <w:rsid w:val="003E78A8"/>
    <w:rsid w:val="003E7EBA"/>
    <w:rsid w:val="003F0062"/>
    <w:rsid w:val="003F0CC9"/>
    <w:rsid w:val="003F3A7F"/>
    <w:rsid w:val="003F6171"/>
    <w:rsid w:val="003F6B7B"/>
    <w:rsid w:val="00400232"/>
    <w:rsid w:val="00400474"/>
    <w:rsid w:val="00400AE2"/>
    <w:rsid w:val="00403E91"/>
    <w:rsid w:val="004042DA"/>
    <w:rsid w:val="004045B9"/>
    <w:rsid w:val="00407E9D"/>
    <w:rsid w:val="00410DBB"/>
    <w:rsid w:val="00410EBF"/>
    <w:rsid w:val="00411446"/>
    <w:rsid w:val="00411488"/>
    <w:rsid w:val="00413979"/>
    <w:rsid w:val="00414659"/>
    <w:rsid w:val="004162B3"/>
    <w:rsid w:val="0042038F"/>
    <w:rsid w:val="00422043"/>
    <w:rsid w:val="004237C4"/>
    <w:rsid w:val="0042395E"/>
    <w:rsid w:val="00424777"/>
    <w:rsid w:val="00424FBD"/>
    <w:rsid w:val="00425829"/>
    <w:rsid w:val="00426F15"/>
    <w:rsid w:val="004307FF"/>
    <w:rsid w:val="004315D0"/>
    <w:rsid w:val="00431AE7"/>
    <w:rsid w:val="00433A3F"/>
    <w:rsid w:val="00434852"/>
    <w:rsid w:val="00435CB6"/>
    <w:rsid w:val="00437268"/>
    <w:rsid w:val="004378F7"/>
    <w:rsid w:val="0044246E"/>
    <w:rsid w:val="00442D6E"/>
    <w:rsid w:val="00444B98"/>
    <w:rsid w:val="00447330"/>
    <w:rsid w:val="00447FAC"/>
    <w:rsid w:val="00452493"/>
    <w:rsid w:val="004530A5"/>
    <w:rsid w:val="0045321F"/>
    <w:rsid w:val="004548C6"/>
    <w:rsid w:val="00455B62"/>
    <w:rsid w:val="00457335"/>
    <w:rsid w:val="00460DE9"/>
    <w:rsid w:val="00462879"/>
    <w:rsid w:val="00462B73"/>
    <w:rsid w:val="00463463"/>
    <w:rsid w:val="0046385C"/>
    <w:rsid w:val="004641DF"/>
    <w:rsid w:val="00467D7F"/>
    <w:rsid w:val="004801B6"/>
    <w:rsid w:val="004802CE"/>
    <w:rsid w:val="00480F65"/>
    <w:rsid w:val="004827BC"/>
    <w:rsid w:val="00482A4D"/>
    <w:rsid w:val="00483C96"/>
    <w:rsid w:val="004842A1"/>
    <w:rsid w:val="004848E0"/>
    <w:rsid w:val="00484F80"/>
    <w:rsid w:val="00486332"/>
    <w:rsid w:val="004868F7"/>
    <w:rsid w:val="00491FA7"/>
    <w:rsid w:val="00492964"/>
    <w:rsid w:val="00492ED2"/>
    <w:rsid w:val="00492F66"/>
    <w:rsid w:val="00494595"/>
    <w:rsid w:val="00494FF8"/>
    <w:rsid w:val="0049582F"/>
    <w:rsid w:val="004A16FC"/>
    <w:rsid w:val="004A18C9"/>
    <w:rsid w:val="004A1911"/>
    <w:rsid w:val="004A19DD"/>
    <w:rsid w:val="004A2453"/>
    <w:rsid w:val="004A294C"/>
    <w:rsid w:val="004A3BE9"/>
    <w:rsid w:val="004A47DD"/>
    <w:rsid w:val="004A7E79"/>
    <w:rsid w:val="004B2467"/>
    <w:rsid w:val="004B250E"/>
    <w:rsid w:val="004B77B1"/>
    <w:rsid w:val="004C046F"/>
    <w:rsid w:val="004C5399"/>
    <w:rsid w:val="004C5C80"/>
    <w:rsid w:val="004C73B6"/>
    <w:rsid w:val="004D1DD3"/>
    <w:rsid w:val="004D2612"/>
    <w:rsid w:val="004E0512"/>
    <w:rsid w:val="004E094D"/>
    <w:rsid w:val="004E0B5F"/>
    <w:rsid w:val="004E2522"/>
    <w:rsid w:val="004E32F3"/>
    <w:rsid w:val="004E37CF"/>
    <w:rsid w:val="004E37D4"/>
    <w:rsid w:val="004E4DF0"/>
    <w:rsid w:val="004E4EB1"/>
    <w:rsid w:val="004E5EB3"/>
    <w:rsid w:val="004E731D"/>
    <w:rsid w:val="004F0906"/>
    <w:rsid w:val="004F0C49"/>
    <w:rsid w:val="004F1384"/>
    <w:rsid w:val="004F3254"/>
    <w:rsid w:val="004F367E"/>
    <w:rsid w:val="004F38CB"/>
    <w:rsid w:val="004F3F48"/>
    <w:rsid w:val="004F44F0"/>
    <w:rsid w:val="004F7ED2"/>
    <w:rsid w:val="0050062C"/>
    <w:rsid w:val="00501FD0"/>
    <w:rsid w:val="00511E92"/>
    <w:rsid w:val="005141FA"/>
    <w:rsid w:val="00515960"/>
    <w:rsid w:val="0051782C"/>
    <w:rsid w:val="00521187"/>
    <w:rsid w:val="00522A7A"/>
    <w:rsid w:val="00522C96"/>
    <w:rsid w:val="00523E6D"/>
    <w:rsid w:val="00531372"/>
    <w:rsid w:val="005323EB"/>
    <w:rsid w:val="005367CF"/>
    <w:rsid w:val="005376BA"/>
    <w:rsid w:val="00537CDA"/>
    <w:rsid w:val="00542869"/>
    <w:rsid w:val="00545717"/>
    <w:rsid w:val="005466A9"/>
    <w:rsid w:val="00547B3A"/>
    <w:rsid w:val="00551B66"/>
    <w:rsid w:val="005525CC"/>
    <w:rsid w:val="005544BF"/>
    <w:rsid w:val="00556C57"/>
    <w:rsid w:val="00556D44"/>
    <w:rsid w:val="00562B83"/>
    <w:rsid w:val="005667AC"/>
    <w:rsid w:val="005671E3"/>
    <w:rsid w:val="005701E1"/>
    <w:rsid w:val="0057082A"/>
    <w:rsid w:val="00571F27"/>
    <w:rsid w:val="00572241"/>
    <w:rsid w:val="00585838"/>
    <w:rsid w:val="00585915"/>
    <w:rsid w:val="00585A04"/>
    <w:rsid w:val="00586256"/>
    <w:rsid w:val="00587101"/>
    <w:rsid w:val="00587EDB"/>
    <w:rsid w:val="00591FAE"/>
    <w:rsid w:val="00592B32"/>
    <w:rsid w:val="00593276"/>
    <w:rsid w:val="00593B37"/>
    <w:rsid w:val="00593C74"/>
    <w:rsid w:val="005956D3"/>
    <w:rsid w:val="00596C69"/>
    <w:rsid w:val="005A0062"/>
    <w:rsid w:val="005A0986"/>
    <w:rsid w:val="005A1F1D"/>
    <w:rsid w:val="005A3088"/>
    <w:rsid w:val="005A36C3"/>
    <w:rsid w:val="005A45EE"/>
    <w:rsid w:val="005A478C"/>
    <w:rsid w:val="005A5E1C"/>
    <w:rsid w:val="005A6470"/>
    <w:rsid w:val="005A70EF"/>
    <w:rsid w:val="005A76ED"/>
    <w:rsid w:val="005B0CB5"/>
    <w:rsid w:val="005B631C"/>
    <w:rsid w:val="005B666B"/>
    <w:rsid w:val="005C4370"/>
    <w:rsid w:val="005C6087"/>
    <w:rsid w:val="005D1F12"/>
    <w:rsid w:val="005D5F77"/>
    <w:rsid w:val="005D74DC"/>
    <w:rsid w:val="005D7E1F"/>
    <w:rsid w:val="005E3225"/>
    <w:rsid w:val="005E3391"/>
    <w:rsid w:val="005E36A3"/>
    <w:rsid w:val="005E3AFA"/>
    <w:rsid w:val="005E4ACF"/>
    <w:rsid w:val="005E68C4"/>
    <w:rsid w:val="005F255D"/>
    <w:rsid w:val="005F448C"/>
    <w:rsid w:val="005F490E"/>
    <w:rsid w:val="005F4A51"/>
    <w:rsid w:val="005F60F5"/>
    <w:rsid w:val="00600D70"/>
    <w:rsid w:val="00600FEC"/>
    <w:rsid w:val="00601037"/>
    <w:rsid w:val="006013FD"/>
    <w:rsid w:val="00602380"/>
    <w:rsid w:val="0060417A"/>
    <w:rsid w:val="00604B34"/>
    <w:rsid w:val="00604D53"/>
    <w:rsid w:val="00611197"/>
    <w:rsid w:val="006135D9"/>
    <w:rsid w:val="0062235F"/>
    <w:rsid w:val="00622DEB"/>
    <w:rsid w:val="00622FA3"/>
    <w:rsid w:val="0062356A"/>
    <w:rsid w:val="00625A78"/>
    <w:rsid w:val="00626135"/>
    <w:rsid w:val="00631DCB"/>
    <w:rsid w:val="006321E4"/>
    <w:rsid w:val="006328B2"/>
    <w:rsid w:val="006334C8"/>
    <w:rsid w:val="0063728B"/>
    <w:rsid w:val="006404E6"/>
    <w:rsid w:val="006406AD"/>
    <w:rsid w:val="006407C7"/>
    <w:rsid w:val="006411C2"/>
    <w:rsid w:val="00643DA1"/>
    <w:rsid w:val="006452A1"/>
    <w:rsid w:val="0064538B"/>
    <w:rsid w:val="00652A65"/>
    <w:rsid w:val="00652D45"/>
    <w:rsid w:val="00654233"/>
    <w:rsid w:val="00654B35"/>
    <w:rsid w:val="00661FE2"/>
    <w:rsid w:val="00662179"/>
    <w:rsid w:val="00662742"/>
    <w:rsid w:val="0066307D"/>
    <w:rsid w:val="0066592E"/>
    <w:rsid w:val="00666FBA"/>
    <w:rsid w:val="0067350F"/>
    <w:rsid w:val="0067440A"/>
    <w:rsid w:val="00675A82"/>
    <w:rsid w:val="006774D3"/>
    <w:rsid w:val="00680399"/>
    <w:rsid w:val="00680490"/>
    <w:rsid w:val="00681A3E"/>
    <w:rsid w:val="00682E59"/>
    <w:rsid w:val="00685042"/>
    <w:rsid w:val="006852F0"/>
    <w:rsid w:val="0068578F"/>
    <w:rsid w:val="00687CD2"/>
    <w:rsid w:val="0069153F"/>
    <w:rsid w:val="0069170B"/>
    <w:rsid w:val="00694427"/>
    <w:rsid w:val="00695022"/>
    <w:rsid w:val="006950D2"/>
    <w:rsid w:val="00696A0F"/>
    <w:rsid w:val="00696FD2"/>
    <w:rsid w:val="00697D8B"/>
    <w:rsid w:val="00697EFD"/>
    <w:rsid w:val="006A026F"/>
    <w:rsid w:val="006A1367"/>
    <w:rsid w:val="006A2232"/>
    <w:rsid w:val="006A2600"/>
    <w:rsid w:val="006A566B"/>
    <w:rsid w:val="006B02C8"/>
    <w:rsid w:val="006B0A6A"/>
    <w:rsid w:val="006B13EE"/>
    <w:rsid w:val="006B143B"/>
    <w:rsid w:val="006B15F1"/>
    <w:rsid w:val="006B3439"/>
    <w:rsid w:val="006B3B4B"/>
    <w:rsid w:val="006B541E"/>
    <w:rsid w:val="006B78BA"/>
    <w:rsid w:val="006C0EAB"/>
    <w:rsid w:val="006C1745"/>
    <w:rsid w:val="006C1EE5"/>
    <w:rsid w:val="006C3033"/>
    <w:rsid w:val="006D435F"/>
    <w:rsid w:val="006D467B"/>
    <w:rsid w:val="006D6939"/>
    <w:rsid w:val="006D737C"/>
    <w:rsid w:val="006E033C"/>
    <w:rsid w:val="006E0A8D"/>
    <w:rsid w:val="006E1699"/>
    <w:rsid w:val="006E24FE"/>
    <w:rsid w:val="006E4B50"/>
    <w:rsid w:val="006E4EBA"/>
    <w:rsid w:val="006E55B0"/>
    <w:rsid w:val="006F04A7"/>
    <w:rsid w:val="006F04D4"/>
    <w:rsid w:val="006F0ED4"/>
    <w:rsid w:val="006F1732"/>
    <w:rsid w:val="006F1F8D"/>
    <w:rsid w:val="006F296C"/>
    <w:rsid w:val="006F5188"/>
    <w:rsid w:val="006F582B"/>
    <w:rsid w:val="007002FB"/>
    <w:rsid w:val="007020A9"/>
    <w:rsid w:val="00703D7A"/>
    <w:rsid w:val="00704721"/>
    <w:rsid w:val="00704E24"/>
    <w:rsid w:val="00705D9E"/>
    <w:rsid w:val="00706D34"/>
    <w:rsid w:val="00706DB7"/>
    <w:rsid w:val="00711BA0"/>
    <w:rsid w:val="007150F9"/>
    <w:rsid w:val="00717873"/>
    <w:rsid w:val="0072043A"/>
    <w:rsid w:val="00720E72"/>
    <w:rsid w:val="007215FD"/>
    <w:rsid w:val="00721F8D"/>
    <w:rsid w:val="0072201A"/>
    <w:rsid w:val="00722ACA"/>
    <w:rsid w:val="007245DC"/>
    <w:rsid w:val="007250E2"/>
    <w:rsid w:val="00725C00"/>
    <w:rsid w:val="007268C7"/>
    <w:rsid w:val="007279C2"/>
    <w:rsid w:val="00731AF8"/>
    <w:rsid w:val="00733696"/>
    <w:rsid w:val="00734294"/>
    <w:rsid w:val="007349F2"/>
    <w:rsid w:val="00736493"/>
    <w:rsid w:val="00736909"/>
    <w:rsid w:val="00740593"/>
    <w:rsid w:val="00744329"/>
    <w:rsid w:val="00744F34"/>
    <w:rsid w:val="00744FD0"/>
    <w:rsid w:val="00745334"/>
    <w:rsid w:val="00745CA0"/>
    <w:rsid w:val="00746D6D"/>
    <w:rsid w:val="00751F19"/>
    <w:rsid w:val="00752561"/>
    <w:rsid w:val="00754CE5"/>
    <w:rsid w:val="007550A9"/>
    <w:rsid w:val="007562EF"/>
    <w:rsid w:val="0077016F"/>
    <w:rsid w:val="00772309"/>
    <w:rsid w:val="00772F26"/>
    <w:rsid w:val="007767B7"/>
    <w:rsid w:val="007767C5"/>
    <w:rsid w:val="00777486"/>
    <w:rsid w:val="007800BA"/>
    <w:rsid w:val="00780121"/>
    <w:rsid w:val="00782DBD"/>
    <w:rsid w:val="00782E47"/>
    <w:rsid w:val="00784D48"/>
    <w:rsid w:val="00784F51"/>
    <w:rsid w:val="00786DC0"/>
    <w:rsid w:val="00791969"/>
    <w:rsid w:val="00792F1A"/>
    <w:rsid w:val="00794CA0"/>
    <w:rsid w:val="00794CBF"/>
    <w:rsid w:val="007951BF"/>
    <w:rsid w:val="00796E8F"/>
    <w:rsid w:val="007A138F"/>
    <w:rsid w:val="007A1F8E"/>
    <w:rsid w:val="007A2CCB"/>
    <w:rsid w:val="007A39B7"/>
    <w:rsid w:val="007A3C33"/>
    <w:rsid w:val="007A41A2"/>
    <w:rsid w:val="007A449D"/>
    <w:rsid w:val="007B06BA"/>
    <w:rsid w:val="007B2B9C"/>
    <w:rsid w:val="007B2D66"/>
    <w:rsid w:val="007B5EC1"/>
    <w:rsid w:val="007B715D"/>
    <w:rsid w:val="007B73D5"/>
    <w:rsid w:val="007C0BFB"/>
    <w:rsid w:val="007C2649"/>
    <w:rsid w:val="007C2BBA"/>
    <w:rsid w:val="007C3189"/>
    <w:rsid w:val="007C3B81"/>
    <w:rsid w:val="007C4F3D"/>
    <w:rsid w:val="007C6690"/>
    <w:rsid w:val="007C6CF0"/>
    <w:rsid w:val="007C769E"/>
    <w:rsid w:val="007D020B"/>
    <w:rsid w:val="007D2692"/>
    <w:rsid w:val="007D43DC"/>
    <w:rsid w:val="007D62BE"/>
    <w:rsid w:val="007D6D5B"/>
    <w:rsid w:val="007D7260"/>
    <w:rsid w:val="007D733A"/>
    <w:rsid w:val="007E043F"/>
    <w:rsid w:val="007E3C29"/>
    <w:rsid w:val="007E45FC"/>
    <w:rsid w:val="007E4DAA"/>
    <w:rsid w:val="007E4E93"/>
    <w:rsid w:val="007E7826"/>
    <w:rsid w:val="007F13F8"/>
    <w:rsid w:val="007F2264"/>
    <w:rsid w:val="007F285D"/>
    <w:rsid w:val="007F562B"/>
    <w:rsid w:val="007F5FB3"/>
    <w:rsid w:val="007F62ED"/>
    <w:rsid w:val="007F6F8D"/>
    <w:rsid w:val="007F6FA0"/>
    <w:rsid w:val="00804DFF"/>
    <w:rsid w:val="00805790"/>
    <w:rsid w:val="00806DC6"/>
    <w:rsid w:val="00811004"/>
    <w:rsid w:val="00812BB5"/>
    <w:rsid w:val="00813813"/>
    <w:rsid w:val="00813F27"/>
    <w:rsid w:val="00816EEB"/>
    <w:rsid w:val="008201CD"/>
    <w:rsid w:val="00820B75"/>
    <w:rsid w:val="00820C48"/>
    <w:rsid w:val="00821C9C"/>
    <w:rsid w:val="008220F8"/>
    <w:rsid w:val="00822768"/>
    <w:rsid w:val="00822C3E"/>
    <w:rsid w:val="00827D90"/>
    <w:rsid w:val="008310FD"/>
    <w:rsid w:val="008311A3"/>
    <w:rsid w:val="00832572"/>
    <w:rsid w:val="00834002"/>
    <w:rsid w:val="00835DA6"/>
    <w:rsid w:val="008364FF"/>
    <w:rsid w:val="00836521"/>
    <w:rsid w:val="008371FE"/>
    <w:rsid w:val="00837D1F"/>
    <w:rsid w:val="00840DA6"/>
    <w:rsid w:val="0084239D"/>
    <w:rsid w:val="0084410F"/>
    <w:rsid w:val="0084479B"/>
    <w:rsid w:val="00844994"/>
    <w:rsid w:val="008470D8"/>
    <w:rsid w:val="00847E08"/>
    <w:rsid w:val="00850EC7"/>
    <w:rsid w:val="0085161B"/>
    <w:rsid w:val="0085286D"/>
    <w:rsid w:val="0085305D"/>
    <w:rsid w:val="00853D86"/>
    <w:rsid w:val="00856901"/>
    <w:rsid w:val="00856903"/>
    <w:rsid w:val="00860B56"/>
    <w:rsid w:val="008631D7"/>
    <w:rsid w:val="00863509"/>
    <w:rsid w:val="00863FDE"/>
    <w:rsid w:val="00867131"/>
    <w:rsid w:val="008716E4"/>
    <w:rsid w:val="00871908"/>
    <w:rsid w:val="00872AD9"/>
    <w:rsid w:val="00874F4B"/>
    <w:rsid w:val="00875AA3"/>
    <w:rsid w:val="0087707E"/>
    <w:rsid w:val="008774B5"/>
    <w:rsid w:val="00882962"/>
    <w:rsid w:val="008835E6"/>
    <w:rsid w:val="008847B2"/>
    <w:rsid w:val="008859EE"/>
    <w:rsid w:val="008907E1"/>
    <w:rsid w:val="00893E88"/>
    <w:rsid w:val="0089482F"/>
    <w:rsid w:val="008957A8"/>
    <w:rsid w:val="008957F6"/>
    <w:rsid w:val="0089658D"/>
    <w:rsid w:val="00897938"/>
    <w:rsid w:val="008A0247"/>
    <w:rsid w:val="008A0F20"/>
    <w:rsid w:val="008A2224"/>
    <w:rsid w:val="008A6138"/>
    <w:rsid w:val="008A62DE"/>
    <w:rsid w:val="008B1021"/>
    <w:rsid w:val="008B413C"/>
    <w:rsid w:val="008B58CD"/>
    <w:rsid w:val="008C05F6"/>
    <w:rsid w:val="008C5FED"/>
    <w:rsid w:val="008C660F"/>
    <w:rsid w:val="008C6661"/>
    <w:rsid w:val="008D05AB"/>
    <w:rsid w:val="008D3587"/>
    <w:rsid w:val="008D4121"/>
    <w:rsid w:val="008D4EBC"/>
    <w:rsid w:val="008D5DA8"/>
    <w:rsid w:val="008D610D"/>
    <w:rsid w:val="008D6442"/>
    <w:rsid w:val="008D7AD9"/>
    <w:rsid w:val="008E26A7"/>
    <w:rsid w:val="008E29D7"/>
    <w:rsid w:val="008E5E27"/>
    <w:rsid w:val="008E6912"/>
    <w:rsid w:val="008F010F"/>
    <w:rsid w:val="008F1201"/>
    <w:rsid w:val="008F2A9B"/>
    <w:rsid w:val="008F2C0B"/>
    <w:rsid w:val="009010DC"/>
    <w:rsid w:val="00901E20"/>
    <w:rsid w:val="00902BAD"/>
    <w:rsid w:val="00902DFD"/>
    <w:rsid w:val="009032C9"/>
    <w:rsid w:val="00904A23"/>
    <w:rsid w:val="00907C3A"/>
    <w:rsid w:val="00910237"/>
    <w:rsid w:val="0091056D"/>
    <w:rsid w:val="00911653"/>
    <w:rsid w:val="00912345"/>
    <w:rsid w:val="00916BCC"/>
    <w:rsid w:val="00916F9D"/>
    <w:rsid w:val="009172B5"/>
    <w:rsid w:val="0092038F"/>
    <w:rsid w:val="00920F0D"/>
    <w:rsid w:val="0092194B"/>
    <w:rsid w:val="00922667"/>
    <w:rsid w:val="009276C6"/>
    <w:rsid w:val="00931520"/>
    <w:rsid w:val="00931934"/>
    <w:rsid w:val="00932C59"/>
    <w:rsid w:val="00934B4D"/>
    <w:rsid w:val="00935F39"/>
    <w:rsid w:val="009412AB"/>
    <w:rsid w:val="0094159A"/>
    <w:rsid w:val="00944CA1"/>
    <w:rsid w:val="00945B36"/>
    <w:rsid w:val="00946312"/>
    <w:rsid w:val="00946AE9"/>
    <w:rsid w:val="00947A03"/>
    <w:rsid w:val="00952B59"/>
    <w:rsid w:val="009542FF"/>
    <w:rsid w:val="0095554B"/>
    <w:rsid w:val="00956E17"/>
    <w:rsid w:val="00960214"/>
    <w:rsid w:val="00961043"/>
    <w:rsid w:val="00962C1D"/>
    <w:rsid w:val="0096314E"/>
    <w:rsid w:val="009648F8"/>
    <w:rsid w:val="00965AE0"/>
    <w:rsid w:val="00965E42"/>
    <w:rsid w:val="00967390"/>
    <w:rsid w:val="00970677"/>
    <w:rsid w:val="009721DD"/>
    <w:rsid w:val="00972A24"/>
    <w:rsid w:val="0097342D"/>
    <w:rsid w:val="0097689F"/>
    <w:rsid w:val="009774DC"/>
    <w:rsid w:val="009800B0"/>
    <w:rsid w:val="009815FE"/>
    <w:rsid w:val="009838B4"/>
    <w:rsid w:val="009846C9"/>
    <w:rsid w:val="00986C98"/>
    <w:rsid w:val="00991C98"/>
    <w:rsid w:val="00993B40"/>
    <w:rsid w:val="00994308"/>
    <w:rsid w:val="0099499B"/>
    <w:rsid w:val="00994D4A"/>
    <w:rsid w:val="009969CC"/>
    <w:rsid w:val="00996E31"/>
    <w:rsid w:val="009A0B52"/>
    <w:rsid w:val="009A131E"/>
    <w:rsid w:val="009A2D12"/>
    <w:rsid w:val="009A2F0E"/>
    <w:rsid w:val="009A4D26"/>
    <w:rsid w:val="009A6744"/>
    <w:rsid w:val="009A7B5F"/>
    <w:rsid w:val="009B2604"/>
    <w:rsid w:val="009B368A"/>
    <w:rsid w:val="009B3C96"/>
    <w:rsid w:val="009B4D25"/>
    <w:rsid w:val="009C0CF4"/>
    <w:rsid w:val="009C1381"/>
    <w:rsid w:val="009C28AB"/>
    <w:rsid w:val="009C3F7A"/>
    <w:rsid w:val="009C7450"/>
    <w:rsid w:val="009C779D"/>
    <w:rsid w:val="009D06CC"/>
    <w:rsid w:val="009D31C1"/>
    <w:rsid w:val="009D457D"/>
    <w:rsid w:val="009D5B00"/>
    <w:rsid w:val="009D6D8F"/>
    <w:rsid w:val="009E0121"/>
    <w:rsid w:val="009E1353"/>
    <w:rsid w:val="009E136B"/>
    <w:rsid w:val="009E14F7"/>
    <w:rsid w:val="009E3E6A"/>
    <w:rsid w:val="009E43EE"/>
    <w:rsid w:val="009E62B2"/>
    <w:rsid w:val="009E654E"/>
    <w:rsid w:val="009E7B29"/>
    <w:rsid w:val="009F0C52"/>
    <w:rsid w:val="009F0EB9"/>
    <w:rsid w:val="009F281F"/>
    <w:rsid w:val="009F2C8A"/>
    <w:rsid w:val="009F31C1"/>
    <w:rsid w:val="009F32E1"/>
    <w:rsid w:val="009F4930"/>
    <w:rsid w:val="009F4E37"/>
    <w:rsid w:val="009F5636"/>
    <w:rsid w:val="00A02294"/>
    <w:rsid w:val="00A02D77"/>
    <w:rsid w:val="00A03762"/>
    <w:rsid w:val="00A03DFF"/>
    <w:rsid w:val="00A045AC"/>
    <w:rsid w:val="00A048A8"/>
    <w:rsid w:val="00A0558F"/>
    <w:rsid w:val="00A07CC5"/>
    <w:rsid w:val="00A10197"/>
    <w:rsid w:val="00A116A0"/>
    <w:rsid w:val="00A1286D"/>
    <w:rsid w:val="00A14A4B"/>
    <w:rsid w:val="00A160FC"/>
    <w:rsid w:val="00A17DDC"/>
    <w:rsid w:val="00A17E71"/>
    <w:rsid w:val="00A2017F"/>
    <w:rsid w:val="00A203AA"/>
    <w:rsid w:val="00A20B95"/>
    <w:rsid w:val="00A21293"/>
    <w:rsid w:val="00A21D38"/>
    <w:rsid w:val="00A22BEE"/>
    <w:rsid w:val="00A24012"/>
    <w:rsid w:val="00A249EB"/>
    <w:rsid w:val="00A2536E"/>
    <w:rsid w:val="00A255E9"/>
    <w:rsid w:val="00A25759"/>
    <w:rsid w:val="00A25CDB"/>
    <w:rsid w:val="00A27747"/>
    <w:rsid w:val="00A27C62"/>
    <w:rsid w:val="00A315B0"/>
    <w:rsid w:val="00A318D4"/>
    <w:rsid w:val="00A3334E"/>
    <w:rsid w:val="00A351D1"/>
    <w:rsid w:val="00A3585A"/>
    <w:rsid w:val="00A401E3"/>
    <w:rsid w:val="00A41ECC"/>
    <w:rsid w:val="00A42522"/>
    <w:rsid w:val="00A42BFE"/>
    <w:rsid w:val="00A44A5C"/>
    <w:rsid w:val="00A44F9F"/>
    <w:rsid w:val="00A45F5D"/>
    <w:rsid w:val="00A4729A"/>
    <w:rsid w:val="00A4769B"/>
    <w:rsid w:val="00A478FD"/>
    <w:rsid w:val="00A50BB5"/>
    <w:rsid w:val="00A527DA"/>
    <w:rsid w:val="00A52D9D"/>
    <w:rsid w:val="00A568F1"/>
    <w:rsid w:val="00A609C6"/>
    <w:rsid w:val="00A63E8C"/>
    <w:rsid w:val="00A67369"/>
    <w:rsid w:val="00A70CF3"/>
    <w:rsid w:val="00A718C5"/>
    <w:rsid w:val="00A7230D"/>
    <w:rsid w:val="00A72C82"/>
    <w:rsid w:val="00A73E9C"/>
    <w:rsid w:val="00A74969"/>
    <w:rsid w:val="00A76408"/>
    <w:rsid w:val="00A76840"/>
    <w:rsid w:val="00A76B05"/>
    <w:rsid w:val="00A7746A"/>
    <w:rsid w:val="00A774A1"/>
    <w:rsid w:val="00A80203"/>
    <w:rsid w:val="00A8046C"/>
    <w:rsid w:val="00A806BD"/>
    <w:rsid w:val="00A80C7C"/>
    <w:rsid w:val="00A80E33"/>
    <w:rsid w:val="00A8171F"/>
    <w:rsid w:val="00A81E4C"/>
    <w:rsid w:val="00A82E59"/>
    <w:rsid w:val="00A833BE"/>
    <w:rsid w:val="00A83600"/>
    <w:rsid w:val="00A83C70"/>
    <w:rsid w:val="00A85F23"/>
    <w:rsid w:val="00A86146"/>
    <w:rsid w:val="00A86607"/>
    <w:rsid w:val="00A8751E"/>
    <w:rsid w:val="00A87547"/>
    <w:rsid w:val="00A90D31"/>
    <w:rsid w:val="00A91F2C"/>
    <w:rsid w:val="00A9295F"/>
    <w:rsid w:val="00A92F7B"/>
    <w:rsid w:val="00A964A4"/>
    <w:rsid w:val="00AA2890"/>
    <w:rsid w:val="00AA4A38"/>
    <w:rsid w:val="00AA4E33"/>
    <w:rsid w:val="00AA7500"/>
    <w:rsid w:val="00AA75EA"/>
    <w:rsid w:val="00AB06A1"/>
    <w:rsid w:val="00AB2180"/>
    <w:rsid w:val="00AB2F88"/>
    <w:rsid w:val="00AB39EF"/>
    <w:rsid w:val="00AB3ABE"/>
    <w:rsid w:val="00AB4B59"/>
    <w:rsid w:val="00AB4BA9"/>
    <w:rsid w:val="00AB535D"/>
    <w:rsid w:val="00AB57EB"/>
    <w:rsid w:val="00AB5AF8"/>
    <w:rsid w:val="00AB65C2"/>
    <w:rsid w:val="00AC137C"/>
    <w:rsid w:val="00AC1843"/>
    <w:rsid w:val="00AC392E"/>
    <w:rsid w:val="00AC3E9F"/>
    <w:rsid w:val="00AC6388"/>
    <w:rsid w:val="00AD0B4F"/>
    <w:rsid w:val="00AD11E2"/>
    <w:rsid w:val="00AD1374"/>
    <w:rsid w:val="00AD2823"/>
    <w:rsid w:val="00AD58A9"/>
    <w:rsid w:val="00AD5F56"/>
    <w:rsid w:val="00AD70A8"/>
    <w:rsid w:val="00AD715A"/>
    <w:rsid w:val="00AE1FF2"/>
    <w:rsid w:val="00AE2B6B"/>
    <w:rsid w:val="00AE33AF"/>
    <w:rsid w:val="00AE345F"/>
    <w:rsid w:val="00AE4951"/>
    <w:rsid w:val="00AF1AA8"/>
    <w:rsid w:val="00AF2191"/>
    <w:rsid w:val="00AF29B7"/>
    <w:rsid w:val="00AF3950"/>
    <w:rsid w:val="00AF40E0"/>
    <w:rsid w:val="00AF498C"/>
    <w:rsid w:val="00AF50B0"/>
    <w:rsid w:val="00AF532F"/>
    <w:rsid w:val="00AF6689"/>
    <w:rsid w:val="00B00221"/>
    <w:rsid w:val="00B010E3"/>
    <w:rsid w:val="00B02ED2"/>
    <w:rsid w:val="00B02EF6"/>
    <w:rsid w:val="00B03CEA"/>
    <w:rsid w:val="00B045BB"/>
    <w:rsid w:val="00B078E6"/>
    <w:rsid w:val="00B07C05"/>
    <w:rsid w:val="00B10486"/>
    <w:rsid w:val="00B10EF4"/>
    <w:rsid w:val="00B13A21"/>
    <w:rsid w:val="00B14C47"/>
    <w:rsid w:val="00B14C5F"/>
    <w:rsid w:val="00B14DC1"/>
    <w:rsid w:val="00B15196"/>
    <w:rsid w:val="00B16742"/>
    <w:rsid w:val="00B2051A"/>
    <w:rsid w:val="00B22387"/>
    <w:rsid w:val="00B23441"/>
    <w:rsid w:val="00B23F0E"/>
    <w:rsid w:val="00B23F1E"/>
    <w:rsid w:val="00B25531"/>
    <w:rsid w:val="00B278CD"/>
    <w:rsid w:val="00B32162"/>
    <w:rsid w:val="00B323AD"/>
    <w:rsid w:val="00B32DE2"/>
    <w:rsid w:val="00B3456B"/>
    <w:rsid w:val="00B4015A"/>
    <w:rsid w:val="00B406C8"/>
    <w:rsid w:val="00B41370"/>
    <w:rsid w:val="00B419DE"/>
    <w:rsid w:val="00B42011"/>
    <w:rsid w:val="00B43979"/>
    <w:rsid w:val="00B43CEF"/>
    <w:rsid w:val="00B45879"/>
    <w:rsid w:val="00B4598D"/>
    <w:rsid w:val="00B47613"/>
    <w:rsid w:val="00B47A78"/>
    <w:rsid w:val="00B525A6"/>
    <w:rsid w:val="00B53616"/>
    <w:rsid w:val="00B53E38"/>
    <w:rsid w:val="00B54B52"/>
    <w:rsid w:val="00B5526D"/>
    <w:rsid w:val="00B561CE"/>
    <w:rsid w:val="00B56382"/>
    <w:rsid w:val="00B572DE"/>
    <w:rsid w:val="00B61C8C"/>
    <w:rsid w:val="00B61FA8"/>
    <w:rsid w:val="00B62E85"/>
    <w:rsid w:val="00B63020"/>
    <w:rsid w:val="00B633B7"/>
    <w:rsid w:val="00B638DA"/>
    <w:rsid w:val="00B63941"/>
    <w:rsid w:val="00B65098"/>
    <w:rsid w:val="00B67C89"/>
    <w:rsid w:val="00B706ED"/>
    <w:rsid w:val="00B70C55"/>
    <w:rsid w:val="00B72871"/>
    <w:rsid w:val="00B73690"/>
    <w:rsid w:val="00B73E36"/>
    <w:rsid w:val="00B74414"/>
    <w:rsid w:val="00B77DF2"/>
    <w:rsid w:val="00B80AC8"/>
    <w:rsid w:val="00B834FF"/>
    <w:rsid w:val="00B85823"/>
    <w:rsid w:val="00B866A8"/>
    <w:rsid w:val="00B878ED"/>
    <w:rsid w:val="00B91F8C"/>
    <w:rsid w:val="00B92A64"/>
    <w:rsid w:val="00B9322A"/>
    <w:rsid w:val="00B936D8"/>
    <w:rsid w:val="00B93C72"/>
    <w:rsid w:val="00B93E81"/>
    <w:rsid w:val="00B940D7"/>
    <w:rsid w:val="00B9477F"/>
    <w:rsid w:val="00B96A6D"/>
    <w:rsid w:val="00B96AFA"/>
    <w:rsid w:val="00B96B9A"/>
    <w:rsid w:val="00BA1134"/>
    <w:rsid w:val="00BA157E"/>
    <w:rsid w:val="00BA44F2"/>
    <w:rsid w:val="00BA68CC"/>
    <w:rsid w:val="00BA6C3C"/>
    <w:rsid w:val="00BA72E5"/>
    <w:rsid w:val="00BA7AED"/>
    <w:rsid w:val="00BB0743"/>
    <w:rsid w:val="00BB1382"/>
    <w:rsid w:val="00BB343C"/>
    <w:rsid w:val="00BB3512"/>
    <w:rsid w:val="00BB3BDB"/>
    <w:rsid w:val="00BB4890"/>
    <w:rsid w:val="00BB57ED"/>
    <w:rsid w:val="00BB5DBF"/>
    <w:rsid w:val="00BB74DE"/>
    <w:rsid w:val="00BC163E"/>
    <w:rsid w:val="00BC2922"/>
    <w:rsid w:val="00BC3849"/>
    <w:rsid w:val="00BC4332"/>
    <w:rsid w:val="00BC6C9C"/>
    <w:rsid w:val="00BC74AE"/>
    <w:rsid w:val="00BD0262"/>
    <w:rsid w:val="00BD15CD"/>
    <w:rsid w:val="00BD2467"/>
    <w:rsid w:val="00BD38F5"/>
    <w:rsid w:val="00BD44D1"/>
    <w:rsid w:val="00BD4832"/>
    <w:rsid w:val="00BD4895"/>
    <w:rsid w:val="00BD60F2"/>
    <w:rsid w:val="00BD6459"/>
    <w:rsid w:val="00BD69D4"/>
    <w:rsid w:val="00BE42E9"/>
    <w:rsid w:val="00BE4877"/>
    <w:rsid w:val="00BE6EA8"/>
    <w:rsid w:val="00BE6F39"/>
    <w:rsid w:val="00BE6FDD"/>
    <w:rsid w:val="00BE71BB"/>
    <w:rsid w:val="00BE735D"/>
    <w:rsid w:val="00BE7417"/>
    <w:rsid w:val="00BF0B02"/>
    <w:rsid w:val="00BF0D5F"/>
    <w:rsid w:val="00BF28CD"/>
    <w:rsid w:val="00BF2B44"/>
    <w:rsid w:val="00BF307D"/>
    <w:rsid w:val="00BF4CA7"/>
    <w:rsid w:val="00BF5774"/>
    <w:rsid w:val="00BF5ADC"/>
    <w:rsid w:val="00BF6488"/>
    <w:rsid w:val="00C00EEA"/>
    <w:rsid w:val="00C0109C"/>
    <w:rsid w:val="00C02C21"/>
    <w:rsid w:val="00C0562C"/>
    <w:rsid w:val="00C0576F"/>
    <w:rsid w:val="00C103F8"/>
    <w:rsid w:val="00C108F7"/>
    <w:rsid w:val="00C11288"/>
    <w:rsid w:val="00C133F8"/>
    <w:rsid w:val="00C1420A"/>
    <w:rsid w:val="00C14E99"/>
    <w:rsid w:val="00C1539A"/>
    <w:rsid w:val="00C20087"/>
    <w:rsid w:val="00C2114B"/>
    <w:rsid w:val="00C21982"/>
    <w:rsid w:val="00C224C6"/>
    <w:rsid w:val="00C22FD9"/>
    <w:rsid w:val="00C234DA"/>
    <w:rsid w:val="00C2407E"/>
    <w:rsid w:val="00C26559"/>
    <w:rsid w:val="00C2749E"/>
    <w:rsid w:val="00C274AD"/>
    <w:rsid w:val="00C30D9D"/>
    <w:rsid w:val="00C3185A"/>
    <w:rsid w:val="00C3239B"/>
    <w:rsid w:val="00C33431"/>
    <w:rsid w:val="00C3366C"/>
    <w:rsid w:val="00C338CA"/>
    <w:rsid w:val="00C33989"/>
    <w:rsid w:val="00C3421A"/>
    <w:rsid w:val="00C3649C"/>
    <w:rsid w:val="00C41406"/>
    <w:rsid w:val="00C420EF"/>
    <w:rsid w:val="00C42752"/>
    <w:rsid w:val="00C42FBF"/>
    <w:rsid w:val="00C462A4"/>
    <w:rsid w:val="00C51793"/>
    <w:rsid w:val="00C546CC"/>
    <w:rsid w:val="00C5504F"/>
    <w:rsid w:val="00C5520B"/>
    <w:rsid w:val="00C55348"/>
    <w:rsid w:val="00C55725"/>
    <w:rsid w:val="00C56AD8"/>
    <w:rsid w:val="00C571EC"/>
    <w:rsid w:val="00C61038"/>
    <w:rsid w:val="00C61896"/>
    <w:rsid w:val="00C61952"/>
    <w:rsid w:val="00C6481A"/>
    <w:rsid w:val="00C65A79"/>
    <w:rsid w:val="00C6691B"/>
    <w:rsid w:val="00C66FC9"/>
    <w:rsid w:val="00C71BA0"/>
    <w:rsid w:val="00C71BC6"/>
    <w:rsid w:val="00C74C70"/>
    <w:rsid w:val="00C757F2"/>
    <w:rsid w:val="00C75D27"/>
    <w:rsid w:val="00C76DB7"/>
    <w:rsid w:val="00C80488"/>
    <w:rsid w:val="00C8109D"/>
    <w:rsid w:val="00C81EEA"/>
    <w:rsid w:val="00C826C9"/>
    <w:rsid w:val="00C8492C"/>
    <w:rsid w:val="00C86D0F"/>
    <w:rsid w:val="00C87940"/>
    <w:rsid w:val="00C9061E"/>
    <w:rsid w:val="00C90E1C"/>
    <w:rsid w:val="00C91BA5"/>
    <w:rsid w:val="00C91C32"/>
    <w:rsid w:val="00C91F0E"/>
    <w:rsid w:val="00C96EE9"/>
    <w:rsid w:val="00CA31C8"/>
    <w:rsid w:val="00CA3893"/>
    <w:rsid w:val="00CA3E68"/>
    <w:rsid w:val="00CA4EA8"/>
    <w:rsid w:val="00CA5048"/>
    <w:rsid w:val="00CA530F"/>
    <w:rsid w:val="00CA7673"/>
    <w:rsid w:val="00CB0331"/>
    <w:rsid w:val="00CB0FDA"/>
    <w:rsid w:val="00CB2E76"/>
    <w:rsid w:val="00CB3885"/>
    <w:rsid w:val="00CB3E3D"/>
    <w:rsid w:val="00CB4416"/>
    <w:rsid w:val="00CB4873"/>
    <w:rsid w:val="00CB4D1D"/>
    <w:rsid w:val="00CB4DE6"/>
    <w:rsid w:val="00CB4E58"/>
    <w:rsid w:val="00CB603F"/>
    <w:rsid w:val="00CB743B"/>
    <w:rsid w:val="00CC19C4"/>
    <w:rsid w:val="00CC2825"/>
    <w:rsid w:val="00CC2976"/>
    <w:rsid w:val="00CC2A2E"/>
    <w:rsid w:val="00CC3C83"/>
    <w:rsid w:val="00CC4D78"/>
    <w:rsid w:val="00CC727F"/>
    <w:rsid w:val="00CC7627"/>
    <w:rsid w:val="00CD165F"/>
    <w:rsid w:val="00CD17BD"/>
    <w:rsid w:val="00CD2A01"/>
    <w:rsid w:val="00CD3783"/>
    <w:rsid w:val="00CD387D"/>
    <w:rsid w:val="00CD3F3B"/>
    <w:rsid w:val="00CD68AF"/>
    <w:rsid w:val="00CD7136"/>
    <w:rsid w:val="00CE2705"/>
    <w:rsid w:val="00CE2938"/>
    <w:rsid w:val="00CE38E2"/>
    <w:rsid w:val="00CE3D2B"/>
    <w:rsid w:val="00CE48E8"/>
    <w:rsid w:val="00CE49C0"/>
    <w:rsid w:val="00CE552F"/>
    <w:rsid w:val="00CF24E3"/>
    <w:rsid w:val="00CF3E91"/>
    <w:rsid w:val="00CF4247"/>
    <w:rsid w:val="00CF55DB"/>
    <w:rsid w:val="00D0094B"/>
    <w:rsid w:val="00D02A76"/>
    <w:rsid w:val="00D03469"/>
    <w:rsid w:val="00D03704"/>
    <w:rsid w:val="00D04451"/>
    <w:rsid w:val="00D0481C"/>
    <w:rsid w:val="00D04DAF"/>
    <w:rsid w:val="00D0691F"/>
    <w:rsid w:val="00D06AE3"/>
    <w:rsid w:val="00D0748D"/>
    <w:rsid w:val="00D0763C"/>
    <w:rsid w:val="00D10933"/>
    <w:rsid w:val="00D12F90"/>
    <w:rsid w:val="00D14271"/>
    <w:rsid w:val="00D143F3"/>
    <w:rsid w:val="00D14DEF"/>
    <w:rsid w:val="00D15257"/>
    <w:rsid w:val="00D15481"/>
    <w:rsid w:val="00D15604"/>
    <w:rsid w:val="00D16773"/>
    <w:rsid w:val="00D17F8A"/>
    <w:rsid w:val="00D22C4B"/>
    <w:rsid w:val="00D24B4E"/>
    <w:rsid w:val="00D251CE"/>
    <w:rsid w:val="00D269A6"/>
    <w:rsid w:val="00D30067"/>
    <w:rsid w:val="00D31F3F"/>
    <w:rsid w:val="00D325B5"/>
    <w:rsid w:val="00D33471"/>
    <w:rsid w:val="00D35E3B"/>
    <w:rsid w:val="00D37B9E"/>
    <w:rsid w:val="00D402F2"/>
    <w:rsid w:val="00D4314F"/>
    <w:rsid w:val="00D4683E"/>
    <w:rsid w:val="00D468C9"/>
    <w:rsid w:val="00D4720B"/>
    <w:rsid w:val="00D47791"/>
    <w:rsid w:val="00D533FF"/>
    <w:rsid w:val="00D538E1"/>
    <w:rsid w:val="00D555DC"/>
    <w:rsid w:val="00D569F6"/>
    <w:rsid w:val="00D579EA"/>
    <w:rsid w:val="00D6222A"/>
    <w:rsid w:val="00D6258A"/>
    <w:rsid w:val="00D63281"/>
    <w:rsid w:val="00D64C68"/>
    <w:rsid w:val="00D66379"/>
    <w:rsid w:val="00D72575"/>
    <w:rsid w:val="00D72755"/>
    <w:rsid w:val="00D72AA9"/>
    <w:rsid w:val="00D72D59"/>
    <w:rsid w:val="00D72F76"/>
    <w:rsid w:val="00D73002"/>
    <w:rsid w:val="00D733E7"/>
    <w:rsid w:val="00D73C9E"/>
    <w:rsid w:val="00D74A7C"/>
    <w:rsid w:val="00D76EEE"/>
    <w:rsid w:val="00D776DD"/>
    <w:rsid w:val="00D805D5"/>
    <w:rsid w:val="00D8185F"/>
    <w:rsid w:val="00D81B5A"/>
    <w:rsid w:val="00D82D41"/>
    <w:rsid w:val="00D906EE"/>
    <w:rsid w:val="00D907E7"/>
    <w:rsid w:val="00D9088E"/>
    <w:rsid w:val="00D92088"/>
    <w:rsid w:val="00D9301F"/>
    <w:rsid w:val="00D944D5"/>
    <w:rsid w:val="00D95AEF"/>
    <w:rsid w:val="00D95FB8"/>
    <w:rsid w:val="00D963D9"/>
    <w:rsid w:val="00D96DDB"/>
    <w:rsid w:val="00D9765D"/>
    <w:rsid w:val="00D97F39"/>
    <w:rsid w:val="00DA09F4"/>
    <w:rsid w:val="00DA2A69"/>
    <w:rsid w:val="00DA3ECB"/>
    <w:rsid w:val="00DA5C30"/>
    <w:rsid w:val="00DA5E16"/>
    <w:rsid w:val="00DA6855"/>
    <w:rsid w:val="00DA6B79"/>
    <w:rsid w:val="00DA6DA0"/>
    <w:rsid w:val="00DB072F"/>
    <w:rsid w:val="00DB09EE"/>
    <w:rsid w:val="00DB3BCD"/>
    <w:rsid w:val="00DB666E"/>
    <w:rsid w:val="00DB7386"/>
    <w:rsid w:val="00DC1B12"/>
    <w:rsid w:val="00DC6293"/>
    <w:rsid w:val="00DC7347"/>
    <w:rsid w:val="00DD03A9"/>
    <w:rsid w:val="00DD2021"/>
    <w:rsid w:val="00DD2E89"/>
    <w:rsid w:val="00DD4E31"/>
    <w:rsid w:val="00DE08A9"/>
    <w:rsid w:val="00DE2AC3"/>
    <w:rsid w:val="00DE3D58"/>
    <w:rsid w:val="00DE47AA"/>
    <w:rsid w:val="00DE53FF"/>
    <w:rsid w:val="00DE5E1F"/>
    <w:rsid w:val="00DE70A4"/>
    <w:rsid w:val="00DE7D28"/>
    <w:rsid w:val="00DF0631"/>
    <w:rsid w:val="00DF063F"/>
    <w:rsid w:val="00DF4538"/>
    <w:rsid w:val="00DF56D1"/>
    <w:rsid w:val="00DF585B"/>
    <w:rsid w:val="00DF70B3"/>
    <w:rsid w:val="00DF7634"/>
    <w:rsid w:val="00E02CE7"/>
    <w:rsid w:val="00E034E6"/>
    <w:rsid w:val="00E03608"/>
    <w:rsid w:val="00E0382E"/>
    <w:rsid w:val="00E05393"/>
    <w:rsid w:val="00E05D02"/>
    <w:rsid w:val="00E10B37"/>
    <w:rsid w:val="00E10D35"/>
    <w:rsid w:val="00E13949"/>
    <w:rsid w:val="00E1515D"/>
    <w:rsid w:val="00E15991"/>
    <w:rsid w:val="00E16D43"/>
    <w:rsid w:val="00E17363"/>
    <w:rsid w:val="00E20E5D"/>
    <w:rsid w:val="00E219C0"/>
    <w:rsid w:val="00E22DCC"/>
    <w:rsid w:val="00E23411"/>
    <w:rsid w:val="00E2348A"/>
    <w:rsid w:val="00E242D7"/>
    <w:rsid w:val="00E268DF"/>
    <w:rsid w:val="00E303D1"/>
    <w:rsid w:val="00E3352B"/>
    <w:rsid w:val="00E33EF0"/>
    <w:rsid w:val="00E34B77"/>
    <w:rsid w:val="00E35FD3"/>
    <w:rsid w:val="00E3687B"/>
    <w:rsid w:val="00E37745"/>
    <w:rsid w:val="00E42200"/>
    <w:rsid w:val="00E42B25"/>
    <w:rsid w:val="00E43D31"/>
    <w:rsid w:val="00E44BCD"/>
    <w:rsid w:val="00E44FB6"/>
    <w:rsid w:val="00E45627"/>
    <w:rsid w:val="00E46772"/>
    <w:rsid w:val="00E46B61"/>
    <w:rsid w:val="00E476BC"/>
    <w:rsid w:val="00E51115"/>
    <w:rsid w:val="00E526FC"/>
    <w:rsid w:val="00E54259"/>
    <w:rsid w:val="00E5533F"/>
    <w:rsid w:val="00E610C1"/>
    <w:rsid w:val="00E61E02"/>
    <w:rsid w:val="00E62449"/>
    <w:rsid w:val="00E63A42"/>
    <w:rsid w:val="00E64BC6"/>
    <w:rsid w:val="00E66C7F"/>
    <w:rsid w:val="00E66D1D"/>
    <w:rsid w:val="00E67D06"/>
    <w:rsid w:val="00E704A0"/>
    <w:rsid w:val="00E71EDF"/>
    <w:rsid w:val="00E71F0B"/>
    <w:rsid w:val="00E74265"/>
    <w:rsid w:val="00E77506"/>
    <w:rsid w:val="00E80F28"/>
    <w:rsid w:val="00E83744"/>
    <w:rsid w:val="00E83875"/>
    <w:rsid w:val="00E83A6B"/>
    <w:rsid w:val="00E91CFB"/>
    <w:rsid w:val="00E9353E"/>
    <w:rsid w:val="00E96605"/>
    <w:rsid w:val="00E96F76"/>
    <w:rsid w:val="00E97578"/>
    <w:rsid w:val="00EA1DEB"/>
    <w:rsid w:val="00EA275B"/>
    <w:rsid w:val="00EA5FE0"/>
    <w:rsid w:val="00EA7817"/>
    <w:rsid w:val="00EB2A4E"/>
    <w:rsid w:val="00EB2B0E"/>
    <w:rsid w:val="00EB79FC"/>
    <w:rsid w:val="00EC0A40"/>
    <w:rsid w:val="00EC2C04"/>
    <w:rsid w:val="00EC376C"/>
    <w:rsid w:val="00EC3955"/>
    <w:rsid w:val="00EC4A2C"/>
    <w:rsid w:val="00ED0C1E"/>
    <w:rsid w:val="00ED2C55"/>
    <w:rsid w:val="00ED3541"/>
    <w:rsid w:val="00ED3952"/>
    <w:rsid w:val="00ED46B4"/>
    <w:rsid w:val="00ED4910"/>
    <w:rsid w:val="00ED6F54"/>
    <w:rsid w:val="00ED7596"/>
    <w:rsid w:val="00EE0660"/>
    <w:rsid w:val="00EE0F21"/>
    <w:rsid w:val="00EE101D"/>
    <w:rsid w:val="00EE1FE1"/>
    <w:rsid w:val="00EE282A"/>
    <w:rsid w:val="00EE3CCD"/>
    <w:rsid w:val="00EE4329"/>
    <w:rsid w:val="00EE7BDB"/>
    <w:rsid w:val="00EF060C"/>
    <w:rsid w:val="00EF0F73"/>
    <w:rsid w:val="00EF0FBA"/>
    <w:rsid w:val="00EF1C93"/>
    <w:rsid w:val="00EF3A7B"/>
    <w:rsid w:val="00EF41F7"/>
    <w:rsid w:val="00EF4EDF"/>
    <w:rsid w:val="00EF4F51"/>
    <w:rsid w:val="00EF6901"/>
    <w:rsid w:val="00EF6AB9"/>
    <w:rsid w:val="00F06770"/>
    <w:rsid w:val="00F06EB0"/>
    <w:rsid w:val="00F07249"/>
    <w:rsid w:val="00F077F5"/>
    <w:rsid w:val="00F102F7"/>
    <w:rsid w:val="00F10B92"/>
    <w:rsid w:val="00F1172B"/>
    <w:rsid w:val="00F1208B"/>
    <w:rsid w:val="00F13176"/>
    <w:rsid w:val="00F1537F"/>
    <w:rsid w:val="00F157A5"/>
    <w:rsid w:val="00F15AB4"/>
    <w:rsid w:val="00F15B28"/>
    <w:rsid w:val="00F167D9"/>
    <w:rsid w:val="00F17479"/>
    <w:rsid w:val="00F2185D"/>
    <w:rsid w:val="00F21BFC"/>
    <w:rsid w:val="00F2318C"/>
    <w:rsid w:val="00F24427"/>
    <w:rsid w:val="00F247CC"/>
    <w:rsid w:val="00F31510"/>
    <w:rsid w:val="00F317AD"/>
    <w:rsid w:val="00F3569F"/>
    <w:rsid w:val="00F3616D"/>
    <w:rsid w:val="00F44BE5"/>
    <w:rsid w:val="00F45E93"/>
    <w:rsid w:val="00F4694A"/>
    <w:rsid w:val="00F547AD"/>
    <w:rsid w:val="00F56496"/>
    <w:rsid w:val="00F569F9"/>
    <w:rsid w:val="00F605C8"/>
    <w:rsid w:val="00F606B1"/>
    <w:rsid w:val="00F607B1"/>
    <w:rsid w:val="00F607D4"/>
    <w:rsid w:val="00F6344A"/>
    <w:rsid w:val="00F64512"/>
    <w:rsid w:val="00F64CA2"/>
    <w:rsid w:val="00F65602"/>
    <w:rsid w:val="00F66911"/>
    <w:rsid w:val="00F67BA5"/>
    <w:rsid w:val="00F71B10"/>
    <w:rsid w:val="00F7213C"/>
    <w:rsid w:val="00F74405"/>
    <w:rsid w:val="00F74D54"/>
    <w:rsid w:val="00F80C8C"/>
    <w:rsid w:val="00F81401"/>
    <w:rsid w:val="00F82492"/>
    <w:rsid w:val="00F8266C"/>
    <w:rsid w:val="00F82A85"/>
    <w:rsid w:val="00F82D1D"/>
    <w:rsid w:val="00F83102"/>
    <w:rsid w:val="00F84B1C"/>
    <w:rsid w:val="00F85F56"/>
    <w:rsid w:val="00F86D06"/>
    <w:rsid w:val="00F87C6B"/>
    <w:rsid w:val="00F908B3"/>
    <w:rsid w:val="00F96477"/>
    <w:rsid w:val="00F96F5C"/>
    <w:rsid w:val="00F97BE1"/>
    <w:rsid w:val="00FA1857"/>
    <w:rsid w:val="00FA2386"/>
    <w:rsid w:val="00FA2EC2"/>
    <w:rsid w:val="00FA33BC"/>
    <w:rsid w:val="00FA3437"/>
    <w:rsid w:val="00FA3592"/>
    <w:rsid w:val="00FA4068"/>
    <w:rsid w:val="00FA4973"/>
    <w:rsid w:val="00FA5D3B"/>
    <w:rsid w:val="00FA657C"/>
    <w:rsid w:val="00FB12B0"/>
    <w:rsid w:val="00FB2A6E"/>
    <w:rsid w:val="00FB3E19"/>
    <w:rsid w:val="00FB42CE"/>
    <w:rsid w:val="00FB4707"/>
    <w:rsid w:val="00FB56E6"/>
    <w:rsid w:val="00FB7122"/>
    <w:rsid w:val="00FB7DD7"/>
    <w:rsid w:val="00FC0C0C"/>
    <w:rsid w:val="00FC228E"/>
    <w:rsid w:val="00FC406F"/>
    <w:rsid w:val="00FC5B31"/>
    <w:rsid w:val="00FC6EDB"/>
    <w:rsid w:val="00FD4138"/>
    <w:rsid w:val="00FD4280"/>
    <w:rsid w:val="00FD469C"/>
    <w:rsid w:val="00FE0B9D"/>
    <w:rsid w:val="00FE1C2E"/>
    <w:rsid w:val="00FE2277"/>
    <w:rsid w:val="00FE44E6"/>
    <w:rsid w:val="00FE4FCD"/>
    <w:rsid w:val="00FE63C6"/>
    <w:rsid w:val="00FF0C62"/>
    <w:rsid w:val="00FF0D5F"/>
    <w:rsid w:val="00FF1255"/>
    <w:rsid w:val="00FF1736"/>
    <w:rsid w:val="00FF2AFB"/>
    <w:rsid w:val="00FF3708"/>
    <w:rsid w:val="00FF375A"/>
    <w:rsid w:val="00FF3C72"/>
    <w:rsid w:val="00FF6FC8"/>
    <w:rsid w:val="020C681A"/>
    <w:rsid w:val="0B5B02CC"/>
    <w:rsid w:val="140F12DE"/>
    <w:rsid w:val="15AF379E"/>
    <w:rsid w:val="1F3717AF"/>
    <w:rsid w:val="26AA3870"/>
    <w:rsid w:val="2CF800E8"/>
    <w:rsid w:val="2EDD7BC3"/>
    <w:rsid w:val="3280736D"/>
    <w:rsid w:val="3BF7225B"/>
    <w:rsid w:val="46BD2AE4"/>
    <w:rsid w:val="47A303CE"/>
    <w:rsid w:val="51357C63"/>
    <w:rsid w:val="526F087F"/>
    <w:rsid w:val="5AB71830"/>
    <w:rsid w:val="5AFB020B"/>
    <w:rsid w:val="6066139B"/>
    <w:rsid w:val="66AE35A3"/>
    <w:rsid w:val="7F9C00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4"/>
    <w:autoRedefine/>
    <w:qFormat/>
    <w:uiPriority w:val="9"/>
    <w:pPr>
      <w:keepNext/>
      <w:keepLines/>
      <w:tabs>
        <w:tab w:val="left" w:pos="2520"/>
      </w:tabs>
      <w:spacing w:before="260" w:after="260" w:line="416" w:lineRule="auto"/>
      <w:ind w:left="2160" w:hanging="720"/>
      <w:outlineLvl w:val="2"/>
    </w:pPr>
    <w:rPr>
      <w:rFonts w:ascii="Times New Roman" w:hAnsi="Times New Roman" w:eastAsia="宋体" w:cs="Times New Roman"/>
      <w:b/>
      <w:bCs/>
      <w:sz w:val="32"/>
      <w:szCs w:val="32"/>
    </w:rPr>
  </w:style>
  <w:style w:type="paragraph" w:styleId="5">
    <w:name w:val="heading 4"/>
    <w:basedOn w:val="1"/>
    <w:next w:val="1"/>
    <w:link w:val="55"/>
    <w:autoRedefine/>
    <w:qFormat/>
    <w:uiPriority w:val="0"/>
    <w:pPr>
      <w:keepNext/>
      <w:keepLines/>
      <w:tabs>
        <w:tab w:val="left" w:pos="1440"/>
      </w:tabs>
      <w:spacing w:before="280" w:after="290" w:line="376" w:lineRule="auto"/>
      <w:ind w:left="864" w:hanging="864"/>
      <w:outlineLvl w:val="3"/>
    </w:pPr>
    <w:rPr>
      <w:rFonts w:ascii="Arial" w:hAnsi="Arial" w:eastAsia="黑体" w:cs="Times New Roman"/>
      <w:b/>
      <w:bCs/>
      <w:sz w:val="28"/>
      <w:szCs w:val="28"/>
    </w:rPr>
  </w:style>
  <w:style w:type="paragraph" w:styleId="6">
    <w:name w:val="heading 5"/>
    <w:basedOn w:val="1"/>
    <w:next w:val="1"/>
    <w:link w:val="56"/>
    <w:autoRedefine/>
    <w:qFormat/>
    <w:uiPriority w:val="0"/>
    <w:pPr>
      <w:keepNext/>
      <w:keepLines/>
      <w:tabs>
        <w:tab w:val="left" w:pos="1800"/>
      </w:tabs>
      <w:spacing w:before="280" w:after="290" w:line="376" w:lineRule="auto"/>
      <w:ind w:left="1008" w:hanging="1008"/>
      <w:outlineLvl w:val="4"/>
    </w:pPr>
    <w:rPr>
      <w:rFonts w:ascii="Times New Roman" w:hAnsi="Times New Roman" w:eastAsia="宋体" w:cs="Times New Roman"/>
      <w:b/>
      <w:bCs/>
      <w:sz w:val="28"/>
      <w:szCs w:val="28"/>
    </w:rPr>
  </w:style>
  <w:style w:type="paragraph" w:styleId="7">
    <w:name w:val="heading 6"/>
    <w:basedOn w:val="1"/>
    <w:next w:val="1"/>
    <w:link w:val="57"/>
    <w:qFormat/>
    <w:uiPriority w:val="0"/>
    <w:pPr>
      <w:keepNext/>
      <w:keepLines/>
      <w:tabs>
        <w:tab w:val="left" w:pos="2160"/>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58"/>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sz w:val="24"/>
      <w:szCs w:val="24"/>
    </w:rPr>
  </w:style>
  <w:style w:type="paragraph" w:styleId="9">
    <w:name w:val="heading 8"/>
    <w:basedOn w:val="1"/>
    <w:next w:val="1"/>
    <w:link w:val="59"/>
    <w:qFormat/>
    <w:uiPriority w:val="0"/>
    <w:pPr>
      <w:keepNext/>
      <w:keepLines/>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60"/>
    <w:qFormat/>
    <w:uiPriority w:val="0"/>
    <w:pPr>
      <w:keepNext/>
      <w:keepLines/>
      <w:tabs>
        <w:tab w:val="left" w:pos="1584"/>
      </w:tabs>
      <w:spacing w:before="240" w:after="64" w:line="320" w:lineRule="auto"/>
      <w:ind w:left="1584" w:hanging="1584"/>
      <w:outlineLvl w:val="8"/>
    </w:pPr>
    <w:rPr>
      <w:rFonts w:ascii="Arial" w:hAnsi="Arial" w:eastAsia="黑体" w:cs="Times New Roman"/>
      <w:szCs w:val="21"/>
    </w:rPr>
  </w:style>
  <w:style w:type="character" w:default="1" w:styleId="44">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spacing w:line="360" w:lineRule="auto"/>
      <w:ind w:left="2520" w:leftChars="1200" w:firstLine="200" w:firstLineChars="200"/>
    </w:pPr>
    <w:rPr>
      <w:rFonts w:ascii="Times New Roman" w:hAnsi="Times New Roman"/>
      <w:sz w:val="24"/>
    </w:rPr>
  </w:style>
  <w:style w:type="paragraph" w:styleId="12">
    <w:name w:val="Normal Indent"/>
    <w:basedOn w:val="1"/>
    <w:qFormat/>
    <w:uiPriority w:val="0"/>
    <w:pPr>
      <w:spacing w:line="360" w:lineRule="auto"/>
      <w:ind w:firstLine="420" w:firstLineChars="200"/>
    </w:pPr>
    <w:rPr>
      <w:rFonts w:ascii="Times New Roman" w:hAnsi="Times New Roman" w:eastAsia="宋体" w:cs="Times New Roman"/>
      <w:sz w:val="24"/>
      <w:szCs w:val="24"/>
    </w:rPr>
  </w:style>
  <w:style w:type="paragraph" w:styleId="13">
    <w:name w:val="caption"/>
    <w:basedOn w:val="1"/>
    <w:next w:val="1"/>
    <w:qFormat/>
    <w:uiPriority w:val="0"/>
    <w:pPr>
      <w:spacing w:line="360" w:lineRule="auto"/>
      <w:ind w:firstLine="200" w:firstLineChars="200"/>
    </w:pPr>
    <w:rPr>
      <w:rFonts w:ascii="Cambria" w:hAnsi="Cambria" w:eastAsia="黑体" w:cs="Times New Roman"/>
      <w:sz w:val="20"/>
      <w:szCs w:val="20"/>
    </w:rPr>
  </w:style>
  <w:style w:type="paragraph" w:styleId="14">
    <w:name w:val="Document Map"/>
    <w:basedOn w:val="1"/>
    <w:link w:val="66"/>
    <w:semiHidden/>
    <w:qFormat/>
    <w:uiPriority w:val="0"/>
    <w:pPr>
      <w:shd w:val="clear" w:color="auto" w:fill="000080"/>
    </w:pPr>
    <w:rPr>
      <w:rFonts w:ascii="Times New Roman" w:hAnsi="Times New Roman" w:eastAsia="宋体" w:cs="Times New Roman"/>
      <w:szCs w:val="24"/>
    </w:rPr>
  </w:style>
  <w:style w:type="paragraph" w:styleId="15">
    <w:name w:val="annotation text"/>
    <w:basedOn w:val="1"/>
    <w:link w:val="67"/>
    <w:unhideWhenUsed/>
    <w:qFormat/>
    <w:uiPriority w:val="0"/>
    <w:pPr>
      <w:spacing w:line="360" w:lineRule="auto"/>
      <w:ind w:firstLine="200" w:firstLineChars="200"/>
      <w:jc w:val="left"/>
    </w:pPr>
    <w:rPr>
      <w:rFonts w:ascii="Times New Roman" w:hAnsi="Times New Roman" w:eastAsia="宋体" w:cs="Times New Roman"/>
      <w:sz w:val="24"/>
      <w:szCs w:val="24"/>
    </w:rPr>
  </w:style>
  <w:style w:type="paragraph" w:styleId="16">
    <w:name w:val="Body Text"/>
    <w:basedOn w:val="1"/>
    <w:link w:val="68"/>
    <w:autoRedefine/>
    <w:qFormat/>
    <w:uiPriority w:val="1"/>
    <w:pPr>
      <w:autoSpaceDE w:val="0"/>
      <w:autoSpaceDN w:val="0"/>
      <w:adjustRightInd w:val="0"/>
      <w:jc w:val="left"/>
    </w:pPr>
    <w:rPr>
      <w:rFonts w:ascii="宋体" w:hAnsi="Times New Roman" w:eastAsia="宋体" w:cs="宋体"/>
      <w:kern w:val="0"/>
      <w:sz w:val="24"/>
      <w:szCs w:val="24"/>
    </w:rPr>
  </w:style>
  <w:style w:type="paragraph" w:styleId="17">
    <w:name w:val="Body Text Indent"/>
    <w:basedOn w:val="1"/>
    <w:link w:val="69"/>
    <w:qFormat/>
    <w:uiPriority w:val="0"/>
    <w:pPr>
      <w:spacing w:line="360" w:lineRule="auto"/>
      <w:ind w:firstLine="7440" w:firstLineChars="3100"/>
    </w:pPr>
    <w:rPr>
      <w:rFonts w:ascii="Times New Roman" w:hAnsi="Times New Roman" w:eastAsia="宋体" w:cs="Times New Roman"/>
      <w:sz w:val="24"/>
      <w:szCs w:val="24"/>
    </w:rPr>
  </w:style>
  <w:style w:type="paragraph" w:styleId="18">
    <w:name w:val="toc 5"/>
    <w:basedOn w:val="1"/>
    <w:next w:val="1"/>
    <w:autoRedefine/>
    <w:unhideWhenUsed/>
    <w:qFormat/>
    <w:uiPriority w:val="39"/>
    <w:pPr>
      <w:spacing w:line="360" w:lineRule="auto"/>
      <w:ind w:left="1680" w:leftChars="800" w:firstLine="200" w:firstLineChars="200"/>
    </w:pPr>
    <w:rPr>
      <w:rFonts w:ascii="Times New Roman" w:hAnsi="Times New Roman"/>
      <w:sz w:val="24"/>
    </w:rPr>
  </w:style>
  <w:style w:type="paragraph" w:styleId="19">
    <w:name w:val="toc 3"/>
    <w:basedOn w:val="1"/>
    <w:next w:val="1"/>
    <w:autoRedefine/>
    <w:qFormat/>
    <w:uiPriority w:val="39"/>
    <w:pPr>
      <w:spacing w:line="360" w:lineRule="auto"/>
      <w:ind w:left="840" w:leftChars="400" w:firstLine="200" w:firstLineChars="200"/>
    </w:pPr>
    <w:rPr>
      <w:rFonts w:ascii="Times New Roman" w:hAnsi="Times New Roman" w:eastAsia="宋体" w:cs="Times New Roman"/>
      <w:sz w:val="24"/>
      <w:szCs w:val="24"/>
    </w:rPr>
  </w:style>
  <w:style w:type="paragraph" w:styleId="20">
    <w:name w:val="Plain Text"/>
    <w:basedOn w:val="1"/>
    <w:link w:val="70"/>
    <w:autoRedefine/>
    <w:qFormat/>
    <w:uiPriority w:val="0"/>
    <w:rPr>
      <w:rFonts w:ascii="宋体" w:hAnsi="Courier New" w:eastAsia="宋体" w:cs="Courier New"/>
      <w:szCs w:val="21"/>
    </w:rPr>
  </w:style>
  <w:style w:type="paragraph" w:styleId="21">
    <w:name w:val="toc 8"/>
    <w:basedOn w:val="1"/>
    <w:next w:val="1"/>
    <w:unhideWhenUsed/>
    <w:qFormat/>
    <w:uiPriority w:val="39"/>
    <w:pPr>
      <w:spacing w:line="360" w:lineRule="auto"/>
      <w:ind w:left="2940" w:leftChars="1400" w:firstLine="200" w:firstLineChars="200"/>
    </w:pPr>
    <w:rPr>
      <w:rFonts w:ascii="Times New Roman" w:hAnsi="Times New Roman"/>
      <w:sz w:val="24"/>
    </w:rPr>
  </w:style>
  <w:style w:type="paragraph" w:styleId="22">
    <w:name w:val="Date"/>
    <w:basedOn w:val="1"/>
    <w:next w:val="1"/>
    <w:link w:val="71"/>
    <w:unhideWhenUsed/>
    <w:qFormat/>
    <w:uiPriority w:val="99"/>
    <w:pPr>
      <w:spacing w:line="360" w:lineRule="auto"/>
      <w:ind w:left="100" w:leftChars="2500" w:firstLine="200" w:firstLineChars="200"/>
    </w:pPr>
    <w:rPr>
      <w:rFonts w:ascii="Times New Roman" w:hAnsi="Times New Roman"/>
      <w:sz w:val="24"/>
    </w:rPr>
  </w:style>
  <w:style w:type="paragraph" w:styleId="23">
    <w:name w:val="Body Text Indent 2"/>
    <w:basedOn w:val="1"/>
    <w:link w:val="72"/>
    <w:qFormat/>
    <w:uiPriority w:val="0"/>
    <w:pPr>
      <w:spacing w:after="120" w:line="480" w:lineRule="auto"/>
      <w:ind w:left="420" w:leftChars="200" w:firstLine="200" w:firstLineChars="200"/>
    </w:pPr>
    <w:rPr>
      <w:rFonts w:ascii="Times New Roman" w:hAnsi="Times New Roman" w:eastAsia="宋体" w:cs="Times New Roman"/>
      <w:kern w:val="0"/>
      <w:sz w:val="20"/>
      <w:szCs w:val="24"/>
    </w:rPr>
  </w:style>
  <w:style w:type="paragraph" w:styleId="24">
    <w:name w:val="Balloon Text"/>
    <w:basedOn w:val="1"/>
    <w:link w:val="63"/>
    <w:unhideWhenUsed/>
    <w:qFormat/>
    <w:uiPriority w:val="0"/>
    <w:rPr>
      <w:sz w:val="18"/>
      <w:szCs w:val="18"/>
    </w:rPr>
  </w:style>
  <w:style w:type="paragraph" w:styleId="25">
    <w:name w:val="footer"/>
    <w:basedOn w:val="1"/>
    <w:link w:val="65"/>
    <w:unhideWhenUsed/>
    <w:qFormat/>
    <w:uiPriority w:val="99"/>
    <w:pPr>
      <w:tabs>
        <w:tab w:val="center" w:pos="4153"/>
        <w:tab w:val="right" w:pos="8306"/>
      </w:tabs>
      <w:snapToGrid w:val="0"/>
      <w:jc w:val="left"/>
    </w:pPr>
    <w:rPr>
      <w:sz w:val="18"/>
      <w:szCs w:val="18"/>
    </w:rPr>
  </w:style>
  <w:style w:type="paragraph" w:styleId="26">
    <w:name w:val="header"/>
    <w:basedOn w:val="1"/>
    <w:link w:val="64"/>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right" w:leader="dot" w:pos="8296"/>
      </w:tabs>
      <w:spacing w:line="360" w:lineRule="auto"/>
      <w:ind w:firstLine="482" w:firstLineChars="200"/>
      <w:jc w:val="center"/>
    </w:pPr>
    <w:rPr>
      <w:rFonts w:ascii="Times New Roman" w:hAnsi="Times New Roman" w:eastAsia="宋体" w:cs="Times New Roman"/>
      <w:b/>
      <w:color w:val="000000"/>
      <w:sz w:val="24"/>
      <w:szCs w:val="24"/>
    </w:rPr>
  </w:style>
  <w:style w:type="paragraph" w:styleId="28">
    <w:name w:val="toc 4"/>
    <w:basedOn w:val="1"/>
    <w:next w:val="1"/>
    <w:unhideWhenUsed/>
    <w:qFormat/>
    <w:uiPriority w:val="39"/>
    <w:pPr>
      <w:spacing w:line="360" w:lineRule="auto"/>
      <w:ind w:left="1260" w:leftChars="600" w:firstLine="200" w:firstLineChars="200"/>
    </w:pPr>
    <w:rPr>
      <w:rFonts w:ascii="Times New Roman" w:hAnsi="Times New Roman"/>
      <w:sz w:val="24"/>
    </w:rPr>
  </w:style>
  <w:style w:type="paragraph" w:styleId="29">
    <w:name w:val="Subtitle"/>
    <w:basedOn w:val="1"/>
    <w:next w:val="1"/>
    <w:link w:val="73"/>
    <w:qFormat/>
    <w:uiPriority w:val="0"/>
    <w:pPr>
      <w:spacing w:beforeLines="100" w:afterLines="100" w:line="360" w:lineRule="auto"/>
      <w:ind w:firstLine="200" w:firstLineChars="200"/>
      <w:contextualSpacing/>
      <w:jc w:val="left"/>
      <w:outlineLvl w:val="1"/>
    </w:pPr>
    <w:rPr>
      <w:rFonts w:ascii="Cambria" w:hAnsi="Cambria" w:eastAsia="仿宋_GB2312" w:cs="Times New Roman"/>
      <w:b/>
      <w:bCs/>
      <w:kern w:val="28"/>
      <w:sz w:val="32"/>
      <w:szCs w:val="30"/>
    </w:rPr>
  </w:style>
  <w:style w:type="paragraph" w:styleId="30">
    <w:name w:val="footnote text"/>
    <w:basedOn w:val="1"/>
    <w:link w:val="74"/>
    <w:qFormat/>
    <w:uiPriority w:val="0"/>
    <w:pPr>
      <w:snapToGrid w:val="0"/>
      <w:jc w:val="left"/>
    </w:pPr>
    <w:rPr>
      <w:rFonts w:ascii="Times New Roman" w:hAnsi="Times New Roman" w:eastAsia="宋体" w:cs="Times New Roman"/>
      <w:sz w:val="18"/>
      <w:szCs w:val="18"/>
    </w:rPr>
  </w:style>
  <w:style w:type="paragraph" w:styleId="31">
    <w:name w:val="toc 6"/>
    <w:basedOn w:val="1"/>
    <w:next w:val="1"/>
    <w:unhideWhenUsed/>
    <w:qFormat/>
    <w:uiPriority w:val="39"/>
    <w:pPr>
      <w:spacing w:line="360" w:lineRule="auto"/>
      <w:ind w:left="2100" w:leftChars="1000" w:firstLine="200" w:firstLineChars="200"/>
    </w:pPr>
    <w:rPr>
      <w:rFonts w:ascii="Times New Roman" w:hAnsi="Times New Roman"/>
      <w:sz w:val="24"/>
    </w:rPr>
  </w:style>
  <w:style w:type="paragraph" w:styleId="32">
    <w:name w:val="Body Text Indent 3"/>
    <w:basedOn w:val="1"/>
    <w:link w:val="75"/>
    <w:qFormat/>
    <w:uiPriority w:val="0"/>
    <w:pPr>
      <w:spacing w:line="520" w:lineRule="exact"/>
      <w:ind w:firstLine="538" w:firstLineChars="192"/>
    </w:pPr>
    <w:rPr>
      <w:rFonts w:ascii="Times New Roman" w:hAnsi="Times New Roman" w:eastAsia="仿宋_GB2312" w:cs="Times New Roman"/>
      <w:kern w:val="0"/>
      <w:sz w:val="28"/>
      <w:szCs w:val="24"/>
    </w:rPr>
  </w:style>
  <w:style w:type="paragraph" w:styleId="33">
    <w:name w:val="toc 2"/>
    <w:basedOn w:val="1"/>
    <w:next w:val="1"/>
    <w:unhideWhenUsed/>
    <w:qFormat/>
    <w:uiPriority w:val="39"/>
    <w:pPr>
      <w:spacing w:line="360" w:lineRule="auto"/>
      <w:ind w:left="420" w:leftChars="200" w:firstLine="200" w:firstLineChars="200"/>
    </w:pPr>
    <w:rPr>
      <w:rFonts w:ascii="Times New Roman" w:hAnsi="Times New Roman" w:eastAsia="宋体" w:cs="Times New Roman"/>
      <w:sz w:val="24"/>
      <w:szCs w:val="24"/>
    </w:rPr>
  </w:style>
  <w:style w:type="paragraph" w:styleId="34">
    <w:name w:val="toc 9"/>
    <w:basedOn w:val="1"/>
    <w:next w:val="1"/>
    <w:unhideWhenUsed/>
    <w:qFormat/>
    <w:uiPriority w:val="39"/>
    <w:pPr>
      <w:spacing w:line="360" w:lineRule="auto"/>
      <w:ind w:left="3360" w:leftChars="1600" w:firstLine="200" w:firstLineChars="200"/>
    </w:pPr>
    <w:rPr>
      <w:rFonts w:ascii="Times New Roman" w:hAnsi="Times New Roman"/>
      <w:sz w:val="24"/>
    </w:rPr>
  </w:style>
  <w:style w:type="paragraph" w:styleId="35">
    <w:name w:val="Normal (Web)"/>
    <w:basedOn w:val="1"/>
    <w:unhideWhenUsed/>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styleId="36">
    <w:name w:val="index 1"/>
    <w:basedOn w:val="1"/>
    <w:next w:val="1"/>
    <w:semiHidden/>
    <w:qFormat/>
    <w:uiPriority w:val="0"/>
    <w:pPr>
      <w:spacing w:line="360" w:lineRule="auto"/>
      <w:ind w:firstLine="200" w:firstLineChars="200"/>
      <w:jc w:val="center"/>
    </w:pPr>
    <w:rPr>
      <w:rFonts w:ascii="Times New Roman" w:hAnsi="Times New Roman" w:eastAsia="宋体" w:cs="Times New Roman"/>
      <w:sz w:val="24"/>
      <w:szCs w:val="21"/>
    </w:rPr>
  </w:style>
  <w:style w:type="paragraph" w:styleId="37">
    <w:name w:val="Title"/>
    <w:basedOn w:val="1"/>
    <w:next w:val="1"/>
    <w:link w:val="76"/>
    <w:qFormat/>
    <w:uiPriority w:val="0"/>
    <w:pPr>
      <w:spacing w:before="240" w:after="60" w:line="500" w:lineRule="exact"/>
      <w:ind w:firstLine="200" w:firstLineChars="200"/>
      <w:jc w:val="center"/>
      <w:outlineLvl w:val="0"/>
    </w:pPr>
    <w:rPr>
      <w:rFonts w:ascii="Cambria" w:hAnsi="Cambria" w:eastAsia="宋体"/>
      <w:b/>
      <w:bCs/>
      <w:sz w:val="32"/>
      <w:szCs w:val="32"/>
    </w:rPr>
  </w:style>
  <w:style w:type="paragraph" w:styleId="38">
    <w:name w:val="annotation subject"/>
    <w:basedOn w:val="15"/>
    <w:next w:val="15"/>
    <w:link w:val="77"/>
    <w:qFormat/>
    <w:uiPriority w:val="0"/>
    <w:pPr>
      <w:spacing w:line="240" w:lineRule="auto"/>
      <w:ind w:firstLine="0" w:firstLineChars="0"/>
    </w:pPr>
    <w:rPr>
      <w:rFonts w:asciiTheme="minorHAnsi" w:hAnsiTheme="minorHAnsi" w:eastAsiaTheme="minorEastAsia" w:cstheme="minorBidi"/>
      <w:b/>
      <w:bCs/>
      <w:sz w:val="21"/>
    </w:rPr>
  </w:style>
  <w:style w:type="table" w:styleId="40">
    <w:name w:val="Table Grid"/>
    <w:basedOn w:val="39"/>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41">
    <w:name w:val="Table Theme"/>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
    <w:name w:val="Table Elegant"/>
    <w:basedOn w:val="39"/>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43">
    <w:name w:val="Light Shading Accent 3"/>
    <w:basedOn w:val="39"/>
    <w:qFormat/>
    <w:uiPriority w:val="60"/>
    <w:rPr>
      <w:rFonts w:ascii="Calibri" w:hAnsi="Calibri"/>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45">
    <w:name w:val="Strong"/>
    <w:qFormat/>
    <w:uiPriority w:val="0"/>
    <w:rPr>
      <w:rFonts w:cs="Times New Roman"/>
      <w:b/>
      <w:bCs/>
    </w:rPr>
  </w:style>
  <w:style w:type="character" w:styleId="46">
    <w:name w:val="page number"/>
    <w:basedOn w:val="44"/>
    <w:qFormat/>
    <w:uiPriority w:val="0"/>
  </w:style>
  <w:style w:type="character" w:styleId="47">
    <w:name w:val="FollowedHyperlink"/>
    <w:basedOn w:val="44"/>
    <w:unhideWhenUsed/>
    <w:qFormat/>
    <w:uiPriority w:val="99"/>
    <w:rPr>
      <w:color w:val="800080"/>
      <w:u w:val="single"/>
    </w:rPr>
  </w:style>
  <w:style w:type="character" w:styleId="48">
    <w:name w:val="Emphasis"/>
    <w:qFormat/>
    <w:uiPriority w:val="0"/>
    <w:rPr>
      <w:i/>
      <w:iCs/>
    </w:rPr>
  </w:style>
  <w:style w:type="character" w:styleId="49">
    <w:name w:val="Hyperlink"/>
    <w:basedOn w:val="44"/>
    <w:unhideWhenUsed/>
    <w:qFormat/>
    <w:uiPriority w:val="99"/>
    <w:rPr>
      <w:color w:val="0000FF"/>
      <w:u w:val="single"/>
    </w:rPr>
  </w:style>
  <w:style w:type="character" w:styleId="50">
    <w:name w:val="annotation reference"/>
    <w:basedOn w:val="44"/>
    <w:semiHidden/>
    <w:unhideWhenUsed/>
    <w:qFormat/>
    <w:uiPriority w:val="0"/>
    <w:rPr>
      <w:sz w:val="21"/>
      <w:szCs w:val="21"/>
    </w:rPr>
  </w:style>
  <w:style w:type="character" w:styleId="51">
    <w:name w:val="footnote reference"/>
    <w:unhideWhenUsed/>
    <w:qFormat/>
    <w:uiPriority w:val="0"/>
    <w:rPr>
      <w:vertAlign w:val="superscript"/>
    </w:rPr>
  </w:style>
  <w:style w:type="character" w:customStyle="1" w:styleId="52">
    <w:name w:val="标题 1 字符"/>
    <w:basedOn w:val="44"/>
    <w:link w:val="2"/>
    <w:qFormat/>
    <w:uiPriority w:val="9"/>
    <w:rPr>
      <w:b/>
      <w:bCs/>
      <w:kern w:val="44"/>
      <w:sz w:val="44"/>
      <w:szCs w:val="44"/>
    </w:rPr>
  </w:style>
  <w:style w:type="character" w:customStyle="1" w:styleId="53">
    <w:name w:val="标题 2 字符"/>
    <w:basedOn w:val="44"/>
    <w:link w:val="3"/>
    <w:qFormat/>
    <w:uiPriority w:val="9"/>
    <w:rPr>
      <w:rFonts w:asciiTheme="majorHAnsi" w:hAnsiTheme="majorHAnsi" w:eastAsiaTheme="majorEastAsia" w:cstheme="majorBidi"/>
      <w:b/>
      <w:bCs/>
      <w:sz w:val="32"/>
      <w:szCs w:val="32"/>
    </w:rPr>
  </w:style>
  <w:style w:type="character" w:customStyle="1" w:styleId="54">
    <w:name w:val="标题 3 字符"/>
    <w:basedOn w:val="44"/>
    <w:link w:val="4"/>
    <w:qFormat/>
    <w:uiPriority w:val="9"/>
    <w:rPr>
      <w:rFonts w:ascii="Times New Roman" w:hAnsi="Times New Roman" w:eastAsia="宋体" w:cs="Times New Roman"/>
      <w:b/>
      <w:bCs/>
      <w:sz w:val="32"/>
      <w:szCs w:val="32"/>
    </w:rPr>
  </w:style>
  <w:style w:type="character" w:customStyle="1" w:styleId="55">
    <w:name w:val="标题 4 字符"/>
    <w:basedOn w:val="44"/>
    <w:link w:val="5"/>
    <w:qFormat/>
    <w:uiPriority w:val="9"/>
    <w:rPr>
      <w:rFonts w:ascii="Arial" w:hAnsi="Arial" w:eastAsia="黑体" w:cs="Times New Roman"/>
      <w:b/>
      <w:bCs/>
      <w:sz w:val="28"/>
      <w:szCs w:val="28"/>
    </w:rPr>
  </w:style>
  <w:style w:type="character" w:customStyle="1" w:styleId="56">
    <w:name w:val="标题 5 字符"/>
    <w:basedOn w:val="44"/>
    <w:link w:val="6"/>
    <w:qFormat/>
    <w:uiPriority w:val="0"/>
    <w:rPr>
      <w:rFonts w:ascii="Times New Roman" w:hAnsi="Times New Roman" w:eastAsia="宋体" w:cs="Times New Roman"/>
      <w:b/>
      <w:bCs/>
      <w:sz w:val="28"/>
      <w:szCs w:val="28"/>
    </w:rPr>
  </w:style>
  <w:style w:type="character" w:customStyle="1" w:styleId="57">
    <w:name w:val="标题 6 字符"/>
    <w:basedOn w:val="44"/>
    <w:link w:val="7"/>
    <w:qFormat/>
    <w:uiPriority w:val="0"/>
    <w:rPr>
      <w:rFonts w:ascii="Arial" w:hAnsi="Arial" w:eastAsia="黑体" w:cs="Times New Roman"/>
      <w:b/>
      <w:bCs/>
      <w:sz w:val="24"/>
      <w:szCs w:val="24"/>
    </w:rPr>
  </w:style>
  <w:style w:type="character" w:customStyle="1" w:styleId="58">
    <w:name w:val="标题 7 字符"/>
    <w:basedOn w:val="44"/>
    <w:link w:val="8"/>
    <w:qFormat/>
    <w:uiPriority w:val="0"/>
    <w:rPr>
      <w:rFonts w:ascii="Times New Roman" w:hAnsi="Times New Roman" w:eastAsia="宋体" w:cs="Times New Roman"/>
      <w:b/>
      <w:bCs/>
      <w:sz w:val="24"/>
      <w:szCs w:val="24"/>
    </w:rPr>
  </w:style>
  <w:style w:type="character" w:customStyle="1" w:styleId="59">
    <w:name w:val="标题 8 字符"/>
    <w:basedOn w:val="44"/>
    <w:link w:val="9"/>
    <w:qFormat/>
    <w:uiPriority w:val="0"/>
    <w:rPr>
      <w:rFonts w:ascii="Arial" w:hAnsi="Arial" w:eastAsia="黑体" w:cs="Times New Roman"/>
      <w:sz w:val="24"/>
      <w:szCs w:val="24"/>
    </w:rPr>
  </w:style>
  <w:style w:type="character" w:customStyle="1" w:styleId="60">
    <w:name w:val="标题 9 字符"/>
    <w:basedOn w:val="44"/>
    <w:link w:val="10"/>
    <w:qFormat/>
    <w:uiPriority w:val="0"/>
    <w:rPr>
      <w:rFonts w:ascii="Arial" w:hAnsi="Arial" w:eastAsia="黑体" w:cs="Times New Roman"/>
      <w:szCs w:val="21"/>
    </w:rPr>
  </w:style>
  <w:style w:type="paragraph" w:styleId="61">
    <w:name w:val="List Paragraph"/>
    <w:basedOn w:val="1"/>
    <w:link w:val="62"/>
    <w:qFormat/>
    <w:uiPriority w:val="34"/>
    <w:pPr>
      <w:ind w:firstLine="420" w:firstLineChars="200"/>
    </w:pPr>
  </w:style>
  <w:style w:type="character" w:customStyle="1" w:styleId="62">
    <w:name w:val="列表段落 字符"/>
    <w:link w:val="61"/>
    <w:qFormat/>
    <w:uiPriority w:val="34"/>
  </w:style>
  <w:style w:type="character" w:customStyle="1" w:styleId="63">
    <w:name w:val="批注框文本 字符"/>
    <w:basedOn w:val="44"/>
    <w:link w:val="24"/>
    <w:qFormat/>
    <w:uiPriority w:val="0"/>
    <w:rPr>
      <w:sz w:val="18"/>
      <w:szCs w:val="18"/>
    </w:rPr>
  </w:style>
  <w:style w:type="character" w:customStyle="1" w:styleId="64">
    <w:name w:val="页眉 字符"/>
    <w:basedOn w:val="44"/>
    <w:link w:val="26"/>
    <w:qFormat/>
    <w:uiPriority w:val="0"/>
    <w:rPr>
      <w:sz w:val="18"/>
      <w:szCs w:val="18"/>
    </w:rPr>
  </w:style>
  <w:style w:type="character" w:customStyle="1" w:styleId="65">
    <w:name w:val="页脚 字符"/>
    <w:basedOn w:val="44"/>
    <w:link w:val="25"/>
    <w:qFormat/>
    <w:uiPriority w:val="99"/>
    <w:rPr>
      <w:sz w:val="18"/>
      <w:szCs w:val="18"/>
    </w:rPr>
  </w:style>
  <w:style w:type="character" w:customStyle="1" w:styleId="66">
    <w:name w:val="文档结构图 字符"/>
    <w:basedOn w:val="44"/>
    <w:link w:val="14"/>
    <w:semiHidden/>
    <w:qFormat/>
    <w:uiPriority w:val="0"/>
    <w:rPr>
      <w:rFonts w:ascii="Times New Roman" w:hAnsi="Times New Roman" w:eastAsia="宋体" w:cs="Times New Roman"/>
      <w:szCs w:val="24"/>
      <w:shd w:val="clear" w:color="auto" w:fill="000080"/>
    </w:rPr>
  </w:style>
  <w:style w:type="character" w:customStyle="1" w:styleId="67">
    <w:name w:val="批注文字 字符"/>
    <w:basedOn w:val="44"/>
    <w:link w:val="15"/>
    <w:qFormat/>
    <w:uiPriority w:val="0"/>
    <w:rPr>
      <w:rFonts w:ascii="Times New Roman" w:hAnsi="Times New Roman" w:eastAsia="宋体" w:cs="Times New Roman"/>
      <w:sz w:val="24"/>
      <w:szCs w:val="24"/>
    </w:rPr>
  </w:style>
  <w:style w:type="character" w:customStyle="1" w:styleId="68">
    <w:name w:val="正文文本 字符"/>
    <w:basedOn w:val="44"/>
    <w:link w:val="16"/>
    <w:qFormat/>
    <w:uiPriority w:val="1"/>
    <w:rPr>
      <w:rFonts w:ascii="宋体" w:hAnsi="Times New Roman" w:eastAsia="宋体" w:cs="宋体"/>
      <w:kern w:val="0"/>
      <w:sz w:val="24"/>
      <w:szCs w:val="24"/>
    </w:rPr>
  </w:style>
  <w:style w:type="character" w:customStyle="1" w:styleId="69">
    <w:name w:val="正文文本缩进 字符"/>
    <w:basedOn w:val="44"/>
    <w:link w:val="17"/>
    <w:qFormat/>
    <w:uiPriority w:val="0"/>
    <w:rPr>
      <w:rFonts w:ascii="Times New Roman" w:hAnsi="Times New Roman" w:eastAsia="宋体" w:cs="Times New Roman"/>
      <w:sz w:val="24"/>
      <w:szCs w:val="24"/>
    </w:rPr>
  </w:style>
  <w:style w:type="character" w:customStyle="1" w:styleId="70">
    <w:name w:val="纯文本 字符"/>
    <w:basedOn w:val="44"/>
    <w:link w:val="20"/>
    <w:qFormat/>
    <w:uiPriority w:val="0"/>
    <w:rPr>
      <w:rFonts w:ascii="宋体" w:hAnsi="Courier New" w:eastAsia="宋体" w:cs="Courier New"/>
      <w:szCs w:val="21"/>
    </w:rPr>
  </w:style>
  <w:style w:type="character" w:customStyle="1" w:styleId="71">
    <w:name w:val="日期 字符"/>
    <w:basedOn w:val="44"/>
    <w:link w:val="22"/>
    <w:qFormat/>
    <w:uiPriority w:val="99"/>
    <w:rPr>
      <w:rFonts w:ascii="Times New Roman" w:hAnsi="Times New Roman"/>
      <w:sz w:val="24"/>
    </w:rPr>
  </w:style>
  <w:style w:type="character" w:customStyle="1" w:styleId="72">
    <w:name w:val="正文文本缩进 2 字符"/>
    <w:basedOn w:val="44"/>
    <w:link w:val="23"/>
    <w:qFormat/>
    <w:uiPriority w:val="0"/>
    <w:rPr>
      <w:rFonts w:ascii="Times New Roman" w:hAnsi="Times New Roman" w:eastAsia="宋体" w:cs="Times New Roman"/>
      <w:kern w:val="0"/>
      <w:sz w:val="20"/>
      <w:szCs w:val="24"/>
    </w:rPr>
  </w:style>
  <w:style w:type="character" w:customStyle="1" w:styleId="73">
    <w:name w:val="副标题 字符"/>
    <w:basedOn w:val="44"/>
    <w:link w:val="29"/>
    <w:qFormat/>
    <w:uiPriority w:val="0"/>
    <w:rPr>
      <w:rFonts w:ascii="Cambria" w:hAnsi="Cambria" w:eastAsia="仿宋_GB2312" w:cs="Times New Roman"/>
      <w:b/>
      <w:bCs/>
      <w:kern w:val="28"/>
      <w:sz w:val="32"/>
      <w:szCs w:val="30"/>
    </w:rPr>
  </w:style>
  <w:style w:type="character" w:customStyle="1" w:styleId="74">
    <w:name w:val="脚注文本 字符"/>
    <w:basedOn w:val="44"/>
    <w:link w:val="30"/>
    <w:qFormat/>
    <w:uiPriority w:val="0"/>
    <w:rPr>
      <w:rFonts w:ascii="Times New Roman" w:hAnsi="Times New Roman" w:eastAsia="宋体" w:cs="Times New Roman"/>
      <w:sz w:val="18"/>
      <w:szCs w:val="18"/>
    </w:rPr>
  </w:style>
  <w:style w:type="character" w:customStyle="1" w:styleId="75">
    <w:name w:val="正文文本缩进 3 字符"/>
    <w:basedOn w:val="44"/>
    <w:link w:val="32"/>
    <w:qFormat/>
    <w:uiPriority w:val="0"/>
    <w:rPr>
      <w:rFonts w:ascii="Times New Roman" w:hAnsi="Times New Roman" w:eastAsia="仿宋_GB2312" w:cs="Times New Roman"/>
      <w:kern w:val="0"/>
      <w:sz w:val="28"/>
      <w:szCs w:val="24"/>
    </w:rPr>
  </w:style>
  <w:style w:type="character" w:customStyle="1" w:styleId="76">
    <w:name w:val="标题 字符"/>
    <w:basedOn w:val="44"/>
    <w:link w:val="37"/>
    <w:qFormat/>
    <w:uiPriority w:val="0"/>
    <w:rPr>
      <w:rFonts w:ascii="Cambria" w:hAnsi="Cambria" w:eastAsia="宋体"/>
      <w:b/>
      <w:bCs/>
      <w:sz w:val="32"/>
      <w:szCs w:val="32"/>
    </w:rPr>
  </w:style>
  <w:style w:type="character" w:customStyle="1" w:styleId="77">
    <w:name w:val="批注主题 字符"/>
    <w:basedOn w:val="67"/>
    <w:link w:val="38"/>
    <w:qFormat/>
    <w:uiPriority w:val="0"/>
    <w:rPr>
      <w:rFonts w:ascii="Times New Roman" w:hAnsi="Times New Roman" w:eastAsia="宋体" w:cs="Times New Roman"/>
      <w:b/>
      <w:bCs/>
      <w:sz w:val="24"/>
      <w:szCs w:val="24"/>
    </w:rPr>
  </w:style>
  <w:style w:type="character" w:customStyle="1" w:styleId="78">
    <w:name w:val="标题 1 Char"/>
    <w:basedOn w:val="44"/>
    <w:qFormat/>
    <w:uiPriority w:val="9"/>
    <w:rPr>
      <w:rFonts w:ascii="Times New Roman" w:hAnsi="Times New Roman" w:eastAsia="宋体" w:cs="Times New Roman"/>
      <w:b/>
      <w:bCs/>
      <w:kern w:val="44"/>
      <w:sz w:val="44"/>
      <w:szCs w:val="44"/>
    </w:rPr>
  </w:style>
  <w:style w:type="character" w:customStyle="1" w:styleId="79">
    <w:name w:val="三级标题 Char"/>
    <w:link w:val="80"/>
    <w:qFormat/>
    <w:uiPriority w:val="0"/>
    <w:rPr>
      <w:rFonts w:eastAsia="宋体"/>
      <w:b/>
      <w:sz w:val="24"/>
      <w:szCs w:val="24"/>
    </w:rPr>
  </w:style>
  <w:style w:type="paragraph" w:customStyle="1" w:styleId="80">
    <w:name w:val="三级标题"/>
    <w:basedOn w:val="1"/>
    <w:link w:val="79"/>
    <w:qFormat/>
    <w:uiPriority w:val="0"/>
    <w:pPr>
      <w:spacing w:before="260" w:line="460" w:lineRule="exact"/>
      <w:outlineLvl w:val="2"/>
    </w:pPr>
    <w:rPr>
      <w:rFonts w:eastAsia="宋体"/>
      <w:b/>
      <w:sz w:val="24"/>
      <w:szCs w:val="24"/>
    </w:rPr>
  </w:style>
  <w:style w:type="character" w:customStyle="1" w:styleId="81">
    <w:name w:val="表格正文 Char"/>
    <w:link w:val="82"/>
    <w:qFormat/>
    <w:uiPriority w:val="0"/>
    <w:rPr>
      <w:rFonts w:ascii="Arial" w:hAnsi="Arial" w:eastAsia="宋体"/>
      <w:snapToGrid w:val="0"/>
      <w:color w:val="000000"/>
      <w:szCs w:val="21"/>
    </w:rPr>
  </w:style>
  <w:style w:type="paragraph" w:customStyle="1" w:styleId="82">
    <w:name w:val="表格正文"/>
    <w:basedOn w:val="1"/>
    <w:link w:val="81"/>
    <w:qFormat/>
    <w:uiPriority w:val="0"/>
    <w:pPr>
      <w:adjustRightInd w:val="0"/>
      <w:spacing w:line="320" w:lineRule="exact"/>
      <w:ind w:right="-63" w:rightChars="-30"/>
      <w:jc w:val="center"/>
      <w:textAlignment w:val="baseline"/>
    </w:pPr>
    <w:rPr>
      <w:rFonts w:ascii="Arial" w:hAnsi="Arial" w:eastAsia="宋体"/>
      <w:snapToGrid w:val="0"/>
      <w:color w:val="000000"/>
      <w:szCs w:val="21"/>
    </w:rPr>
  </w:style>
  <w:style w:type="character" w:customStyle="1" w:styleId="83">
    <w:name w:val="报告正文-连续目录 Char Char"/>
    <w:link w:val="84"/>
    <w:qFormat/>
    <w:uiPriority w:val="0"/>
    <w:rPr>
      <w:rFonts w:ascii="Arial" w:hAnsi="Arial" w:eastAsia="宋体"/>
      <w:snapToGrid w:val="0"/>
      <w:sz w:val="24"/>
      <w:szCs w:val="24"/>
    </w:rPr>
  </w:style>
  <w:style w:type="paragraph" w:customStyle="1" w:styleId="84">
    <w:name w:val="报告正文-连续目录"/>
    <w:basedOn w:val="1"/>
    <w:link w:val="83"/>
    <w:qFormat/>
    <w:uiPriority w:val="0"/>
    <w:pPr>
      <w:spacing w:line="440" w:lineRule="exact"/>
      <w:ind w:firstLine="200" w:firstLineChars="200"/>
    </w:pPr>
    <w:rPr>
      <w:rFonts w:ascii="Arial" w:hAnsi="Arial" w:eastAsia="宋体"/>
      <w:snapToGrid w:val="0"/>
      <w:sz w:val="24"/>
      <w:szCs w:val="24"/>
    </w:rPr>
  </w:style>
  <w:style w:type="character" w:customStyle="1" w:styleId="85">
    <w:name w:val="表格标题 Char"/>
    <w:link w:val="86"/>
    <w:qFormat/>
    <w:uiPriority w:val="0"/>
    <w:rPr>
      <w:rFonts w:eastAsia="宋体"/>
      <w:snapToGrid w:val="0"/>
      <w:color w:val="000000"/>
      <w:sz w:val="24"/>
      <w:szCs w:val="24"/>
    </w:rPr>
  </w:style>
  <w:style w:type="paragraph" w:customStyle="1" w:styleId="86">
    <w:name w:val="表格标题"/>
    <w:basedOn w:val="1"/>
    <w:link w:val="85"/>
    <w:qFormat/>
    <w:uiPriority w:val="0"/>
    <w:pPr>
      <w:adjustRightInd w:val="0"/>
      <w:snapToGrid w:val="0"/>
      <w:spacing w:before="60" w:line="460" w:lineRule="exact"/>
      <w:ind w:firstLine="200" w:firstLineChars="200"/>
      <w:jc w:val="center"/>
    </w:pPr>
    <w:rPr>
      <w:rFonts w:eastAsia="宋体"/>
      <w:snapToGrid w:val="0"/>
      <w:color w:val="000000"/>
      <w:sz w:val="24"/>
      <w:szCs w:val="24"/>
    </w:rPr>
  </w:style>
  <w:style w:type="character" w:customStyle="1" w:styleId="87">
    <w:name w:val="az Char"/>
    <w:link w:val="88"/>
    <w:qFormat/>
    <w:uiPriority w:val="0"/>
    <w:rPr>
      <w:rFonts w:eastAsia="宋体"/>
      <w:sz w:val="24"/>
      <w:szCs w:val="24"/>
    </w:rPr>
  </w:style>
  <w:style w:type="paragraph" w:customStyle="1" w:styleId="88">
    <w:name w:val="az"/>
    <w:basedOn w:val="1"/>
    <w:link w:val="87"/>
    <w:qFormat/>
    <w:uiPriority w:val="0"/>
    <w:pPr>
      <w:ind w:firstLine="640" w:firstLineChars="200"/>
    </w:pPr>
    <w:rPr>
      <w:rFonts w:eastAsia="宋体"/>
      <w:sz w:val="24"/>
      <w:szCs w:val="24"/>
    </w:rPr>
  </w:style>
  <w:style w:type="character" w:customStyle="1" w:styleId="89">
    <w:name w:val="正文01 Char"/>
    <w:link w:val="90"/>
    <w:qFormat/>
    <w:uiPriority w:val="0"/>
    <w:rPr>
      <w:rFonts w:eastAsia="宋体"/>
      <w:sz w:val="28"/>
      <w:szCs w:val="24"/>
    </w:rPr>
  </w:style>
  <w:style w:type="paragraph" w:customStyle="1" w:styleId="90">
    <w:name w:val="正文01"/>
    <w:basedOn w:val="1"/>
    <w:link w:val="89"/>
    <w:qFormat/>
    <w:uiPriority w:val="0"/>
    <w:pPr>
      <w:spacing w:before="60" w:line="460" w:lineRule="exact"/>
      <w:ind w:firstLine="200" w:firstLineChars="200"/>
    </w:pPr>
    <w:rPr>
      <w:rFonts w:eastAsia="宋体"/>
      <w:sz w:val="28"/>
      <w:szCs w:val="24"/>
    </w:rPr>
  </w:style>
  <w:style w:type="character" w:customStyle="1" w:styleId="91">
    <w:name w:val="批注主题 Char1"/>
    <w:basedOn w:val="67"/>
    <w:qFormat/>
    <w:uiPriority w:val="99"/>
    <w:rPr>
      <w:rFonts w:ascii="Times New Roman" w:hAnsi="Times New Roman" w:eastAsia="宋体" w:cs="Times New Roman"/>
      <w:b/>
      <w:bCs/>
      <w:sz w:val="24"/>
      <w:szCs w:val="24"/>
    </w:rPr>
  </w:style>
  <w:style w:type="character" w:customStyle="1" w:styleId="92">
    <w:name w:val="标题 Char1"/>
    <w:basedOn w:val="44"/>
    <w:qFormat/>
    <w:uiPriority w:val="10"/>
    <w:rPr>
      <w:rFonts w:eastAsia="宋体" w:asciiTheme="majorHAnsi" w:hAnsiTheme="majorHAnsi" w:cstheme="majorBidi"/>
      <w:b/>
      <w:bCs/>
      <w:sz w:val="32"/>
      <w:szCs w:val="32"/>
    </w:rPr>
  </w:style>
  <w:style w:type="table" w:customStyle="1" w:styleId="93">
    <w:name w:val="网格型3"/>
    <w:basedOn w:val="39"/>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font1"/>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95">
    <w:name w:val="font5"/>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96">
    <w:name w:val="font6"/>
    <w:basedOn w:val="1"/>
    <w:qFormat/>
    <w:uiPriority w:val="0"/>
    <w:pPr>
      <w:widowControl/>
      <w:spacing w:before="100" w:beforeAutospacing="1" w:after="100" w:afterAutospacing="1"/>
      <w:jc w:val="left"/>
    </w:pPr>
    <w:rPr>
      <w:rFonts w:ascii="宋体" w:hAnsi="宋体" w:eastAsia="宋体" w:cs="宋体"/>
      <w:b/>
      <w:bCs/>
      <w:color w:val="000000"/>
      <w:kern w:val="0"/>
      <w:sz w:val="15"/>
      <w:szCs w:val="15"/>
    </w:rPr>
  </w:style>
  <w:style w:type="paragraph" w:customStyle="1" w:styleId="97">
    <w:name w:val="font7"/>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15"/>
      <w:szCs w:val="15"/>
    </w:rPr>
  </w:style>
  <w:style w:type="paragraph" w:customStyle="1" w:styleId="98">
    <w:name w:val="font8"/>
    <w:basedOn w:val="1"/>
    <w:qFormat/>
    <w:uiPriority w:val="0"/>
    <w:pPr>
      <w:widowControl/>
      <w:spacing w:before="100" w:beforeAutospacing="1" w:after="100" w:afterAutospacing="1"/>
      <w:jc w:val="left"/>
    </w:pPr>
    <w:rPr>
      <w:rFonts w:ascii="宋体" w:hAnsi="宋体" w:eastAsia="宋体" w:cs="宋体"/>
      <w:color w:val="000000"/>
      <w:kern w:val="0"/>
      <w:sz w:val="15"/>
      <w:szCs w:val="15"/>
    </w:rPr>
  </w:style>
  <w:style w:type="paragraph" w:customStyle="1" w:styleId="99">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15"/>
      <w:szCs w:val="15"/>
    </w:rPr>
  </w:style>
  <w:style w:type="paragraph" w:customStyle="1" w:styleId="100">
    <w:name w:val="font10"/>
    <w:basedOn w:val="1"/>
    <w:qFormat/>
    <w:uiPriority w:val="0"/>
    <w:pPr>
      <w:widowControl/>
      <w:spacing w:before="100" w:beforeAutospacing="1" w:after="100" w:afterAutospacing="1"/>
      <w:jc w:val="left"/>
    </w:pPr>
    <w:rPr>
      <w:rFonts w:ascii="Times New Roman" w:hAnsi="Times New Roman" w:eastAsia="宋体" w:cs="Times New Roman"/>
      <w:color w:val="000000"/>
      <w:kern w:val="0"/>
      <w:sz w:val="15"/>
      <w:szCs w:val="15"/>
    </w:rPr>
  </w:style>
  <w:style w:type="paragraph" w:customStyle="1" w:styleId="101">
    <w:name w:val="font11"/>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02">
    <w:name w:val="font12"/>
    <w:basedOn w:val="1"/>
    <w:qFormat/>
    <w:uiPriority w:val="0"/>
    <w:pPr>
      <w:widowControl/>
      <w:spacing w:before="100" w:beforeAutospacing="1" w:after="100" w:afterAutospacing="1"/>
      <w:jc w:val="left"/>
    </w:pPr>
    <w:rPr>
      <w:rFonts w:ascii="Times New Roman" w:hAnsi="Times New Roman" w:eastAsia="宋体" w:cs="Times New Roman"/>
      <w:color w:val="000000"/>
      <w:kern w:val="0"/>
      <w:sz w:val="16"/>
      <w:szCs w:val="16"/>
    </w:rPr>
  </w:style>
  <w:style w:type="paragraph" w:customStyle="1" w:styleId="103">
    <w:name w:val="xl63"/>
    <w:basedOn w:val="1"/>
    <w:qFormat/>
    <w:uiPriority w:val="0"/>
    <w:pPr>
      <w:widowControl/>
      <w:pBdr>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04">
    <w:name w:val="xl64"/>
    <w:basedOn w:val="1"/>
    <w:qFormat/>
    <w:uiPriority w:val="0"/>
    <w:pPr>
      <w:widowControl/>
      <w:pBdr>
        <w:bottom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05">
    <w:name w:val="xl6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06">
    <w:name w:val="xl6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07">
    <w:name w:val="xl67"/>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08">
    <w:name w:val="xl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color w:val="000000"/>
      <w:kern w:val="0"/>
      <w:sz w:val="15"/>
      <w:szCs w:val="15"/>
    </w:rPr>
  </w:style>
  <w:style w:type="paragraph" w:customStyle="1" w:styleId="109">
    <w:name w:val="xl69"/>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 w:val="15"/>
      <w:szCs w:val="15"/>
    </w:rPr>
  </w:style>
  <w:style w:type="paragraph" w:customStyle="1" w:styleId="110">
    <w:name w:val="xl70"/>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color w:val="000000"/>
      <w:kern w:val="0"/>
      <w:sz w:val="15"/>
      <w:szCs w:val="15"/>
    </w:rPr>
  </w:style>
  <w:style w:type="paragraph" w:customStyle="1" w:styleId="111">
    <w:name w:val="xl71"/>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12">
    <w:name w:val="xl72"/>
    <w:basedOn w:val="1"/>
    <w:qFormat/>
    <w:uiPriority w:val="0"/>
    <w:pPr>
      <w:widowControl/>
      <w:pBdr>
        <w:righ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13">
    <w:name w:val="xl7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14">
    <w:name w:val="xl7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15">
    <w:name w:val="xl75"/>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16">
    <w:name w:val="xl7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17">
    <w:name w:val="xl77"/>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18">
    <w:name w:val="xl78"/>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19">
    <w:name w:val="xl79"/>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20">
    <w:name w:val="xl80"/>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21">
    <w:name w:val="xl81"/>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22">
    <w:name w:val="xl82"/>
    <w:basedOn w:val="1"/>
    <w:qFormat/>
    <w:uiPriority w:val="0"/>
    <w:pPr>
      <w:widowControl/>
      <w:pBdr>
        <w:bottom w:val="single" w:color="auto" w:sz="8" w:space="0"/>
      </w:pBdr>
      <w:spacing w:before="100" w:beforeAutospacing="1" w:after="100" w:afterAutospacing="1"/>
      <w:jc w:val="center"/>
      <w:textAlignment w:val="center"/>
    </w:pPr>
    <w:rPr>
      <w:rFonts w:ascii="宋体" w:hAnsi="宋体" w:eastAsia="宋体" w:cs="宋体"/>
      <w:b/>
      <w:bCs/>
      <w:kern w:val="0"/>
      <w:sz w:val="15"/>
      <w:szCs w:val="15"/>
    </w:rPr>
  </w:style>
  <w:style w:type="paragraph" w:customStyle="1" w:styleId="123">
    <w:name w:val="xl8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24">
    <w:name w:val="xl84"/>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25">
    <w:name w:val="xl8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26">
    <w:name w:val="xl86"/>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27">
    <w:name w:val="xl87"/>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28">
    <w:name w:val="xl88"/>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29">
    <w:name w:val="xl8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30">
    <w:name w:val="xl90"/>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31">
    <w:name w:val="xl91"/>
    <w:basedOn w:val="1"/>
    <w:qFormat/>
    <w:uiPriority w:val="0"/>
    <w:pPr>
      <w:widowControl/>
      <w:pBdr>
        <w:top w:val="single" w:color="auto" w:sz="8" w:space="0"/>
        <w:left w:val="single" w:color="auto" w:sz="8" w:space="0"/>
        <w:bottom w:val="single" w:color="auto" w:sz="8" w:space="0"/>
      </w:pBdr>
      <w:spacing w:before="100" w:beforeAutospacing="1" w:after="100" w:afterAutospacing="1"/>
      <w:textAlignment w:val="center"/>
    </w:pPr>
    <w:rPr>
      <w:rFonts w:ascii="宋体" w:hAnsi="宋体" w:eastAsia="宋体" w:cs="宋体"/>
      <w:kern w:val="0"/>
      <w:sz w:val="15"/>
      <w:szCs w:val="15"/>
    </w:rPr>
  </w:style>
  <w:style w:type="paragraph" w:customStyle="1" w:styleId="132">
    <w:name w:val="xl92"/>
    <w:basedOn w:val="1"/>
    <w:qFormat/>
    <w:uiPriority w:val="0"/>
    <w:pPr>
      <w:widowControl/>
      <w:pBdr>
        <w:top w:val="single" w:color="auto" w:sz="8" w:space="0"/>
        <w:bottom w:val="single" w:color="auto" w:sz="8" w:space="0"/>
      </w:pBdr>
      <w:spacing w:before="100" w:beforeAutospacing="1" w:after="100" w:afterAutospacing="1"/>
      <w:textAlignment w:val="center"/>
    </w:pPr>
    <w:rPr>
      <w:rFonts w:ascii="宋体" w:hAnsi="宋体" w:eastAsia="宋体" w:cs="宋体"/>
      <w:kern w:val="0"/>
      <w:sz w:val="15"/>
      <w:szCs w:val="15"/>
    </w:rPr>
  </w:style>
  <w:style w:type="paragraph" w:customStyle="1" w:styleId="133">
    <w:name w:val="xl93"/>
    <w:basedOn w:val="1"/>
    <w:qFormat/>
    <w:uiPriority w:val="0"/>
    <w:pPr>
      <w:widowControl/>
      <w:pBdr>
        <w:top w:val="single" w:color="auto" w:sz="8" w:space="0"/>
        <w:bottom w:val="single" w:color="auto" w:sz="8" w:space="0"/>
        <w:right w:val="single" w:color="auto" w:sz="8" w:space="0"/>
      </w:pBdr>
      <w:spacing w:before="100" w:beforeAutospacing="1" w:after="100" w:afterAutospacing="1"/>
      <w:textAlignment w:val="center"/>
    </w:pPr>
    <w:rPr>
      <w:rFonts w:ascii="宋体" w:hAnsi="宋体" w:eastAsia="宋体" w:cs="宋体"/>
      <w:kern w:val="0"/>
      <w:sz w:val="15"/>
      <w:szCs w:val="15"/>
    </w:rPr>
  </w:style>
  <w:style w:type="paragraph" w:customStyle="1" w:styleId="134">
    <w:name w:val="xl94"/>
    <w:basedOn w:val="1"/>
    <w:qFormat/>
    <w:uiPriority w:val="0"/>
    <w:pPr>
      <w:widowControl/>
      <w:pBdr>
        <w:top w:val="single" w:color="auto" w:sz="8" w:space="0"/>
        <w:left w:val="single" w:color="auto" w:sz="8" w:space="0"/>
        <w:right w:val="single" w:color="auto" w:sz="8" w:space="0"/>
      </w:pBdr>
      <w:spacing w:before="100" w:beforeAutospacing="1" w:after="100" w:afterAutospacing="1"/>
      <w:textAlignment w:val="center"/>
    </w:pPr>
    <w:rPr>
      <w:rFonts w:ascii="宋体" w:hAnsi="宋体" w:eastAsia="宋体" w:cs="宋体"/>
      <w:kern w:val="0"/>
      <w:sz w:val="15"/>
      <w:szCs w:val="15"/>
    </w:rPr>
  </w:style>
  <w:style w:type="paragraph" w:customStyle="1" w:styleId="135">
    <w:name w:val="xl95"/>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center"/>
    </w:pPr>
    <w:rPr>
      <w:rFonts w:ascii="宋体" w:hAnsi="宋体" w:eastAsia="宋体" w:cs="宋体"/>
      <w:kern w:val="0"/>
      <w:sz w:val="15"/>
      <w:szCs w:val="15"/>
    </w:rPr>
  </w:style>
  <w:style w:type="paragraph" w:customStyle="1" w:styleId="136">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37">
    <w:name w:val="xl97"/>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38">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39">
    <w:name w:val="xl99"/>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宋体" w:hAnsi="宋体" w:eastAsia="宋体" w:cs="宋体"/>
      <w:kern w:val="0"/>
      <w:sz w:val="15"/>
      <w:szCs w:val="15"/>
    </w:rPr>
  </w:style>
  <w:style w:type="paragraph" w:customStyle="1" w:styleId="140">
    <w:name w:val="xl100"/>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Times New Roman" w:hAnsi="Times New Roman" w:eastAsia="宋体" w:cs="Times New Roman"/>
      <w:kern w:val="0"/>
      <w:sz w:val="15"/>
      <w:szCs w:val="15"/>
    </w:rPr>
  </w:style>
  <w:style w:type="paragraph" w:customStyle="1" w:styleId="141">
    <w:name w:val="xl101"/>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42">
    <w:name w:val="xl102"/>
    <w:basedOn w:val="1"/>
    <w:qFormat/>
    <w:uiPriority w:val="0"/>
    <w:pPr>
      <w:widowControl/>
      <w:pBdr>
        <w:top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43">
    <w:name w:val="xl103"/>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44">
    <w:name w:val="xl104"/>
    <w:basedOn w:val="1"/>
    <w:qFormat/>
    <w:uiPriority w:val="0"/>
    <w:pPr>
      <w:widowControl/>
      <w:pBdr>
        <w:bottom w:val="single" w:color="auto" w:sz="8" w:space="0"/>
      </w:pBdr>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45">
    <w:name w:val="xl105"/>
    <w:basedOn w:val="1"/>
    <w:qFormat/>
    <w:uiPriority w:val="0"/>
    <w:pPr>
      <w:widowControl/>
      <w:spacing w:before="100" w:beforeAutospacing="1" w:after="100" w:afterAutospacing="1"/>
      <w:jc w:val="center"/>
      <w:textAlignment w:val="center"/>
    </w:pPr>
    <w:rPr>
      <w:rFonts w:ascii="Times New Roman" w:hAnsi="Times New Roman" w:eastAsia="宋体" w:cs="Times New Roman"/>
      <w:kern w:val="0"/>
      <w:sz w:val="15"/>
      <w:szCs w:val="15"/>
    </w:rPr>
  </w:style>
  <w:style w:type="paragraph" w:customStyle="1" w:styleId="146">
    <w:name w:val="xl106"/>
    <w:basedOn w:val="1"/>
    <w:qFormat/>
    <w:uiPriority w:val="0"/>
    <w:pPr>
      <w:widowControl/>
      <w:spacing w:before="100" w:beforeAutospacing="1" w:after="100" w:afterAutospacing="1"/>
      <w:jc w:val="center"/>
      <w:textAlignment w:val="center"/>
    </w:pPr>
    <w:rPr>
      <w:rFonts w:ascii="宋体" w:hAnsi="宋体" w:eastAsia="宋体" w:cs="宋体"/>
      <w:kern w:val="0"/>
      <w:sz w:val="15"/>
      <w:szCs w:val="15"/>
    </w:rPr>
  </w:style>
  <w:style w:type="paragraph" w:customStyle="1" w:styleId="147">
    <w:name w:val="xl10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5"/>
      <w:szCs w:val="15"/>
    </w:rPr>
  </w:style>
  <w:style w:type="paragraph" w:customStyle="1" w:styleId="148">
    <w:name w:val="xl108"/>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49">
    <w:name w:val="xl109"/>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50">
    <w:name w:val="无间隔1"/>
    <w:link w:val="151"/>
    <w:qFormat/>
    <w:uiPriority w:val="1"/>
    <w:pPr>
      <w:widowControl w:val="0"/>
      <w:jc w:val="center"/>
    </w:pPr>
    <w:rPr>
      <w:rFonts w:ascii="Times New Roman" w:hAnsi="Times New Roman" w:eastAsia="宋体" w:cstheme="minorBidi"/>
      <w:b/>
      <w:kern w:val="2"/>
      <w:sz w:val="21"/>
      <w:szCs w:val="22"/>
      <w:lang w:val="en-US" w:eastAsia="zh-CN" w:bidi="ar-SA"/>
    </w:rPr>
  </w:style>
  <w:style w:type="character" w:customStyle="1" w:styleId="151">
    <w:name w:val="无间隔 Char"/>
    <w:link w:val="150"/>
    <w:qFormat/>
    <w:uiPriority w:val="1"/>
    <w:rPr>
      <w:rFonts w:ascii="Times New Roman" w:hAnsi="Times New Roman" w:eastAsia="宋体"/>
      <w:b/>
    </w:rPr>
  </w:style>
  <w:style w:type="table" w:customStyle="1" w:styleId="152">
    <w:name w:val="网格型1"/>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正文1"/>
    <w:basedOn w:val="1"/>
    <w:qFormat/>
    <w:uiPriority w:val="0"/>
    <w:pPr>
      <w:adjustRightInd w:val="0"/>
      <w:snapToGrid w:val="0"/>
      <w:spacing w:after="120" w:line="360" w:lineRule="auto"/>
      <w:ind w:firstLine="454"/>
      <w:jc w:val="center"/>
    </w:pPr>
    <w:rPr>
      <w:rFonts w:ascii="Times New Roman" w:hAnsi="Times New Roman" w:eastAsia="宋体" w:cs="Times New Roman"/>
      <w:szCs w:val="21"/>
    </w:rPr>
  </w:style>
  <w:style w:type="table" w:customStyle="1" w:styleId="154">
    <w:name w:val="网格型31"/>
    <w:basedOn w:val="39"/>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5">
    <w:name w:val="页眉 字符2"/>
    <w:basedOn w:val="44"/>
    <w:qFormat/>
    <w:uiPriority w:val="0"/>
    <w:rPr>
      <w:sz w:val="18"/>
      <w:szCs w:val="18"/>
    </w:rPr>
  </w:style>
  <w:style w:type="character" w:customStyle="1" w:styleId="156">
    <w:name w:val="页脚 字符2"/>
    <w:basedOn w:val="44"/>
    <w:qFormat/>
    <w:uiPriority w:val="99"/>
    <w:rPr>
      <w:sz w:val="18"/>
      <w:szCs w:val="18"/>
    </w:rPr>
  </w:style>
  <w:style w:type="paragraph" w:customStyle="1" w:styleId="157">
    <w:name w:val="Table Paragraph"/>
    <w:basedOn w:val="1"/>
    <w:qFormat/>
    <w:uiPriority w:val="1"/>
    <w:pPr>
      <w:autoSpaceDE w:val="0"/>
      <w:autoSpaceDN w:val="0"/>
      <w:adjustRightInd w:val="0"/>
      <w:jc w:val="center"/>
    </w:pPr>
    <w:rPr>
      <w:rFonts w:ascii="Times New Roman" w:hAnsi="Times New Roman" w:cs="Times New Roman"/>
      <w:kern w:val="0"/>
      <w:sz w:val="24"/>
      <w:szCs w:val="24"/>
    </w:rPr>
  </w:style>
  <w:style w:type="paragraph" w:styleId="158">
    <w:name w:val="No Spacing"/>
    <w:link w:val="159"/>
    <w:qFormat/>
    <w:uiPriority w:val="1"/>
    <w:pPr>
      <w:widowControl w:val="0"/>
      <w:jc w:val="center"/>
    </w:pPr>
    <w:rPr>
      <w:rFonts w:ascii="Times New Roman" w:hAnsi="Times New Roman" w:eastAsia="宋体" w:cstheme="minorBidi"/>
      <w:b/>
      <w:kern w:val="2"/>
      <w:sz w:val="21"/>
      <w:szCs w:val="22"/>
      <w:lang w:val="en-US" w:eastAsia="zh-CN" w:bidi="ar-SA"/>
    </w:rPr>
  </w:style>
  <w:style w:type="character" w:customStyle="1" w:styleId="159">
    <w:name w:val="无间隔 字符"/>
    <w:link w:val="158"/>
    <w:qFormat/>
    <w:uiPriority w:val="1"/>
    <w:rPr>
      <w:rFonts w:ascii="Times New Roman" w:hAnsi="Times New Roman" w:eastAsia="宋体"/>
      <w:b/>
    </w:rPr>
  </w:style>
  <w:style w:type="character" w:customStyle="1" w:styleId="160">
    <w:name w:val="正文01 Char1"/>
    <w:qFormat/>
    <w:uiPriority w:val="0"/>
    <w:rPr>
      <w:rFonts w:ascii="Times New Roman" w:hAnsi="Times New Roman" w:eastAsia="宋体" w:cs="Times New Roman"/>
      <w:snapToGrid w:val="0"/>
      <w:kern w:val="0"/>
      <w:sz w:val="24"/>
      <w:szCs w:val="24"/>
    </w:rPr>
  </w:style>
  <w:style w:type="paragraph" w:customStyle="1" w:styleId="161">
    <w:name w:val="列出段落3"/>
    <w:basedOn w:val="1"/>
    <w:qFormat/>
    <w:uiPriority w:val="0"/>
    <w:pPr>
      <w:spacing w:line="360" w:lineRule="auto"/>
      <w:ind w:firstLine="420" w:firstLineChars="200"/>
    </w:pPr>
    <w:rPr>
      <w:rFonts w:ascii="Calibri" w:hAnsi="Calibri" w:eastAsia="宋体" w:cs="Times New Roman"/>
      <w:sz w:val="24"/>
    </w:rPr>
  </w:style>
  <w:style w:type="paragraph" w:customStyle="1" w:styleId="162">
    <w:name w:val="Char Char Char Char"/>
    <w:basedOn w:val="1"/>
    <w:qFormat/>
    <w:uiPriority w:val="0"/>
    <w:pPr>
      <w:spacing w:line="360" w:lineRule="auto"/>
      <w:ind w:firstLine="200" w:firstLineChars="200"/>
    </w:pPr>
    <w:rPr>
      <w:rFonts w:ascii="Calibri" w:hAnsi="Calibri" w:eastAsia="宋体" w:cs="Times New Roman"/>
      <w:sz w:val="24"/>
    </w:rPr>
  </w:style>
  <w:style w:type="paragraph" w:customStyle="1" w:styleId="163">
    <w:name w:val="Char"/>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64">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65">
    <w:name w:val="2nd level3 Ch"/>
    <w:qFormat/>
    <w:uiPriority w:val="0"/>
    <w:rPr>
      <w:rFonts w:ascii="Arial" w:hAnsi="Arial" w:eastAsia="黑体"/>
      <w:b/>
      <w:bCs/>
      <w:kern w:val="2"/>
      <w:sz w:val="32"/>
      <w:szCs w:val="32"/>
      <w:lang w:val="en-US" w:eastAsia="zh-CN" w:bidi="ar-SA"/>
    </w:rPr>
  </w:style>
  <w:style w:type="paragraph" w:customStyle="1" w:styleId="166">
    <w:name w:val="样式 楷体_GB2312 四号 居中"/>
    <w:basedOn w:val="1"/>
    <w:qFormat/>
    <w:uiPriority w:val="0"/>
    <w:pPr>
      <w:spacing w:before="156" w:line="500" w:lineRule="exact"/>
      <w:ind w:firstLine="200" w:firstLineChars="200"/>
      <w:jc w:val="center"/>
    </w:pPr>
    <w:rPr>
      <w:rFonts w:ascii="Times New Roman" w:hAnsi="Times New Roman" w:eastAsia="仿宋_GB2312" w:cs="Times New Roman"/>
      <w:b/>
      <w:spacing w:val="-4"/>
      <w:sz w:val="28"/>
      <w:szCs w:val="24"/>
    </w:rPr>
  </w:style>
  <w:style w:type="character" w:customStyle="1" w:styleId="167">
    <w:name w:val="apple-converted-space"/>
    <w:basedOn w:val="44"/>
    <w:qFormat/>
    <w:uiPriority w:val="0"/>
  </w:style>
  <w:style w:type="paragraph" w:customStyle="1" w:styleId="168">
    <w:name w:val="样式1"/>
    <w:basedOn w:val="5"/>
    <w:qFormat/>
    <w:uiPriority w:val="0"/>
    <w:pPr>
      <w:tabs>
        <w:tab w:val="clear" w:pos="1440"/>
      </w:tabs>
      <w:spacing w:before="0" w:after="0" w:line="360" w:lineRule="auto"/>
      <w:ind w:left="0" w:firstLine="0"/>
    </w:pPr>
    <w:rPr>
      <w:sz w:val="24"/>
    </w:rPr>
  </w:style>
  <w:style w:type="paragraph" w:customStyle="1" w:styleId="169">
    <w:name w:val="专著标题4"/>
    <w:qFormat/>
    <w:uiPriority w:val="0"/>
    <w:pPr>
      <w:spacing w:line="720" w:lineRule="auto"/>
      <w:ind w:firstLine="422" w:firstLineChars="150"/>
      <w:outlineLvl w:val="3"/>
    </w:pPr>
    <w:rPr>
      <w:rFonts w:ascii="仿宋_GB2312" w:hAnsi="Calibri" w:eastAsia="仿宋_GB2312" w:cs="Times New Roman"/>
      <w:b/>
      <w:color w:val="000000"/>
      <w:kern w:val="2"/>
      <w:sz w:val="28"/>
      <w:szCs w:val="28"/>
      <w:lang w:val="en-US" w:eastAsia="zh-CN" w:bidi="ar-SA"/>
    </w:rPr>
  </w:style>
  <w:style w:type="paragraph" w:customStyle="1" w:styleId="170">
    <w:name w:val="列出段落1"/>
    <w:basedOn w:val="1"/>
    <w:qFormat/>
    <w:uiPriority w:val="0"/>
    <w:pPr>
      <w:spacing w:line="360" w:lineRule="auto"/>
      <w:ind w:firstLine="420" w:firstLineChars="200"/>
    </w:pPr>
    <w:rPr>
      <w:rFonts w:ascii="Calibri" w:hAnsi="Calibri" w:eastAsia="宋体" w:cs="Times New Roman"/>
      <w:sz w:val="24"/>
    </w:rPr>
  </w:style>
  <w:style w:type="paragraph" w:customStyle="1" w:styleId="171">
    <w:name w:val="zdct61"/>
    <w:basedOn w:val="1"/>
    <w:qFormat/>
    <w:uiPriority w:val="0"/>
    <w:pPr>
      <w:widowControl/>
      <w:spacing w:before="67" w:after="67" w:line="432" w:lineRule="auto"/>
      <w:ind w:left="67" w:right="67" w:firstLine="200" w:firstLineChars="200"/>
      <w:jc w:val="left"/>
    </w:pPr>
    <w:rPr>
      <w:rFonts w:ascii="宋体" w:hAnsi="宋体" w:eastAsia="宋体" w:cs="宋体"/>
      <w:kern w:val="0"/>
      <w:sz w:val="27"/>
      <w:szCs w:val="27"/>
    </w:rPr>
  </w:style>
  <w:style w:type="character" w:customStyle="1" w:styleId="172">
    <w:name w:val="Char Char"/>
    <w:qFormat/>
    <w:locked/>
    <w:uiPriority w:val="0"/>
    <w:rPr>
      <w:rFonts w:eastAsia="宋体"/>
      <w:kern w:val="2"/>
      <w:sz w:val="18"/>
      <w:szCs w:val="18"/>
      <w:lang w:val="en-US" w:eastAsia="zh-CN" w:bidi="ar-SA"/>
    </w:rPr>
  </w:style>
  <w:style w:type="character" w:customStyle="1" w:styleId="173">
    <w:name w:val="Char Char1"/>
    <w:qFormat/>
    <w:locked/>
    <w:uiPriority w:val="0"/>
    <w:rPr>
      <w:rFonts w:ascii="宋体" w:hAnsi="宋体" w:eastAsia="宋体"/>
      <w:kern w:val="2"/>
      <w:sz w:val="18"/>
      <w:szCs w:val="18"/>
      <w:lang w:val="en-US" w:eastAsia="zh-CN" w:bidi="ar-SA"/>
    </w:rPr>
  </w:style>
  <w:style w:type="paragraph" w:customStyle="1" w:styleId="174">
    <w:name w:val="Char1"/>
    <w:basedOn w:val="1"/>
    <w:qFormat/>
    <w:uiPriority w:val="0"/>
    <w:pPr>
      <w:spacing w:line="360" w:lineRule="auto"/>
      <w:ind w:firstLine="200" w:firstLineChars="200"/>
    </w:pPr>
    <w:rPr>
      <w:rFonts w:ascii="仿宋_GB2312" w:hAnsi="Times New Roman" w:eastAsia="仿宋_GB2312" w:cs="Times New Roman"/>
      <w:b/>
      <w:sz w:val="32"/>
      <w:szCs w:val="32"/>
    </w:rPr>
  </w:style>
  <w:style w:type="paragraph" w:customStyle="1" w:styleId="175">
    <w:name w:val="Char Char4 Char Char"/>
    <w:basedOn w:val="1"/>
    <w:qFormat/>
    <w:uiPriority w:val="0"/>
    <w:pPr>
      <w:spacing w:line="360" w:lineRule="auto"/>
      <w:ind w:firstLine="200" w:firstLineChars="200"/>
    </w:pPr>
    <w:rPr>
      <w:rFonts w:ascii="Calibri" w:hAnsi="Calibri" w:eastAsia="宋体" w:cs="Times New Roman"/>
      <w:sz w:val="24"/>
    </w:rPr>
  </w:style>
  <w:style w:type="paragraph" w:customStyle="1" w:styleId="176">
    <w:name w:val="Char Char1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77">
    <w:name w:val="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78">
    <w:name w:val="hps"/>
    <w:basedOn w:val="44"/>
    <w:qFormat/>
    <w:uiPriority w:val="0"/>
  </w:style>
  <w:style w:type="paragraph" w:customStyle="1" w:styleId="179">
    <w:name w:val="小四表文左齐"/>
    <w:basedOn w:val="1"/>
    <w:qFormat/>
    <w:uiPriority w:val="0"/>
    <w:pPr>
      <w:spacing w:line="360" w:lineRule="auto"/>
      <w:ind w:firstLine="200" w:firstLineChars="200"/>
      <w:jc w:val="center"/>
    </w:pPr>
    <w:rPr>
      <w:rFonts w:ascii="仿宋_GB2312" w:hAnsi="宋体" w:eastAsia="仿宋_GB2312" w:cs="Times New Roman"/>
      <w:sz w:val="24"/>
      <w:szCs w:val="24"/>
    </w:rPr>
  </w:style>
  <w:style w:type="paragraph" w:customStyle="1" w:styleId="180">
    <w:name w:val="reader-word-layer reader-word-s14-3"/>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1">
    <w:name w:val="reader-word-layer reader-word-s14-9"/>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2">
    <w:name w:val="reader-word-layer reader-word-s14-29"/>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3">
    <w:name w:val="reader-word-layer reader-word-s14-27"/>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4">
    <w:name w:val="reader-word-layer reader-word-s14-22"/>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5">
    <w:name w:val="reader-word-layer reader-word-s14-30"/>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6">
    <w:name w:val="reader-word-layer reader-word-s14-31"/>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7">
    <w:name w:val="reader-word-layer reader-word-s14-32"/>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8">
    <w:name w:val="reader-word-layer reader-word-s14-33"/>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89">
    <w:name w:val="reader-word-layer reader-word-s14-34"/>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90">
    <w:name w:val="reader-word-layer reader-word-s14-35"/>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91">
    <w:name w:val="reader-word-layer reader-word-s14-36"/>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92">
    <w:name w:val="reader-word-layer reader-word-s14-28 reader-word-s14-38"/>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93">
    <w:name w:val="reader-word-layer reader-word-s14-38"/>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94">
    <w:name w:val="reader-word-layer reader-word-s14-3 reader-word-s14-37"/>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95">
    <w:name w:val="reader-word-layer reader-word-s14-6"/>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character" w:customStyle="1" w:styleId="196">
    <w:name w:val="4 Char Char Char"/>
    <w:link w:val="197"/>
    <w:qFormat/>
    <w:uiPriority w:val="0"/>
    <w:rPr>
      <w:rFonts w:eastAsia="黑体"/>
      <w:sz w:val="24"/>
      <w:szCs w:val="24"/>
    </w:rPr>
  </w:style>
  <w:style w:type="paragraph" w:customStyle="1" w:styleId="197">
    <w:name w:val="4 Char Char"/>
    <w:basedOn w:val="1"/>
    <w:link w:val="196"/>
    <w:autoRedefine/>
    <w:qFormat/>
    <w:uiPriority w:val="0"/>
    <w:pPr>
      <w:spacing w:line="360" w:lineRule="auto"/>
      <w:ind w:firstLine="200" w:firstLineChars="200"/>
    </w:pPr>
    <w:rPr>
      <w:rFonts w:eastAsia="黑体"/>
      <w:sz w:val="24"/>
      <w:szCs w:val="24"/>
    </w:rPr>
  </w:style>
  <w:style w:type="character" w:customStyle="1" w:styleId="198">
    <w:name w:val="A0"/>
    <w:qFormat/>
    <w:uiPriority w:val="0"/>
    <w:rPr>
      <w:rFonts w:cs="Minion"/>
      <w:color w:val="211D1E"/>
      <w:sz w:val="18"/>
      <w:szCs w:val="18"/>
    </w:rPr>
  </w:style>
  <w:style w:type="character" w:customStyle="1" w:styleId="199">
    <w:name w:val="Char Char4"/>
    <w:qFormat/>
    <w:uiPriority w:val="0"/>
    <w:rPr>
      <w:rFonts w:ascii="Times New Roman" w:hAnsi="Times New Roman" w:eastAsia="宋体" w:cs="Times New Roman"/>
      <w:sz w:val="18"/>
      <w:szCs w:val="18"/>
    </w:rPr>
  </w:style>
  <w:style w:type="character" w:customStyle="1" w:styleId="200">
    <w:name w:val="apple-style-span"/>
    <w:basedOn w:val="44"/>
    <w:qFormat/>
    <w:uiPriority w:val="0"/>
  </w:style>
  <w:style w:type="character" w:customStyle="1" w:styleId="201">
    <w:name w:val="批注框文本 Char1"/>
    <w:qFormat/>
    <w:uiPriority w:val="0"/>
    <w:rPr>
      <w:rFonts w:ascii="Times New Roman" w:hAnsi="Times New Roman"/>
      <w:kern w:val="2"/>
      <w:sz w:val="18"/>
      <w:szCs w:val="18"/>
    </w:rPr>
  </w:style>
  <w:style w:type="character" w:customStyle="1" w:styleId="202">
    <w:name w:val="Char Char2"/>
    <w:qFormat/>
    <w:uiPriority w:val="0"/>
    <w:rPr>
      <w:b/>
      <w:bCs/>
      <w:kern w:val="44"/>
      <w:sz w:val="44"/>
      <w:szCs w:val="44"/>
    </w:rPr>
  </w:style>
  <w:style w:type="paragraph" w:customStyle="1" w:styleId="203">
    <w:name w:val="Pa6"/>
    <w:basedOn w:val="164"/>
    <w:next w:val="164"/>
    <w:qFormat/>
    <w:uiPriority w:val="0"/>
    <w:pPr>
      <w:spacing w:line="211" w:lineRule="atLeast"/>
    </w:pPr>
    <w:rPr>
      <w:rFonts w:ascii="Minion" w:eastAsia="Minion" w:cs="Times New Roman"/>
      <w:color w:val="auto"/>
    </w:rPr>
  </w:style>
  <w:style w:type="paragraph" w:customStyle="1" w:styleId="204">
    <w:name w:val="章标题(不加入目录内)"/>
    <w:basedOn w:val="37"/>
    <w:qFormat/>
    <w:uiPriority w:val="0"/>
    <w:pPr>
      <w:keepLines/>
      <w:pageBreakBefore/>
      <w:spacing w:after="120" w:line="360" w:lineRule="auto"/>
      <w:outlineLvl w:val="9"/>
    </w:pPr>
    <w:rPr>
      <w:rFonts w:ascii="微软雅黑" w:hAnsi="微软雅黑" w:eastAsia="微软雅黑" w:cs="Times New Roman"/>
      <w:bCs w:val="0"/>
      <w:sz w:val="36"/>
      <w:szCs w:val="20"/>
      <w:lang w:val="zh-CN"/>
    </w:rPr>
  </w:style>
  <w:style w:type="paragraph" w:customStyle="1" w:styleId="205">
    <w:name w:val="Char Char Char Char Char"/>
    <w:basedOn w:val="1"/>
    <w:qFormat/>
    <w:uiPriority w:val="0"/>
    <w:pPr>
      <w:spacing w:line="360" w:lineRule="auto"/>
      <w:ind w:firstLine="200" w:firstLineChars="200"/>
    </w:pPr>
    <w:rPr>
      <w:rFonts w:ascii="Calibri" w:hAnsi="Calibri" w:eastAsia="宋体" w:cs="Times New Roman"/>
      <w:sz w:val="24"/>
    </w:rPr>
  </w:style>
  <w:style w:type="paragraph" w:customStyle="1" w:styleId="206">
    <w:name w:val="列出段落2"/>
    <w:basedOn w:val="1"/>
    <w:qFormat/>
    <w:uiPriority w:val="0"/>
    <w:pPr>
      <w:spacing w:line="360" w:lineRule="auto"/>
      <w:ind w:firstLine="420" w:firstLineChars="200"/>
    </w:pPr>
    <w:rPr>
      <w:rFonts w:ascii="Calibri" w:hAnsi="Calibri" w:eastAsia="宋体" w:cs="Times New Roman"/>
      <w:sz w:val="24"/>
    </w:rPr>
  </w:style>
  <w:style w:type="paragraph" w:customStyle="1" w:styleId="207">
    <w:name w:val="样式 正文缩进正文（首行缩进两字）正文（首行缩进两字） Char + 段后: 7.8 磅"/>
    <w:basedOn w:val="12"/>
    <w:qFormat/>
    <w:uiPriority w:val="0"/>
    <w:pPr>
      <w:spacing w:after="156"/>
      <w:ind w:firstLine="480"/>
    </w:pPr>
    <w:rPr>
      <w:rFonts w:cs="宋体"/>
      <w:color w:val="000000"/>
      <w:szCs w:val="20"/>
    </w:rPr>
  </w:style>
  <w:style w:type="paragraph" w:customStyle="1" w:styleId="208">
    <w:name w:val="图表"/>
    <w:basedOn w:val="1"/>
    <w:qFormat/>
    <w:uiPriority w:val="40"/>
    <w:pPr>
      <w:widowControl/>
      <w:tabs>
        <w:tab w:val="decimal" w:pos="360"/>
      </w:tabs>
      <w:jc w:val="center"/>
    </w:pPr>
    <w:rPr>
      <w:rFonts w:ascii="Times New Roman" w:hAnsi="Times New Roman" w:eastAsia="宋体"/>
      <w:kern w:val="0"/>
    </w:rPr>
  </w:style>
  <w:style w:type="character" w:customStyle="1" w:styleId="209">
    <w:name w:val="不明显强调1"/>
    <w:basedOn w:val="44"/>
    <w:qFormat/>
    <w:uiPriority w:val="19"/>
    <w:rPr>
      <w:rFonts w:eastAsiaTheme="minorEastAsia" w:cstheme="minorBidi"/>
      <w:i/>
      <w:iCs/>
      <w:color w:val="808080" w:themeColor="text1" w:themeTint="80"/>
      <w:szCs w:val="22"/>
      <w:lang w:eastAsia="zh-CN"/>
      <w14:textFill>
        <w14:solidFill>
          <w14:schemeClr w14:val="tx1">
            <w14:lumMod w14:val="50000"/>
            <w14:lumOff w14:val="50000"/>
          </w14:schemeClr>
        </w14:solidFill>
      </w14:textFill>
    </w:rPr>
  </w:style>
  <w:style w:type="paragraph" w:customStyle="1" w:styleId="210">
    <w:name w:val="中篇 标题2"/>
    <w:basedOn w:val="3"/>
    <w:link w:val="211"/>
    <w:qFormat/>
    <w:uiPriority w:val="99"/>
    <w:pPr>
      <w:spacing w:before="120" w:after="120" w:line="360" w:lineRule="auto"/>
    </w:pPr>
    <w:rPr>
      <w:rFonts w:ascii="Times New Roman" w:hAnsi="Times New Roman" w:eastAsia="黑体" w:cs="Times New Roman"/>
      <w:sz w:val="30"/>
      <w:lang w:val="zh-CN"/>
    </w:rPr>
  </w:style>
  <w:style w:type="character" w:customStyle="1" w:styleId="211">
    <w:name w:val="中篇 标题2 Char"/>
    <w:basedOn w:val="44"/>
    <w:link w:val="210"/>
    <w:qFormat/>
    <w:uiPriority w:val="99"/>
    <w:rPr>
      <w:rFonts w:ascii="Times New Roman" w:hAnsi="Times New Roman" w:eastAsia="黑体" w:cs="Times New Roman"/>
      <w:b/>
      <w:bCs/>
      <w:sz w:val="30"/>
      <w:szCs w:val="32"/>
      <w:lang w:val="zh-CN"/>
    </w:rPr>
  </w:style>
  <w:style w:type="paragraph" w:customStyle="1" w:styleId="212">
    <w:name w:val="中篇 标题3"/>
    <w:basedOn w:val="1"/>
    <w:link w:val="213"/>
    <w:qFormat/>
    <w:uiPriority w:val="99"/>
    <w:pPr>
      <w:keepNext/>
      <w:keepLines/>
      <w:spacing w:before="120" w:after="120" w:line="360" w:lineRule="auto"/>
      <w:ind w:firstLine="200" w:firstLineChars="200"/>
      <w:outlineLvl w:val="2"/>
    </w:pPr>
    <w:rPr>
      <w:rFonts w:ascii="Times New Roman" w:hAnsi="Times New Roman" w:eastAsia="黑体" w:cs="Times New Roman"/>
      <w:b/>
      <w:bCs/>
      <w:sz w:val="30"/>
      <w:szCs w:val="30"/>
      <w:lang w:val="zh-CN"/>
    </w:rPr>
  </w:style>
  <w:style w:type="character" w:customStyle="1" w:styleId="213">
    <w:name w:val="中篇 标题3 Char"/>
    <w:link w:val="212"/>
    <w:qFormat/>
    <w:uiPriority w:val="99"/>
    <w:rPr>
      <w:rFonts w:ascii="Times New Roman" w:hAnsi="Times New Roman" w:eastAsia="黑体" w:cs="Times New Roman"/>
      <w:b/>
      <w:bCs/>
      <w:sz w:val="30"/>
      <w:szCs w:val="30"/>
      <w:lang w:val="zh-CN"/>
    </w:rPr>
  </w:style>
  <w:style w:type="paragraph" w:customStyle="1" w:styleId="214">
    <w:name w:val="图片"/>
    <w:basedOn w:val="1"/>
    <w:next w:val="1"/>
    <w:link w:val="215"/>
    <w:qFormat/>
    <w:uiPriority w:val="0"/>
    <w:pPr>
      <w:keepNext/>
      <w:keepLines/>
      <w:widowControl/>
      <w:pBdr>
        <w:top w:val="single" w:color="auto" w:sz="6" w:space="1"/>
        <w:bottom w:val="single" w:color="auto" w:sz="6" w:space="1"/>
      </w:pBdr>
      <w:spacing w:line="0" w:lineRule="atLeast"/>
      <w:ind w:firstLine="200" w:firstLineChars="200"/>
      <w:jc w:val="center"/>
    </w:pPr>
    <w:rPr>
      <w:rFonts w:ascii="Times New Roman" w:hAnsi="Times New Roman" w:eastAsia="Times New Roman"/>
      <w:kern w:val="0"/>
      <w:sz w:val="18"/>
      <w:szCs w:val="20"/>
      <w:lang w:val="zh-CN"/>
    </w:rPr>
  </w:style>
  <w:style w:type="character" w:customStyle="1" w:styleId="215">
    <w:name w:val="图片 Char"/>
    <w:link w:val="214"/>
    <w:qFormat/>
    <w:uiPriority w:val="0"/>
    <w:rPr>
      <w:rFonts w:ascii="Times New Roman" w:hAnsi="Times New Roman" w:eastAsia="Times New Roman"/>
      <w:kern w:val="0"/>
      <w:sz w:val="18"/>
      <w:szCs w:val="20"/>
      <w:lang w:val="zh-CN"/>
    </w:rPr>
  </w:style>
  <w:style w:type="paragraph" w:customStyle="1" w:styleId="216">
    <w:name w:val="p0"/>
    <w:basedOn w:val="1"/>
    <w:qFormat/>
    <w:uiPriority w:val="0"/>
    <w:pPr>
      <w:widowControl/>
      <w:spacing w:line="360" w:lineRule="auto"/>
      <w:ind w:firstLine="200" w:firstLineChars="200"/>
    </w:pPr>
    <w:rPr>
      <w:rFonts w:ascii="Times New Roman" w:hAnsi="Times New Roman" w:eastAsia="宋体" w:cs="Times New Roman"/>
      <w:kern w:val="0"/>
      <w:sz w:val="24"/>
      <w:szCs w:val="21"/>
    </w:rPr>
  </w:style>
  <w:style w:type="table" w:customStyle="1" w:styleId="217">
    <w:name w:val="网格型2"/>
    <w:basedOn w:val="39"/>
    <w:qFormat/>
    <w:uiPriority w:val="59"/>
    <w:rPr>
      <w:rFonts w:ascii="Calibri" w:hAnsi="Calibr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paragraph" w:customStyle="1" w:styleId="218">
    <w:name w:val="样式 标题 4款标题1.1.1.11.1.1.1标题 441.1.1.1标题 4.1.1.1.1款四级标题，黑粗，..."/>
    <w:basedOn w:val="1"/>
    <w:qFormat/>
    <w:uiPriority w:val="0"/>
    <w:pPr>
      <w:spacing w:line="360" w:lineRule="auto"/>
      <w:jc w:val="center"/>
    </w:pPr>
    <w:rPr>
      <w:rFonts w:ascii="Times New Roman" w:hAnsi="Times New Roman" w:eastAsia="黑体" w:cs="Times New Roman"/>
      <w:kern w:val="0"/>
      <w:sz w:val="24"/>
      <w:szCs w:val="20"/>
    </w:rPr>
  </w:style>
  <w:style w:type="character" w:customStyle="1" w:styleId="219">
    <w:name w:val="表头 Char"/>
    <w:qFormat/>
    <w:uiPriority w:val="0"/>
    <w:rPr>
      <w:rFonts w:eastAsia="宋体" w:cs="宋体"/>
      <w:kern w:val="2"/>
      <w:sz w:val="18"/>
      <w:szCs w:val="18"/>
      <w:lang w:val="en-US" w:eastAsia="zh-CN" w:bidi="ar-SA"/>
    </w:rPr>
  </w:style>
  <w:style w:type="character" w:customStyle="1" w:styleId="220">
    <w:name w:val="标题 字符1"/>
    <w:qFormat/>
    <w:uiPriority w:val="10"/>
    <w:rPr>
      <w:rFonts w:ascii="等线 Light" w:hAnsi="等线 Light" w:eastAsia="等线 Light" w:cs="Times New Roman"/>
      <w:b/>
      <w:bCs/>
      <w:sz w:val="32"/>
      <w:szCs w:val="32"/>
    </w:rPr>
  </w:style>
  <w:style w:type="character" w:customStyle="1" w:styleId="221">
    <w:name w:val="样式 楷体_GB2312 四号"/>
    <w:qFormat/>
    <w:uiPriority w:val="0"/>
    <w:rPr>
      <w:rFonts w:ascii="Times New Roman" w:hAnsi="Times New Roman" w:eastAsia="楷体_GB2312"/>
      <w:sz w:val="28"/>
      <w:szCs w:val="28"/>
    </w:rPr>
  </w:style>
  <w:style w:type="paragraph" w:customStyle="1" w:styleId="222">
    <w:name w:val="样式 表头 + 段后: 0.5 行"/>
    <w:basedOn w:val="1"/>
    <w:qFormat/>
    <w:uiPriority w:val="0"/>
    <w:pPr>
      <w:tabs>
        <w:tab w:val="left" w:pos="360"/>
      </w:tabs>
      <w:spacing w:before="120" w:after="120"/>
      <w:jc w:val="left"/>
    </w:pPr>
    <w:rPr>
      <w:rFonts w:ascii="Times New Roman" w:hAnsi="Times New Roman" w:eastAsia="宋体" w:cs="宋体"/>
      <w:sz w:val="18"/>
      <w:szCs w:val="20"/>
    </w:rPr>
  </w:style>
  <w:style w:type="paragraph" w:customStyle="1" w:styleId="223">
    <w:name w:val="Char Char Char Char Char Char Char Char Char Char"/>
    <w:basedOn w:val="1"/>
    <w:qFormat/>
    <w:uiPriority w:val="0"/>
    <w:rPr>
      <w:rFonts w:ascii="Times New Roman" w:hAnsi="Times New Roman" w:eastAsia="宋体" w:cs="Times New Roman"/>
      <w:szCs w:val="24"/>
    </w:rPr>
  </w:style>
  <w:style w:type="paragraph" w:customStyle="1" w:styleId="224">
    <w:name w:val="段落"/>
    <w:basedOn w:val="1"/>
    <w:qFormat/>
    <w:uiPriority w:val="0"/>
    <w:pPr>
      <w:widowControl/>
      <w:spacing w:before="156"/>
    </w:pPr>
    <w:rPr>
      <w:rFonts w:ascii="宋体" w:hAnsi="宋体" w:eastAsia="宋体" w:cs="Times New Roman"/>
      <w:kern w:val="0"/>
      <w:sz w:val="28"/>
      <w:szCs w:val="28"/>
    </w:rPr>
  </w:style>
  <w:style w:type="paragraph" w:customStyle="1" w:styleId="225">
    <w:name w:val="列出段落4"/>
    <w:basedOn w:val="1"/>
    <w:qFormat/>
    <w:uiPriority w:val="34"/>
    <w:pPr>
      <w:ind w:firstLine="420" w:firstLineChars="200"/>
    </w:pPr>
    <w:rPr>
      <w:rFonts w:ascii="等线" w:hAnsi="等线" w:eastAsia="等线" w:cs="Times New Roman"/>
    </w:rPr>
  </w:style>
  <w:style w:type="paragraph" w:customStyle="1" w:styleId="226">
    <w:name w:val="正文首行缩进  2字符"/>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227">
    <w:name w:val="xl110"/>
    <w:basedOn w:val="1"/>
    <w:qFormat/>
    <w:uiPriority w:val="0"/>
    <w:pPr>
      <w:widowControl/>
      <w:pBdr>
        <w:top w:val="single" w:color="auto" w:sz="8" w:space="0"/>
        <w:left w:val="single" w:color="auto" w:sz="8" w:space="0"/>
      </w:pBdr>
      <w:shd w:val="clear" w:color="000000" w:fill="FFFF00"/>
      <w:spacing w:before="100" w:beforeAutospacing="1" w:after="100" w:afterAutospacing="1"/>
      <w:jc w:val="center"/>
    </w:pPr>
    <w:rPr>
      <w:rFonts w:ascii="Times New Roman" w:hAnsi="Times New Roman" w:eastAsia="宋体" w:cs="Times New Roman"/>
      <w:kern w:val="0"/>
      <w:sz w:val="15"/>
      <w:szCs w:val="15"/>
    </w:rPr>
  </w:style>
  <w:style w:type="paragraph" w:customStyle="1" w:styleId="228">
    <w:name w:val="xl111"/>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 w:val="15"/>
      <w:szCs w:val="15"/>
    </w:rPr>
  </w:style>
  <w:style w:type="paragraph" w:customStyle="1" w:styleId="229">
    <w:name w:val="xl112"/>
    <w:basedOn w:val="1"/>
    <w:qFormat/>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eastAsia="宋体" w:cs="宋体"/>
      <w:kern w:val="0"/>
      <w:sz w:val="15"/>
      <w:szCs w:val="15"/>
    </w:rPr>
  </w:style>
  <w:style w:type="paragraph" w:customStyle="1" w:styleId="230">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eastAsia="宋体" w:cs="宋体"/>
      <w:kern w:val="0"/>
      <w:sz w:val="15"/>
      <w:szCs w:val="15"/>
    </w:rPr>
  </w:style>
  <w:style w:type="paragraph" w:customStyle="1" w:styleId="231">
    <w:name w:val="xl114"/>
    <w:basedOn w:val="1"/>
    <w:qFormat/>
    <w:uiPriority w:val="0"/>
    <w:pPr>
      <w:widowControl/>
      <w:pBdr>
        <w:top w:val="single" w:color="auto" w:sz="8" w:space="0"/>
        <w:left w:val="single" w:color="auto" w:sz="8" w:space="0"/>
        <w:bottom w:val="single" w:color="auto" w:sz="8" w:space="0"/>
      </w:pBdr>
      <w:shd w:val="clear" w:color="000000" w:fill="FFFF00"/>
      <w:spacing w:before="100" w:beforeAutospacing="1" w:after="100" w:afterAutospacing="1"/>
      <w:jc w:val="center"/>
    </w:pPr>
    <w:rPr>
      <w:rFonts w:ascii="Times New Roman" w:hAnsi="Times New Roman" w:eastAsia="宋体" w:cs="Times New Roman"/>
      <w:color w:val="FF0000"/>
      <w:kern w:val="0"/>
      <w:sz w:val="15"/>
      <w:szCs w:val="15"/>
    </w:rPr>
  </w:style>
  <w:style w:type="paragraph" w:customStyle="1" w:styleId="232">
    <w:name w:val="xl115"/>
    <w:basedOn w:val="1"/>
    <w:qFormat/>
    <w:uiPriority w:val="0"/>
    <w:pPr>
      <w:widowControl/>
      <w:pBdr>
        <w:top w:val="single" w:color="auto" w:sz="8" w:space="0"/>
        <w:bottom w:val="single" w:color="auto" w:sz="8" w:space="0"/>
      </w:pBdr>
      <w:shd w:val="clear" w:color="000000" w:fill="FFFF00"/>
      <w:spacing w:before="100" w:beforeAutospacing="1" w:after="100" w:afterAutospacing="1"/>
      <w:jc w:val="center"/>
    </w:pPr>
    <w:rPr>
      <w:rFonts w:ascii="Times New Roman" w:hAnsi="Times New Roman" w:eastAsia="宋体" w:cs="Times New Roman"/>
      <w:color w:val="FF0000"/>
      <w:kern w:val="0"/>
      <w:sz w:val="15"/>
      <w:szCs w:val="15"/>
    </w:rPr>
  </w:style>
  <w:style w:type="paragraph" w:customStyle="1" w:styleId="233">
    <w:name w:val="xl116"/>
    <w:basedOn w:val="1"/>
    <w:qFormat/>
    <w:uiPriority w:val="0"/>
    <w:pPr>
      <w:widowControl/>
      <w:pBdr>
        <w:top w:val="single" w:color="auto" w:sz="8" w:space="0"/>
        <w:bottom w:val="single" w:color="auto" w:sz="8" w:space="0"/>
        <w:right w:val="single" w:color="auto" w:sz="8" w:space="0"/>
      </w:pBdr>
      <w:shd w:val="clear" w:color="000000" w:fill="FFFF00"/>
      <w:spacing w:before="100" w:beforeAutospacing="1" w:after="100" w:afterAutospacing="1"/>
      <w:jc w:val="center"/>
    </w:pPr>
    <w:rPr>
      <w:rFonts w:ascii="Times New Roman" w:hAnsi="Times New Roman" w:eastAsia="宋体" w:cs="Times New Roman"/>
      <w:color w:val="FF0000"/>
      <w:kern w:val="0"/>
      <w:sz w:val="15"/>
      <w:szCs w:val="15"/>
    </w:rPr>
  </w:style>
  <w:style w:type="paragraph" w:customStyle="1" w:styleId="234">
    <w:name w:val="xl117"/>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color w:val="FF0000"/>
      <w:kern w:val="0"/>
      <w:sz w:val="15"/>
      <w:szCs w:val="15"/>
    </w:rPr>
  </w:style>
  <w:style w:type="paragraph" w:customStyle="1" w:styleId="235">
    <w:name w:val="xl11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FF0000"/>
      <w:kern w:val="0"/>
      <w:sz w:val="15"/>
      <w:szCs w:val="15"/>
    </w:rPr>
  </w:style>
  <w:style w:type="paragraph" w:customStyle="1" w:styleId="236">
    <w:name w:val="xl119"/>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Times New Roman" w:hAnsi="Times New Roman" w:eastAsia="宋体" w:cs="Times New Roman"/>
      <w:color w:val="FF0000"/>
      <w:kern w:val="0"/>
      <w:sz w:val="15"/>
      <w:szCs w:val="15"/>
    </w:rPr>
  </w:style>
  <w:style w:type="paragraph" w:customStyle="1" w:styleId="237">
    <w:name w:val="xl120"/>
    <w:basedOn w:val="1"/>
    <w:qFormat/>
    <w:uiPriority w:val="0"/>
    <w:pPr>
      <w:widowControl/>
      <w:pBdr>
        <w:top w:val="single" w:color="auto" w:sz="8" w:space="0"/>
        <w:bottom w:val="single" w:color="auto" w:sz="8" w:space="0"/>
      </w:pBdr>
      <w:spacing w:before="100" w:beforeAutospacing="1" w:after="100" w:afterAutospacing="1"/>
      <w:jc w:val="center"/>
    </w:pPr>
    <w:rPr>
      <w:rFonts w:ascii="Times New Roman" w:hAnsi="Times New Roman" w:eastAsia="宋体" w:cs="Times New Roman"/>
      <w:color w:val="FF0000"/>
      <w:kern w:val="0"/>
      <w:sz w:val="15"/>
      <w:szCs w:val="15"/>
    </w:rPr>
  </w:style>
  <w:style w:type="paragraph" w:customStyle="1" w:styleId="238">
    <w:name w:val="xl12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FF0000"/>
      <w:kern w:val="0"/>
      <w:sz w:val="15"/>
      <w:szCs w:val="15"/>
    </w:rPr>
  </w:style>
  <w:style w:type="paragraph" w:customStyle="1" w:styleId="239">
    <w:name w:val="xl122"/>
    <w:basedOn w:val="1"/>
    <w:qFormat/>
    <w:uiPriority w:val="0"/>
    <w:pPr>
      <w:widowControl/>
      <w:spacing w:before="100" w:beforeAutospacing="1" w:after="100" w:afterAutospacing="1"/>
      <w:jc w:val="center"/>
    </w:pPr>
    <w:rPr>
      <w:rFonts w:ascii="Times New Roman" w:hAnsi="Times New Roman" w:eastAsia="宋体" w:cs="Times New Roman"/>
      <w:kern w:val="0"/>
      <w:sz w:val="15"/>
      <w:szCs w:val="15"/>
    </w:rPr>
  </w:style>
  <w:style w:type="paragraph" w:customStyle="1" w:styleId="240">
    <w:name w:val="xl123"/>
    <w:basedOn w:val="1"/>
    <w:qFormat/>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jc w:val="center"/>
    </w:pPr>
    <w:rPr>
      <w:rFonts w:ascii="Times New Roman" w:hAnsi="Times New Roman" w:eastAsia="宋体" w:cs="Times New Roman"/>
      <w:kern w:val="0"/>
      <w:sz w:val="15"/>
      <w:szCs w:val="15"/>
    </w:rPr>
  </w:style>
  <w:style w:type="paragraph" w:customStyle="1" w:styleId="241">
    <w:name w:val="xl124"/>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jc w:val="center"/>
    </w:pPr>
    <w:rPr>
      <w:rFonts w:ascii="Times New Roman" w:hAnsi="Times New Roman" w:eastAsia="宋体" w:cs="Times New Roman"/>
      <w:kern w:val="0"/>
      <w:sz w:val="15"/>
      <w:szCs w:val="15"/>
    </w:rPr>
  </w:style>
  <w:style w:type="paragraph" w:customStyle="1" w:styleId="242">
    <w:name w:val="xl125"/>
    <w:basedOn w:val="1"/>
    <w:qFormat/>
    <w:uiPriority w:val="0"/>
    <w:pPr>
      <w:widowControl/>
      <w:pBdr>
        <w:top w:val="single" w:color="auto" w:sz="8" w:space="0"/>
        <w:bottom w:val="single" w:color="auto" w:sz="8" w:space="0"/>
      </w:pBdr>
      <w:spacing w:before="100" w:beforeAutospacing="1" w:after="100" w:afterAutospacing="1"/>
      <w:jc w:val="left"/>
    </w:pPr>
    <w:rPr>
      <w:rFonts w:ascii="Times New Roman" w:hAnsi="Times New Roman" w:eastAsia="宋体" w:cs="Times New Roman"/>
      <w:kern w:val="0"/>
      <w:sz w:val="15"/>
      <w:szCs w:val="15"/>
    </w:rPr>
  </w:style>
  <w:style w:type="paragraph" w:customStyle="1" w:styleId="243">
    <w:name w:val="xl12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 w:val="15"/>
      <w:szCs w:val="15"/>
    </w:rPr>
  </w:style>
  <w:style w:type="paragraph" w:customStyle="1" w:styleId="244">
    <w:name w:val="xl12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color w:val="000000"/>
      <w:kern w:val="0"/>
      <w:sz w:val="15"/>
      <w:szCs w:val="15"/>
    </w:rPr>
  </w:style>
  <w:style w:type="paragraph" w:customStyle="1" w:styleId="245">
    <w:name w:val="xl128"/>
    <w:basedOn w:val="1"/>
    <w:qFormat/>
    <w:uiPriority w:val="0"/>
    <w:pPr>
      <w:widowControl/>
      <w:pBdr>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 w:val="15"/>
      <w:szCs w:val="15"/>
    </w:rPr>
  </w:style>
  <w:style w:type="paragraph" w:customStyle="1" w:styleId="246">
    <w:name w:val="xl129"/>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Times New Roman" w:hAnsi="Times New Roman" w:eastAsia="宋体" w:cs="Times New Roman"/>
      <w:color w:val="000000"/>
      <w:kern w:val="0"/>
      <w:sz w:val="15"/>
      <w:szCs w:val="15"/>
    </w:rPr>
  </w:style>
  <w:style w:type="paragraph" w:customStyle="1" w:styleId="247">
    <w:name w:val="xl130"/>
    <w:basedOn w:val="1"/>
    <w:qFormat/>
    <w:uiPriority w:val="0"/>
    <w:pPr>
      <w:widowControl/>
      <w:pBdr>
        <w:top w:val="single" w:color="auto" w:sz="8" w:space="0"/>
        <w:bottom w:val="single" w:color="auto" w:sz="8" w:space="0"/>
      </w:pBdr>
      <w:spacing w:before="100" w:beforeAutospacing="1" w:after="100" w:afterAutospacing="1"/>
      <w:jc w:val="center"/>
    </w:pPr>
    <w:rPr>
      <w:rFonts w:ascii="Times New Roman" w:hAnsi="Times New Roman" w:eastAsia="宋体" w:cs="Times New Roman"/>
      <w:color w:val="000000"/>
      <w:kern w:val="0"/>
      <w:sz w:val="15"/>
      <w:szCs w:val="15"/>
    </w:rPr>
  </w:style>
  <w:style w:type="paragraph" w:customStyle="1" w:styleId="248">
    <w:name w:val="xl13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 w:val="15"/>
      <w:szCs w:val="15"/>
    </w:rPr>
  </w:style>
  <w:style w:type="paragraph" w:customStyle="1" w:styleId="249">
    <w:name w:val="xl132"/>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color w:val="000000"/>
      <w:kern w:val="0"/>
      <w:sz w:val="15"/>
      <w:szCs w:val="15"/>
    </w:rPr>
  </w:style>
  <w:style w:type="paragraph" w:customStyle="1" w:styleId="250">
    <w:name w:val="xl133"/>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color w:val="000000"/>
      <w:kern w:val="0"/>
      <w:sz w:val="15"/>
      <w:szCs w:val="15"/>
    </w:rPr>
  </w:style>
  <w:style w:type="paragraph" w:customStyle="1" w:styleId="251">
    <w:name w:val="xl13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000000"/>
      <w:kern w:val="0"/>
      <w:sz w:val="15"/>
      <w:szCs w:val="15"/>
    </w:rPr>
  </w:style>
  <w:style w:type="paragraph" w:customStyle="1" w:styleId="252">
    <w:name w:val="xl135"/>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character" w:customStyle="1" w:styleId="253">
    <w:name w:val="页眉 字符1"/>
    <w:qFormat/>
    <w:uiPriority w:val="99"/>
    <w:rPr>
      <w:sz w:val="18"/>
      <w:szCs w:val="18"/>
    </w:rPr>
  </w:style>
  <w:style w:type="character" w:customStyle="1" w:styleId="254">
    <w:name w:val="页脚 字符1"/>
    <w:qFormat/>
    <w:uiPriority w:val="99"/>
    <w:rPr>
      <w:sz w:val="18"/>
      <w:szCs w:val="18"/>
    </w:rPr>
  </w:style>
  <w:style w:type="paragraph" w:customStyle="1" w:styleId="255">
    <w:name w:val="列出段落5"/>
    <w:basedOn w:val="1"/>
    <w:qFormat/>
    <w:uiPriority w:val="34"/>
    <w:pPr>
      <w:ind w:firstLine="420" w:firstLineChars="200"/>
    </w:pPr>
    <w:rPr>
      <w:rFonts w:ascii="等线" w:hAnsi="等线" w:eastAsia="等线" w:cs="Times New Roman"/>
    </w:rPr>
  </w:style>
  <w:style w:type="paragraph" w:customStyle="1" w:styleId="25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57">
    <w:name w:val="TOC 标题11"/>
    <w:basedOn w:val="2"/>
    <w:next w:val="1"/>
    <w:qFormat/>
    <w:uiPriority w:val="39"/>
    <w:pPr>
      <w:widowControl/>
      <w:spacing w:before="240" w:after="0" w:line="256"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58">
    <w:name w:val="不明显强调11"/>
    <w:basedOn w:val="44"/>
    <w:qFormat/>
    <w:uiPriority w:val="19"/>
    <w:rPr>
      <w:rFonts w:hint="eastAsia" w:ascii="等线" w:hAnsi="等线" w:eastAsiaTheme="minorEastAsia" w:cstheme="minorBidi"/>
      <w:i/>
      <w:iCs/>
      <w:color w:val="808080" w:themeColor="text1" w:themeTint="80"/>
      <w:szCs w:val="22"/>
      <w:lang w:eastAsia="zh-CN"/>
      <w14:textFill>
        <w14:solidFill>
          <w14:schemeClr w14:val="tx1">
            <w14:lumMod w14:val="50000"/>
            <w14:lumOff w14:val="50000"/>
          </w14:schemeClr>
        </w14:solidFill>
      </w14:textFill>
    </w:rPr>
  </w:style>
  <w:style w:type="table" w:customStyle="1" w:styleId="259">
    <w:name w:val="浅色底纹 - 强调文字颜色 31"/>
    <w:basedOn w:val="39"/>
    <w:qFormat/>
    <w:uiPriority w:val="60"/>
    <w:rPr>
      <w:rFonts w:ascii="Calibri" w:hAnsi="Calibri"/>
      <w:color w:val="7B7B7B"/>
    </w:rPr>
    <w:tblPr>
      <w:tblBorders>
        <w:top w:val="single" w:color="A5A5A5" w:sz="8" w:space="0"/>
        <w:bottom w:val="single" w:color="A5A5A5" w:sz="8" w:space="0"/>
      </w:tblBorders>
    </w:tblPr>
    <w:tblStylePr w:type="firstRow">
      <w:pPr>
        <w:spacing w:beforeLines="0" w:beforeAutospacing="0" w:afterLines="0" w:afterAutospacing="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260">
    <w:name w:val="网格型21"/>
    <w:basedOn w:val="39"/>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61">
    <w:name w:val="网格型4"/>
    <w:basedOn w:val="39"/>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2">
    <w:name w:val="不明显强调2"/>
    <w:basedOn w:val="44"/>
    <w:qFormat/>
    <w:uiPriority w:val="19"/>
    <w:rPr>
      <w:rFonts w:eastAsiaTheme="minorEastAsia" w:cstheme="minorBidi"/>
      <w:i/>
      <w:iCs/>
      <w:color w:val="808080" w:themeColor="text1" w:themeTint="80"/>
      <w:szCs w:val="22"/>
      <w:lang w:eastAsia="zh-CN"/>
      <w14:textFill>
        <w14:solidFill>
          <w14:schemeClr w14:val="tx1">
            <w14:lumMod w14:val="50000"/>
            <w14:lumOff w14:val="50000"/>
          </w14:schemeClr>
        </w14:solidFill>
      </w14:textFill>
    </w:rPr>
  </w:style>
  <w:style w:type="paragraph" w:customStyle="1" w:styleId="263">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64">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65">
    <w:name w:val="列表段落2"/>
    <w:basedOn w:val="1"/>
    <w:qFormat/>
    <w:uiPriority w:val="34"/>
    <w:pPr>
      <w:ind w:firstLine="420" w:firstLineChars="200"/>
    </w:pPr>
    <w:rPr>
      <w:rFonts w:ascii="等线" w:hAnsi="等线" w:eastAsia="等线" w:cs="黑体"/>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AB214-3B3B-426C-A49E-DE0F6866E92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61</Pages>
  <Words>6703</Words>
  <Characters>38210</Characters>
  <Lines>318</Lines>
  <Paragraphs>89</Paragraphs>
  <TotalTime>7</TotalTime>
  <ScaleCrop>false</ScaleCrop>
  <LinksUpToDate>false</LinksUpToDate>
  <CharactersWithSpaces>44824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2020-09-25T02:30:00Z</dcterms:created>
  <dc:creator>dreamsummit</dc:creator>
  <cp:lastModifiedBy>千岛</cp:lastModifiedBy>
  <cp:lastPrinted>2020-10-19T09:32:00Z</cp:lastPrinted>
  <dcterms:modified xsi:type="dcterms:W3CDTF">2024-03-06T07:16:16Z</dcterms:modified>
  <cp:revision>1369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7A73160D98F848B1A053EBBF4F7B0E3F</vt:lpwstr>
  </property>
</Properties>
</file>