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adjustRightInd/>
        <w:spacing w:line="360" w:lineRule="auto"/>
        <w:jc w:val="center"/>
        <w:rPr>
          <w:rFonts w:ascii="宋体" w:hAnsi="宋体" w:cs="宋体"/>
          <w:b/>
          <w:sz w:val="44"/>
          <w:szCs w:val="44"/>
          <w:highlight w:val="none"/>
        </w:rPr>
      </w:pPr>
    </w:p>
    <w:p>
      <w:pPr>
        <w:spacing w:line="360" w:lineRule="auto"/>
        <w:jc w:val="center"/>
        <w:rPr>
          <w:rFonts w:ascii="宋体" w:hAnsi="宋体" w:cs="宋体"/>
          <w:b/>
          <w:sz w:val="44"/>
          <w:szCs w:val="44"/>
          <w:highlight w:val="none"/>
        </w:rPr>
      </w:pPr>
    </w:p>
    <w:p>
      <w:pPr>
        <w:adjustRightInd/>
        <w:spacing w:line="360" w:lineRule="auto"/>
        <w:jc w:val="center"/>
        <w:rPr>
          <w:rFonts w:ascii="宋体" w:hAnsi="宋体" w:cs="宋体"/>
          <w:b/>
          <w:sz w:val="48"/>
          <w:szCs w:val="48"/>
          <w:highlight w:val="none"/>
        </w:rPr>
      </w:pPr>
    </w:p>
    <w:p>
      <w:pPr>
        <w:adjustRightInd/>
        <w:spacing w:line="360" w:lineRule="auto"/>
        <w:jc w:val="center"/>
        <w:rPr>
          <w:rFonts w:hint="eastAsia" w:ascii="宋体" w:hAnsi="宋体" w:cs="宋体"/>
          <w:b/>
          <w:bCs/>
          <w:sz w:val="48"/>
          <w:szCs w:val="48"/>
          <w:highlight w:val="none"/>
          <w:lang w:eastAsia="zh-CN"/>
        </w:rPr>
      </w:pPr>
      <w:r>
        <w:rPr>
          <w:rFonts w:hint="eastAsia" w:ascii="宋体" w:hAnsi="宋体" w:cs="宋体"/>
          <w:b/>
          <w:bCs/>
          <w:sz w:val="48"/>
          <w:szCs w:val="48"/>
          <w:highlight w:val="none"/>
          <w:lang w:eastAsia="zh-CN"/>
        </w:rPr>
        <w:t>杭州市西湖区住房和城乡建设局台式计算机第二次采购项目</w:t>
      </w: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pPr>
        <w:adjustRightInd/>
        <w:spacing w:line="360" w:lineRule="auto"/>
        <w:jc w:val="center"/>
        <w:rPr>
          <w:rFonts w:hint="eastAsia" w:ascii="宋体" w:hAnsi="宋体" w:eastAsia="宋体" w:cs="宋体"/>
          <w:b/>
          <w:sz w:val="44"/>
          <w:szCs w:val="44"/>
          <w:highlight w:val="none"/>
          <w:lang w:eastAsia="zh-CN"/>
        </w:rPr>
      </w:pPr>
      <w:r>
        <w:rPr>
          <w:rFonts w:hint="eastAsia" w:ascii="宋体" w:hAnsi="宋体" w:cs="宋体"/>
          <w:b/>
          <w:sz w:val="44"/>
          <w:szCs w:val="44"/>
          <w:highlight w:val="none"/>
        </w:rPr>
        <w:t xml:space="preserve"> （电子招投标）</w:t>
      </w:r>
    </w:p>
    <w:p>
      <w:pPr>
        <w:snapToGrid w:val="0"/>
        <w:spacing w:line="360" w:lineRule="auto"/>
        <w:jc w:val="center"/>
        <w:rPr>
          <w:rFonts w:hint="default" w:ascii="宋体" w:hAnsi="宋体" w:eastAsia="宋体" w:cs="宋体"/>
          <w:color w:val="FF0000"/>
          <w:sz w:val="30"/>
          <w:szCs w:val="30"/>
          <w:highlight w:val="none"/>
          <w:lang w:val="en-US" w:eastAsia="zh-CN"/>
        </w:rPr>
      </w:pPr>
      <w:r>
        <w:rPr>
          <w:rFonts w:hint="eastAsia" w:ascii="宋体" w:hAnsi="宋体" w:cs="宋体"/>
          <w:sz w:val="30"/>
          <w:szCs w:val="30"/>
          <w:highlight w:val="none"/>
        </w:rPr>
        <w:t>编号:</w:t>
      </w:r>
      <w:r>
        <w:rPr>
          <w:rFonts w:hint="eastAsia" w:ascii="宋体" w:hAnsi="宋体" w:cs="宋体"/>
          <w:sz w:val="30"/>
          <w:szCs w:val="30"/>
          <w:highlight w:val="none"/>
          <w:lang w:eastAsia="zh-CN"/>
        </w:rPr>
        <w:t>XHZFCG-2024-G-60</w:t>
      </w:r>
    </w:p>
    <w:p>
      <w:pPr>
        <w:adjustRightInd/>
        <w:spacing w:line="360" w:lineRule="auto"/>
        <w:rPr>
          <w:rFonts w:ascii="宋体" w:hAnsi="宋体" w:cs="宋体"/>
          <w:sz w:val="28"/>
          <w:szCs w:val="20"/>
          <w:highlight w:val="none"/>
        </w:rPr>
      </w:pPr>
    </w:p>
    <w:p>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rPr>
          <w:rFonts w:ascii="宋体" w:hAnsi="宋体" w:cs="宋体"/>
          <w:sz w:val="32"/>
          <w:szCs w:val="32"/>
          <w:highlight w:val="none"/>
        </w:rPr>
      </w:pPr>
    </w:p>
    <w:p>
      <w:pPr>
        <w:spacing w:line="360" w:lineRule="auto"/>
        <w:jc w:val="center"/>
        <w:rPr>
          <w:rFonts w:hint="eastAsia" w:ascii="宋体" w:hAnsi="宋体" w:cs="宋体"/>
          <w:sz w:val="32"/>
          <w:szCs w:val="32"/>
          <w:highlight w:val="none"/>
          <w:lang w:eastAsia="zh-CN"/>
        </w:rPr>
      </w:pPr>
      <w:r>
        <w:rPr>
          <w:rFonts w:hint="eastAsia" w:ascii="宋体" w:hAnsi="宋体" w:cs="宋体"/>
          <w:sz w:val="32"/>
          <w:szCs w:val="32"/>
          <w:highlight w:val="none"/>
          <w:lang w:eastAsia="zh-CN"/>
        </w:rPr>
        <w:t>杭州市西湖区住房和城乡建设局</w:t>
      </w:r>
    </w:p>
    <w:p>
      <w:pPr>
        <w:spacing w:line="360" w:lineRule="auto"/>
        <w:jc w:val="center"/>
        <w:rPr>
          <w:highlight w:val="none"/>
        </w:rPr>
      </w:pPr>
      <w:r>
        <w:rPr>
          <w:rFonts w:hint="eastAsia" w:cs="宋体" w:asciiTheme="minorEastAsia" w:hAnsiTheme="minorEastAsia" w:eastAsiaTheme="minorEastAsia"/>
          <w:bCs/>
          <w:sz w:val="32"/>
          <w:szCs w:val="32"/>
          <w:highlight w:val="none"/>
        </w:rPr>
        <w:t>杭州市西湖区政府采购中心</w:t>
      </w:r>
    </w:p>
    <w:p>
      <w:pPr>
        <w:spacing w:line="360" w:lineRule="auto"/>
        <w:jc w:val="center"/>
        <w:rPr>
          <w:rFonts w:hint="eastAsia" w:cs="宋体" w:asciiTheme="minorEastAsia" w:hAnsiTheme="minorEastAsia" w:eastAsiaTheme="minorEastAsia"/>
          <w:bCs/>
          <w:sz w:val="32"/>
          <w:szCs w:val="32"/>
          <w:highlight w:val="none"/>
        </w:rPr>
      </w:pPr>
      <w:r>
        <w:rPr>
          <w:rFonts w:hint="eastAsia" w:cs="宋体" w:asciiTheme="minorEastAsia" w:hAnsiTheme="minorEastAsia" w:eastAsiaTheme="minorEastAsia"/>
          <w:bCs/>
          <w:sz w:val="32"/>
          <w:szCs w:val="32"/>
          <w:highlight w:val="none"/>
        </w:rPr>
        <w:t>二〇二</w:t>
      </w:r>
      <w:r>
        <w:rPr>
          <w:rFonts w:hint="eastAsia" w:cs="宋体" w:asciiTheme="minorEastAsia" w:hAnsiTheme="minorEastAsia" w:eastAsiaTheme="minorEastAsia"/>
          <w:bCs/>
          <w:sz w:val="32"/>
          <w:szCs w:val="32"/>
          <w:highlight w:val="none"/>
          <w:lang w:val="en-US" w:eastAsia="zh-CN"/>
        </w:rPr>
        <w:t>四</w:t>
      </w:r>
      <w:r>
        <w:rPr>
          <w:rFonts w:hint="eastAsia" w:cs="宋体" w:asciiTheme="minorEastAsia" w:hAnsiTheme="minorEastAsia" w:eastAsiaTheme="minorEastAsia"/>
          <w:bCs/>
          <w:sz w:val="32"/>
          <w:szCs w:val="32"/>
          <w:highlight w:val="none"/>
        </w:rPr>
        <w:t>年</w:t>
      </w:r>
      <w:r>
        <w:rPr>
          <w:rFonts w:hint="eastAsia" w:cs="宋体" w:asciiTheme="minorEastAsia" w:hAnsiTheme="minorEastAsia" w:eastAsiaTheme="minorEastAsia"/>
          <w:bCs/>
          <w:sz w:val="32"/>
          <w:szCs w:val="32"/>
          <w:highlight w:val="none"/>
          <w:lang w:val="en-US" w:eastAsia="zh-CN"/>
        </w:rPr>
        <w:t>九</w:t>
      </w:r>
      <w:r>
        <w:rPr>
          <w:rFonts w:hint="eastAsia" w:cs="宋体" w:asciiTheme="minorEastAsia" w:hAnsiTheme="minorEastAsia" w:eastAsiaTheme="minorEastAsia"/>
          <w:bCs/>
          <w:sz w:val="32"/>
          <w:szCs w:val="32"/>
          <w:highlight w:val="none"/>
        </w:rPr>
        <w:t>月</w:t>
      </w:r>
      <w:r>
        <w:rPr>
          <w:rFonts w:hint="eastAsia" w:cs="宋体" w:asciiTheme="minorEastAsia" w:hAnsiTheme="minorEastAsia" w:eastAsiaTheme="minorEastAsia"/>
          <w:bCs/>
          <w:sz w:val="32"/>
          <w:szCs w:val="32"/>
          <w:highlight w:val="none"/>
          <w:lang w:val="en-US" w:eastAsia="zh-CN"/>
        </w:rPr>
        <w:t>二十</w:t>
      </w:r>
      <w:r>
        <w:rPr>
          <w:rFonts w:hint="eastAsia" w:cs="宋体" w:asciiTheme="minorEastAsia" w:hAnsiTheme="minorEastAsia" w:eastAsiaTheme="minorEastAsia"/>
          <w:bCs/>
          <w:sz w:val="32"/>
          <w:szCs w:val="32"/>
          <w:highlight w:val="none"/>
        </w:rPr>
        <w:t>日</w:t>
      </w:r>
    </w:p>
    <w:p>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pPr>
        <w:spacing w:line="360" w:lineRule="auto"/>
        <w:jc w:val="center"/>
        <w:rPr>
          <w:rFonts w:ascii="宋体" w:hAnsi="宋体" w:cs="宋体"/>
          <w:sz w:val="24"/>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pPr>
        <w:spacing w:line="360" w:lineRule="auto"/>
        <w:rPr>
          <w:rFonts w:ascii="宋体" w:hAnsi="宋体" w:cs="宋体"/>
          <w:sz w:val="32"/>
          <w:szCs w:val="32"/>
          <w:highlight w:val="none"/>
        </w:rPr>
      </w:pPr>
    </w:p>
    <w:p>
      <w:pPr>
        <w:spacing w:line="360" w:lineRule="auto"/>
        <w:rPr>
          <w:rFonts w:ascii="宋体" w:hAnsi="宋体" w:cs="宋体"/>
          <w:sz w:val="32"/>
          <w:szCs w:val="32"/>
          <w:highlight w:val="none"/>
        </w:rPr>
      </w:pP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pPr>
        <w:spacing w:line="360" w:lineRule="auto"/>
        <w:ind w:firstLine="549" w:firstLineChars="229"/>
        <w:rPr>
          <w:rFonts w:ascii="宋体" w:hAnsi="宋体" w:cs="宋体"/>
          <w:sz w:val="24"/>
          <w:highlight w:val="none"/>
        </w:rPr>
      </w:pPr>
      <w:bookmarkStart w:id="1" w:name="_Hlt91233176"/>
      <w:bookmarkEnd w:id="1"/>
      <w:bookmarkStart w:id="2" w:name="_Toc91899869"/>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rPr>
          <w:rFonts w:ascii="宋体" w:hAnsi="宋体" w:cs="宋体"/>
          <w:sz w:val="24"/>
          <w:highlight w:val="none"/>
        </w:rPr>
      </w:pPr>
    </w:p>
    <w:p>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729822"/>
      <w:bookmarkEnd w:id="4"/>
      <w:bookmarkStart w:id="5" w:name="_Hlt74707423"/>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highlight w:val="none"/>
          <w:u w:val="single"/>
        </w:rPr>
      </w:pPr>
      <w:bookmarkStart w:id="547" w:name="_GoBack"/>
      <w:bookmarkEnd w:id="547"/>
      <w:r>
        <w:rPr>
          <w:rFonts w:hint="eastAsia" w:cs="仿宋_GB2312" w:asciiTheme="minorEastAsia" w:hAnsiTheme="minorEastAsia" w:eastAsiaTheme="minorEastAsia"/>
          <w:sz w:val="24"/>
          <w:highlight w:val="none"/>
          <w:u w:val="single"/>
          <w:lang w:eastAsia="zh-CN"/>
        </w:rPr>
        <w:t>杭州市西湖区住房和城乡建设局台式计算机第二次采购项目</w:t>
      </w:r>
      <w:r>
        <w:rPr>
          <w:rFonts w:hint="eastAsia" w:asciiTheme="minorEastAsia" w:hAnsiTheme="minorEastAsia" w:eastAsiaTheme="minorEastAsia"/>
          <w:sz w:val="24"/>
          <w:highlight w:val="none"/>
        </w:rPr>
        <w:t>招标项目的潜在投标人应在政采云平台（</w:t>
      </w:r>
      <w:r>
        <w:rPr>
          <w:highlight w:val="none"/>
        </w:rPr>
        <w:fldChar w:fldCharType="begin"/>
      </w:r>
      <w:r>
        <w:rPr>
          <w:highlight w:val="none"/>
        </w:rPr>
        <w:instrText xml:space="preserve"> HYPERLINK "https://www.zcygov.cn/）获取（下载）招标文件，并于2023年%20月%20日%20点%20分00秒" </w:instrText>
      </w:r>
      <w:r>
        <w:rPr>
          <w:highlight w:val="none"/>
        </w:rPr>
        <w:fldChar w:fldCharType="separate"/>
      </w:r>
      <w:r>
        <w:rPr>
          <w:rStyle w:val="76"/>
          <w:rFonts w:cs="Times New Roman" w:asciiTheme="minorEastAsia" w:hAnsiTheme="minorEastAsia" w:eastAsiaTheme="minorEastAsia"/>
          <w:snapToGrid/>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u w:val="single"/>
          <w:lang w:eastAsia="zh-CN"/>
        </w:rPr>
        <w:t>2024</w:t>
      </w:r>
      <w:r>
        <w:rPr>
          <w:rStyle w:val="76"/>
          <w:rFonts w:cs="Times New Roman" w:asciiTheme="minorEastAsia" w:hAnsiTheme="minorEastAsia" w:eastAsiaTheme="minorEastAsia"/>
          <w:snapToGrid/>
          <w:color w:val="auto"/>
          <w:kern w:val="2"/>
          <w:sz w:val="24"/>
          <w:szCs w:val="24"/>
          <w:highlight w:val="none"/>
          <w:u w:val="single"/>
        </w:rPr>
        <w:t>年</w:t>
      </w:r>
      <w:r>
        <w:rPr>
          <w:rStyle w:val="76"/>
          <w:rFonts w:hint="eastAsia" w:cs="Times New Roman" w:asciiTheme="minorEastAsia" w:hAnsiTheme="minorEastAsia" w:eastAsiaTheme="minorEastAsia"/>
          <w:snapToGrid/>
          <w:color w:val="auto"/>
          <w:kern w:val="2"/>
          <w:sz w:val="24"/>
          <w:szCs w:val="24"/>
          <w:highlight w:val="none"/>
          <w:u w:val="single"/>
          <w:lang w:val="en-US" w:eastAsia="zh-CN"/>
        </w:rPr>
        <w:t>10</w:t>
      </w:r>
      <w:r>
        <w:rPr>
          <w:rStyle w:val="76"/>
          <w:rFonts w:hint="eastAsia" w:cs="Times New Roman" w:asciiTheme="minorEastAsia" w:hAnsiTheme="minorEastAsia" w:eastAsiaTheme="minorEastAsia"/>
          <w:snapToGrid/>
          <w:color w:val="auto"/>
          <w:kern w:val="2"/>
          <w:sz w:val="24"/>
          <w:szCs w:val="24"/>
          <w:highlight w:val="none"/>
          <w:u w:val="single"/>
        </w:rPr>
        <w:t>月</w:t>
      </w:r>
      <w:r>
        <w:rPr>
          <w:rStyle w:val="76"/>
          <w:rFonts w:hint="eastAsia" w:cs="Times New Roman" w:asciiTheme="minorEastAsia" w:hAnsiTheme="minorEastAsia" w:eastAsiaTheme="minorEastAsia"/>
          <w:snapToGrid/>
          <w:color w:val="auto"/>
          <w:kern w:val="2"/>
          <w:sz w:val="24"/>
          <w:szCs w:val="24"/>
          <w:highlight w:val="none"/>
          <w:u w:val="single"/>
          <w:lang w:val="en-US" w:eastAsia="zh-CN"/>
        </w:rPr>
        <w:t>11</w:t>
      </w:r>
      <w:r>
        <w:rPr>
          <w:rStyle w:val="76"/>
          <w:rFonts w:hint="eastAsia" w:cs="Times New Roman" w:asciiTheme="minorEastAsia" w:hAnsiTheme="minorEastAsia" w:eastAsiaTheme="minorEastAsia"/>
          <w:snapToGrid/>
          <w:color w:val="auto"/>
          <w:kern w:val="2"/>
          <w:sz w:val="24"/>
          <w:szCs w:val="24"/>
          <w:highlight w:val="none"/>
          <w:u w:val="single"/>
        </w:rPr>
        <w:t>日</w:t>
      </w:r>
      <w:r>
        <w:rPr>
          <w:rStyle w:val="76"/>
          <w:rFonts w:hint="default" w:cs="Times New Roman" w:asciiTheme="minorEastAsia" w:hAnsiTheme="minorEastAsia" w:eastAsiaTheme="minorEastAsia"/>
          <w:snapToGrid/>
          <w:color w:val="auto"/>
          <w:kern w:val="2"/>
          <w:sz w:val="24"/>
          <w:szCs w:val="24"/>
          <w:highlight w:val="none"/>
          <w:u w:val="single"/>
          <w:lang w:val="en-US" w:eastAsia="zh-CN"/>
        </w:rPr>
        <w:t>10</w:t>
      </w:r>
      <w:r>
        <w:rPr>
          <w:rStyle w:val="76"/>
          <w:rFonts w:hint="eastAsia" w:cs="Times New Roman" w:asciiTheme="minorEastAsia" w:hAnsiTheme="minorEastAsia" w:eastAsiaTheme="minorEastAsia"/>
          <w:snapToGrid/>
          <w:color w:val="auto"/>
          <w:kern w:val="2"/>
          <w:sz w:val="24"/>
          <w:szCs w:val="24"/>
          <w:highlight w:val="none"/>
          <w:u w:val="single"/>
        </w:rPr>
        <w:t>点</w:t>
      </w:r>
      <w:r>
        <w:rPr>
          <w:rStyle w:val="76"/>
          <w:rFonts w:hint="default" w:cs="Times New Roman" w:asciiTheme="minorEastAsia" w:hAnsiTheme="minorEastAsia" w:eastAsiaTheme="minorEastAsia"/>
          <w:snapToGrid/>
          <w:color w:val="auto"/>
          <w:kern w:val="2"/>
          <w:sz w:val="24"/>
          <w:szCs w:val="24"/>
          <w:highlight w:val="none"/>
          <w:u w:val="single"/>
          <w:lang w:val="en-US" w:eastAsia="zh-CN"/>
        </w:rPr>
        <w:t>0</w:t>
      </w:r>
      <w:r>
        <w:rPr>
          <w:rStyle w:val="76"/>
          <w:rFonts w:hint="eastAsia" w:cs="Times New Roman" w:asciiTheme="minorEastAsia" w:hAnsiTheme="minorEastAsia" w:eastAsiaTheme="minorEastAsia"/>
          <w:snapToGrid/>
          <w:color w:val="auto"/>
          <w:kern w:val="2"/>
          <w:sz w:val="24"/>
          <w:szCs w:val="24"/>
          <w:highlight w:val="none"/>
          <w:u w:val="single"/>
          <w:lang w:val="en-US" w:eastAsia="zh-CN"/>
        </w:rPr>
        <w:t>0</w:t>
      </w:r>
      <w:r>
        <w:rPr>
          <w:rStyle w:val="76"/>
          <w:rFonts w:hint="eastAsia" w:cs="Times New Roman" w:asciiTheme="minorEastAsia" w:hAnsiTheme="minorEastAsia" w:eastAsiaTheme="minorEastAsia"/>
          <w:snapToGrid/>
          <w:color w:val="auto"/>
          <w:kern w:val="2"/>
          <w:sz w:val="24"/>
          <w:szCs w:val="24"/>
          <w:highlight w:val="none"/>
          <w:u w:val="single"/>
        </w:rPr>
        <w:t>分</w:t>
      </w:r>
      <w:r>
        <w:rPr>
          <w:rStyle w:val="76"/>
          <w:rFonts w:hint="eastAsia" w:cs="Times New Roman" w:asciiTheme="minorEastAsia" w:hAnsiTheme="minorEastAsia" w:eastAsiaTheme="minorEastAsia"/>
          <w:bCs/>
          <w:snapToGrid/>
          <w:color w:val="auto"/>
          <w:kern w:val="2"/>
          <w:sz w:val="24"/>
          <w:szCs w:val="24"/>
          <w:highlight w:val="none"/>
          <w:u w:val="single"/>
        </w:rPr>
        <w:t>00秒</w:t>
      </w:r>
      <w:r>
        <w:rPr>
          <w:rStyle w:val="76"/>
          <w:rFonts w:hint="eastAsia" w:cs="Times New Roman" w:asciiTheme="minorEastAsia" w:hAnsiTheme="minorEastAsia" w:eastAsiaTheme="minorEastAsia"/>
          <w:bCs/>
          <w:snapToGrid/>
          <w:color w:val="auto"/>
          <w:kern w:val="2"/>
          <w:sz w:val="24"/>
          <w:szCs w:val="24"/>
          <w:highlight w:val="none"/>
          <w:u w:val="single"/>
        </w:rPr>
        <w:fldChar w:fldCharType="end"/>
      </w:r>
      <w:r>
        <w:rPr>
          <w:rFonts w:hint="eastAsia" w:asciiTheme="minorEastAsia" w:hAnsiTheme="minorEastAsia" w:eastAsiaTheme="minorEastAsia"/>
          <w:bCs/>
          <w:sz w:val="24"/>
          <w:highlight w:val="none"/>
        </w:rPr>
        <w:t>（北京时间）前</w:t>
      </w:r>
      <w:r>
        <w:rPr>
          <w:rFonts w:hint="eastAsia" w:asciiTheme="minorEastAsia" w:hAnsiTheme="minorEastAsia" w:eastAsiaTheme="minorEastAsia"/>
          <w:sz w:val="24"/>
          <w:highlight w:val="none"/>
        </w:rPr>
        <w:t>递交（上传）投标文件。</w:t>
      </w:r>
    </w:p>
    <w:p>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 xml:space="preserve">    </w:t>
      </w:r>
      <w:r>
        <w:rPr>
          <w:rFonts w:hint="eastAsia" w:ascii="宋体" w:hAnsi="宋体" w:cs="宋体"/>
          <w:b/>
          <w:sz w:val="24"/>
          <w:highlight w:val="none"/>
        </w:rPr>
        <w:t>项目编号：</w:t>
      </w:r>
      <w:r>
        <w:rPr>
          <w:rFonts w:hint="eastAsia" w:ascii="宋体" w:hAnsi="宋体" w:cs="宋体"/>
          <w:sz w:val="24"/>
          <w:highlight w:val="none"/>
          <w:lang w:eastAsia="zh-CN"/>
        </w:rPr>
        <w:t>XHZFCG-2024-G-60</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ascii="宋体" w:hAnsi="宋体" w:cs="宋体"/>
          <w:sz w:val="24"/>
          <w:highlight w:val="none"/>
          <w:lang w:eastAsia="zh-CN"/>
        </w:rPr>
        <w:t>杭州市西湖区住房和城乡建设局台式计算机第二次采购项目</w:t>
      </w:r>
    </w:p>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 xml:space="preserve"> </w:t>
      </w:r>
      <w:r>
        <w:rPr>
          <w:rFonts w:hint="eastAsia" w:ascii="宋体" w:hAnsi="宋体" w:cs="宋体"/>
          <w:b/>
          <w:bCs/>
          <w:sz w:val="24"/>
          <w:highlight w:val="none"/>
        </w:rPr>
        <w:t xml:space="preserve">   预算金额（元）：</w:t>
      </w:r>
      <w:r>
        <w:rPr>
          <w:rFonts w:hint="eastAsia" w:ascii="宋体" w:hAnsi="宋体" w:cs="宋体"/>
          <w:b/>
          <w:bCs/>
          <w:sz w:val="24"/>
          <w:highlight w:val="none"/>
          <w:lang w:val="en-US" w:eastAsia="zh-CN"/>
        </w:rPr>
        <w:t>390000</w:t>
      </w:r>
    </w:p>
    <w:p>
      <w:pPr>
        <w:spacing w:line="360" w:lineRule="auto"/>
        <w:ind w:firstLine="482" w:firstLineChars="200"/>
        <w:rPr>
          <w:highlight w:val="none"/>
          <w:lang w:val="en-US"/>
        </w:rPr>
      </w:pPr>
      <w:r>
        <w:rPr>
          <w:rFonts w:hint="eastAsia" w:ascii="宋体" w:hAnsi="宋体" w:cs="宋体"/>
          <w:b/>
          <w:sz w:val="24"/>
          <w:highlight w:val="none"/>
        </w:rPr>
        <w:t>最高限价（元）：</w:t>
      </w:r>
      <w:r>
        <w:rPr>
          <w:rFonts w:hint="eastAsia" w:ascii="宋体" w:hAnsi="宋体" w:cs="宋体"/>
          <w:b/>
          <w:sz w:val="24"/>
          <w:highlight w:val="none"/>
          <w:lang w:val="en-US" w:eastAsia="zh-CN"/>
        </w:rPr>
        <w:t>390000</w:t>
      </w:r>
      <w:r>
        <w:rPr>
          <w:rFonts w:ascii="宋体" w:hAnsi="宋体" w:cs="宋体"/>
          <w:sz w:val="24"/>
          <w:highlight w:val="none"/>
          <w:lang w:val="en-US"/>
        </w:rPr>
        <w:t xml:space="preserve">           </w:t>
      </w:r>
    </w:p>
    <w:p>
      <w:pPr>
        <w:pStyle w:val="15"/>
        <w:spacing w:line="360" w:lineRule="auto"/>
        <w:ind w:firstLine="480"/>
        <w:rPr>
          <w:rFonts w:asciiTheme="minorEastAsia" w:hAnsiTheme="minorEastAsia" w:eastAsiaTheme="minorEastAsia"/>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杭州市西湖区住房和城乡建设局台式计算机第二次采购项目，</w:t>
      </w:r>
      <w:r>
        <w:rPr>
          <w:rFonts w:hint="eastAsia" w:hAnsi="宋体" w:cs="宋体"/>
          <w:b w:val="0"/>
          <w:bCs/>
          <w:color w:val="auto"/>
          <w:sz w:val="24"/>
          <w:highlight w:val="none"/>
          <w:lang w:val="en-US" w:eastAsia="zh-CN"/>
        </w:rPr>
        <w:t>主要包括符合信创产品要求的办公电脑60台，台式电脑预装信创操作系统60套、配套正版WPS办公软件60套。</w:t>
      </w:r>
      <w:r>
        <w:rPr>
          <w:rFonts w:hint="eastAsia" w:hAnsi="宋体" w:cs="宋体"/>
          <w:b w:val="0"/>
          <w:bCs/>
          <w:color w:val="auto"/>
          <w:sz w:val="24"/>
          <w:highlight w:val="none"/>
        </w:rPr>
        <w:t>具体包括安装、产品调试、试运行、验收与相关的操作培训及不少于</w:t>
      </w:r>
      <w:r>
        <w:rPr>
          <w:rFonts w:hint="eastAsia" w:hAnsi="宋体" w:cs="宋体"/>
          <w:b w:val="0"/>
          <w:bCs/>
          <w:color w:val="auto"/>
          <w:sz w:val="24"/>
          <w:highlight w:val="none"/>
          <w:lang w:val="en-US" w:eastAsia="zh-CN"/>
        </w:rPr>
        <w:t>3</w:t>
      </w:r>
      <w:r>
        <w:rPr>
          <w:rFonts w:hint="eastAsia" w:hAnsi="宋体" w:cs="宋体"/>
          <w:b w:val="0"/>
          <w:bCs/>
          <w:color w:val="auto"/>
          <w:sz w:val="24"/>
          <w:highlight w:val="none"/>
        </w:rPr>
        <w:t>年（含）7×24小时免费设备保修和售后现场技术服务等内容</w:t>
      </w:r>
      <w:r>
        <w:rPr>
          <w:rFonts w:hint="eastAsia" w:ascii="宋体" w:hAnsi="宋体" w:cs="宋体"/>
          <w:bCs/>
          <w:sz w:val="24"/>
          <w:highlight w:val="none"/>
        </w:rPr>
        <w:t>。</w:t>
      </w:r>
      <w:r>
        <w:rPr>
          <w:rFonts w:hint="eastAsia" w:asciiTheme="minorEastAsia" w:hAnsiTheme="minorEastAsia" w:eastAsiaTheme="minorEastAsia"/>
          <w:snapToGrid/>
          <w:color w:val="auto"/>
          <w:kern w:val="2"/>
          <w:sz w:val="24"/>
          <w:szCs w:val="24"/>
          <w:highlight w:val="none"/>
        </w:rPr>
        <w:t>供应商可点击本公告下方“浏览采购文件”查看采购需求。</w:t>
      </w:r>
    </w:p>
    <w:p>
      <w:pPr>
        <w:spacing w:line="360" w:lineRule="auto"/>
        <w:ind w:firstLine="482" w:firstLineChars="200"/>
        <w:rPr>
          <w:bCs/>
          <w:highlight w:val="none"/>
        </w:rPr>
      </w:pPr>
      <w:r>
        <w:rPr>
          <w:rFonts w:hint="eastAsia" w:ascii="宋体" w:hAnsi="宋体" w:cs="宋体"/>
          <w:b/>
          <w:snapToGrid w:val="0"/>
          <w:kern w:val="28"/>
          <w:sz w:val="24"/>
          <w:szCs w:val="20"/>
          <w:highlight w:val="none"/>
        </w:rPr>
        <w:t>合同履约期限：</w:t>
      </w:r>
      <w:r>
        <w:rPr>
          <w:rFonts w:hint="eastAsia" w:ascii="宋体" w:hAnsi="宋体" w:cs="宋体"/>
          <w:b w:val="0"/>
          <w:bCs/>
          <w:snapToGrid w:val="0"/>
          <w:kern w:val="28"/>
          <w:sz w:val="24"/>
          <w:szCs w:val="20"/>
          <w:highlight w:val="none"/>
        </w:rPr>
        <w:t>2024年</w:t>
      </w:r>
      <w:r>
        <w:rPr>
          <w:rFonts w:hint="eastAsia" w:ascii="宋体" w:hAnsi="宋体" w:cs="宋体"/>
          <w:b w:val="0"/>
          <w:bCs/>
          <w:snapToGrid w:val="0"/>
          <w:kern w:val="28"/>
          <w:sz w:val="24"/>
          <w:szCs w:val="20"/>
          <w:highlight w:val="none"/>
          <w:lang w:val="en-US" w:eastAsia="zh-CN"/>
        </w:rPr>
        <w:t>10</w:t>
      </w:r>
      <w:r>
        <w:rPr>
          <w:rFonts w:hint="eastAsia" w:ascii="宋体" w:hAnsi="宋体" w:cs="宋体"/>
          <w:b w:val="0"/>
          <w:bCs/>
          <w:snapToGrid w:val="0"/>
          <w:kern w:val="28"/>
          <w:sz w:val="24"/>
          <w:szCs w:val="20"/>
          <w:highlight w:val="none"/>
        </w:rPr>
        <w:t>月</w:t>
      </w:r>
      <w:r>
        <w:rPr>
          <w:rFonts w:hint="eastAsia" w:ascii="宋体" w:hAnsi="宋体" w:cs="宋体"/>
          <w:b w:val="0"/>
          <w:bCs/>
          <w:snapToGrid w:val="0"/>
          <w:kern w:val="28"/>
          <w:sz w:val="24"/>
          <w:szCs w:val="20"/>
          <w:highlight w:val="none"/>
          <w:lang w:val="en-US" w:eastAsia="zh-CN"/>
        </w:rPr>
        <w:t>31</w:t>
      </w:r>
      <w:r>
        <w:rPr>
          <w:rFonts w:hint="eastAsia" w:ascii="宋体" w:hAnsi="宋体" w:cs="宋体"/>
          <w:b w:val="0"/>
          <w:bCs/>
          <w:snapToGrid w:val="0"/>
          <w:kern w:val="28"/>
          <w:sz w:val="24"/>
          <w:szCs w:val="20"/>
          <w:highlight w:val="none"/>
        </w:rPr>
        <w:t>日</w:t>
      </w:r>
      <w:r>
        <w:rPr>
          <w:rFonts w:hint="eastAsia" w:ascii="宋体" w:hAnsi="宋体" w:cs="宋体"/>
          <w:b w:val="0"/>
          <w:bCs/>
          <w:snapToGrid w:val="0"/>
          <w:kern w:val="28"/>
          <w:sz w:val="24"/>
          <w:szCs w:val="20"/>
          <w:highlight w:val="none"/>
          <w:lang w:eastAsia="zh-CN"/>
        </w:rPr>
        <w:t>前</w:t>
      </w:r>
      <w:r>
        <w:rPr>
          <w:rFonts w:hint="eastAsia" w:ascii="宋体" w:hAnsi="宋体" w:cs="宋体"/>
          <w:b w:val="0"/>
          <w:bCs/>
          <w:snapToGrid w:val="0"/>
          <w:kern w:val="28"/>
          <w:sz w:val="24"/>
          <w:szCs w:val="20"/>
          <w:highlight w:val="none"/>
        </w:rPr>
        <w:t>，</w:t>
      </w:r>
      <w:r>
        <w:rPr>
          <w:rFonts w:hint="eastAsia" w:ascii="宋体" w:hAnsi="宋体" w:cs="宋体"/>
          <w:snapToGrid w:val="0"/>
          <w:kern w:val="28"/>
          <w:sz w:val="24"/>
          <w:szCs w:val="20"/>
          <w:highlight w:val="none"/>
        </w:rPr>
        <w:t>供应商需将所供产品（出厂原包装）按合同清单所列的采购单位、地址以及货物品种、数量等，运至指定地点拆箱，并负责安装、调试，由采购单位负责验收，在产品试运行1个月后交付使用。</w:t>
      </w:r>
      <w:r>
        <w:rPr>
          <w:rFonts w:hint="eastAsia" w:ascii="宋体" w:hAnsi="宋体" w:cs="宋体"/>
          <w:snapToGrid w:val="0"/>
          <w:kern w:val="28"/>
          <w:sz w:val="24"/>
          <w:szCs w:val="20"/>
          <w:highlight w:val="none"/>
          <w:lang w:val="en-US" w:eastAsia="zh-CN"/>
        </w:rPr>
        <w:t xml:space="preserve"> </w:t>
      </w:r>
    </w:p>
    <w:p>
      <w:pPr>
        <w:pStyle w:val="1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3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ascii="宋体" w:hAnsi="宋体" w:cs="宋体"/>
          <w:b/>
          <w:sz w:val="24"/>
          <w:highlight w:val="none"/>
        </w:rPr>
      </w:pPr>
      <w:r>
        <w:rPr>
          <w:rFonts w:hint="eastAsia" w:ascii="宋体" w:hAnsi="宋体" w:cs="宋体"/>
          <w:b/>
          <w:sz w:val="24"/>
          <w:highlight w:val="none"/>
        </w:rPr>
        <w:t>二、</w:t>
      </w:r>
      <w:bookmarkStart w:id="11" w:name="_Hlk101132948"/>
      <w:r>
        <w:rPr>
          <w:rFonts w:hint="eastAsia" w:ascii="宋体" w:hAnsi="宋体" w:cs="宋体"/>
          <w:b/>
          <w:sz w:val="24"/>
          <w:highlight w:val="none"/>
        </w:rPr>
        <w:t>申请人的资格要求</w:t>
      </w:r>
      <w:bookmarkEnd w:id="11"/>
      <w:r>
        <w:rPr>
          <w:rFonts w:hint="eastAsia" w:ascii="宋体" w:hAnsi="宋体" w:cs="宋体"/>
          <w:b/>
          <w:sz w:val="24"/>
          <w:highlight w:val="none"/>
        </w:rPr>
        <w:t>：</w:t>
      </w:r>
    </w:p>
    <w:p>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pPr>
        <w:spacing w:line="360" w:lineRule="auto"/>
        <w:ind w:firstLine="480" w:firstLineChars="200"/>
        <w:rPr>
          <w:rFonts w:ascii="宋体" w:hAnsi="宋体" w:cs="宋体"/>
          <w:sz w:val="24"/>
          <w:highlight w:val="none"/>
        </w:rPr>
      </w:pPr>
      <w:sdt>
        <w:sdtPr>
          <w:rPr>
            <w:rFonts w:hint="eastAsia" w:ascii="宋体" w:hAnsi="宋体" w:cs="宋体"/>
            <w:color w:val="0000FF"/>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sz w:val="24"/>
          <w:highlight w:val="none"/>
        </w:rPr>
        <w:t>无</w:t>
      </w:r>
      <w:r>
        <w:rPr>
          <w:rFonts w:hint="eastAsia" w:ascii="宋体" w:hAnsi="宋体" w:cs="宋体"/>
          <w:snapToGrid w:val="0"/>
          <w:kern w:val="28"/>
          <w:sz w:val="24"/>
          <w:szCs w:val="20"/>
          <w:highlight w:val="none"/>
        </w:rPr>
        <w:t>（注：不得限制大中型企业与小微企业组成联合体参与投标）</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3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ascii="MS Gothic" w:hAnsi="MS Gothic" w:eastAsia="MS Gothic" w:cs="宋体"/>
              <w:kern w:val="0"/>
              <w:sz w:val="24"/>
              <w:szCs w:val="24"/>
              <w:highlight w:val="none"/>
              <w:lang w:val="en-US" w:eastAsia="zh-CN" w:bidi="ar-SA"/>
            </w:rPr>
            <w:t>☐</w:t>
          </w:r>
        </w:sdtContent>
      </w:sdt>
      <w:r>
        <w:rPr>
          <w:rFonts w:hint="eastAsia" w:ascii="宋体" w:hAnsi="宋体" w:cs="宋体"/>
          <w:kern w:val="0"/>
          <w:sz w:val="24"/>
          <w:highlight w:val="none"/>
        </w:rPr>
        <w:t>专</w:t>
      </w:r>
      <w:r>
        <w:rPr>
          <w:rFonts w:hint="eastAsia" w:ascii="宋体" w:hAnsi="宋体" w:cs="宋体"/>
          <w:sz w:val="24"/>
          <w:highlight w:val="none"/>
        </w:rPr>
        <w:t>门面向中小企业</w:t>
      </w:r>
    </w:p>
    <w:p>
      <w:pPr>
        <w:spacing w:line="360" w:lineRule="auto"/>
        <w:ind w:firstLine="897" w:firstLineChars="374"/>
        <w:rPr>
          <w:rFonts w:ascii="宋体" w:hAnsi="宋体" w:cs="宋体"/>
          <w:sz w:val="24"/>
          <w:highlight w:val="none"/>
          <w:u w:val="single"/>
        </w:rPr>
      </w:pPr>
      <w:sdt>
        <w:sdtPr>
          <w:rPr>
            <w:rFonts w:hint="eastAsia" w:ascii="宋体" w:hAnsi="宋体" w:cs="宋体"/>
            <w:kern w:val="0"/>
            <w:sz w:val="24"/>
            <w:highlight w:val="none"/>
          </w:rPr>
          <w:id w:val="3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ascii="MS Gothic" w:hAnsi="MS Gothic" w:eastAsia="MS Gothic" w:cs="宋体"/>
              <w:kern w:val="0"/>
              <w:sz w:val="24"/>
              <w:szCs w:val="24"/>
              <w:highlight w:val="none"/>
              <w:lang w:val="en-US" w:eastAsia="zh-CN" w:bidi="ar-SA"/>
            </w:rPr>
            <w:t>☐</w:t>
          </w:r>
        </w:sdtContent>
      </w:sdt>
      <w:r>
        <w:rPr>
          <w:rFonts w:hint="eastAsia" w:ascii="宋体" w:hAnsi="宋体" w:cs="宋体"/>
          <w:sz w:val="24"/>
          <w:highlight w:val="none"/>
        </w:rPr>
        <w:t>货物全部由符合政策要求的中小微企业制造，提供中小企业声明函；</w:t>
      </w:r>
    </w:p>
    <w:p>
      <w:pPr>
        <w:spacing w:line="360" w:lineRule="auto"/>
        <w:ind w:firstLine="897" w:firstLineChars="374"/>
        <w:rPr>
          <w:rFonts w:ascii="宋体" w:hAnsi="宋体" w:cs="宋体"/>
          <w:sz w:val="24"/>
          <w:highlight w:val="none"/>
        </w:rPr>
      </w:pPr>
      <w:sdt>
        <w:sdtPr>
          <w:rPr>
            <w:rFonts w:hint="eastAsia" w:ascii="宋体" w:hAnsi="宋体" w:cs="宋体"/>
            <w:kern w:val="0"/>
            <w:sz w:val="24"/>
            <w:highlight w:val="none"/>
          </w:rPr>
          <w:id w:val="36"/>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货物全部由符合政策要求的小微企业制造，提供中小企业声明函；</w:t>
      </w:r>
    </w:p>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3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bookmarkStart w:id="12" w:name="_Hlk101132524"/>
        </w:sdtContent>
      </w:sdt>
      <w:r>
        <w:rPr>
          <w:rFonts w:hint="eastAsia" w:ascii="宋体" w:hAnsi="宋体" w:cs="宋体"/>
          <w:sz w:val="24"/>
          <w:highlight w:val="none"/>
        </w:rPr>
        <w:t>要求以联合体形式参加，提供联合协议和中小企业声明函，联合协议中中小企业合同金额应当达到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highlight w:val="none"/>
        </w:rPr>
        <w:t>；</w:t>
      </w:r>
    </w:p>
    <w:bookmarkEnd w:id="12"/>
    <w:p>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要求合同分包，提供分包意向协议和中小企业声明函，分包意向协议中中小企业合同金额应当达到达到</w:t>
      </w:r>
      <w:r>
        <w:rPr>
          <w:rFonts w:hint="eastAsia" w:ascii="宋体" w:hAnsi="宋体" w:cs="宋体"/>
          <w:sz w:val="24"/>
          <w:highlight w:val="none"/>
          <w:u w:val="single"/>
        </w:rPr>
        <w:t xml:space="preserve">  </w:t>
      </w:r>
      <w:r>
        <w:rPr>
          <w:rFonts w:hint="eastAsia" w:ascii="宋体" w:hAnsi="宋体" w:cs="宋体"/>
          <w:sz w:val="24"/>
          <w:highlight w:val="none"/>
        </w:rPr>
        <w:t>% ，其中小微企业合同金额应当达到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 ;</w:t>
      </w:r>
      <w:r>
        <w:rPr>
          <w:rFonts w:hint="eastAsia" w:ascii="宋体" w:hAnsi="宋体" w:cs="宋体"/>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.本项目的特定资格要求：</w:t>
      </w:r>
    </w:p>
    <w:p>
      <w:pPr>
        <w:snapToGrid w:val="0"/>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3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sz w:val="24"/>
          <w:highlight w:val="none"/>
        </w:rPr>
        <w:t>无</w:t>
      </w:r>
    </w:p>
    <w:p>
      <w:pPr>
        <w:snapToGrid w:val="0"/>
        <w:spacing w:line="360" w:lineRule="auto"/>
        <w:ind w:firstLine="480" w:firstLineChars="200"/>
        <w:rPr>
          <w:rFonts w:ascii="宋体" w:hAnsi="宋体" w:cs="宋体"/>
          <w:sz w:val="24"/>
          <w:highlight w:val="none"/>
          <w:u w:val="single"/>
        </w:rPr>
      </w:pPr>
      <w:sdt>
        <w:sdtPr>
          <w:rPr>
            <w:rFonts w:hint="eastAsia" w:ascii="宋体" w:hAnsi="宋体" w:cs="宋体"/>
            <w:kern w:val="0"/>
            <w:sz w:val="24"/>
            <w:highlight w:val="none"/>
          </w:rPr>
          <w:id w:val="40"/>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sz w:val="24"/>
          <w:highlight w:val="none"/>
        </w:rPr>
        <w:t>有特定资格要求：</w:t>
      </w:r>
      <w:r>
        <w:rPr>
          <w:rFonts w:hint="eastAsia" w:ascii="宋体" w:hAnsi="宋体" w:cs="宋体"/>
          <w:sz w:val="24"/>
          <w:highlight w:val="none"/>
          <w:u w:val="single"/>
        </w:rPr>
        <w:t xml:space="preserve">                    </w:t>
      </w:r>
      <w:r>
        <w:rPr>
          <w:rFonts w:hint="eastAsia" w:ascii="宋体" w:hAnsi="宋体" w:cs="宋体"/>
          <w:sz w:val="24"/>
          <w:highlight w:val="none"/>
        </w:rPr>
        <w:t>，该特定条件的法律法规依据：</w:t>
      </w:r>
      <w:r>
        <w:rPr>
          <w:rFonts w:hint="eastAsia" w:ascii="宋体" w:hAnsi="宋体" w:cs="宋体"/>
          <w:sz w:val="24"/>
          <w:highlight w:val="none"/>
          <w:u w:val="single"/>
        </w:rPr>
        <w:t xml:space="preserve">                                                                      </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sz w:val="24"/>
          <w:highlight w:val="none"/>
          <w:u w:val="single"/>
          <w:lang w:eastAsia="zh-CN"/>
        </w:rPr>
        <w:t>2024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11</w:t>
      </w:r>
      <w:r>
        <w:rPr>
          <w:rFonts w:hint="eastAsia" w:ascii="宋体" w:hAnsi="宋体" w:cs="宋体"/>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11</w:t>
      </w:r>
      <w:r>
        <w:rPr>
          <w:rFonts w:hint="eastAsia" w:ascii="宋体" w:hAnsi="宋体" w:cs="宋体"/>
          <w:sz w:val="24"/>
          <w:highlight w:val="none"/>
          <w:u w:val="single"/>
        </w:rPr>
        <w:t>日</w:t>
      </w:r>
      <w:r>
        <w:rPr>
          <w:rFonts w:hint="default" w:ascii="宋体" w:hAnsi="宋体" w:cs="宋体"/>
          <w:sz w:val="24"/>
          <w:highlight w:val="none"/>
          <w:u w:val="single"/>
          <w:lang w:val="en-US" w:eastAsia="zh-CN"/>
        </w:rPr>
        <w:t>10</w:t>
      </w:r>
      <w:r>
        <w:rPr>
          <w:rFonts w:hint="eastAsia" w:ascii="宋体" w:hAnsi="宋体" w:cs="宋体"/>
          <w:sz w:val="24"/>
          <w:highlight w:val="none"/>
          <w:u w:val="single"/>
        </w:rPr>
        <w:t>点</w:t>
      </w:r>
      <w:r>
        <w:rPr>
          <w:rFonts w:hint="default" w:ascii="宋体" w:hAnsi="宋体" w:cs="宋体"/>
          <w:sz w:val="24"/>
          <w:highlight w:val="none"/>
          <w:u w:val="single"/>
          <w:lang w:val="en-US" w:eastAsia="zh-CN"/>
        </w:rPr>
        <w:t>0</w:t>
      </w:r>
      <w:r>
        <w:rPr>
          <w:rFonts w:ascii="宋体" w:hAnsi="宋体" w:cs="宋体"/>
          <w:sz w:val="24"/>
          <w:highlight w:val="none"/>
          <w:u w:val="single"/>
        </w:rPr>
        <w:t>0</w:t>
      </w:r>
      <w:r>
        <w:rPr>
          <w:rFonts w:hint="eastAsia" w:ascii="宋体" w:hAnsi="宋体" w:cs="宋体"/>
          <w:sz w:val="24"/>
          <w:highlight w:val="none"/>
          <w:u w:val="single"/>
        </w:rPr>
        <w:t>分00秒</w:t>
      </w:r>
      <w:r>
        <w:rPr>
          <w:rFonts w:hint="eastAsia" w:ascii="宋体" w:hAnsi="宋体" w:cs="宋体"/>
          <w:sz w:val="24"/>
          <w:highlight w:val="none"/>
        </w:rPr>
        <w:t>（北京时间）</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pPr>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sz w:val="24"/>
          <w:highlight w:val="none"/>
          <w:u w:val="single"/>
          <w:lang w:eastAsia="zh-CN"/>
        </w:rPr>
        <w:t>2024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11</w:t>
      </w:r>
      <w:r>
        <w:rPr>
          <w:rFonts w:hint="eastAsia" w:ascii="宋体" w:hAnsi="宋体" w:cs="宋体"/>
          <w:sz w:val="24"/>
          <w:highlight w:val="none"/>
          <w:u w:val="single"/>
        </w:rPr>
        <w:t>日</w:t>
      </w:r>
      <w:r>
        <w:rPr>
          <w:rFonts w:hint="default" w:ascii="宋体" w:hAnsi="宋体" w:cs="宋体"/>
          <w:sz w:val="24"/>
          <w:highlight w:val="none"/>
          <w:u w:val="single"/>
          <w:lang w:val="en-US" w:eastAsia="zh-CN"/>
        </w:rPr>
        <w:t>10</w:t>
      </w:r>
      <w:r>
        <w:rPr>
          <w:rFonts w:hint="eastAsia" w:ascii="宋体" w:hAnsi="宋体" w:cs="宋体"/>
          <w:sz w:val="24"/>
          <w:highlight w:val="none"/>
          <w:u w:val="single"/>
        </w:rPr>
        <w:t>点</w:t>
      </w:r>
      <w:r>
        <w:rPr>
          <w:rFonts w:hint="default" w:ascii="宋体" w:hAnsi="宋体" w:cs="宋体"/>
          <w:sz w:val="24"/>
          <w:highlight w:val="none"/>
          <w:u w:val="single"/>
          <w:lang w:val="en-US" w:eastAsia="zh-CN"/>
        </w:rPr>
        <w:t>0</w:t>
      </w:r>
      <w:r>
        <w:rPr>
          <w:rFonts w:ascii="宋体" w:hAnsi="宋体" w:cs="宋体"/>
          <w:sz w:val="24"/>
          <w:highlight w:val="none"/>
          <w:u w:val="single"/>
        </w:rPr>
        <w:t>0</w:t>
      </w:r>
      <w:r>
        <w:rPr>
          <w:rFonts w:hint="eastAsia" w:ascii="宋体" w:hAnsi="宋体" w:cs="宋体"/>
          <w:sz w:val="24"/>
          <w:highlight w:val="none"/>
          <w:u w:val="single"/>
        </w:rPr>
        <w:t>分00秒</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pPr>
        <w:spacing w:line="360" w:lineRule="auto"/>
        <w:rPr>
          <w:rFonts w:ascii="宋体" w:hAnsi="宋体" w:cs="宋体"/>
          <w:b/>
          <w:sz w:val="24"/>
          <w:highlight w:val="none"/>
        </w:rPr>
      </w:pPr>
      <w:r>
        <w:rPr>
          <w:rFonts w:hint="eastAsia" w:ascii="宋体" w:hAnsi="宋体" w:cs="宋体"/>
          <w:b/>
          <w:sz w:val="24"/>
          <w:highlight w:val="none"/>
        </w:rPr>
        <w:t>六、其他补充事宜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 </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pPr>
        <w:spacing w:line="360" w:lineRule="auto"/>
        <w:rPr>
          <w:rFonts w:ascii="宋体" w:hAnsi="宋体" w:cs="宋体"/>
          <w:sz w:val="24"/>
          <w:highlight w:val="none"/>
        </w:rPr>
      </w:pPr>
      <w:r>
        <w:rPr>
          <w:rFonts w:hint="eastAsia" w:ascii="宋体" w:hAnsi="宋体" w:cs="宋体"/>
          <w:sz w:val="24"/>
          <w:highlight w:val="none"/>
        </w:rPr>
        <w:t xml:space="preserve">    1.采购人信息</w:t>
      </w:r>
    </w:p>
    <w:p>
      <w:pPr>
        <w:spacing w:line="360" w:lineRule="auto"/>
        <w:ind w:firstLine="480"/>
        <w:rPr>
          <w:rFonts w:hint="eastAsia"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lang w:val="en-US" w:eastAsia="zh-CN"/>
        </w:rPr>
        <w:t>杭州市西湖区住房和城乡建设局</w:t>
      </w:r>
      <w:r>
        <w:rPr>
          <w:rFonts w:hint="eastAsia" w:ascii="宋体" w:hAnsi="宋体" w:cs="宋体"/>
          <w:sz w:val="24"/>
          <w:highlight w:val="none"/>
        </w:rPr>
        <w:t xml:space="preserve">    </w:t>
      </w:r>
    </w:p>
    <w:p>
      <w:pPr>
        <w:spacing w:line="360" w:lineRule="auto"/>
        <w:ind w:firstLine="480"/>
        <w:rPr>
          <w:rFonts w:ascii="宋体" w:hAnsi="宋体" w:cs="宋体"/>
          <w:sz w:val="24"/>
          <w:highlight w:val="none"/>
        </w:rPr>
      </w:pPr>
      <w:r>
        <w:rPr>
          <w:rFonts w:hint="eastAsia" w:ascii="宋体" w:hAnsi="宋体" w:cs="宋体"/>
          <w:sz w:val="24"/>
          <w:highlight w:val="none"/>
        </w:rPr>
        <w:t>地    址：杭州市</w:t>
      </w:r>
      <w:r>
        <w:rPr>
          <w:rFonts w:hint="eastAsia" w:ascii="宋体" w:hAnsi="宋体" w:cs="宋体"/>
          <w:sz w:val="24"/>
          <w:highlight w:val="none"/>
          <w:lang w:eastAsia="zh-CN"/>
        </w:rPr>
        <w:t>西湖区五云路</w:t>
      </w:r>
      <w:r>
        <w:rPr>
          <w:rFonts w:hint="eastAsia" w:ascii="宋体" w:hAnsi="宋体" w:cs="宋体"/>
          <w:sz w:val="24"/>
          <w:highlight w:val="none"/>
          <w:lang w:val="en-US" w:eastAsia="zh-CN"/>
        </w:rPr>
        <w:t>1</w:t>
      </w:r>
      <w:r>
        <w:rPr>
          <w:rFonts w:hint="eastAsia" w:ascii="宋体" w:hAnsi="宋体" w:cs="宋体"/>
          <w:sz w:val="24"/>
          <w:highlight w:val="none"/>
        </w:rPr>
        <w:t>号</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p>
    <w:p>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rPr>
        <w:t>传    真：</w:t>
      </w:r>
      <w:r>
        <w:rPr>
          <w:rFonts w:hint="eastAsia" w:ascii="宋体" w:hAnsi="宋体" w:cs="宋体"/>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szCs w:val="24"/>
          <w:highlight w:val="none"/>
          <w:lang w:eastAsia="zh-CN"/>
        </w:rPr>
        <w:t>王域</w:t>
      </w:r>
    </w:p>
    <w:p>
      <w:p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w:t>
      </w:r>
      <w:r>
        <w:rPr>
          <w:rFonts w:hint="eastAsia" w:ascii="宋体" w:hAnsi="宋体" w:cs="宋体"/>
          <w:color w:val="auto"/>
          <w:sz w:val="24"/>
          <w:szCs w:val="24"/>
          <w:highlight w:val="none"/>
          <w:lang w:val="en-US" w:eastAsia="zh-CN"/>
        </w:rPr>
        <w:t>0571-89513525</w:t>
      </w:r>
    </w:p>
    <w:p>
      <w:pPr>
        <w:spacing w:line="360" w:lineRule="auto"/>
        <w:ind w:firstLine="480"/>
        <w:rPr>
          <w:rFonts w:hint="eastAsia"/>
          <w:sz w:val="24"/>
          <w:szCs w:val="24"/>
          <w:lang w:eastAsia="zh-CN"/>
        </w:rPr>
      </w:pPr>
      <w:r>
        <w:rPr>
          <w:rFonts w:hint="eastAsia" w:ascii="宋体" w:hAnsi="宋体" w:cs="宋体"/>
          <w:color w:val="auto"/>
          <w:sz w:val="24"/>
          <w:highlight w:val="none"/>
        </w:rPr>
        <w:t>质疑联系人：</w:t>
      </w:r>
      <w:r>
        <w:rPr>
          <w:rFonts w:hint="eastAsia"/>
          <w:sz w:val="24"/>
          <w:szCs w:val="24"/>
          <w:lang w:eastAsia="zh-CN"/>
        </w:rPr>
        <w:t>吴建任</w:t>
      </w:r>
    </w:p>
    <w:p>
      <w:pPr>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0571-89513520</w:t>
      </w:r>
    </w:p>
    <w:p>
      <w:pPr>
        <w:spacing w:line="360" w:lineRule="auto"/>
        <w:rPr>
          <w:rFonts w:ascii="宋体" w:hAnsi="宋体" w:cs="宋体"/>
          <w:sz w:val="24"/>
          <w:highlight w:val="none"/>
        </w:rPr>
      </w:pPr>
      <w:r>
        <w:rPr>
          <w:rFonts w:hint="eastAsia" w:ascii="宋体" w:hAnsi="宋体" w:cs="宋体"/>
          <w:sz w:val="24"/>
          <w:highlight w:val="none"/>
        </w:rPr>
        <w:t xml:space="preserve">    2.采购代理机构信息            </w:t>
      </w:r>
    </w:p>
    <w:p>
      <w:pPr>
        <w:spacing w:line="360" w:lineRule="auto"/>
        <w:ind w:firstLine="480"/>
        <w:rPr>
          <w:rFonts w:ascii="宋体" w:hAnsi="宋体" w:cs="宋体"/>
          <w:sz w:val="24"/>
          <w:highlight w:val="none"/>
        </w:rPr>
      </w:pPr>
      <w:r>
        <w:rPr>
          <w:rFonts w:hint="eastAsia" w:ascii="宋体" w:hAnsi="宋体" w:cs="宋体"/>
          <w:sz w:val="24"/>
          <w:highlight w:val="none"/>
        </w:rPr>
        <w:t>名    称：杭州市西湖区政府采购中心</w:t>
      </w:r>
    </w:p>
    <w:p>
      <w:pPr>
        <w:spacing w:line="360" w:lineRule="auto"/>
        <w:ind w:firstLine="480"/>
        <w:rPr>
          <w:rFonts w:ascii="宋体" w:hAnsi="宋体" w:cs="宋体"/>
          <w:sz w:val="24"/>
          <w:highlight w:val="none"/>
        </w:rPr>
      </w:pPr>
      <w:r>
        <w:rPr>
          <w:rFonts w:hint="eastAsia" w:ascii="宋体" w:hAnsi="宋体" w:cs="宋体"/>
          <w:sz w:val="24"/>
          <w:highlight w:val="none"/>
        </w:rPr>
        <w:t>地    址：杭州市文一西路858号</w:t>
      </w:r>
    </w:p>
    <w:p>
      <w:pPr>
        <w:spacing w:line="360" w:lineRule="auto"/>
        <w:rPr>
          <w:rFonts w:ascii="宋体" w:hAnsi="宋体" w:cs="宋体"/>
          <w:sz w:val="24"/>
          <w:highlight w:val="none"/>
        </w:rPr>
      </w:pPr>
      <w:r>
        <w:rPr>
          <w:rFonts w:hint="eastAsia" w:ascii="宋体" w:hAnsi="宋体" w:cs="宋体"/>
          <w:sz w:val="24"/>
          <w:highlight w:val="none"/>
        </w:rPr>
        <w:t xml:space="preserve">    传    真： 0571-89511006</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项目联系人（询问）： </w:t>
      </w:r>
      <w:r>
        <w:rPr>
          <w:rFonts w:hint="eastAsia" w:ascii="宋体" w:hAnsi="宋体" w:cs="宋体"/>
          <w:sz w:val="24"/>
          <w:highlight w:val="none"/>
          <w:lang w:eastAsia="zh-CN"/>
        </w:rPr>
        <w:t>邵一成</w:t>
      </w:r>
    </w:p>
    <w:p>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项目联系方式（询问）：0571-</w:t>
      </w:r>
      <w:r>
        <w:rPr>
          <w:rFonts w:ascii="宋体" w:hAnsi="宋体" w:cs="宋体"/>
          <w:sz w:val="24"/>
          <w:highlight w:val="none"/>
        </w:rPr>
        <w:t>89511</w:t>
      </w:r>
      <w:r>
        <w:rPr>
          <w:rFonts w:hint="eastAsia" w:ascii="宋体" w:hAnsi="宋体" w:cs="宋体"/>
          <w:sz w:val="24"/>
          <w:highlight w:val="none"/>
          <w:lang w:val="en-US" w:eastAsia="zh-CN"/>
        </w:rPr>
        <w:t>007</w:t>
      </w:r>
    </w:p>
    <w:p>
      <w:pPr>
        <w:spacing w:line="360" w:lineRule="auto"/>
        <w:ind w:firstLine="480"/>
        <w:rPr>
          <w:rFonts w:ascii="宋体" w:hAnsi="宋体" w:cs="宋体"/>
          <w:sz w:val="24"/>
          <w:highlight w:val="none"/>
        </w:rPr>
      </w:pPr>
      <w:r>
        <w:rPr>
          <w:rFonts w:hint="eastAsia" w:ascii="宋体" w:hAnsi="宋体" w:cs="宋体"/>
          <w:sz w:val="24"/>
          <w:highlight w:val="none"/>
        </w:rPr>
        <w:t>质疑联系人： 缪新新</w:t>
      </w:r>
    </w:p>
    <w:p>
      <w:pPr>
        <w:spacing w:line="360" w:lineRule="auto"/>
        <w:rPr>
          <w:rFonts w:ascii="宋体" w:hAnsi="宋体" w:cs="宋体"/>
          <w:sz w:val="24"/>
          <w:highlight w:val="none"/>
        </w:rPr>
      </w:pPr>
      <w:r>
        <w:rPr>
          <w:rFonts w:hint="eastAsia" w:ascii="宋体" w:hAnsi="宋体" w:cs="宋体"/>
          <w:sz w:val="24"/>
          <w:highlight w:val="none"/>
        </w:rPr>
        <w:t xml:space="preserve">    质疑联系方式：0571-</w:t>
      </w:r>
      <w:r>
        <w:rPr>
          <w:rFonts w:ascii="宋体" w:hAnsi="宋体" w:cs="宋体"/>
          <w:sz w:val="24"/>
          <w:highlight w:val="none"/>
        </w:rPr>
        <w:t>89511561</w:t>
      </w:r>
    </w:p>
    <w:p>
      <w:pPr>
        <w:spacing w:line="360" w:lineRule="auto"/>
        <w:rPr>
          <w:rFonts w:ascii="宋体" w:hAnsi="宋体" w:cs="宋体"/>
          <w:sz w:val="24"/>
          <w:highlight w:val="none"/>
        </w:rPr>
      </w:pPr>
      <w:r>
        <w:rPr>
          <w:rFonts w:hint="eastAsia" w:ascii="宋体" w:hAnsi="宋体" w:cs="宋体"/>
          <w:sz w:val="24"/>
          <w:highlight w:val="none"/>
        </w:rPr>
        <w:t xml:space="preserve">    3.</w:t>
      </w:r>
      <w:r>
        <w:rPr>
          <w:rFonts w:hint="eastAsia"/>
          <w:highlight w:val="none"/>
        </w:rPr>
        <w:t xml:space="preserve"> </w:t>
      </w:r>
      <w:r>
        <w:rPr>
          <w:rFonts w:hint="eastAsia" w:ascii="宋体" w:hAnsi="宋体" w:cs="宋体"/>
          <w:sz w:val="24"/>
          <w:highlight w:val="none"/>
        </w:rPr>
        <w:t xml:space="preserve">同级政府采购监督管理部门            </w:t>
      </w:r>
    </w:p>
    <w:p>
      <w:pPr>
        <w:spacing w:line="360" w:lineRule="auto"/>
        <w:ind w:left="479" w:leftChars="228"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名 称：杭州市西湖区财政局、浙江省政府采购行政裁决服务中心（杭州）</w:t>
      </w:r>
    </w:p>
    <w:p>
      <w:pPr>
        <w:spacing w:line="360" w:lineRule="auto"/>
        <w:ind w:left="479" w:leftChars="228"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 xml:space="preserve">地 址：杭州市上城区四季青街道新业路市民之家G03办公室（快递仅限ems或顺丰） </w:t>
      </w:r>
    </w:p>
    <w:p>
      <w:pPr>
        <w:spacing w:line="360" w:lineRule="auto"/>
        <w:ind w:left="479" w:leftChars="228"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传 真： /</w:t>
      </w:r>
    </w:p>
    <w:p>
      <w:pPr>
        <w:spacing w:line="360" w:lineRule="auto"/>
        <w:ind w:left="479" w:leftChars="228"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联系人 ：朱女士、王女士</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 xml:space="preserve">监督投诉电话：0571-85252453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333333"/>
          <w:szCs w:val="21"/>
          <w:highlight w:val="none"/>
          <w:shd w:val="clear" w:color="auto" w:fill="FFFFFF"/>
        </w:rPr>
        <w:t>95763</w:t>
      </w:r>
      <w:r>
        <w:rPr>
          <w:rFonts w:hint="eastAsia" w:ascii="宋体" w:hAnsi="宋体" w:cs="宋体"/>
          <w:sz w:val="24"/>
          <w:highlight w:val="none"/>
        </w:rPr>
        <w:t>获取热线服务帮助。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CA问题联系电话（人工）：汇信CA 400-888-4636；天谷CA 400-087-8198。</w:t>
      </w:r>
    </w:p>
    <w:p>
      <w:pPr>
        <w:pStyle w:val="32"/>
        <w:spacing w:line="360" w:lineRule="auto"/>
        <w:rPr>
          <w:rFonts w:hAnsi="宋体" w:cs="宋体"/>
          <w:b/>
          <w:sz w:val="36"/>
          <w:szCs w:val="20"/>
          <w:highlight w:val="none"/>
        </w:rPr>
      </w:pPr>
      <w:r>
        <w:rPr>
          <w:rFonts w:hint="eastAsia" w:hAnsi="宋体" w:cs="宋体"/>
          <w:sz w:val="24"/>
          <w:highlight w:val="none"/>
        </w:rPr>
        <w:t xml:space="preserve">                        </w:t>
      </w:r>
      <w:r>
        <w:rPr>
          <w:rFonts w:hAnsi="宋体" w:cs="宋体"/>
          <w:b/>
          <w:sz w:val="36"/>
          <w:szCs w:val="20"/>
          <w:highlight w:val="none"/>
        </w:rPr>
        <w:t xml:space="preserve"> </w:t>
      </w:r>
    </w:p>
    <w:p>
      <w:pPr>
        <w:pStyle w:val="3"/>
        <w:rPr>
          <w:rFonts w:ascii="宋体"/>
          <w:snapToGrid w:val="0"/>
          <w:highlight w:val="none"/>
        </w:rPr>
      </w:pPr>
      <w:r>
        <w:rPr>
          <w:highlight w:val="none"/>
        </w:rPr>
        <w:br w:type="page"/>
      </w:r>
    </w:p>
    <w:p>
      <w:pPr>
        <w:adjustRightInd/>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第二部分</w:t>
      </w:r>
      <w:bookmarkEnd w:id="8"/>
      <w:r>
        <w:rPr>
          <w:rFonts w:hint="eastAsia" w:ascii="宋体" w:hAnsi="宋体" w:cs="宋体"/>
          <w:b/>
          <w:sz w:val="36"/>
          <w:szCs w:val="20"/>
          <w:highlight w:val="none"/>
        </w:rPr>
        <w:t xml:space="preserve"> 投标人须知</w:t>
      </w:r>
      <w:bookmarkEnd w:id="9"/>
    </w:p>
    <w:p>
      <w:pPr>
        <w:adjustRightInd/>
        <w:spacing w:line="360" w:lineRule="auto"/>
        <w:ind w:firstLine="3845" w:firstLineChars="1197"/>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904"/>
        <w:gridCol w:w="6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事项</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项目属性与核心产品</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货物类，</w:t>
            </w:r>
          </w:p>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单一产品或</w:t>
            </w:r>
            <w:r>
              <w:rPr>
                <w:rFonts w:hint="eastAsia" w:ascii="宋体" w:hAnsi="宋体" w:cs="宋体"/>
                <w:kern w:val="0"/>
                <w:sz w:val="24"/>
                <w:highlight w:val="none"/>
              </w:rPr>
              <w:t>核心产品为：</w:t>
            </w:r>
            <w:r>
              <w:rPr>
                <w:rFonts w:hint="eastAsia" w:ascii="宋体" w:hAnsi="宋体" w:cs="宋体"/>
                <w:sz w:val="24"/>
                <w:highlight w:val="none"/>
                <w:u w:val="single"/>
                <w:lang w:val="en-US" w:eastAsia="zh-CN"/>
              </w:rPr>
              <w:t>台式计算机</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2</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kern w:val="0"/>
                <w:sz w:val="24"/>
                <w:szCs w:val="24"/>
                <w:highlight w:val="none"/>
                <w:lang w:val="en-US" w:eastAsia="zh-CN"/>
              </w:rPr>
            </w:pPr>
            <w:r>
              <w:rPr>
                <w:rFonts w:hint="eastAsia" w:ascii="宋体" w:hAnsi="宋体" w:cs="宋体"/>
                <w:kern w:val="0"/>
                <w:sz w:val="24"/>
                <w:highlight w:val="none"/>
              </w:rPr>
              <w:t>标的：</w:t>
            </w:r>
            <w:r>
              <w:rPr>
                <w:rFonts w:hint="eastAsia" w:ascii="宋体" w:hAnsi="宋体" w:cs="宋体"/>
                <w:kern w:val="0"/>
                <w:sz w:val="24"/>
                <w:highlight w:val="none"/>
                <w:u w:val="single"/>
                <w:lang w:val="en-US" w:eastAsia="zh-CN"/>
              </w:rPr>
              <w:t xml:space="preserve">  </w:t>
            </w:r>
            <w:r>
              <w:rPr>
                <w:rFonts w:hint="eastAsia" w:ascii="宋体" w:hAnsi="宋体" w:cs="宋体"/>
                <w:snapToGrid w:val="0"/>
                <w:color w:val="000000"/>
                <w:kern w:val="28"/>
                <w:sz w:val="24"/>
                <w:highlight w:val="none"/>
                <w:u w:val="single"/>
                <w:lang w:val="en-US" w:eastAsia="zh-CN"/>
              </w:rPr>
              <w:t xml:space="preserve">台式计算机  </w:t>
            </w:r>
            <w:r>
              <w:rPr>
                <w:rFonts w:hint="eastAsia" w:ascii="宋体" w:hAnsi="宋体" w:cs="宋体"/>
                <w:kern w:val="0"/>
                <w:sz w:val="24"/>
                <w:highlight w:val="none"/>
              </w:rPr>
              <w:t>，属于</w:t>
            </w:r>
            <w:r>
              <w:rPr>
                <w:rFonts w:hint="eastAsia" w:ascii="宋体" w:hAnsi="宋体" w:cs="宋体"/>
                <w:kern w:val="0"/>
                <w:sz w:val="24"/>
                <w:highlight w:val="none"/>
                <w:u w:val="single"/>
                <w:lang w:eastAsia="zh-CN"/>
              </w:rPr>
              <w:t>工业</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3</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是否允许采购进口产品</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kern w:val="0"/>
                <w:sz w:val="24"/>
                <w:highlight w:val="none"/>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highlight w:val="none"/>
              </w:rPr>
              <w:t>本项目不允许采购进口产品。</w:t>
            </w:r>
          </w:p>
          <w:p>
            <w:pPr>
              <w:keepNext w:val="0"/>
              <w:keepLines w:val="0"/>
              <w:suppressLineNumbers w:val="0"/>
              <w:spacing w:before="0" w:beforeAutospacing="0" w:after="0" w:afterAutospacing="0" w:line="360" w:lineRule="auto"/>
              <w:ind w:left="0" w:right="0"/>
              <w:rPr>
                <w:rFonts w:hint="default" w:ascii="宋体" w:hAnsi="宋体" w:cs="宋体"/>
                <w:highlight w:val="none"/>
              </w:rPr>
            </w:pPr>
            <w:sdt>
              <w:sdtPr>
                <w:rPr>
                  <w:rFonts w:hint="eastAsia" w:ascii="宋体" w:hAnsi="宋体" w:cs="宋体"/>
                  <w:kern w:val="0"/>
                  <w:sz w:val="24"/>
                  <w:highlight w:val="none"/>
                </w:rPr>
                <w:id w:val="42"/>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Mincho" w:cs="MS Mincho"/>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采购进口产品。优先采购向我国企业转让技术、与我国企业签订消化吸收再创新方案的供应商的进口产品，详见</w:t>
            </w:r>
            <w:r>
              <w:rPr>
                <w:rFonts w:hint="eastAsia" w:ascii="宋体" w:hAnsi="宋体" w:cs="宋体"/>
                <w:kern w:val="0"/>
                <w:sz w:val="24"/>
                <w:highlight w:val="none"/>
                <w:u w:val="single"/>
              </w:rPr>
              <w:t>评分标准</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4</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firstLine="482" w:firstLineChars="200"/>
              <w:rPr>
                <w:rFonts w:hint="default" w:ascii="宋体" w:hAnsi="宋体" w:cs="宋体"/>
                <w:b/>
                <w:sz w:val="24"/>
                <w:highlight w:val="none"/>
              </w:rPr>
            </w:pPr>
            <w:r>
              <w:rPr>
                <w:rFonts w:hint="eastAsia" w:ascii="宋体" w:hAnsi="宋体" w:cs="宋体"/>
                <w:b/>
                <w:sz w:val="24"/>
                <w:highlight w:val="none"/>
              </w:rPr>
              <w:t>分包</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sdt>
              <w:sdtPr>
                <w:rPr>
                  <w:rFonts w:hint="eastAsia" w:ascii="宋体" w:hAnsi="宋体" w:cs="宋体"/>
                  <w:kern w:val="0"/>
                  <w:sz w:val="24"/>
                  <w:highlight w:val="none"/>
                </w:rPr>
                <w:id w:val="43"/>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default" w:ascii="Wingdings" w:hAnsi="Wingdings" w:cs="宋体"/>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运输</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工作分包。</w:t>
            </w:r>
            <w:sdt>
              <w:sdtPr>
                <w:rPr>
                  <w:rFonts w:hint="eastAsia" w:ascii="宋体" w:hAnsi="宋体" w:cs="宋体"/>
                  <w:kern w:val="0"/>
                  <w:sz w:val="24"/>
                  <w:highlight w:val="none"/>
                </w:rPr>
                <w:id w:val="4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cs="宋体"/>
                    <w:kern w:val="0"/>
                    <w:sz w:val="24"/>
                    <w:highlight w:val="none"/>
                  </w:rPr>
                  <w:t>☐</w:t>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5</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开标前答疑会或现场考察</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sdt>
              <w:sdtPr>
                <w:rPr>
                  <w:rFonts w:hint="eastAsia" w:ascii="宋体" w:hAnsi="宋体" w:cs="宋体"/>
                  <w:kern w:val="0"/>
                  <w:sz w:val="24"/>
                  <w:highlight w:val="none"/>
                </w:rPr>
                <w:id w:val="45"/>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default" w:ascii="Wingdings" w:hAnsi="Wingdings" w:eastAsia="MS Gothic" w:cs="宋体"/>
                    <w:kern w:val="0"/>
                    <w:sz w:val="24"/>
                    <w:highlight w:val="none"/>
                  </w:rPr>
                  <w:t></w:t>
                </w:r>
              </w:sdtContent>
            </w:sdt>
            <w:r>
              <w:rPr>
                <w:rFonts w:hint="eastAsia" w:ascii="宋体" w:hAnsi="宋体" w:cs="宋体"/>
                <w:kern w:val="0"/>
                <w:sz w:val="24"/>
                <w:highlight w:val="none"/>
              </w:rPr>
              <w:t>A</w:t>
            </w:r>
            <w:r>
              <w:rPr>
                <w:rFonts w:hint="eastAsia" w:ascii="宋体" w:hAnsi="宋体" w:cs="宋体"/>
                <w:sz w:val="24"/>
                <w:highlight w:val="none"/>
              </w:rPr>
              <w:t>不组织。</w:t>
            </w:r>
          </w:p>
          <w:p>
            <w:pPr>
              <w:keepNext w:val="0"/>
              <w:keepLines w:val="0"/>
              <w:suppressLineNumbers w:val="0"/>
              <w:spacing w:before="0" w:beforeAutospacing="0" w:after="0" w:afterAutospacing="0" w:line="360" w:lineRule="auto"/>
              <w:ind w:left="0" w:right="0"/>
              <w:rPr>
                <w:rFonts w:hint="default" w:ascii="宋体" w:hAnsi="宋体" w:cs="宋体"/>
                <w:sz w:val="24"/>
                <w:szCs w:val="20"/>
                <w:highlight w:val="none"/>
              </w:rPr>
            </w:pPr>
            <w:sdt>
              <w:sdtPr>
                <w:rPr>
                  <w:rFonts w:hint="eastAsia" w:ascii="宋体" w:hAnsi="宋体" w:cs="宋体"/>
                  <w:kern w:val="0"/>
                  <w:sz w:val="24"/>
                  <w:highlight w:val="none"/>
                </w:rPr>
                <w:id w:val="46"/>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6</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样品提供</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sdt>
              <w:sdtPr>
                <w:rPr>
                  <w:rFonts w:hint="eastAsia" w:ascii="宋体" w:hAnsi="宋体" w:cs="宋体"/>
                  <w:kern w:val="0"/>
                  <w:sz w:val="24"/>
                  <w:highlight w:val="none"/>
                </w:rPr>
                <w:id w:val="4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kern w:val="0"/>
                <w:sz w:val="24"/>
                <w:highlight w:val="none"/>
              </w:rPr>
              <w:t>A</w:t>
            </w:r>
            <w:r>
              <w:rPr>
                <w:rFonts w:hint="eastAsia" w:ascii="宋体" w:hAnsi="宋体" w:cs="宋体"/>
                <w:sz w:val="24"/>
                <w:highlight w:val="none"/>
              </w:rPr>
              <w:t>不要求提供。</w:t>
            </w:r>
          </w:p>
          <w:p>
            <w:pPr>
              <w:keepNext w:val="0"/>
              <w:keepLines w:val="0"/>
              <w:suppressLineNumbers w:val="0"/>
              <w:spacing w:before="0" w:beforeAutospacing="0" w:after="0" w:afterAutospacing="0" w:line="360" w:lineRule="auto"/>
              <w:ind w:left="0" w:right="0"/>
              <w:rPr>
                <w:rFonts w:hint="default" w:ascii="宋体" w:hAnsi="宋体" w:cs="宋体"/>
                <w:kern w:val="0"/>
                <w:sz w:val="24"/>
                <w:highlight w:val="none"/>
              </w:rPr>
            </w:pPr>
            <w:sdt>
              <w:sdtPr>
                <w:rPr>
                  <w:rFonts w:hint="eastAsia" w:ascii="宋体" w:hAnsi="宋体" w:cs="宋体"/>
                  <w:kern w:val="0"/>
                  <w:sz w:val="24"/>
                  <w:highlight w:val="none"/>
                </w:rPr>
                <w:id w:val="1026831988"/>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default"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B要求提供（</w:t>
            </w:r>
            <w:r>
              <w:rPr>
                <w:rFonts w:hint="eastAsia" w:ascii="宋体" w:hAnsi="宋体" w:cs="宋体"/>
                <w:b/>
                <w:bCs/>
                <w:kern w:val="0"/>
                <w:sz w:val="24"/>
                <w:highlight w:val="none"/>
              </w:rPr>
              <w:t>未提供样品或提供样品不满足采购需求实质性条件的供应商，投标无效</w:t>
            </w:r>
            <w:r>
              <w:rPr>
                <w:rFonts w:hint="eastAsia" w:ascii="宋体" w:hAnsi="宋体" w:cs="宋体"/>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sz w:val="24"/>
                <w:u w:val="single"/>
              </w:rPr>
              <w:t>台式计算机1台</w:t>
            </w:r>
            <w:r>
              <w:rPr>
                <w:rFonts w:hint="eastAsia" w:ascii="宋体" w:hAnsi="宋体" w:cs="宋体"/>
                <w:sz w:val="24"/>
                <w:highlight w:val="none"/>
                <w:u w:val="single"/>
                <w:lang w:val="en-US" w:eastAsia="zh-CN"/>
              </w:rPr>
              <w:t xml:space="preserve"> </w:t>
            </w:r>
            <w:r>
              <w:rPr>
                <w:rFonts w:hint="eastAsia" w:ascii="宋体" w:hAnsi="宋体" w:cs="宋体"/>
                <w:kern w:val="0"/>
                <w:sz w:val="24"/>
                <w:highlight w:val="none"/>
              </w:rPr>
              <w:t>；</w:t>
            </w:r>
            <w:r>
              <w:rPr>
                <w:rFonts w:hint="default" w:ascii="宋体" w:hAnsi="宋体" w:cs="宋体"/>
                <w:kern w:val="0"/>
                <w:sz w:val="24"/>
                <w:highlight w:val="none"/>
              </w:rPr>
              <w:t xml:space="preserve"> </w:t>
            </w:r>
          </w:p>
          <w:p>
            <w:pPr>
              <w:keepNext w:val="0"/>
              <w:keepLines w:val="0"/>
              <w:suppressLineNumbers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sz w:val="24"/>
                <w:u w:val="single"/>
              </w:rPr>
              <w:t>详见第三部分 采购需求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（3）样品的评审方法以及评审标准：</w:t>
            </w:r>
          </w:p>
          <w:p>
            <w:pPr>
              <w:keepNext w:val="0"/>
              <w:keepLines w:val="0"/>
              <w:suppressLineNumbers w:val="0"/>
              <w:spacing w:before="0" w:beforeAutospacing="0" w:after="0" w:afterAutospacing="0" w:line="360" w:lineRule="auto"/>
              <w:ind w:left="0" w:right="0" w:firstLine="240" w:firstLineChars="100"/>
              <w:rPr>
                <w:rFonts w:hint="default" w:ascii="宋体" w:hAnsi="宋体" w:cs="宋体"/>
                <w:sz w:val="24"/>
                <w:highlight w:val="none"/>
              </w:rPr>
            </w:pPr>
            <w:sdt>
              <w:sdtPr>
                <w:rPr>
                  <w:rFonts w:hint="eastAsia" w:ascii="宋体" w:hAnsi="宋体" w:cs="宋体"/>
                  <w:kern w:val="0"/>
                  <w:sz w:val="24"/>
                  <w:highlight w:val="none"/>
                </w:rPr>
                <w:id w:val="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default" w:ascii="Wingdings" w:hAnsi="Wingdings" w:cs="宋体"/>
                    <w:kern w:val="0"/>
                    <w:sz w:val="24"/>
                    <w:highlight w:val="none"/>
                  </w:rPr>
                  <w:t></w:t>
                </w:r>
              </w:sdtContent>
            </w:sdt>
            <w:r>
              <w:rPr>
                <w:rFonts w:hint="eastAsia" w:ascii="宋体" w:hAnsi="宋体" w:cs="宋体"/>
                <w:sz w:val="24"/>
                <w:highlight w:val="none"/>
              </w:rPr>
              <w:t>样品分未超过价格分的50%；</w:t>
            </w:r>
          </w:p>
          <w:p>
            <w:pPr>
              <w:keepNext w:val="0"/>
              <w:keepLines w:val="0"/>
              <w:suppressLineNumbers w:val="0"/>
              <w:spacing w:before="0" w:beforeAutospacing="0" w:after="0" w:afterAutospacing="0" w:line="360" w:lineRule="auto"/>
              <w:ind w:left="0" w:right="0" w:firstLine="240" w:firstLineChars="100"/>
              <w:rPr>
                <w:rFonts w:hint="default" w:ascii="宋体" w:hAnsi="宋体" w:cs="宋体"/>
                <w:kern w:val="0"/>
                <w:sz w:val="24"/>
                <w:highlight w:val="none"/>
              </w:rPr>
            </w:pPr>
            <w:sdt>
              <w:sdtPr>
                <w:rPr>
                  <w:rFonts w:hint="eastAsia" w:ascii="宋体" w:hAnsi="宋体" w:cs="宋体"/>
                  <w:kern w:val="0"/>
                  <w:sz w:val="24"/>
                  <w:highlight w:val="none"/>
                </w:rPr>
                <w:id w:val="50"/>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样品分超过价格分的50%，理由</w:t>
            </w:r>
            <w:r>
              <w:rPr>
                <w:rFonts w:hint="eastAsia" w:ascii="宋体" w:hAnsi="宋体" w:cs="宋体"/>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keepNext w:val="0"/>
              <w:keepLines w:val="0"/>
              <w:suppressLineNumbers w:val="0"/>
              <w:spacing w:before="0" w:beforeAutospacing="0" w:after="0" w:afterAutospacing="0" w:line="360" w:lineRule="auto"/>
              <w:ind w:left="0" w:right="0" w:firstLine="240" w:firstLineChars="100"/>
              <w:rPr>
                <w:rFonts w:hint="default" w:ascii="宋体" w:hAnsi="宋体" w:cs="宋体"/>
                <w:kern w:val="0"/>
                <w:sz w:val="24"/>
                <w:highlight w:val="none"/>
              </w:rPr>
            </w:pPr>
            <w:r>
              <w:rPr>
                <w:rFonts w:hint="eastAsia" w:ascii="宋体" w:hAnsi="宋体" w:cs="宋体"/>
                <w:snapToGrid w:val="0"/>
                <w:kern w:val="28"/>
                <w:sz w:val="24"/>
                <w:highlight w:val="none"/>
              </w:rPr>
              <w:t>详见招标文件第四部分</w:t>
            </w:r>
            <w:r>
              <w:rPr>
                <w:rFonts w:hint="eastAsia" w:ascii="宋体" w:hAnsi="宋体" w:cs="宋体"/>
                <w:sz w:val="24"/>
                <w:highlight w:val="none"/>
                <w:u w:val="single"/>
              </w:rPr>
              <w:t>评标办分法</w:t>
            </w:r>
            <w:r>
              <w:rPr>
                <w:rFonts w:hint="eastAsia" w:ascii="宋体" w:hAnsi="宋体" w:cs="宋体"/>
                <w:kern w:val="0"/>
                <w:sz w:val="24"/>
                <w:highlight w:val="none"/>
              </w:rPr>
              <w:t xml:space="preserve">。 </w:t>
            </w:r>
          </w:p>
          <w:p>
            <w:pPr>
              <w:keepNext w:val="0"/>
              <w:keepLines w:val="0"/>
              <w:suppressLineNumbers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否；</w:t>
            </w:r>
            <w:sdt>
              <w:sdtPr>
                <w:rPr>
                  <w:rFonts w:hint="eastAsia" w:ascii="宋体" w:hAnsi="宋体" w:cs="宋体"/>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b/>
                <w:sz w:val="24"/>
                <w:highlight w:val="none"/>
                <w:u w:val="single"/>
                <w:lang w:eastAsia="zh-CN"/>
              </w:rPr>
              <w:t>2024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10</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11</w:t>
            </w:r>
            <w:r>
              <w:rPr>
                <w:rFonts w:hint="eastAsia" w:ascii="宋体" w:hAnsi="宋体" w:cs="宋体"/>
                <w:b/>
                <w:sz w:val="24"/>
                <w:highlight w:val="none"/>
                <w:u w:val="single"/>
              </w:rPr>
              <w:t>日0</w:t>
            </w:r>
            <w:r>
              <w:rPr>
                <w:rFonts w:hint="eastAsia" w:ascii="宋体" w:hAnsi="宋体" w:cs="宋体"/>
                <w:b/>
                <w:sz w:val="24"/>
                <w:highlight w:val="none"/>
                <w:u w:val="single"/>
                <w:lang w:val="en-US" w:eastAsia="zh-CN"/>
              </w:rPr>
              <w:t>9</w:t>
            </w:r>
            <w:r>
              <w:rPr>
                <w:rFonts w:hint="eastAsia" w:ascii="宋体" w:hAnsi="宋体" w:cs="宋体"/>
                <w:b/>
                <w:sz w:val="24"/>
                <w:highlight w:val="none"/>
                <w:u w:val="single"/>
              </w:rPr>
              <w:t>:00—</w:t>
            </w:r>
            <w:r>
              <w:rPr>
                <w:rFonts w:hint="eastAsia" w:ascii="宋体" w:hAnsi="宋体" w:cs="宋体"/>
                <w:b/>
                <w:sz w:val="24"/>
                <w:highlight w:val="none"/>
                <w:u w:val="single"/>
                <w:lang w:val="en-US" w:eastAsia="zh-CN"/>
              </w:rPr>
              <w:t>10</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w:t>
            </w:r>
            <w:r>
              <w:rPr>
                <w:rFonts w:hint="eastAsia" w:ascii="宋体" w:hAnsi="宋体" w:cs="宋体"/>
                <w:b/>
                <w:bCs/>
                <w:kern w:val="0"/>
                <w:sz w:val="24"/>
                <w:highlight w:val="none"/>
              </w:rPr>
              <w:t>；</w:t>
            </w:r>
            <w:r>
              <w:rPr>
                <w:rFonts w:hint="eastAsia" w:ascii="宋体" w:hAnsi="宋体" w:cs="宋体"/>
                <w:b/>
                <w:bCs/>
                <w:kern w:val="0"/>
                <w:sz w:val="24"/>
              </w:rPr>
              <w:t>地点：</w:t>
            </w:r>
            <w:r>
              <w:rPr>
                <w:rFonts w:hint="eastAsia" w:ascii="宋体" w:hAnsi="宋体" w:cs="宋体"/>
                <w:b/>
                <w:bCs/>
                <w:kern w:val="0"/>
                <w:sz w:val="24"/>
                <w:highlight w:val="none"/>
                <w:u w:val="single"/>
                <w:lang w:eastAsia="zh-CN"/>
              </w:rPr>
              <w:t>文一西路</w:t>
            </w:r>
            <w:r>
              <w:rPr>
                <w:rFonts w:hint="eastAsia" w:ascii="宋体" w:hAnsi="宋体" w:cs="宋体"/>
                <w:b/>
                <w:bCs/>
                <w:kern w:val="0"/>
                <w:sz w:val="24"/>
                <w:highlight w:val="none"/>
                <w:u w:val="single"/>
                <w:lang w:val="en-US" w:eastAsia="zh-CN"/>
              </w:rPr>
              <w:t>858号东3楼313样品间</w:t>
            </w:r>
            <w:r>
              <w:rPr>
                <w:rFonts w:hint="eastAsia" w:ascii="宋体" w:hAnsi="宋体" w:cs="宋体"/>
                <w:b/>
                <w:bCs/>
                <w:kern w:val="0"/>
                <w:sz w:val="24"/>
              </w:rPr>
              <w:t>；</w:t>
            </w:r>
            <w:r>
              <w:rPr>
                <w:rFonts w:hint="eastAsia" w:ascii="宋体" w:hAnsi="宋体" w:cs="宋体"/>
                <w:b/>
                <w:bCs/>
                <w:kern w:val="0"/>
                <w:sz w:val="24"/>
                <w:highlight w:val="none"/>
              </w:rPr>
              <w:t>联系人：</w:t>
            </w:r>
            <w:r>
              <w:rPr>
                <w:rFonts w:hint="eastAsia" w:ascii="宋体" w:hAnsi="宋体" w:cs="宋体"/>
                <w:b/>
                <w:bCs/>
                <w:sz w:val="24"/>
                <w:szCs w:val="24"/>
                <w:highlight w:val="none"/>
                <w:u w:val="single"/>
                <w:lang w:val="en-US" w:eastAsia="zh-CN"/>
              </w:rPr>
              <w:t xml:space="preserve"> 王域</w:t>
            </w:r>
            <w:r>
              <w:rPr>
                <w:rFonts w:hint="eastAsia" w:ascii="宋体" w:hAnsi="宋体" w:cs="宋体"/>
                <w:b/>
                <w:bCs/>
                <w:kern w:val="0"/>
                <w:sz w:val="24"/>
                <w:highlight w:val="none"/>
              </w:rPr>
              <w:t>，联系电话：</w:t>
            </w:r>
            <w:r>
              <w:rPr>
                <w:rFonts w:hint="eastAsia" w:ascii="宋体" w:hAnsi="宋体" w:cs="宋体"/>
                <w:b/>
                <w:bCs/>
                <w:kern w:val="0"/>
                <w:sz w:val="24"/>
                <w:highlight w:val="none"/>
                <w:u w:val="single"/>
                <w:lang w:val="en-US" w:eastAsia="zh-CN"/>
              </w:rPr>
              <w:t xml:space="preserve">18368382306 </w:t>
            </w:r>
            <w:r>
              <w:rPr>
                <w:rFonts w:hint="eastAsia" w:ascii="宋体" w:hAnsi="宋体" w:cs="宋体"/>
                <w:b/>
                <w:bCs/>
                <w:kern w:val="0"/>
                <w:sz w:val="24"/>
                <w:highlight w:val="none"/>
              </w:rPr>
              <w:t>。</w:t>
            </w:r>
            <w:r>
              <w:rPr>
                <w:rFonts w:hint="eastAsia" w:ascii="宋体" w:hAnsi="宋体" w:cs="宋体"/>
                <w:sz w:val="24"/>
              </w:rPr>
              <w:t>请投标人在上述时间内提供样品并按规定位置安装完毕。超过截止时间的，采购人或采购代理机构将不予接收，并将清场并封闭样品现场。</w:t>
            </w:r>
          </w:p>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keepNext w:val="0"/>
              <w:keepLines w:val="0"/>
              <w:suppressLineNumbers w:val="0"/>
              <w:spacing w:before="0" w:beforeAutospacing="0" w:after="0" w:afterAutospacing="0" w:line="360" w:lineRule="auto"/>
              <w:ind w:left="0" w:right="0"/>
              <w:rPr>
                <w:rFonts w:hint="default"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7</w:t>
            </w:r>
          </w:p>
        </w:tc>
        <w:tc>
          <w:tcPr>
            <w:tcW w:w="1904"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
                <w:sz w:val="24"/>
                <w:highlight w:val="none"/>
              </w:rPr>
              <w:t>方案讲解演示</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sdt>
              <w:sdtPr>
                <w:rPr>
                  <w:rFonts w:hint="eastAsia" w:ascii="宋体" w:hAnsi="宋体" w:cs="宋体"/>
                  <w:kern w:val="0"/>
                  <w:sz w:val="24"/>
                  <w:highlight w:val="none"/>
                </w:rPr>
                <w:id w:val="5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szCs w:val="24"/>
                    <w:highlight w:val="none"/>
                    <w:lang w:val="en-US" w:eastAsia="zh-CN" w:bidi="ar-SA"/>
                  </w:rPr>
                  <w:t>☐</w:t>
                </w:r>
              </w:sdtContent>
            </w:sdt>
            <w:r>
              <w:rPr>
                <w:rFonts w:hint="eastAsia" w:ascii="宋体" w:hAnsi="宋体" w:cs="宋体"/>
                <w:kern w:val="0"/>
                <w:sz w:val="24"/>
                <w:highlight w:val="none"/>
              </w:rPr>
              <w:t>A</w:t>
            </w:r>
            <w:r>
              <w:rPr>
                <w:rFonts w:hint="eastAsia" w:ascii="宋体" w:hAnsi="宋体" w:cs="宋体"/>
                <w:sz w:val="24"/>
                <w:highlight w:val="none"/>
              </w:rPr>
              <w:t>不组织。</w:t>
            </w:r>
          </w:p>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sdt>
              <w:sdtPr>
                <w:rPr>
                  <w:rFonts w:hint="eastAsia" w:ascii="宋体" w:hAnsi="宋体" w:cs="宋体"/>
                  <w:kern w:val="0"/>
                  <w:sz w:val="24"/>
                  <w:highlight w:val="none"/>
                </w:rPr>
                <w:id w:val="117407171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default" w:ascii="Wingdings" w:hAnsi="Wingdings" w:eastAsia="宋体" w:cs="宋体"/>
                    <w:kern w:val="0"/>
                    <w:sz w:val="24"/>
                    <w:szCs w:val="24"/>
                    <w:highlight w:val="none"/>
                    <w:lang w:val="en-US" w:eastAsia="zh-CN" w:bidi="ar-SA"/>
                  </w:rPr>
                  <w:t>þ</w:t>
                </w:r>
              </w:sdtContent>
            </w:sdt>
            <w:r>
              <w:rPr>
                <w:rFonts w:hint="eastAsia" w:ascii="宋体" w:hAnsi="宋体" w:cs="宋体"/>
                <w:kern w:val="0"/>
                <w:sz w:val="24"/>
                <w:highlight w:val="none"/>
              </w:rPr>
              <w:t>B组织。</w:t>
            </w:r>
          </w:p>
          <w:p>
            <w:pPr>
              <w:keepNext w:val="0"/>
              <w:keepLines w:val="0"/>
              <w:suppressLineNumbers w:val="0"/>
              <w:snapToGrid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产品演示注意事项：</w:t>
            </w:r>
          </w:p>
          <w:p>
            <w:pPr>
              <w:keepNext w:val="0"/>
              <w:keepLines w:val="0"/>
              <w:suppressLineNumbers w:val="0"/>
              <w:snapToGrid w:val="0"/>
              <w:spacing w:before="0" w:beforeAutospacing="0" w:after="0" w:afterAutospacing="0" w:line="360" w:lineRule="auto"/>
              <w:ind w:left="0" w:right="0"/>
              <w:rPr>
                <w:rFonts w:hint="default"/>
                <w:b/>
                <w:bCs/>
                <w:highlight w:val="none"/>
              </w:rPr>
            </w:pPr>
            <w:r>
              <w:rPr>
                <w:rFonts w:hint="eastAsia" w:ascii="宋体" w:hAnsi="宋体" w:cs="宋体"/>
                <w:b/>
                <w:bCs/>
                <w:kern w:val="0"/>
                <w:sz w:val="24"/>
                <w:highlight w:val="none"/>
              </w:rPr>
              <w:t>演示产品为</w:t>
            </w:r>
            <w:r>
              <w:rPr>
                <w:rFonts w:hint="eastAsia" w:ascii="宋体" w:hAnsi="宋体" w:cs="宋体"/>
                <w:b/>
                <w:bCs/>
                <w:kern w:val="0"/>
                <w:sz w:val="24"/>
                <w:highlight w:val="none"/>
                <w:u w:val="single"/>
                <w:lang w:val="en-US" w:eastAsia="zh-CN"/>
              </w:rPr>
              <w:t>台式计算机</w:t>
            </w:r>
            <w:r>
              <w:rPr>
                <w:rFonts w:hint="eastAsia" w:ascii="宋体" w:hAnsi="宋体" w:cs="宋体"/>
                <w:b/>
                <w:bCs/>
                <w:kern w:val="0"/>
                <w:sz w:val="24"/>
                <w:highlight w:val="none"/>
              </w:rPr>
              <w:t>。</w:t>
            </w:r>
          </w:p>
          <w:p>
            <w:pPr>
              <w:keepNext w:val="0"/>
              <w:keepLines w:val="0"/>
              <w:suppressLineNumbers w:val="0"/>
              <w:snapToGrid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1）本项目</w:t>
            </w:r>
            <w:r>
              <w:rPr>
                <w:rFonts w:hint="eastAsia" w:ascii="宋体" w:hAnsi="宋体" w:cs="宋体"/>
                <w:kern w:val="0"/>
                <w:sz w:val="24"/>
                <w:highlight w:val="none"/>
                <w:lang w:val="en-US" w:eastAsia="zh-CN"/>
              </w:rPr>
              <w:t>需</w:t>
            </w:r>
            <w:r>
              <w:rPr>
                <w:rFonts w:hint="eastAsia" w:ascii="宋体" w:hAnsi="宋体" w:cs="宋体"/>
                <w:kern w:val="0"/>
                <w:sz w:val="24"/>
                <w:highlight w:val="none"/>
              </w:rPr>
              <w:t xml:space="preserve">进行产品演示，具体要求见招标文件“评标办法”中评标标准相关内容。 </w:t>
            </w:r>
          </w:p>
          <w:p>
            <w:pPr>
              <w:keepNext w:val="0"/>
              <w:keepLines w:val="0"/>
              <w:suppressLineNumbers w:val="0"/>
              <w:snapToGrid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2）演示顺序按投标文件解密先后次序进行，投标单位于开标当天按演示顺序进行产品演示，演示内容须根据评标标准顺序逐一演示，总时间不超过</w:t>
            </w:r>
            <w:r>
              <w:rPr>
                <w:rFonts w:hint="default" w:ascii="宋体" w:hAnsi="宋体" w:cs="宋体"/>
                <w:kern w:val="0"/>
                <w:sz w:val="24"/>
                <w:highlight w:val="none"/>
                <w:lang w:val="en-US"/>
              </w:rPr>
              <w:t>20</w:t>
            </w:r>
            <w:r>
              <w:rPr>
                <w:rFonts w:hint="eastAsia" w:ascii="宋体" w:hAnsi="宋体" w:cs="宋体"/>
                <w:kern w:val="0"/>
                <w:sz w:val="24"/>
                <w:highlight w:val="none"/>
              </w:rPr>
              <w:t>分钟，演示参与人员不超过3人。</w:t>
            </w:r>
          </w:p>
          <w:p>
            <w:pPr>
              <w:keepNext w:val="0"/>
              <w:keepLines w:val="0"/>
              <w:suppressLineNumbers w:val="0"/>
              <w:snapToGrid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3）投标人未提供产品演示的或提供演示的产品不全的，所有演示分得0分。</w:t>
            </w:r>
          </w:p>
          <w:p>
            <w:pPr>
              <w:keepNext w:val="0"/>
              <w:keepLines w:val="0"/>
              <w:suppressLineNumbers w:val="0"/>
              <w:snapToGrid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t>4）演示前专家将核对所演示产品与投标文件所投产品品牌型号是否一致，不一致的所有演示分得0分。</w:t>
            </w:r>
          </w:p>
          <w:p>
            <w:pPr>
              <w:keepNext w:val="0"/>
              <w:keepLines w:val="0"/>
              <w:suppressLineNumbers w:val="0"/>
              <w:snapToGrid w:val="0"/>
              <w:spacing w:before="0" w:beforeAutospacing="0" w:after="0" w:afterAutospacing="0" w:line="360" w:lineRule="auto"/>
              <w:ind w:left="0" w:right="0"/>
              <w:rPr>
                <w:rFonts w:hint="default" w:ascii="宋体" w:hAnsi="宋体" w:cs="宋体"/>
                <w:b/>
                <w:bCs/>
                <w:kern w:val="0"/>
                <w:sz w:val="24"/>
                <w:highlight w:val="yellow"/>
              </w:rPr>
            </w:pPr>
            <w:r>
              <w:rPr>
                <w:rFonts w:hint="eastAsia" w:ascii="宋体" w:hAnsi="宋体" w:cs="宋体"/>
                <w:kern w:val="0"/>
                <w:sz w:val="24"/>
                <w:highlight w:val="none"/>
              </w:rPr>
              <w:t>5)</w:t>
            </w:r>
            <w:r>
              <w:rPr>
                <w:rFonts w:hint="eastAsia" w:ascii="宋体" w:hAnsi="宋体" w:cs="宋体"/>
                <w:b w:val="0"/>
                <w:bCs/>
                <w:kern w:val="0"/>
                <w:sz w:val="24"/>
                <w:highlight w:val="none"/>
              </w:rPr>
              <w:t>演示产品请于</w:t>
            </w:r>
            <w:r>
              <w:rPr>
                <w:rFonts w:hint="eastAsia" w:ascii="宋体" w:hAnsi="宋体" w:cs="宋体"/>
                <w:b/>
                <w:sz w:val="24"/>
                <w:highlight w:val="none"/>
                <w:u w:val="single"/>
                <w:lang w:eastAsia="zh-CN"/>
              </w:rPr>
              <w:t>2024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10</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11</w:t>
            </w:r>
            <w:r>
              <w:rPr>
                <w:rFonts w:hint="eastAsia" w:ascii="宋体" w:hAnsi="宋体" w:cs="宋体"/>
                <w:b/>
                <w:sz w:val="24"/>
                <w:highlight w:val="none"/>
                <w:u w:val="single"/>
              </w:rPr>
              <w:t>日0</w:t>
            </w:r>
            <w:r>
              <w:rPr>
                <w:rFonts w:hint="eastAsia" w:ascii="宋体" w:hAnsi="宋体" w:cs="宋体"/>
                <w:b/>
                <w:sz w:val="24"/>
                <w:highlight w:val="none"/>
                <w:u w:val="single"/>
                <w:lang w:val="en-US" w:eastAsia="zh-CN"/>
              </w:rPr>
              <w:t>9</w:t>
            </w:r>
            <w:r>
              <w:rPr>
                <w:rFonts w:hint="eastAsia" w:ascii="宋体" w:hAnsi="宋体" w:cs="宋体"/>
                <w:b/>
                <w:sz w:val="24"/>
                <w:highlight w:val="none"/>
                <w:u w:val="single"/>
              </w:rPr>
              <w:t>:00—</w:t>
            </w:r>
            <w:r>
              <w:rPr>
                <w:rFonts w:hint="eastAsia" w:ascii="宋体" w:hAnsi="宋体" w:cs="宋体"/>
                <w:b/>
                <w:sz w:val="24"/>
                <w:highlight w:val="none"/>
                <w:u w:val="single"/>
                <w:lang w:val="en-US" w:eastAsia="zh-CN"/>
              </w:rPr>
              <w:t>10</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w:t>
            </w:r>
            <w:r>
              <w:rPr>
                <w:rFonts w:hint="eastAsia" w:ascii="宋体" w:hAnsi="宋体" w:cs="宋体"/>
                <w:b/>
                <w:kern w:val="0"/>
                <w:sz w:val="24"/>
                <w:highlight w:val="none"/>
              </w:rPr>
              <w:t>；地点：</w:t>
            </w:r>
            <w:r>
              <w:rPr>
                <w:rFonts w:hint="eastAsia" w:ascii="宋体" w:hAnsi="宋体" w:cs="宋体"/>
                <w:b/>
                <w:bCs/>
                <w:kern w:val="0"/>
                <w:sz w:val="24"/>
                <w:highlight w:val="none"/>
                <w:u w:val="single"/>
                <w:lang w:eastAsia="zh-CN"/>
              </w:rPr>
              <w:t>文一西路</w:t>
            </w:r>
            <w:r>
              <w:rPr>
                <w:rFonts w:hint="eastAsia" w:ascii="宋体" w:hAnsi="宋体" w:cs="宋体"/>
                <w:b/>
                <w:bCs/>
                <w:kern w:val="0"/>
                <w:sz w:val="24"/>
                <w:highlight w:val="none"/>
                <w:u w:val="single"/>
                <w:lang w:val="en-US" w:eastAsia="zh-CN"/>
              </w:rPr>
              <w:t>858号东3楼313样品间</w:t>
            </w:r>
            <w:r>
              <w:rPr>
                <w:rFonts w:hint="eastAsia" w:ascii="宋体" w:hAnsi="宋体" w:cs="宋体"/>
                <w:b/>
                <w:bCs/>
                <w:kern w:val="0"/>
                <w:sz w:val="24"/>
                <w:highlight w:val="none"/>
              </w:rPr>
              <w:t>；联系人：</w:t>
            </w:r>
            <w:r>
              <w:rPr>
                <w:rFonts w:hint="eastAsia" w:ascii="宋体" w:hAnsi="宋体" w:cs="宋体"/>
                <w:b/>
                <w:bCs/>
                <w:sz w:val="24"/>
                <w:szCs w:val="24"/>
                <w:highlight w:val="none"/>
                <w:u w:val="single"/>
                <w:lang w:val="en-US" w:eastAsia="zh-CN"/>
              </w:rPr>
              <w:t xml:space="preserve"> 王域 </w:t>
            </w:r>
            <w:r>
              <w:rPr>
                <w:rFonts w:hint="eastAsia" w:ascii="宋体" w:hAnsi="宋体" w:cs="宋体"/>
                <w:b/>
                <w:bCs/>
                <w:kern w:val="0"/>
                <w:sz w:val="24"/>
                <w:highlight w:val="none"/>
              </w:rPr>
              <w:t>，联系电话：</w:t>
            </w:r>
            <w:r>
              <w:rPr>
                <w:rFonts w:hint="eastAsia" w:ascii="宋体" w:hAnsi="宋体" w:cs="宋体"/>
                <w:b/>
                <w:bCs/>
                <w:kern w:val="0"/>
                <w:sz w:val="24"/>
                <w:highlight w:val="none"/>
                <w:u w:val="single"/>
                <w:lang w:val="en-US" w:eastAsia="zh-CN"/>
              </w:rPr>
              <w:t xml:space="preserve">18368382306 </w:t>
            </w:r>
            <w:r>
              <w:rPr>
                <w:rFonts w:hint="eastAsia" w:ascii="宋体" w:hAnsi="宋体" w:cs="宋体"/>
                <w:b/>
                <w:bCs/>
                <w:kern w:val="0"/>
                <w:sz w:val="24"/>
                <w:highlight w:val="none"/>
              </w:rPr>
              <w:t>。</w:t>
            </w:r>
            <w:r>
              <w:rPr>
                <w:rFonts w:hint="eastAsia" w:ascii="宋体" w:hAnsi="宋体" w:cs="宋体"/>
                <w:sz w:val="24"/>
                <w:highlight w:val="none"/>
              </w:rPr>
              <w:t>请</w:t>
            </w:r>
            <w:r>
              <w:rPr>
                <w:rFonts w:hint="eastAsia" w:ascii="宋体" w:hAnsi="宋体" w:cs="宋体"/>
                <w:sz w:val="24"/>
              </w:rPr>
              <w:t>投标人在上述时间内提供演示设备，按规定位置安装完毕</w:t>
            </w:r>
            <w:r>
              <w:rPr>
                <w:rFonts w:hint="eastAsia" w:ascii="宋体" w:hAnsi="宋体" w:cs="宋体"/>
                <w:b/>
                <w:bCs/>
                <w:kern w:val="0"/>
                <w:sz w:val="24"/>
              </w:rPr>
              <w:t>并自行调制至可演示状态</w:t>
            </w:r>
            <w:r>
              <w:rPr>
                <w:rFonts w:hint="eastAsia" w:ascii="宋体" w:hAnsi="宋体" w:cs="宋体"/>
                <w:sz w:val="24"/>
              </w:rPr>
              <w:t>。超过截止时间的，采购人将不予接收。</w:t>
            </w:r>
            <w:r>
              <w:rPr>
                <w:rFonts w:hint="eastAsia" w:ascii="宋体" w:hAnsi="宋体" w:cs="宋体"/>
                <w:b/>
                <w:bCs/>
                <w:kern w:val="0"/>
                <w:sz w:val="24"/>
              </w:rPr>
              <w:t>现场讲解演示所用设备（包含电脑、插线板、无线网络接入等）由投标人自备，演示所需环境由投标人自行搭建，采购人只提供电源接口</w:t>
            </w:r>
            <w:r>
              <w:rPr>
                <w:rFonts w:hint="eastAsia" w:ascii="宋体" w:hAnsi="宋体" w:cs="宋体"/>
                <w:b/>
                <w:bCs/>
                <w:kern w:val="0"/>
                <w:sz w:val="24"/>
                <w:lang w:eastAsia="zh-CN"/>
              </w:rPr>
              <w:t>、</w:t>
            </w:r>
            <w:r>
              <w:rPr>
                <w:rFonts w:hint="eastAsia" w:ascii="宋体" w:hAnsi="宋体" w:eastAsia="宋体" w:cs="宋体"/>
                <w:b/>
                <w:bCs/>
                <w:color w:val="auto"/>
                <w:kern w:val="0"/>
                <w:sz w:val="24"/>
                <w:szCs w:val="24"/>
                <w:lang w:val="en-US" w:eastAsia="zh-CN" w:bidi="ar-SA"/>
              </w:rPr>
              <w:t>演示素材、音箱</w:t>
            </w:r>
            <w:r>
              <w:rPr>
                <w:rFonts w:hint="eastAsia" w:ascii="宋体" w:hAnsi="宋体" w:cs="宋体"/>
                <w:b/>
                <w:bCs/>
                <w:kern w:val="0"/>
                <w:sz w:val="24"/>
              </w:rPr>
              <w:t>。</w:t>
            </w:r>
          </w:p>
          <w:p>
            <w:pPr>
              <w:keepNext w:val="0"/>
              <w:keepLines w:val="0"/>
              <w:suppressLineNumbers w:val="0"/>
              <w:snapToGrid w:val="0"/>
              <w:spacing w:before="0" w:beforeAutospacing="0" w:after="0" w:afterAutospacing="0" w:line="360" w:lineRule="auto"/>
              <w:ind w:left="0" w:right="0"/>
              <w:rPr>
                <w:rFonts w:hint="default" w:ascii="宋体" w:hAnsi="宋体" w:cs="宋体"/>
                <w:b/>
                <w:sz w:val="24"/>
                <w:highlight w:val="none"/>
              </w:rPr>
            </w:pPr>
            <w:r>
              <w:rPr>
                <w:rFonts w:hint="eastAsia" w:ascii="宋体" w:hAnsi="宋体" w:cs="宋体"/>
                <w:b/>
                <w:kern w:val="0"/>
                <w:sz w:val="24"/>
                <w:highlight w:val="none"/>
              </w:rPr>
              <w:t>现场讲解演示人员进场时提供讲解人员名单（加盖公章或授权代表签名）及身份证明，否则不得讲解演示。</w:t>
            </w:r>
          </w:p>
          <w:p>
            <w:pPr>
              <w:keepNext w:val="0"/>
              <w:keepLines w:val="0"/>
              <w:suppressLineNumbers w:val="0"/>
              <w:spacing w:before="0" w:beforeAutospacing="0" w:after="0" w:afterAutospacing="0" w:line="360" w:lineRule="auto"/>
              <w:ind w:left="0" w:right="0"/>
              <w:rPr>
                <w:rFonts w:hint="default"/>
                <w:highlight w:val="none"/>
              </w:rPr>
            </w:pPr>
            <w:r>
              <w:rPr>
                <w:rFonts w:hint="eastAsia" w:ascii="宋体" w:hAnsi="宋体" w:cs="宋体"/>
                <w:sz w:val="24"/>
                <w:highlight w:val="none"/>
              </w:rPr>
              <w:t>6)现场演示的产品</w:t>
            </w:r>
            <w:r>
              <w:rPr>
                <w:rFonts w:hint="eastAsia" w:ascii="宋体" w:hAnsi="宋体" w:cs="宋体"/>
                <w:sz w:val="24"/>
                <w:highlight w:val="none"/>
                <w:u w:val="single"/>
                <w:lang w:val="en-US" w:eastAsia="zh-CN"/>
              </w:rPr>
              <w:t xml:space="preserve"> 台式计算机</w:t>
            </w:r>
            <w:r>
              <w:rPr>
                <w:rFonts w:hint="eastAsia" w:ascii="宋体" w:hAnsi="宋体" w:cs="宋体"/>
                <w:sz w:val="24"/>
                <w:highlight w:val="none"/>
                <w:u w:val="none"/>
                <w:lang w:eastAsia="zh-CN"/>
              </w:rPr>
              <w:t>。评</w:t>
            </w:r>
            <w:r>
              <w:rPr>
                <w:rFonts w:hint="eastAsia" w:ascii="宋体" w:hAnsi="宋体" w:cs="宋体"/>
                <w:sz w:val="24"/>
                <w:highlight w:val="none"/>
              </w:rPr>
              <w:t>审完成后中标单位的产品封存于采购人处。其他演示产品评审完成后当天自行领回，逾期采购人将不予保管。</w:t>
            </w:r>
          </w:p>
          <w:p>
            <w:pPr>
              <w:keepNext w:val="0"/>
              <w:keepLines w:val="0"/>
              <w:suppressLineNumbers w:val="0"/>
              <w:spacing w:before="0" w:beforeAutospacing="0" w:after="0" w:afterAutospacing="0" w:line="360" w:lineRule="auto"/>
              <w:ind w:left="0" w:right="0"/>
              <w:rPr>
                <w:rFonts w:hint="default" w:ascii="宋体" w:hAnsi="宋体" w:cs="宋体"/>
                <w:b/>
                <w:kern w:val="0"/>
                <w:sz w:val="24"/>
                <w:highlight w:val="none"/>
                <w:lang w:val="zh-CN"/>
              </w:rPr>
            </w:pPr>
            <w:r>
              <w:rPr>
                <w:rFonts w:hint="eastAsia" w:ascii="宋体" w:hAnsi="宋体" w:cs="宋体"/>
                <w:kern w:val="0"/>
                <w:sz w:val="24"/>
                <w:highlight w:val="none"/>
              </w:rPr>
              <w:t>注：因投标人自身原因导致</w:t>
            </w:r>
            <w:r>
              <w:rPr>
                <w:rFonts w:hint="eastAsia" w:ascii="宋体" w:hAnsi="宋体" w:cs="宋体"/>
                <w:sz w:val="24"/>
                <w:highlight w:val="none"/>
              </w:rPr>
              <w:t>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5" w:hRule="atLeast"/>
        </w:trPr>
        <w:tc>
          <w:tcPr>
            <w:tcW w:w="6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8</w:t>
            </w:r>
          </w:p>
        </w:tc>
        <w:tc>
          <w:tcPr>
            <w:tcW w:w="1904" w:type="dxa"/>
            <w:vMerge w:val="restart"/>
            <w:tcBorders>
              <w:top w:val="single" w:color="000000" w:sz="8" w:space="0"/>
              <w:left w:val="single" w:color="auto" w:sz="4"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投标人应当提供的资格、资信证明文件</w:t>
            </w:r>
          </w:p>
        </w:tc>
        <w:tc>
          <w:tcPr>
            <w:tcW w:w="6034" w:type="dxa"/>
            <w:tcBorders>
              <w:top w:val="single" w:color="000000" w:sz="8" w:space="0"/>
              <w:left w:val="single" w:color="000000" w:sz="2" w:space="0"/>
              <w:bottom w:val="single" w:color="auto" w:sz="4"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（1）资格证明文件：见招标文件第二部分11.1。</w:t>
            </w:r>
          </w:p>
          <w:p>
            <w:pPr>
              <w:keepNext w:val="0"/>
              <w:keepLines w:val="0"/>
              <w:suppressLineNumbers w:val="0"/>
              <w:spacing w:before="0" w:beforeAutospacing="0" w:after="0" w:afterAutospacing="0" w:line="360" w:lineRule="auto"/>
              <w:ind w:left="0" w:right="0"/>
              <w:rPr>
                <w:rFonts w:hint="default"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rPr>
        <w:tc>
          <w:tcPr>
            <w:tcW w:w="6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904" w:type="dxa"/>
            <w:vMerge w:val="continue"/>
            <w:tcBorders>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034" w:type="dxa"/>
            <w:tcBorders>
              <w:top w:val="single" w:color="auto" w:sz="4"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62" w:hRule="atLeast"/>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9</w:t>
            </w:r>
          </w:p>
        </w:tc>
        <w:tc>
          <w:tcPr>
            <w:tcW w:w="190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节能产品、环境标志产品</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lang w:val="zh-CN"/>
              </w:rPr>
            </w:pPr>
            <w:r>
              <w:rPr>
                <w:rFonts w:hint="default" w:ascii="Wingdings" w:hAnsi="Wingdings" w:cs="宋体"/>
                <w:color w:val="auto"/>
                <w:kern w:val="0"/>
                <w:sz w:val="24"/>
                <w:highlight w:val="none"/>
              </w:rPr>
              <w:sym w:font="Wingdings" w:char="00A8"/>
            </w:r>
            <w:r>
              <w:rPr>
                <w:rFonts w:hint="eastAsia" w:ascii="宋体" w:hAnsi="宋体" w:cs="宋体"/>
                <w:color w:val="auto"/>
                <w:kern w:val="0"/>
                <w:sz w:val="24"/>
                <w:highlight w:val="none"/>
                <w:lang w:val="zh-CN"/>
              </w:rPr>
              <w:t>依据国家确定的认证机构出具的、处于有效期之内的节能产品认证证书，对获得证书的产品实施政府优先采购或强制采购；其中，</w:t>
            </w:r>
            <w:r>
              <w:rPr>
                <w:rFonts w:hint="eastAsia" w:ascii="宋体" w:hAnsi="宋体" w:eastAsia="宋体" w:cs="宋体"/>
                <w:color w:val="auto"/>
                <w:kern w:val="0"/>
                <w:sz w:val="24"/>
                <w:highlight w:val="none"/>
                <w:lang w:val="zh-CN"/>
              </w:rPr>
              <w:t>对</w:t>
            </w:r>
            <w:r>
              <w:rPr>
                <w:rFonts w:hint="eastAsia" w:ascii="宋体" w:hAnsi="宋体" w:cs="宋体"/>
                <w:b/>
                <w:bCs/>
                <w:color w:val="auto"/>
                <w:sz w:val="24"/>
                <w:highlight w:val="none"/>
                <w:u w:val="single"/>
                <w:lang w:val="en-US" w:eastAsia="zh-CN"/>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eastAsia="宋体" w:cs="宋体"/>
                <w:color w:val="auto"/>
                <w:kern w:val="0"/>
                <w:sz w:val="24"/>
                <w:highlight w:val="none"/>
                <w:lang w:val="zh-CN"/>
              </w:rPr>
              <w:t>实施</w:t>
            </w:r>
            <w:r>
              <w:rPr>
                <w:rFonts w:hint="eastAsia" w:ascii="宋体" w:hAnsi="宋体" w:cs="宋体"/>
                <w:color w:val="auto"/>
                <w:kern w:val="0"/>
                <w:sz w:val="24"/>
                <w:highlight w:val="none"/>
                <w:lang w:val="zh-CN"/>
              </w:rPr>
              <w:t>政府优先采购，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lang w:val="zh-CN"/>
              </w:rPr>
            </w:pPr>
            <w:r>
              <w:rPr>
                <w:rFonts w:hint="eastAsia" w:ascii="宋体" w:hAnsi="宋体" w:cs="宋体"/>
                <w:color w:val="auto"/>
                <w:sz w:val="24"/>
                <w:highlight w:val="none"/>
              </w:rPr>
              <w:t>▲</w:t>
            </w:r>
            <w:r>
              <w:rPr>
                <w:rFonts w:hint="eastAsia" w:ascii="宋体" w:hAnsi="宋体" w:cs="宋体"/>
                <w:color w:val="auto"/>
                <w:kern w:val="0"/>
                <w:sz w:val="24"/>
                <w:highlight w:val="none"/>
                <w:lang w:val="zh-CN"/>
              </w:rPr>
              <w:t>对</w:t>
            </w:r>
            <w:r>
              <w:rPr>
                <w:rFonts w:hint="eastAsia" w:asciiTheme="minorEastAsia" w:hAnsiTheme="minorEastAsia" w:eastAsiaTheme="minorEastAsia" w:cstheme="minorEastAsia"/>
                <w:i w:val="0"/>
                <w:iCs w:val="0"/>
                <w:color w:val="auto"/>
                <w:kern w:val="0"/>
                <w:sz w:val="24"/>
                <w:szCs w:val="24"/>
                <w:highlight w:val="none"/>
                <w:u w:val="single"/>
                <w:lang w:val="en-US" w:eastAsia="zh-CN" w:bidi="ar"/>
              </w:rPr>
              <w:t>台式计算机</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lang w:val="zh-CN"/>
              </w:rPr>
            </w:pPr>
            <w:r>
              <w:rPr>
                <w:rFonts w:hint="default" w:ascii="Wingdings" w:hAnsi="Wingdings" w:cs="宋体"/>
                <w:color w:val="auto"/>
                <w:kern w:val="0"/>
                <w:sz w:val="24"/>
                <w:highlight w:val="none"/>
              </w:rPr>
              <w:sym w:font="Wingdings" w:char="00FE"/>
            </w:r>
            <w:r>
              <w:rPr>
                <w:rFonts w:hint="eastAsia" w:ascii="宋体" w:hAnsi="宋体" w:cs="宋体"/>
                <w:color w:val="auto"/>
                <w:kern w:val="0"/>
                <w:sz w:val="24"/>
                <w:highlight w:val="none"/>
                <w:lang w:val="zh-CN"/>
              </w:rPr>
              <w:t>依据国家确定的认证机构出具的、处于有效期之内的环境标志产品认证证书，对获得证书的</w:t>
            </w:r>
            <w:r>
              <w:rPr>
                <w:rFonts w:hint="eastAsia" w:ascii="宋体" w:hAnsi="宋体" w:cs="宋体"/>
                <w:b/>
                <w:bCs/>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kern w:val="0"/>
                <w:sz w:val="24"/>
                <w:szCs w:val="24"/>
                <w:highlight w:val="none"/>
                <w:u w:val="single"/>
                <w:lang w:val="en-US" w:eastAsia="zh-CN" w:bidi="ar"/>
              </w:rPr>
              <w:t>台式计算机</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kern w:val="0"/>
                <w:sz w:val="24"/>
                <w:highlight w:val="none"/>
                <w:lang w:val="zh-CN"/>
              </w:rPr>
              <w:t>实施政府优先采购，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p>
          <w:p>
            <w:pPr>
              <w:keepNext w:val="0"/>
              <w:keepLines w:val="0"/>
              <w:suppressLineNumbers w:val="0"/>
              <w:spacing w:before="0" w:beforeAutospacing="0" w:after="0" w:afterAutospacing="0" w:line="360" w:lineRule="auto"/>
              <w:ind w:left="0" w:right="0"/>
              <w:rPr>
                <w:rFonts w:hint="default"/>
                <w:highlight w:val="none"/>
              </w:rPr>
            </w:pPr>
            <w:r>
              <w:rPr>
                <w:rFonts w:hint="default" w:ascii="Wingdings" w:hAnsi="Wingdings" w:cs="宋体"/>
                <w:color w:val="auto"/>
                <w:kern w:val="0"/>
                <w:sz w:val="24"/>
                <w:highlight w:val="none"/>
              </w:rPr>
              <w:sym w:font="Wingdings" w:char="00A8"/>
            </w:r>
            <w:r>
              <w:rPr>
                <w:rFonts w:hint="eastAsia" w:ascii="宋体" w:hAnsi="宋体" w:cs="宋体"/>
                <w:color w:val="auto"/>
                <w:kern w:val="0"/>
                <w:sz w:val="24"/>
                <w:highlight w:val="none"/>
              </w:rPr>
              <w:t xml:space="preserve"> 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10</w:t>
            </w:r>
          </w:p>
        </w:tc>
        <w:tc>
          <w:tcPr>
            <w:tcW w:w="190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报价要求</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left"/>
              <w:rPr>
                <w:rFonts w:hint="default" w:ascii="宋体" w:hAnsi="宋体" w:cs="宋体"/>
                <w:b/>
                <w:kern w:val="0"/>
                <w:sz w:val="24"/>
                <w:highlight w:val="none"/>
                <w:lang w:val="zh-CN"/>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r>
              <w:rPr>
                <w:rFonts w:hint="eastAsia" w:ascii="宋体" w:hAnsi="宋体" w:cs="宋体"/>
                <w:b/>
                <w:kern w:val="0"/>
                <w:sz w:val="24"/>
                <w:highlight w:val="none"/>
                <w:lang w:val="zh-CN"/>
              </w:rPr>
              <w:t>提醒：验收时检测费用由采购人承担，不包含在投标总价中。</w:t>
            </w:r>
          </w:p>
          <w:p>
            <w:pPr>
              <w:keepNext w:val="0"/>
              <w:keepLines w:val="0"/>
              <w:suppressLineNumbers w:val="0"/>
              <w:snapToGrid w:val="0"/>
              <w:spacing w:before="0" w:beforeAutospacing="0" w:after="0" w:afterAutospacing="0" w:line="360" w:lineRule="auto"/>
              <w:ind w:left="0" w:right="0"/>
              <w:jc w:val="left"/>
              <w:rPr>
                <w:rFonts w:hint="default" w:ascii="宋体" w:hAnsi="宋体" w:cs="宋体"/>
                <w:b/>
                <w:kern w:val="0"/>
                <w:sz w:val="24"/>
                <w:highlight w:val="none"/>
                <w:lang w:val="zh-CN"/>
              </w:rPr>
            </w:pPr>
            <w:r>
              <w:rPr>
                <w:rFonts w:hint="eastAsia" w:ascii="宋体" w:hAnsi="宋体" w:cs="宋体"/>
                <w:b/>
                <w:kern w:val="0"/>
                <w:sz w:val="24"/>
                <w:highlight w:val="none"/>
                <w:lang w:val="zh-CN"/>
              </w:rPr>
              <w:t>投标报价出现下列情形的，投标无效：</w:t>
            </w:r>
          </w:p>
          <w:p>
            <w:pPr>
              <w:keepNext w:val="0"/>
              <w:keepLines w:val="0"/>
              <w:suppressLineNumbers w:val="0"/>
              <w:snapToGrid w:val="0"/>
              <w:spacing w:before="0" w:beforeAutospacing="0" w:after="0" w:afterAutospacing="0" w:line="360" w:lineRule="auto"/>
              <w:ind w:left="0" w:right="0" w:firstLine="241" w:firstLineChars="100"/>
              <w:jc w:val="left"/>
              <w:rPr>
                <w:rFonts w:hint="default"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pPr>
              <w:keepNext w:val="0"/>
              <w:keepLines w:val="0"/>
              <w:suppressLineNumbers w:val="0"/>
              <w:snapToGrid w:val="0"/>
              <w:spacing w:before="0" w:beforeAutospacing="0" w:after="0" w:afterAutospacing="0" w:line="360" w:lineRule="auto"/>
              <w:ind w:left="0" w:right="0" w:firstLine="241" w:firstLineChars="100"/>
              <w:jc w:val="left"/>
              <w:rPr>
                <w:rFonts w:hint="default"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pPr>
              <w:keepNext w:val="0"/>
              <w:keepLines w:val="0"/>
              <w:suppressLineNumbers w:val="0"/>
              <w:spacing w:before="0" w:beforeAutospacing="0" w:after="0" w:afterAutospacing="0" w:line="360" w:lineRule="auto"/>
              <w:ind w:left="0" w:right="0" w:firstLine="241" w:firstLineChars="100"/>
              <w:rPr>
                <w:rFonts w:hint="default" w:ascii="宋体" w:hAnsi="宋体" w:cs="宋体"/>
                <w:b/>
                <w:sz w:val="24"/>
                <w:highlight w:val="none"/>
              </w:rPr>
            </w:pPr>
            <w:r>
              <w:rPr>
                <w:rFonts w:hint="eastAsia" w:ascii="宋体" w:hAnsi="宋体" w:cs="宋体"/>
                <w:b/>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highlight w:val="none"/>
              </w:rPr>
              <w:t>;</w:t>
            </w:r>
          </w:p>
          <w:p>
            <w:pPr>
              <w:keepNext w:val="0"/>
              <w:keepLines w:val="0"/>
              <w:suppressLineNumbers w:val="0"/>
              <w:spacing w:before="0" w:beforeAutospacing="0" w:after="0" w:afterAutospacing="0" w:line="360" w:lineRule="auto"/>
              <w:ind w:left="0" w:right="0" w:firstLine="241" w:firstLineChars="100"/>
              <w:rPr>
                <w:rFonts w:hint="default"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85" w:hRule="atLeast"/>
        </w:trPr>
        <w:tc>
          <w:tcPr>
            <w:tcW w:w="629" w:type="dxa"/>
            <w:tcBorders>
              <w:top w:val="single" w:color="auto" w:sz="4" w:space="0"/>
              <w:left w:val="single" w:color="000000" w:sz="8"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11</w:t>
            </w:r>
          </w:p>
        </w:tc>
        <w:tc>
          <w:tcPr>
            <w:tcW w:w="1904" w:type="dxa"/>
            <w:tcBorders>
              <w:top w:val="single" w:color="000000" w:sz="8" w:space="0"/>
              <w:left w:val="single" w:color="000000" w:sz="2"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中小企业信用融资</w:t>
            </w:r>
          </w:p>
        </w:tc>
        <w:tc>
          <w:tcPr>
            <w:tcW w:w="6034" w:type="dxa"/>
            <w:tcBorders>
              <w:top w:val="single" w:color="000000" w:sz="8" w:space="0"/>
              <w:left w:val="single" w:color="000000" w:sz="2" w:space="0"/>
              <w:right w:val="single" w:color="000000" w:sz="8" w:space="0"/>
            </w:tcBorders>
            <w:vAlign w:val="center"/>
          </w:tcPr>
          <w:p>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2" w:hRule="atLeast"/>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12</w:t>
            </w:r>
          </w:p>
        </w:tc>
        <w:tc>
          <w:tcPr>
            <w:tcW w:w="190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034" w:type="dxa"/>
            <w:tcBorders>
              <w:top w:val="single" w:color="000000" w:sz="8" w:space="0"/>
              <w:left w:val="single" w:color="000000" w:sz="2" w:space="0"/>
              <w:bottom w:val="single" w:color="000000" w:sz="8" w:space="0"/>
              <w:right w:val="single" w:color="000000" w:sz="8" w:space="0"/>
            </w:tcBorders>
            <w:vAlign w:val="center"/>
          </w:tcPr>
          <w:p>
            <w:pPr>
              <w:pStyle w:val="32"/>
              <w:keepNext w:val="0"/>
              <w:keepLines w:val="0"/>
              <w:suppressLineNumbers w:val="0"/>
              <w:spacing w:before="0" w:beforeAutospacing="0" w:after="0" w:afterAutospacing="0" w:line="360" w:lineRule="auto"/>
              <w:ind w:left="0" w:right="0"/>
              <w:rPr>
                <w:rFonts w:hint="default"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sz w:val="24"/>
                <w:highlight w:val="none"/>
                <w:u w:val="single"/>
              </w:rPr>
              <w:t>杭州市西湖区文一西路858号（</w:t>
            </w:r>
            <w:r>
              <w:rPr>
                <w:rFonts w:hint="eastAsia" w:hAnsi="宋体" w:cs="宋体"/>
                <w:sz w:val="24"/>
                <w:highlight w:val="none"/>
                <w:u w:val="single"/>
                <w:lang w:eastAsia="zh-CN"/>
              </w:rPr>
              <w:t>杭州市西湖区政府采购中心</w:t>
            </w:r>
            <w:r>
              <w:rPr>
                <w:rFonts w:hint="eastAsia" w:hAnsi="宋体" w:cs="宋体"/>
                <w:sz w:val="24"/>
                <w:highlight w:val="none"/>
                <w:u w:val="single"/>
              </w:rPr>
              <w:t>西湖分中心东三楼</w:t>
            </w:r>
            <w:r>
              <w:rPr>
                <w:rFonts w:hint="eastAsia" w:hAnsi="宋体" w:cs="宋体"/>
                <w:sz w:val="24"/>
                <w:highlight w:val="none"/>
                <w:u w:val="single"/>
                <w:lang w:val="en-US" w:eastAsia="zh-CN"/>
              </w:rPr>
              <w:t>329办公室）</w:t>
            </w:r>
            <w:r>
              <w:rPr>
                <w:rFonts w:hint="eastAsia" w:hAnsi="宋体" w:cs="宋体"/>
                <w:kern w:val="28"/>
                <w:sz w:val="24"/>
                <w:szCs w:val="24"/>
                <w:highlight w:val="none"/>
              </w:rPr>
              <w:t>；备份投标文件签收人员联系电话：</w:t>
            </w:r>
            <w:r>
              <w:rPr>
                <w:rFonts w:hint="eastAsia" w:hAnsi="宋体" w:cs="宋体"/>
                <w:sz w:val="24"/>
                <w:highlight w:val="none"/>
                <w:u w:val="single"/>
              </w:rPr>
              <w:t xml:space="preserve"> 0571-</w:t>
            </w:r>
            <w:r>
              <w:rPr>
                <w:rFonts w:hint="default" w:hAnsi="宋体" w:cs="宋体"/>
                <w:sz w:val="24"/>
                <w:highlight w:val="none"/>
                <w:u w:val="single"/>
              </w:rPr>
              <w:t>89511</w:t>
            </w:r>
            <w:r>
              <w:rPr>
                <w:rFonts w:hint="eastAsia" w:hAnsi="宋体" w:cs="宋体"/>
                <w:sz w:val="24"/>
                <w:highlight w:val="none"/>
                <w:u w:val="single"/>
                <w:lang w:val="en-US" w:eastAsia="zh-CN"/>
              </w:rPr>
              <w:t xml:space="preserve">007 </w:t>
            </w:r>
            <w:r>
              <w:rPr>
                <w:rFonts w:hint="eastAsia" w:hAnsi="宋体" w:cs="宋体"/>
                <w:sz w:val="24"/>
                <w:szCs w:val="24"/>
                <w:highlight w:val="none"/>
              </w:rPr>
              <w:t>。</w:t>
            </w:r>
            <w:r>
              <w:rPr>
                <w:rFonts w:hint="eastAsia" w:hAnsi="宋体" w:cs="宋体"/>
                <w:b/>
                <w:sz w:val="24"/>
                <w:szCs w:val="24"/>
                <w:highlight w:val="none"/>
              </w:rPr>
              <w:t>采购人、采购机构不强制或变相强制投标人提交备份投标文件。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13</w:t>
            </w:r>
          </w:p>
        </w:tc>
        <w:tc>
          <w:tcPr>
            <w:tcW w:w="1904" w:type="dxa"/>
            <w:vMerge w:val="restart"/>
            <w:tcBorders>
              <w:top w:val="single" w:color="000000" w:sz="8" w:space="0"/>
              <w:left w:val="single" w:color="000000" w:sz="2"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904" w:type="dxa"/>
            <w:vMerge w:val="continue"/>
            <w:tcBorders>
              <w:left w:val="single" w:color="000000" w:sz="2"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55"/>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联合体投标的，联合体各方均需按招标文件第四部分评标标准要求提供资信证明文件，否则视为不符合相关要求。招标文件第四部分评分标准有其他规定的，从其规定。</w:t>
            </w:r>
          </w:p>
          <w:p>
            <w:pPr>
              <w:keepNext w:val="0"/>
              <w:keepLines w:val="0"/>
              <w:suppressLineNumbers w:val="0"/>
              <w:spacing w:before="0" w:beforeAutospacing="0" w:after="0" w:afterAutospacing="0" w:line="360" w:lineRule="auto"/>
              <w:ind w:left="0" w:right="0"/>
              <w:rPr>
                <w:rFonts w:hint="default"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cs="Arial" w:asciiTheme="minorEastAsia" w:hAnsiTheme="minorEastAsia" w:eastAsiaTheme="minorEastAsia"/>
                    <w:kern w:val="0"/>
                    <w:sz w:val="24"/>
                    <w:highlight w:val="none"/>
                  </w:rPr>
                  <w:sym w:font="Wingdings" w:char="F0FE"/>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25" w:hRule="atLeast"/>
        </w:trPr>
        <w:tc>
          <w:tcPr>
            <w:tcW w:w="629" w:type="dxa"/>
            <w:vMerge w:val="continue"/>
            <w:tcBorders>
              <w:left w:val="single" w:color="000000" w:sz="8"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904" w:type="dxa"/>
            <w:vMerge w:val="continue"/>
            <w:tcBorders>
              <w:left w:val="single" w:color="000000" w:sz="2"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default"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评审因素对应的要求视为采购需求的一部分。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25" w:hRule="atLeast"/>
        </w:trPr>
        <w:tc>
          <w:tcPr>
            <w:tcW w:w="629" w:type="dxa"/>
            <w:vMerge w:val="continue"/>
            <w:tcBorders>
              <w:left w:val="single" w:color="000000" w:sz="8"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904" w:type="dxa"/>
            <w:vMerge w:val="continue"/>
            <w:tcBorders>
              <w:left w:val="single" w:color="000000" w:sz="2"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034"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lang w:val="en-US" w:eastAsia="zh-CN"/>
              </w:rPr>
              <w:t>本项目评审报告推荐的中标候选人数量：</w:t>
            </w:r>
            <w:r>
              <w:rPr>
                <w:rFonts w:hint="default" w:cs="Arial" w:asciiTheme="minorEastAsia" w:hAnsiTheme="minorEastAsia" w:eastAsiaTheme="minorEastAsia"/>
                <w:kern w:val="0"/>
                <w:sz w:val="24"/>
                <w:highlight w:val="none"/>
                <w:u w:val="single"/>
                <w:lang w:val="en-US" w:eastAsia="zh-CN"/>
              </w:rPr>
              <w:t xml:space="preserve">  1  </w:t>
            </w:r>
            <w:r>
              <w:rPr>
                <w:rFonts w:hint="eastAsia" w:cs="Arial" w:asciiTheme="minorEastAsia" w:hAnsiTheme="minorEastAsia" w:eastAsiaTheme="minorEastAsia"/>
                <w:kern w:val="0"/>
                <w:sz w:val="24"/>
                <w:highlight w:val="none"/>
                <w:u w:val="none"/>
                <w:lang w:val="en-US" w:eastAsia="zh-CN"/>
              </w:rPr>
              <w:t>。</w:t>
            </w:r>
          </w:p>
        </w:tc>
      </w:tr>
    </w:tbl>
    <w:p>
      <w:pPr>
        <w:snapToGrid w:val="0"/>
        <w:spacing w:line="360" w:lineRule="auto"/>
        <w:jc w:val="center"/>
        <w:rPr>
          <w:rFonts w:ascii="宋体" w:hAnsi="宋体" w:cs="宋体"/>
          <w:b/>
          <w:sz w:val="32"/>
          <w:szCs w:val="20"/>
          <w:highlight w:val="none"/>
        </w:rPr>
      </w:pPr>
    </w:p>
    <w:bookmarkEnd w:id="10"/>
    <w:p>
      <w:pPr>
        <w:adjustRightInd/>
        <w:spacing w:line="360" w:lineRule="auto"/>
        <w:ind w:firstLine="3845" w:firstLineChars="1197"/>
        <w:outlineLvl w:val="0"/>
        <w:rPr>
          <w:rFonts w:ascii="宋体" w:hAnsi="宋体" w:cs="宋体"/>
          <w:b/>
          <w:sz w:val="32"/>
          <w:szCs w:val="20"/>
          <w:highlight w:val="none"/>
        </w:rPr>
      </w:pPr>
      <w:bookmarkStart w:id="13" w:name="第三部分"/>
      <w:bookmarkStart w:id="14" w:name="_Toc164416483"/>
      <w:r>
        <w:rPr>
          <w:rFonts w:hint="eastAsia" w:ascii="宋体" w:hAnsi="宋体" w:cs="宋体"/>
          <w:b/>
          <w:sz w:val="32"/>
          <w:szCs w:val="20"/>
          <w:highlight w:val="none"/>
        </w:rPr>
        <w:t>一、总则</w:t>
      </w:r>
    </w:p>
    <w:p>
      <w:pPr>
        <w:snapToGrid w:val="0"/>
        <w:spacing w:line="360" w:lineRule="auto"/>
        <w:ind w:firstLine="361" w:firstLineChars="150"/>
        <w:jc w:val="left"/>
        <w:outlineLvl w:val="1"/>
        <w:rPr>
          <w:rFonts w:ascii="宋体" w:hAnsi="宋体" w:cs="宋体"/>
          <w:b/>
          <w:sz w:val="24"/>
          <w:highlight w:val="none"/>
        </w:rPr>
      </w:pPr>
      <w:r>
        <w:rPr>
          <w:rFonts w:hint="eastAsia" w:ascii="宋体" w:hAnsi="宋体" w:cs="宋体"/>
          <w:b/>
          <w:sz w:val="24"/>
          <w:highlight w:val="none"/>
        </w:rPr>
        <w:t>1. 适用范围</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sz w:val="24"/>
          <w:highlight w:val="none"/>
        </w:rPr>
      </w:pPr>
      <w:r>
        <w:rPr>
          <w:rFonts w:hint="eastAsia" w:ascii="宋体" w:hAnsi="宋体" w:cs="宋体"/>
          <w:b/>
          <w:sz w:val="24"/>
          <w:highlight w:val="none"/>
        </w:rPr>
        <w:t xml:space="preserve">   2.定义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 “采购机构”系指招标公告中载明的本项目的采购机构。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“投标人”系指是指响应招标、参加投标竞争的法人、其他组织或者自然人。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sz w:val="24"/>
          <w:highlight w:val="none"/>
        </w:rPr>
        <w:t>优先采购绿色包装产品、绿色物流配送服务以及循环利用产品</w:t>
      </w:r>
      <w:bookmarkEnd w:id="15"/>
      <w:r>
        <w:rPr>
          <w:rFonts w:hint="eastAsia" w:ascii="宋体" w:hAnsi="宋体" w:cs="宋体"/>
          <w:sz w:val="24"/>
          <w:highlight w:val="none"/>
        </w:rPr>
        <w:t>。</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货物项目，以及预留份额政府采购货物项目中的非预留部分标项，对小型和微型企业的投标报价给予10%-20%（招标文件第四部分评标办法明确具体的扣除比例，未明确的，给予20%的扣除）的扣除</w:t>
      </w:r>
      <w:r>
        <w:rPr>
          <w:rFonts w:hint="eastAsia" w:ascii="宋体" w:hAnsi="宋体" w:cs="宋体"/>
          <w:sz w:val="24"/>
          <w:highlight w:val="none"/>
          <w:lang w:eastAsia="zh-CN"/>
        </w:rPr>
        <w:t>，</w:t>
      </w:r>
      <w:r>
        <w:rPr>
          <w:rFonts w:hint="eastAsia" w:ascii="宋体" w:hAnsi="宋体" w:cs="宋体"/>
          <w:sz w:val="24"/>
          <w:highlight w:val="none"/>
        </w:rPr>
        <w:t>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sz w:val="24"/>
          <w:highlight w:val="none"/>
        </w:rPr>
        <w:t>联合协议或者分包意向协议约定小微企业的合同份额占到合同总金额30%以上的</w:t>
      </w:r>
      <w:bookmarkEnd w:id="16"/>
      <w:r>
        <w:rPr>
          <w:rFonts w:hint="eastAsia" w:ascii="宋体" w:hAnsi="宋体" w:cs="宋体"/>
          <w:sz w:val="24"/>
          <w:highlight w:val="none"/>
        </w:rPr>
        <w:t>，对联合体或者大中型企业的报价给予4%-6%（招标文件第四部分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3.5平等对待内外资企业和符合条件的破产重整企业</w:t>
      </w:r>
    </w:p>
    <w:p>
      <w:pPr>
        <w:spacing w:line="360" w:lineRule="auto"/>
        <w:ind w:firstLine="480" w:firstLineChars="200"/>
        <w:rPr>
          <w:b/>
          <w:highlight w:val="none"/>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b/>
          <w:sz w:val="24"/>
          <w:highlight w:val="none"/>
        </w:rPr>
        <w:t>4. 询问、质疑、投诉</w:t>
      </w:r>
    </w:p>
    <w:p>
      <w:pPr>
        <w:pStyle w:val="889"/>
        <w:shd w:val="clear" w:color="auto" w:fill="FFFFFF"/>
        <w:snapToGrid w:val="0"/>
        <w:spacing w:after="240" w:afterAutospacing="0" w:line="360" w:lineRule="auto"/>
        <w:ind w:firstLine="400"/>
        <w:contextualSpacing/>
        <w:rPr>
          <w:highlight w:val="none"/>
          <w:lang w:val="zh-CN"/>
        </w:rPr>
      </w:pPr>
      <w:r>
        <w:rPr>
          <w:rFonts w:hint="eastAsia"/>
          <w:highlight w:val="none"/>
          <w:lang w:val="zh-CN"/>
        </w:rPr>
        <w:t>4.1在线询问、质疑、投诉</w:t>
      </w:r>
    </w:p>
    <w:p>
      <w:pPr>
        <w:pStyle w:val="889"/>
        <w:shd w:val="clear" w:color="auto" w:fill="FFFFFF"/>
        <w:snapToGrid w:val="0"/>
        <w:spacing w:after="240" w:afterAutospacing="0" w:line="360" w:lineRule="auto"/>
        <w:ind w:firstLine="400"/>
        <w:contextualSpacing/>
        <w:rPr>
          <w:highlight w:val="none"/>
          <w:lang w:val="zh-CN"/>
        </w:rPr>
      </w:pPr>
      <w:r>
        <w:rPr>
          <w:rFonts w:hint="eastAsia"/>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2"/>
        <w:spacing w:line="360" w:lineRule="auto"/>
        <w:ind w:left="479" w:leftChars="228"/>
        <w:rPr>
          <w:rFonts w:hAnsi="宋体" w:cs="宋体"/>
          <w:sz w:val="24"/>
          <w:highlight w:val="none"/>
        </w:rPr>
      </w:pPr>
      <w:r>
        <w:rPr>
          <w:rFonts w:hint="eastAsia" w:hAnsi="宋体" w:cs="宋体"/>
          <w:sz w:val="24"/>
          <w:highlight w:val="none"/>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pPr>
        <w:pStyle w:val="32"/>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质疑函范本及制作说明详见附件2。</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4.3.4对同一采购程序环节的质疑，供应商须在法定质疑期内一次性提出。</w:t>
      </w:r>
    </w:p>
    <w:p>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lang w:val="zh-CN"/>
        </w:rPr>
        <w:t>4.3</w:t>
      </w:r>
      <w:r>
        <w:rPr>
          <w:rFonts w:hint="eastAsia"/>
          <w:highlight w:val="none"/>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pPr>
        <w:pStyle w:val="889"/>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ascii="宋体" w:hAnsi="宋体" w:eastAsia="宋体"/>
          <w:color w:val="auto"/>
          <w:sz w:val="24"/>
          <w:highlight w:val="none"/>
        </w:rPr>
        <w:t>根据采购人与采购机构</w:t>
      </w:r>
      <w:r>
        <w:rPr>
          <w:rFonts w:hint="eastAsia"/>
          <w:color w:val="auto"/>
          <w:sz w:val="24"/>
          <w:highlight w:val="none"/>
          <w:lang w:val="en-US" w:eastAsia="zh-CN"/>
        </w:rPr>
        <w:t>在</w:t>
      </w:r>
      <w:r>
        <w:rPr>
          <w:rFonts w:hint="eastAsia" w:ascii="宋体" w:hAnsi="宋体" w:eastAsia="宋体"/>
          <w:color w:val="auto"/>
          <w:sz w:val="24"/>
          <w:highlight w:val="none"/>
        </w:rPr>
        <w:t>政采云平台上双方签署</w:t>
      </w:r>
      <w:r>
        <w:rPr>
          <w:rFonts w:hint="eastAsia"/>
          <w:color w:val="auto"/>
          <w:sz w:val="24"/>
          <w:highlight w:val="none"/>
          <w:lang w:eastAsia="zh-CN"/>
        </w:rPr>
        <w:t>是</w:t>
      </w:r>
      <w:r>
        <w:rPr>
          <w:rFonts w:hint="eastAsia" w:ascii="宋体" w:hAnsi="宋体" w:eastAsia="宋体"/>
          <w:color w:val="auto"/>
          <w:sz w:val="24"/>
          <w:highlight w:val="none"/>
        </w:rPr>
        <w:t>《</w:t>
      </w:r>
      <w:r>
        <w:rPr>
          <w:rFonts w:hint="eastAsia"/>
          <w:color w:val="auto"/>
          <w:sz w:val="24"/>
          <w:highlight w:val="none"/>
          <w:lang w:val="en-US" w:eastAsia="zh-CN"/>
        </w:rPr>
        <w:t>政府采购</w:t>
      </w:r>
      <w:r>
        <w:rPr>
          <w:rFonts w:hint="eastAsia" w:ascii="宋体" w:hAnsi="宋体" w:eastAsia="宋体"/>
          <w:color w:val="auto"/>
          <w:sz w:val="24"/>
          <w:highlight w:val="none"/>
        </w:rPr>
        <w:t>委托协议</w:t>
      </w:r>
      <w:r>
        <w:rPr>
          <w:rFonts w:hint="eastAsia"/>
          <w:color w:val="auto"/>
          <w:sz w:val="24"/>
          <w:highlight w:val="none"/>
          <w:lang w:eastAsia="zh-CN"/>
        </w:rPr>
        <w:t>（</w:t>
      </w:r>
      <w:r>
        <w:rPr>
          <w:rFonts w:hint="eastAsia"/>
          <w:color w:val="auto"/>
          <w:sz w:val="24"/>
          <w:highlight w:val="none"/>
          <w:lang w:val="en-US" w:eastAsia="zh-CN"/>
        </w:rPr>
        <w:t>年度</w:t>
      </w:r>
      <w:r>
        <w:rPr>
          <w:rFonts w:hint="eastAsia"/>
          <w:color w:val="auto"/>
          <w:sz w:val="24"/>
          <w:highlight w:val="none"/>
          <w:lang w:eastAsia="zh-CN"/>
        </w:rPr>
        <w:t>）</w:t>
      </w:r>
      <w:r>
        <w:rPr>
          <w:rFonts w:hint="eastAsia" w:ascii="宋体" w:hAnsi="宋体" w:eastAsia="宋体"/>
          <w:color w:val="auto"/>
          <w:sz w:val="24"/>
          <w:highlight w:val="none"/>
        </w:rPr>
        <w:t>》的</w:t>
      </w:r>
      <w:r>
        <w:rPr>
          <w:rFonts w:hint="eastAsia"/>
          <w:color w:val="auto"/>
          <w:sz w:val="24"/>
          <w:highlight w:val="none"/>
          <w:lang w:val="en-US" w:eastAsia="zh-CN"/>
        </w:rPr>
        <w:t>约</w:t>
      </w:r>
      <w:r>
        <w:rPr>
          <w:rFonts w:hint="eastAsia" w:ascii="宋体" w:hAnsi="宋体" w:eastAsia="宋体"/>
          <w:color w:val="auto"/>
          <w:sz w:val="24"/>
          <w:highlight w:val="none"/>
        </w:rPr>
        <w:t>定，质疑答复责任主体如下：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232" w:type="dxa"/>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的质疑</w:t>
            </w:r>
          </w:p>
        </w:tc>
        <w:tc>
          <w:tcPr>
            <w:tcW w:w="2232" w:type="dxa"/>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p>
        </w:tc>
        <w:tc>
          <w:tcPr>
            <w:tcW w:w="4536" w:type="dxa"/>
            <w:vAlign w:val="center"/>
          </w:tcPr>
          <w:p>
            <w:pPr>
              <w:pStyle w:val="32"/>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提出质疑</w:t>
            </w:r>
          </w:p>
        </w:tc>
        <w:tc>
          <w:tcPr>
            <w:tcW w:w="4536" w:type="dxa"/>
            <w:vAlign w:val="center"/>
          </w:tcPr>
          <w:p>
            <w:pPr>
              <w:pStyle w:val="32"/>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、“资格审查”等由</w:t>
            </w:r>
            <w:r>
              <w:rPr>
                <w:rFonts w:hint="eastAsia" w:asciiTheme="minorEastAsia" w:hAnsiTheme="minorEastAsia" w:eastAsiaTheme="minorEastAsia"/>
                <w:color w:val="auto"/>
                <w:sz w:val="24"/>
                <w:szCs w:val="21"/>
                <w:highlight w:val="none"/>
                <w:lang w:val="en-US" w:eastAsia="zh-CN"/>
              </w:rPr>
              <w:t>采购人</w:t>
            </w:r>
            <w:r>
              <w:rPr>
                <w:rFonts w:hint="eastAsia" w:asciiTheme="minorEastAsia" w:hAnsiTheme="minorEastAsia" w:eastAsiaTheme="minorEastAsia"/>
                <w:color w:val="auto"/>
                <w:sz w:val="24"/>
                <w:szCs w:val="21"/>
                <w:highlight w:val="none"/>
              </w:rPr>
              <w:t>负责组织的环节的质疑</w:t>
            </w:r>
          </w:p>
        </w:tc>
        <w:tc>
          <w:tcPr>
            <w:tcW w:w="2232" w:type="dxa"/>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p>
        </w:tc>
        <w:tc>
          <w:tcPr>
            <w:tcW w:w="4536" w:type="dxa"/>
            <w:vAlign w:val="center"/>
          </w:tcPr>
          <w:p>
            <w:pPr>
              <w:pStyle w:val="32"/>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环节的质疑</w:t>
            </w:r>
          </w:p>
        </w:tc>
        <w:tc>
          <w:tcPr>
            <w:tcW w:w="2232" w:type="dxa"/>
            <w:vAlign w:val="center"/>
          </w:tcPr>
          <w:p>
            <w:pPr>
              <w:pStyle w:val="32"/>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pPr>
        <w:pStyle w:val="889"/>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pPr>
        <w:pStyle w:val="889"/>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4.4.1质疑供应商对采购人、采购机构的答复不满意或者采购人、采购机构未在规定的时间内作出答复的，可以在答复期满后十五个工作日内向同级政府采购监督管理部门提出投诉。</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4.4.3供应商投诉应当有明确的请求和必要的证明材料。</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4.4.4 以联合体形式参加政府采购活动的，其投诉应当由组成联合体的所有供应商共同提出。</w:t>
      </w:r>
    </w:p>
    <w:p>
      <w:pPr>
        <w:pStyle w:val="889"/>
        <w:shd w:val="clear" w:color="auto" w:fill="FFFFFF"/>
        <w:snapToGrid w:val="0"/>
        <w:spacing w:after="240" w:afterAutospacing="0" w:line="360" w:lineRule="auto"/>
        <w:ind w:firstLine="400"/>
        <w:contextualSpacing/>
        <w:rPr>
          <w:highlight w:val="none"/>
        </w:rPr>
      </w:pPr>
      <w:r>
        <w:rPr>
          <w:rFonts w:hint="eastAsia"/>
          <w:highlight w:val="none"/>
        </w:rPr>
        <w:t>4.4.5</w:t>
      </w:r>
      <w:r>
        <w:rPr>
          <w:rFonts w:hint="eastAsia"/>
          <w:color w:val="auto"/>
          <w:highlight w:val="none"/>
        </w:rPr>
        <w:t>浙江省本级、杭州市本级、拱墅区、</w:t>
      </w:r>
      <w:r>
        <w:rPr>
          <w:rFonts w:hint="eastAsia"/>
          <w:color w:val="auto"/>
          <w:highlight w:val="none"/>
          <w:lang w:val="en-US" w:eastAsia="zh-CN"/>
        </w:rPr>
        <w:t>西湖区、</w:t>
      </w:r>
      <w:r>
        <w:rPr>
          <w:rFonts w:hint="eastAsia"/>
          <w:color w:val="auto"/>
          <w:highlight w:val="none"/>
        </w:rPr>
        <w:t>富阳区政府采购项目投诉材料可寄送至浙江省政府采购行政裁决服务中心（杭州），地址：杭州市上城区四季青街道新业路市民之家G03办公室，收件人：朱女士、王女士，电话：0571-85252453。</w:t>
      </w:r>
    </w:p>
    <w:p>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rPr>
        <w:t>投诉书范本及制作说明详见附件3。</w:t>
      </w:r>
    </w:p>
    <w:p>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889"/>
        <w:shd w:val="clear" w:color="auto" w:fill="FFFFFF"/>
        <w:snapToGrid w:val="0"/>
        <w:spacing w:before="0" w:beforeAutospacing="0" w:after="240" w:afterAutospacing="0" w:line="360" w:lineRule="auto"/>
        <w:ind w:firstLine="400"/>
        <w:contextualSpacing/>
        <w:rPr>
          <w:rFonts w:hint="eastAsia"/>
          <w:color w:val="auto"/>
          <w:highlight w:val="none"/>
        </w:rPr>
      </w:pPr>
      <w:r>
        <w:rPr>
          <w:rFonts w:hint="eastAsia" w:ascii="宋体" w:hAnsi="宋体" w:cs="宋体"/>
          <w:color w:val="auto"/>
          <w:sz w:val="24"/>
          <w:highlight w:val="none"/>
        </w:rPr>
        <w:t>采购人（行政机关）因政策变化、规划调整而不履行政府采购合同的，供应商可依据《杭州市涉企补偿救济实施办法（试行）》向采购人（行政机关）提起补偿申请。</w:t>
      </w:r>
    </w:p>
    <w:p>
      <w:pPr>
        <w:adjustRightInd/>
        <w:spacing w:line="360" w:lineRule="auto"/>
        <w:jc w:val="center"/>
        <w:outlineLvl w:val="0"/>
        <w:rPr>
          <w:rFonts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pPr>
        <w:pStyle w:val="32"/>
        <w:spacing w:line="360" w:lineRule="auto"/>
        <w:rPr>
          <w:rFonts w:hAnsi="宋体" w:cs="宋体"/>
          <w:b/>
          <w:sz w:val="24"/>
          <w:szCs w:val="24"/>
          <w:highlight w:val="none"/>
        </w:rPr>
      </w:pPr>
      <w:r>
        <w:rPr>
          <w:rFonts w:hint="eastAsia" w:hAnsi="宋体" w:cs="宋体"/>
          <w:b/>
          <w:sz w:val="24"/>
          <w:szCs w:val="24"/>
          <w:highlight w:val="none"/>
        </w:rPr>
        <w:t>5．招标文件的构成</w:t>
      </w:r>
    </w:p>
    <w:p>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pPr>
        <w:pStyle w:val="32"/>
        <w:spacing w:line="360" w:lineRule="auto"/>
        <w:rPr>
          <w:rFonts w:hAnsi="宋体" w:cs="宋体"/>
          <w:b/>
          <w:sz w:val="24"/>
          <w:szCs w:val="24"/>
          <w:highlight w:val="none"/>
        </w:rPr>
      </w:pPr>
      <w:r>
        <w:rPr>
          <w:rFonts w:hint="eastAsia" w:hAnsi="宋体" w:cs="宋体"/>
          <w:b/>
          <w:sz w:val="24"/>
          <w:szCs w:val="24"/>
          <w:highlight w:val="none"/>
        </w:rPr>
        <w:t>6. 招标文件的澄清、修改</w:t>
      </w:r>
    </w:p>
    <w:p>
      <w:pPr>
        <w:pStyle w:val="131"/>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6.1已获取招标文件的潜在投标人，若有问题需要澄清，应于投标截止时间前，以书面形式向采购机构提出。</w:t>
      </w:r>
    </w:p>
    <w:p>
      <w:pPr>
        <w:pStyle w:val="131"/>
        <w:snapToGrid w:val="0"/>
        <w:spacing w:before="0"/>
        <w:ind w:firstLine="480"/>
        <w:rPr>
          <w:rFonts w:ascii="宋体" w:hAnsi="宋体" w:cs="宋体"/>
          <w:highlight w:val="none"/>
        </w:rPr>
      </w:pPr>
      <w:r>
        <w:rPr>
          <w:rFonts w:hint="eastAsia" w:ascii="宋体" w:hAnsi="宋体" w:cs="宋体"/>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sz w:val="18"/>
          <w:szCs w:val="18"/>
          <w:highlight w:val="none"/>
          <w:lang w:val="en-US"/>
        </w:rPr>
      </w:pPr>
      <w:r>
        <w:rPr>
          <w:rFonts w:hint="eastAsia" w:hAnsi="宋体" w:cs="宋体"/>
          <w:szCs w:val="24"/>
          <w:highlight w:val="none"/>
          <w:lang w:val="en-US"/>
        </w:rPr>
        <w:t xml:space="preserve">    </w:t>
      </w:r>
    </w:p>
    <w:p>
      <w:pPr>
        <w:adjustRightInd/>
        <w:spacing w:line="360" w:lineRule="auto"/>
        <w:jc w:val="center"/>
        <w:outlineLvl w:val="0"/>
        <w:rPr>
          <w:rFonts w:ascii="宋体" w:hAnsi="宋体" w:cs="宋体"/>
          <w:b/>
          <w:sz w:val="30"/>
          <w:szCs w:val="20"/>
          <w:highlight w:val="none"/>
        </w:rPr>
      </w:pPr>
      <w:r>
        <w:rPr>
          <w:rFonts w:hint="eastAsia" w:ascii="宋体" w:hAnsi="宋体" w:cs="宋体"/>
          <w:b/>
          <w:sz w:val="30"/>
          <w:szCs w:val="20"/>
          <w:highlight w:val="none"/>
        </w:rPr>
        <w:t>三、投标</w:t>
      </w:r>
    </w:p>
    <w:p>
      <w:pPr>
        <w:pStyle w:val="32"/>
        <w:spacing w:line="360" w:lineRule="auto"/>
        <w:rPr>
          <w:rFonts w:hAnsi="宋体" w:cs="宋体"/>
          <w:b/>
          <w:sz w:val="24"/>
          <w:szCs w:val="24"/>
          <w:highlight w:val="none"/>
        </w:rPr>
      </w:pPr>
      <w:r>
        <w:rPr>
          <w:rFonts w:hint="eastAsia" w:hAnsi="宋体" w:cs="宋体"/>
          <w:b/>
          <w:sz w:val="24"/>
          <w:szCs w:val="24"/>
          <w:highlight w:val="none"/>
        </w:rPr>
        <w:t>7. 招标文件的获取</w:t>
      </w:r>
    </w:p>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pPr>
        <w:pStyle w:val="32"/>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szCs w:val="24"/>
          <w:highlight w:val="none"/>
        </w:rPr>
      </w:pPr>
      <w:r>
        <w:rPr>
          <w:rFonts w:hint="eastAsia" w:hAnsi="宋体" w:cs="宋体"/>
          <w:b/>
          <w:kern w:val="28"/>
          <w:sz w:val="24"/>
          <w:szCs w:val="24"/>
          <w:highlight w:val="none"/>
        </w:rPr>
        <w:t>9.投标保证金</w:t>
      </w:r>
    </w:p>
    <w:p>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2"/>
        <w:spacing w:line="360" w:lineRule="auto"/>
        <w:rPr>
          <w:rFonts w:hAnsi="宋体" w:cs="宋体"/>
          <w:b/>
          <w:sz w:val="24"/>
          <w:szCs w:val="24"/>
          <w:highlight w:val="none"/>
        </w:rPr>
      </w:pPr>
      <w:r>
        <w:rPr>
          <w:rFonts w:hint="eastAsia" w:hAnsi="宋体" w:cs="宋体"/>
          <w:b/>
          <w:sz w:val="24"/>
          <w:szCs w:val="24"/>
          <w:highlight w:val="none"/>
        </w:rPr>
        <w:t>10. 投标文件的语言</w:t>
      </w:r>
    </w:p>
    <w:p>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pPr>
        <w:pStyle w:val="32"/>
        <w:spacing w:line="360" w:lineRule="auto"/>
        <w:rPr>
          <w:rFonts w:hAnsi="宋体" w:cs="宋体"/>
          <w:b/>
          <w:sz w:val="24"/>
          <w:szCs w:val="24"/>
          <w:highlight w:val="none"/>
        </w:rPr>
      </w:pPr>
      <w:r>
        <w:rPr>
          <w:rFonts w:hint="eastAsia" w:hAnsi="宋体" w:cs="宋体"/>
          <w:b/>
          <w:sz w:val="24"/>
          <w:szCs w:val="24"/>
          <w:highlight w:val="none"/>
        </w:rPr>
        <w:t>11. 投标文件的组成</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11.1.1符合参加政府采购活动应当具备的一般条件的承诺函；</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1.1.2</w:t>
      </w:r>
      <w:bookmarkStart w:id="17" w:name="_Hlk101259339"/>
      <w:r>
        <w:rPr>
          <w:rFonts w:hint="eastAsia" w:ascii="宋体" w:hAnsi="宋体" w:cs="宋体"/>
          <w:snapToGrid w:val="0"/>
          <w:kern w:val="28"/>
          <w:sz w:val="24"/>
          <w:szCs w:val="20"/>
          <w:highlight w:val="none"/>
        </w:rPr>
        <w:t>联合协议</w:t>
      </w:r>
      <w:bookmarkEnd w:id="17"/>
      <w:r>
        <w:rPr>
          <w:rFonts w:hint="eastAsia" w:ascii="宋体" w:hAnsi="宋体" w:cs="宋体"/>
          <w:snapToGrid w:val="0"/>
          <w:kern w:val="28"/>
          <w:sz w:val="24"/>
          <w:szCs w:val="20"/>
          <w:highlight w:val="none"/>
        </w:rPr>
        <w:t>（如果有)；</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11.2.2授权委托书或法定代表人（单位负责人、自然人本人）身份证明；</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4</w:t>
      </w:r>
      <w:r>
        <w:rPr>
          <w:rFonts w:hint="eastAsia" w:ascii="宋体" w:hAnsi="宋体" w:cs="宋体"/>
          <w:sz w:val="24"/>
          <w:highlight w:val="none"/>
        </w:rPr>
        <w:t>符合性审查资料；</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5</w:t>
      </w:r>
      <w:r>
        <w:rPr>
          <w:rFonts w:hint="eastAsia" w:ascii="宋体" w:hAnsi="宋体" w:cs="宋体"/>
          <w:sz w:val="24"/>
          <w:highlight w:val="none"/>
        </w:rPr>
        <w:t>评标标准相应的商务技术资料；</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6</w:t>
      </w:r>
      <w:r>
        <w:rPr>
          <w:rFonts w:hint="eastAsia" w:ascii="宋体" w:hAnsi="宋体" w:cs="宋体"/>
          <w:sz w:val="24"/>
          <w:highlight w:val="none"/>
        </w:rPr>
        <w:t>投标标的清单；</w:t>
      </w:r>
    </w:p>
    <w:p>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7</w:t>
      </w:r>
      <w:r>
        <w:rPr>
          <w:rFonts w:hint="eastAsia" w:ascii="宋体" w:hAnsi="宋体" w:cs="宋体"/>
          <w:sz w:val="24"/>
          <w:highlight w:val="none"/>
        </w:rPr>
        <w:t>商务技术偏离表；</w:t>
      </w:r>
    </w:p>
    <w:p>
      <w:pPr>
        <w:snapToGrid w:val="0"/>
        <w:spacing w:line="360" w:lineRule="auto"/>
        <w:ind w:firstLine="960" w:firstLineChars="4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pPr>
        <w:snapToGrid w:val="0"/>
        <w:spacing w:line="360" w:lineRule="auto"/>
        <w:ind w:firstLine="480" w:firstLineChars="200"/>
        <w:rPr>
          <w:rFonts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11.3.1开标一览表（报价表）；</w:t>
      </w:r>
    </w:p>
    <w:p>
      <w:pPr>
        <w:pStyle w:val="23"/>
        <w:ind w:firstLine="960" w:firstLineChars="400"/>
        <w:rPr>
          <w:highlight w:val="none"/>
        </w:rPr>
      </w:pPr>
      <w:r>
        <w:rPr>
          <w:rFonts w:hint="eastAsia" w:ascii="宋体" w:hAnsi="宋体" w:cs="宋体"/>
          <w:sz w:val="24"/>
          <w:highlight w:val="none"/>
        </w:rPr>
        <w:t>11.3.</w:t>
      </w:r>
      <w:r>
        <w:rPr>
          <w:rFonts w:hint="eastAsia" w:ascii="宋体" w:hAnsi="宋体" w:cs="宋体"/>
          <w:sz w:val="24"/>
          <w:highlight w:val="none"/>
          <w:lang w:val="en-US" w:eastAsia="zh-CN"/>
        </w:rPr>
        <w:t>2中小企业声明函（如果有）</w:t>
      </w:r>
      <w:r>
        <w:rPr>
          <w:rFonts w:hint="eastAsia" w:ascii="宋体" w:hAnsi="宋体" w:cs="宋体"/>
          <w:sz w:val="24"/>
          <w:highlight w:val="none"/>
        </w:rPr>
        <w:t>；</w:t>
      </w:r>
    </w:p>
    <w:p>
      <w:pPr>
        <w:spacing w:line="360" w:lineRule="auto"/>
        <w:ind w:firstLine="723" w:firstLineChars="3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pPr>
        <w:spacing w:line="360" w:lineRule="auto"/>
        <w:ind w:firstLine="723" w:firstLineChars="300"/>
        <w:rPr>
          <w:rFonts w:hint="eastAsia" w:ascii="宋体" w:hAnsi="宋体" w:cs="宋体"/>
          <w:b/>
          <w:sz w:val="24"/>
          <w:highlight w:val="none"/>
        </w:rPr>
      </w:pPr>
      <w:r>
        <w:rPr>
          <w:rFonts w:hint="eastAsia" w:ascii="宋体" w:hAnsi="宋体" w:cs="宋体"/>
          <w:b/>
          <w:sz w:val="24"/>
          <w:highlight w:val="none"/>
        </w:rPr>
        <w:t>投标人提供虚假材料投标的，投标无效。</w:t>
      </w:r>
    </w:p>
    <w:p>
      <w:pPr>
        <w:spacing w:line="360" w:lineRule="auto"/>
        <w:ind w:firstLine="723" w:firstLineChars="300"/>
        <w:rPr>
          <w:highlight w:val="none"/>
        </w:rPr>
      </w:pPr>
      <w:r>
        <w:rPr>
          <w:rFonts w:hint="eastAsia"/>
          <w:b/>
          <w:bCs/>
          <w:color w:val="auto"/>
          <w:sz w:val="24"/>
          <w:szCs w:val="24"/>
          <w:highlight w:val="none"/>
          <w:shd w:val="clear" w:color="auto" w:fill="FFFFFF"/>
          <w:lang w:val="en-US" w:eastAsia="zh-CN"/>
        </w:rPr>
        <w:t>投标人应对投标文件中材料的真实性、合法性负责。</w:t>
      </w:r>
    </w:p>
    <w:p>
      <w:pPr>
        <w:pStyle w:val="131"/>
        <w:snapToGrid w:val="0"/>
        <w:spacing w:before="0"/>
        <w:ind w:firstLine="0" w:firstLineChars="0"/>
        <w:outlineLvl w:val="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pPr>
        <w:pStyle w:val="131"/>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pPr>
        <w:pStyle w:val="131"/>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pPr>
        <w:pStyle w:val="131"/>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pPr>
        <w:pStyle w:val="131"/>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pPr>
        <w:pStyle w:val="131"/>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1"/>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szCs w:val="24"/>
          <w:highlight w:val="none"/>
        </w:rPr>
        <w:tab/>
      </w:r>
    </w:p>
    <w:p>
      <w:pPr>
        <w:pStyle w:val="131"/>
        <w:spacing w:before="0"/>
        <w:ind w:firstLine="480"/>
        <w:rPr>
          <w:rFonts w:ascii="宋体" w:hAnsi="宋体" w:cs="宋体"/>
          <w:szCs w:val="24"/>
          <w:highlight w:val="none"/>
        </w:rPr>
      </w:pPr>
      <w:r>
        <w:rPr>
          <w:rFonts w:hint="eastAsia" w:ascii="宋体" w:hAnsi="宋体" w:cs="宋体"/>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32"/>
        <w:spacing w:line="360" w:lineRule="auto"/>
        <w:rPr>
          <w:rFonts w:hAnsi="宋体" w:cs="宋体"/>
          <w:b/>
          <w:sz w:val="24"/>
          <w:szCs w:val="24"/>
          <w:highlight w:val="none"/>
        </w:rPr>
      </w:pPr>
      <w:r>
        <w:rPr>
          <w:rFonts w:hint="eastAsia" w:hAnsi="宋体" w:cs="宋体"/>
          <w:b/>
          <w:sz w:val="24"/>
          <w:szCs w:val="24"/>
          <w:highlight w:val="none"/>
        </w:rPr>
        <w:t>15.备份投标文件</w:t>
      </w:r>
    </w:p>
    <w:p>
      <w:pPr>
        <w:pStyle w:val="32"/>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但采购人、采购机构不强制或变相强制投标人提交备份投标文件。</w:t>
      </w:r>
    </w:p>
    <w:p>
      <w:pPr>
        <w:pStyle w:val="32"/>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pPr>
        <w:pStyle w:val="131"/>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pPr>
        <w:pStyle w:val="24"/>
        <w:spacing w:line="360" w:lineRule="auto"/>
        <w:ind w:firstLine="360" w:firstLineChars="150"/>
        <w:rPr>
          <w:rFonts w:hint="eastAsia" w:eastAsia="宋体" w:cs="宋体"/>
          <w:szCs w:val="21"/>
          <w:highlight w:val="none"/>
          <w:lang w:eastAsia="zh-CN"/>
        </w:rPr>
      </w:pPr>
      <w:r>
        <w:rPr>
          <w:rFonts w:hint="eastAsia" w:cs="宋体"/>
          <w:szCs w:val="21"/>
          <w:highlight w:val="none"/>
        </w:rPr>
        <w:t>有招标文件第四部分</w:t>
      </w:r>
      <w:r>
        <w:rPr>
          <w:rFonts w:cs="宋体"/>
          <w:highlight w:val="none"/>
        </w:rPr>
        <w:t>4.2规定</w:t>
      </w:r>
      <w:r>
        <w:rPr>
          <w:rFonts w:hint="eastAsia" w:cs="宋体"/>
          <w:szCs w:val="21"/>
          <w:highlight w:val="none"/>
        </w:rPr>
        <w:t>的情形之一的，投标无效</w:t>
      </w:r>
      <w:r>
        <w:rPr>
          <w:rFonts w:hint="eastAsia" w:cs="宋体"/>
          <w:szCs w:val="21"/>
          <w:highlight w:val="none"/>
          <w:lang w:eastAsia="zh-CN"/>
        </w:rPr>
        <w:t>。</w:t>
      </w:r>
    </w:p>
    <w:p>
      <w:pPr>
        <w:pStyle w:val="131"/>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pPr>
        <w:pStyle w:val="131"/>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pPr>
        <w:pStyle w:val="131"/>
        <w:spacing w:before="0"/>
        <w:ind w:firstLine="480"/>
        <w:rPr>
          <w:rFonts w:ascii="宋体" w:hAnsi="宋体" w:cs="宋体"/>
          <w:highlight w:val="none"/>
        </w:rPr>
      </w:pPr>
      <w:r>
        <w:rPr>
          <w:rFonts w:hint="eastAsia" w:ascii="宋体" w:hAnsi="宋体" w:cs="宋体"/>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131"/>
        <w:spacing w:before="0"/>
        <w:ind w:firstLine="480"/>
        <w:rPr>
          <w:rFonts w:ascii="宋体" w:hAnsi="宋体" w:cs="宋体"/>
          <w:highlight w:val="none"/>
        </w:rPr>
      </w:pPr>
      <w:r>
        <w:rPr>
          <w:rFonts w:hint="eastAsia" w:ascii="宋体" w:hAnsi="宋体" w:cs="宋体"/>
          <w:highlight w:val="none"/>
        </w:rPr>
        <w:t>17.4在投标截止时间起至投标有效期届满，供应商投标文件不可撤销。</w:t>
      </w:r>
    </w:p>
    <w:p>
      <w:pPr>
        <w:pStyle w:val="131"/>
        <w:spacing w:before="0"/>
        <w:ind w:firstLine="643"/>
        <w:rPr>
          <w:rFonts w:ascii="宋体" w:hAnsi="宋体" w:cs="宋体"/>
          <w:b/>
          <w:sz w:val="32"/>
          <w:highlight w:val="none"/>
        </w:rPr>
      </w:pPr>
    </w:p>
    <w:p>
      <w:pPr>
        <w:pStyle w:val="131"/>
        <w:spacing w:before="0"/>
        <w:ind w:firstLine="1928" w:firstLineChars="600"/>
        <w:rPr>
          <w:rFonts w:ascii="宋体" w:hAnsi="宋体" w:cs="宋体"/>
          <w:b/>
          <w:sz w:val="32"/>
          <w:highlight w:val="none"/>
        </w:rPr>
      </w:pPr>
      <w:r>
        <w:rPr>
          <w:rFonts w:hint="eastAsia" w:ascii="宋体" w:hAnsi="宋体" w:cs="宋体"/>
          <w:b/>
          <w:sz w:val="32"/>
          <w:highlight w:val="none"/>
        </w:rPr>
        <w:t>四、开标、资格审查与信用信息查询</w:t>
      </w:r>
    </w:p>
    <w:p>
      <w:pPr>
        <w:pStyle w:val="557"/>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w:t>
      </w:r>
      <w:r>
        <w:rPr>
          <w:rFonts w:hint="eastAsia" w:ascii="宋体" w:hAnsi="宋体" w:cs="宋体"/>
          <w:b/>
          <w:sz w:val="24"/>
          <w:szCs w:val="24"/>
          <w:highlight w:val="none"/>
          <w:lang w:eastAsia="zh-CN"/>
        </w:rPr>
        <w:t>、</w:t>
      </w:r>
      <w:r>
        <w:rPr>
          <w:rFonts w:hint="eastAsia" w:ascii="宋体" w:hAnsi="宋体" w:cs="宋体"/>
          <w:b/>
          <w:sz w:val="24"/>
          <w:szCs w:val="24"/>
          <w:highlight w:val="none"/>
        </w:rPr>
        <w:t>开标</w:t>
      </w:r>
      <w:r>
        <w:rPr>
          <w:rFonts w:hint="eastAsia" w:ascii="宋体" w:hAnsi="宋体" w:cs="宋体"/>
          <w:sz w:val="24"/>
          <w:highlight w:val="none"/>
        </w:rPr>
        <w:t xml:space="preserve"> </w:t>
      </w:r>
    </w:p>
    <w:p>
      <w:pPr>
        <w:pStyle w:val="557"/>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18.1采购机构按照招标文件规定的时间通过电子交易平台组织开标，所有投标人均应当准时在线参加。投标人不足3家的，不得开标。</w:t>
      </w:r>
    </w:p>
    <w:p>
      <w:pPr>
        <w:pStyle w:val="557"/>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18.2开标时，电子交易平台按开标时间自动提取所有投标文件。采购机构依托电子交易平台发起开始解密指令，投标人按照平台提示和招标文件的规定在半小时内完成在线解密。</w:t>
      </w:r>
    </w:p>
    <w:p>
      <w:pPr>
        <w:pStyle w:val="557"/>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left"/>
        <w:rPr>
          <w:rFonts w:ascii="宋体" w:hAnsi="宋体" w:cs="宋体"/>
          <w:b/>
          <w:sz w:val="24"/>
          <w:szCs w:val="20"/>
          <w:highlight w:val="none"/>
        </w:rPr>
      </w:pPr>
      <w:r>
        <w:rPr>
          <w:rFonts w:hint="eastAsia" w:ascii="宋体" w:hAnsi="宋体" w:cs="宋体"/>
          <w:b/>
          <w:sz w:val="24"/>
          <w:szCs w:val="20"/>
          <w:highlight w:val="none"/>
        </w:rPr>
        <w:t>　19、资格审查</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19.1开标后，采购人将依据法律法规和招标文件的规定，对投标人的资格进行审查。</w:t>
      </w:r>
    </w:p>
    <w:p>
      <w:pPr>
        <w:pStyle w:val="131"/>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pPr>
        <w:pStyle w:val="131"/>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3对未通过资格审查的投标人，告知其未通过的原因。</w:t>
      </w:r>
    </w:p>
    <w:p>
      <w:pPr>
        <w:pStyle w:val="131"/>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pPr>
        <w:pStyle w:val="131"/>
        <w:spacing w:before="0"/>
        <w:ind w:firstLine="480"/>
        <w:rPr>
          <w:rFonts w:hint="eastAsia" w:ascii="宋体" w:hAnsi="宋体" w:cs="宋体"/>
          <w:highlight w:val="none"/>
        </w:rPr>
      </w:pPr>
    </w:p>
    <w:p>
      <w:pPr>
        <w:pStyle w:val="131"/>
        <w:spacing w:before="0"/>
        <w:ind w:firstLine="0" w:firstLineChars="0"/>
        <w:rPr>
          <w:rFonts w:ascii="宋体" w:hAnsi="宋体" w:cs="宋体"/>
          <w:b/>
          <w:szCs w:val="24"/>
          <w:highlight w:val="none"/>
        </w:rPr>
      </w:pPr>
      <w:r>
        <w:rPr>
          <w:rFonts w:hint="eastAsia" w:ascii="宋体" w:hAnsi="宋体" w:cs="宋体"/>
          <w:b/>
          <w:szCs w:val="24"/>
          <w:highlight w:val="none"/>
        </w:rPr>
        <w:t>20、信用信息查询</w:t>
      </w:r>
    </w:p>
    <w:p>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20.1信用信息查询渠道及截止时间：采购机构将在资格审查时通过“信用中国”网站(www.creditchina.gov.cn)、中国政府采购网(www.ccgp.gov.cn)渠道查询投标人接受资格审查时的信用记录。</w:t>
      </w:r>
    </w:p>
    <w:p>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1"/>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pPr>
        <w:pStyle w:val="131"/>
        <w:spacing w:before="0"/>
        <w:ind w:firstLine="0" w:firstLineChars="0"/>
        <w:rPr>
          <w:rFonts w:ascii="宋体" w:hAnsi="宋体" w:cs="宋体"/>
          <w:kern w:val="0"/>
          <w:szCs w:val="24"/>
          <w:highlight w:val="none"/>
        </w:rPr>
      </w:pPr>
    </w:p>
    <w:p>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五、评标</w:t>
      </w:r>
    </w:p>
    <w:p>
      <w:pPr>
        <w:spacing w:line="360" w:lineRule="auto"/>
        <w:rPr>
          <w:rFonts w:ascii="宋体" w:hAnsi="宋体" w:cs="宋体"/>
          <w:b/>
          <w:sz w:val="24"/>
          <w:highlight w:val="none"/>
        </w:rPr>
      </w:pPr>
      <w:bookmarkStart w:id="18"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pPr>
        <w:spacing w:line="360" w:lineRule="auto"/>
        <w:rPr>
          <w:rFonts w:ascii="宋体" w:hAnsi="宋体" w:cs="宋体"/>
          <w:b/>
          <w:sz w:val="24"/>
          <w:highlight w:val="none"/>
        </w:rPr>
      </w:pPr>
    </w:p>
    <w:p>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六、定 标</w:t>
      </w:r>
    </w:p>
    <w:p>
      <w:pPr>
        <w:pStyle w:val="24"/>
        <w:spacing w:line="360" w:lineRule="auto"/>
        <w:ind w:left="479" w:hanging="479" w:hangingChars="199"/>
        <w:rPr>
          <w:rFonts w:cs="宋体"/>
          <w:b/>
          <w:highlight w:val="none"/>
        </w:rPr>
      </w:pPr>
      <w:r>
        <w:rPr>
          <w:rFonts w:hint="eastAsia" w:cs="宋体"/>
          <w:b/>
          <w:highlight w:val="none"/>
        </w:rPr>
        <w:t>22. 确定中标供应商</w:t>
      </w:r>
    </w:p>
    <w:p>
      <w:pPr>
        <w:pStyle w:val="131"/>
        <w:snapToGrid w:val="0"/>
        <w:spacing w:before="0"/>
        <w:ind w:firstLine="480"/>
        <w:rPr>
          <w:rFonts w:ascii="宋体" w:hAnsi="宋体" w:cs="宋体"/>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在采购结果确认环节，中标候选人撤销投标文件不能成为采购人不确认采购结果的正当理由。中标通知书和中标结果公告应当在规定时间内同时发出。</w:t>
      </w:r>
    </w:p>
    <w:p>
      <w:pPr>
        <w:pStyle w:val="131"/>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23.3公告期限为1个工作日。</w:t>
      </w:r>
    </w:p>
    <w:p>
      <w:pPr>
        <w:snapToGrid w:val="0"/>
        <w:spacing w:line="360" w:lineRule="auto"/>
        <w:ind w:left="120" w:leftChars="57" w:firstLine="482" w:firstLineChars="150"/>
        <w:jc w:val="center"/>
        <w:rPr>
          <w:rFonts w:ascii="宋体" w:hAnsi="宋体" w:cs="宋体"/>
          <w:b/>
          <w:sz w:val="32"/>
          <w:highlight w:val="none"/>
        </w:rPr>
      </w:pPr>
    </w:p>
    <w:p>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rPr>
        <w:t>七、合同授予</w:t>
      </w:r>
    </w:p>
    <w:p>
      <w:pPr>
        <w:pStyle w:val="24"/>
        <w:spacing w:line="360" w:lineRule="auto"/>
        <w:ind w:left="479" w:hanging="479" w:hangingChars="199"/>
        <w:rPr>
          <w:rFonts w:cs="宋体"/>
          <w:b/>
          <w:highlight w:val="none"/>
        </w:rPr>
      </w:pPr>
      <w:r>
        <w:rPr>
          <w:rFonts w:hint="eastAsia" w:cs="宋体"/>
          <w:b/>
          <w:highlight w:val="none"/>
        </w:rPr>
        <w:t xml:space="preserve">24. </w:t>
      </w:r>
      <w:r>
        <w:rPr>
          <w:rFonts w:hint="eastAsia" w:cs="宋体"/>
          <w:highlight w:val="none"/>
        </w:rPr>
        <w:t>合同主要条款详见第五部分拟签订的合同文本。</w:t>
      </w:r>
    </w:p>
    <w:p>
      <w:pPr>
        <w:pStyle w:val="24"/>
        <w:spacing w:line="360" w:lineRule="auto"/>
        <w:ind w:left="479" w:hanging="479" w:hangingChars="199"/>
        <w:rPr>
          <w:rFonts w:cs="宋体"/>
          <w:b/>
          <w:highlight w:val="none"/>
        </w:rPr>
      </w:pPr>
      <w:r>
        <w:rPr>
          <w:rFonts w:hint="eastAsia" w:cs="宋体"/>
          <w:b/>
          <w:highlight w:val="none"/>
        </w:rPr>
        <w:t>25. 合同的签订</w:t>
      </w:r>
    </w:p>
    <w:p>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1"/>
        <w:snapToGrid w:val="0"/>
        <w:spacing w:before="0"/>
        <w:ind w:firstLine="480"/>
        <w:rPr>
          <w:rFonts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31"/>
        <w:snapToGrid w:val="0"/>
        <w:spacing w:before="0"/>
        <w:ind w:firstLine="480"/>
        <w:rPr>
          <w:rFonts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pPr>
        <w:pStyle w:val="131"/>
        <w:snapToGrid w:val="0"/>
        <w:spacing w:before="0"/>
        <w:ind w:firstLine="480"/>
        <w:rPr>
          <w:rFonts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pPr>
        <w:pStyle w:val="131"/>
        <w:snapToGrid w:val="0"/>
        <w:spacing w:before="0" w:after="120"/>
        <w:ind w:firstLine="480"/>
        <w:rPr>
          <w:rFonts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pPr>
        <w:pStyle w:val="24"/>
        <w:spacing w:line="360" w:lineRule="auto"/>
        <w:ind w:left="479" w:hanging="479" w:hangingChars="199"/>
        <w:rPr>
          <w:rFonts w:cs="宋体"/>
          <w:b/>
          <w:highlight w:val="none"/>
        </w:rPr>
      </w:pPr>
      <w:r>
        <w:rPr>
          <w:rFonts w:hint="eastAsia" w:cs="宋体"/>
          <w:b/>
          <w:highlight w:val="none"/>
        </w:rPr>
        <w:t>26. 履约保证金</w:t>
      </w:r>
    </w:p>
    <w:p>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pPr>
        <w:pStyle w:val="3"/>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3"/>
        <w:rPr>
          <w:color w:val="auto"/>
          <w:highlight w:val="none"/>
        </w:rPr>
      </w:pPr>
      <w:r>
        <w:rPr>
          <w:rFonts w:ascii="宋体" w:hAnsi="宋体" w:eastAsia="宋体" w:cs="Times New Roman"/>
          <w:b/>
          <w:bCs/>
          <w:color w:val="auto"/>
          <w:kern w:val="2"/>
          <w:sz w:val="24"/>
          <w:szCs w:val="32"/>
          <w:highlight w:val="none"/>
          <w:lang w:val="en-US"/>
        </w:rPr>
        <w:t>27.预付款</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napToGrid w:val="0"/>
          <w:kern w:val="28"/>
          <w:sz w:val="24"/>
          <w:szCs w:val="32"/>
          <w:highlight w:val="none"/>
          <w:lang w:val="en-US" w:eastAsia="zh-CN" w:bidi="ar-SA"/>
        </w:rPr>
      </w:pPr>
      <w:r>
        <w:rPr>
          <w:rFonts w:hint="eastAsia" w:ascii="宋体" w:hAnsi="宋体" w:eastAsia="宋体" w:cs="宋体"/>
          <w:b w:val="0"/>
          <w:bCs w:val="0"/>
          <w:snapToGrid w:val="0"/>
          <w:kern w:val="28"/>
          <w:sz w:val="24"/>
          <w:szCs w:val="32"/>
          <w:highlight w:val="none"/>
          <w:lang w:val="zh-CN" w:eastAsia="zh-CN" w:bidi="ar-SA"/>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pPr>
        <w:snapToGrid w:val="0"/>
        <w:spacing w:line="360" w:lineRule="auto"/>
        <w:ind w:firstLine="3357" w:firstLineChars="1045"/>
        <w:rPr>
          <w:rFonts w:ascii="宋体" w:hAnsi="宋体" w:cs="宋体"/>
          <w:b/>
          <w:sz w:val="32"/>
          <w:highlight w:val="none"/>
        </w:rPr>
      </w:pPr>
    </w:p>
    <w:p>
      <w:pPr>
        <w:snapToGrid w:val="0"/>
        <w:spacing w:line="360" w:lineRule="auto"/>
        <w:ind w:firstLine="3357" w:firstLineChars="1045"/>
        <w:rPr>
          <w:rFonts w:ascii="宋体" w:hAnsi="宋体" w:cs="宋体"/>
          <w:b/>
          <w:sz w:val="24"/>
          <w:highlight w:val="none"/>
        </w:rPr>
      </w:pPr>
      <w:r>
        <w:rPr>
          <w:rFonts w:hint="eastAsia" w:ascii="宋体" w:hAnsi="宋体" w:cs="宋体"/>
          <w:b/>
          <w:sz w:val="32"/>
          <w:highlight w:val="none"/>
        </w:rPr>
        <w:t>八、电子交易活动的中止</w:t>
      </w:r>
    </w:p>
    <w:p>
      <w:pPr>
        <w:pStyle w:val="131"/>
        <w:snapToGrid w:val="0"/>
        <w:spacing w:before="0"/>
        <w:ind w:firstLine="0" w:firstLineChars="0"/>
        <w:rPr>
          <w:rFonts w:ascii="宋体" w:hAnsi="宋体" w:cs="宋体"/>
          <w:highlight w:val="none"/>
        </w:rPr>
      </w:pPr>
      <w:r>
        <w:rPr>
          <w:rFonts w:hint="eastAsia" w:ascii="宋体" w:hAnsi="宋体" w:cs="宋体"/>
          <w:b/>
          <w:bCs/>
          <w:highlight w:val="none"/>
        </w:rPr>
        <w:t>2</w:t>
      </w:r>
      <w:r>
        <w:rPr>
          <w:rFonts w:hint="eastAsia" w:ascii="宋体" w:hAnsi="宋体" w:cs="宋体"/>
          <w:b/>
          <w:szCs w:val="24"/>
          <w:highlight w:val="none"/>
          <w:lang w:val="en-US" w:eastAsia="zh-CN"/>
        </w:rPr>
        <w:t>8</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采购过程中出现以下情形，导致电子交易平台无法正常运行，或者无法保证电子交易的公平、公正和安全时，采购机构可中止电子交易活动：</w:t>
      </w:r>
    </w:p>
    <w:p>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8</w:t>
      </w:r>
      <w:r>
        <w:rPr>
          <w:rFonts w:hint="eastAsia" w:ascii="宋体" w:hAnsi="宋体" w:cs="宋体"/>
          <w:highlight w:val="none"/>
        </w:rPr>
        <w:t xml:space="preserve">.1电子交易平台发生故障而无法登录访问的； </w:t>
      </w:r>
    </w:p>
    <w:p>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8</w:t>
      </w:r>
      <w:r>
        <w:rPr>
          <w:rFonts w:hint="eastAsia" w:ascii="宋体" w:hAnsi="宋体" w:cs="宋体"/>
          <w:highlight w:val="none"/>
        </w:rPr>
        <w:t>.2电子交易平台应用或数据库出现错误，不能进行正常操作的；</w:t>
      </w:r>
    </w:p>
    <w:p>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8</w:t>
      </w:r>
      <w:r>
        <w:rPr>
          <w:rFonts w:hint="eastAsia" w:ascii="宋体" w:hAnsi="宋体" w:cs="宋体"/>
          <w:highlight w:val="none"/>
        </w:rPr>
        <w:t>.3电子交易平台发现严重安全漏洞，有潜在泄密危险的；</w:t>
      </w:r>
    </w:p>
    <w:p>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8</w:t>
      </w:r>
      <w:r>
        <w:rPr>
          <w:rFonts w:hint="eastAsia" w:ascii="宋体" w:hAnsi="宋体" w:cs="宋体"/>
          <w:highlight w:val="none"/>
        </w:rPr>
        <w:t xml:space="preserve">.4病毒发作导致不能进行正常操作的； </w:t>
      </w:r>
    </w:p>
    <w:p>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8</w:t>
      </w:r>
      <w:r>
        <w:rPr>
          <w:rFonts w:hint="eastAsia" w:ascii="宋体" w:hAnsi="宋体" w:cs="宋体"/>
          <w:highlight w:val="none"/>
        </w:rPr>
        <w:t>.5其他无法保证电子交易的公平、公正和安全的情况。</w:t>
      </w:r>
    </w:p>
    <w:p>
      <w:pPr>
        <w:pStyle w:val="131"/>
        <w:snapToGrid w:val="0"/>
        <w:spacing w:before="0"/>
        <w:ind w:firstLine="0" w:firstLineChars="0"/>
        <w:rPr>
          <w:rFonts w:ascii="宋体" w:hAnsi="宋体" w:cs="宋体"/>
          <w:highlight w:val="none"/>
        </w:rPr>
      </w:pPr>
      <w:r>
        <w:rPr>
          <w:rFonts w:hint="eastAsia" w:ascii="宋体" w:hAnsi="宋体" w:cs="宋体"/>
          <w:highlight w:val="none"/>
        </w:rPr>
        <w:t xml:space="preserve"> 2</w:t>
      </w:r>
      <w:r>
        <w:rPr>
          <w:rFonts w:hint="eastAsia" w:ascii="宋体" w:hAnsi="宋体" w:cs="宋体"/>
          <w:highlight w:val="none"/>
          <w:lang w:val="en-US" w:eastAsia="zh-CN"/>
        </w:rPr>
        <w:t>9</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highlight w:val="none"/>
        </w:rPr>
      </w:pPr>
    </w:p>
    <w:p>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rPr>
        <w:t>九、验收</w:t>
      </w:r>
    </w:p>
    <w:p>
      <w:pPr>
        <w:pStyle w:val="24"/>
        <w:spacing w:line="360" w:lineRule="auto"/>
        <w:ind w:firstLine="0" w:firstLineChars="0"/>
        <w:rPr>
          <w:rFonts w:cs="宋体"/>
          <w:b/>
          <w:highlight w:val="none"/>
        </w:rPr>
      </w:pPr>
      <w:r>
        <w:rPr>
          <w:rFonts w:hint="eastAsia" w:cs="宋体"/>
          <w:b/>
          <w:highlight w:val="none"/>
          <w:lang w:val="en-US" w:eastAsia="zh-CN"/>
        </w:rPr>
        <w:t>30</w:t>
      </w:r>
      <w:r>
        <w:rPr>
          <w:rFonts w:hint="eastAsia" w:cs="宋体"/>
          <w:b/>
          <w:highlight w:val="none"/>
        </w:rPr>
        <w:t>.验收</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pPr>
        <w:pStyle w:val="79"/>
        <w:keepNext w:val="0"/>
        <w:keepLines w:val="0"/>
        <w:pageBreakBefore w:val="0"/>
        <w:widowControl w:val="0"/>
        <w:kinsoku/>
        <w:wordWrap/>
        <w:overflowPunct/>
        <w:topLinePunct w:val="0"/>
        <w:autoSpaceDE/>
        <w:autoSpaceDN/>
        <w:bidi w:val="0"/>
        <w:spacing w:line="360" w:lineRule="auto"/>
        <w:textAlignment w:val="auto"/>
        <w:rPr>
          <w:color w:val="auto"/>
          <w:highlight w:val="none"/>
        </w:rPr>
      </w:pPr>
      <w:bookmarkStart w:id="19" w:name="_Hlt74714665"/>
      <w:bookmarkEnd w:id="19"/>
      <w:bookmarkStart w:id="20" w:name="_Hlt75236290"/>
      <w:bookmarkEnd w:id="20"/>
      <w:bookmarkStart w:id="21" w:name="_Hlt68072990"/>
      <w:bookmarkEnd w:id="21"/>
      <w:bookmarkStart w:id="22" w:name="_Hlt75236011"/>
      <w:bookmarkEnd w:id="22"/>
      <w:bookmarkStart w:id="23" w:name="_Hlt74707468"/>
      <w:bookmarkEnd w:id="23"/>
      <w:bookmarkStart w:id="24" w:name="_Hlt68072998"/>
      <w:bookmarkEnd w:id="24"/>
      <w:bookmarkStart w:id="25" w:name="_Hlt74729768"/>
      <w:bookmarkEnd w:id="25"/>
      <w:bookmarkStart w:id="26" w:name="_Hlt74730295"/>
      <w:bookmarkEnd w:id="26"/>
      <w:bookmarkStart w:id="27" w:name="_Hlt68057669"/>
      <w:bookmarkEnd w:id="27"/>
      <w:bookmarkStart w:id="28" w:name="_Hlt68403820"/>
      <w:bookmarkEnd w:id="28"/>
      <w:bookmarkStart w:id="29" w:name="_Hlt68073093"/>
      <w:bookmarkEnd w:id="29"/>
      <w:bookmarkStart w:id="30" w:name="_Hlt75236101"/>
      <w:bookmarkEnd w:id="30"/>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pPr>
        <w:spacing w:line="360" w:lineRule="auto"/>
        <w:jc w:val="center"/>
        <w:outlineLvl w:val="0"/>
        <w:rPr>
          <w:rFonts w:ascii="宋体" w:hAnsi="宋体" w:cs="宋体"/>
          <w:b/>
          <w:sz w:val="36"/>
          <w:szCs w:val="36"/>
          <w:highlight w:val="none"/>
        </w:rPr>
      </w:pPr>
      <w:bookmarkStart w:id="31" w:name="第四部分"/>
      <w:r>
        <w:rPr>
          <w:rFonts w:hint="eastAsia" w:ascii="宋体" w:hAnsi="宋体" w:cs="宋体"/>
          <w:b/>
          <w:sz w:val="36"/>
          <w:szCs w:val="36"/>
          <w:highlight w:val="none"/>
        </w:rPr>
        <w:t>第三部分   采购需求</w:t>
      </w:r>
    </w:p>
    <w:p>
      <w:pPr>
        <w:adjustRightInd/>
        <w:spacing w:before="120" w:beforeLines="50" w:after="120" w:afterLines="50" w:line="360" w:lineRule="auto"/>
        <w:jc w:val="center"/>
        <w:outlineLvl w:val="1"/>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属于实质性要求条款的，已用符号“▲”标明，否则属于非实质性要求。</w:t>
      </w:r>
    </w:p>
    <w:p>
      <w:pPr>
        <w:pStyle w:val="258"/>
        <w:numPr>
          <w:ilvl w:val="0"/>
          <w:numId w:val="1"/>
        </w:numPr>
        <w:ind w:firstLineChars="0"/>
        <w:outlineLvl w:val="1"/>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项目概况</w:t>
      </w:r>
    </w:p>
    <w:p>
      <w:pPr>
        <w:keepNext w:val="0"/>
        <w:keepLines w:val="0"/>
        <w:pageBreakBefore w:val="0"/>
        <w:widowControl w:val="0"/>
        <w:numPr>
          <w:ilvl w:val="0"/>
          <w:numId w:val="2"/>
        </w:numPr>
        <w:suppressLineNumbers w:val="0"/>
        <w:tabs>
          <w:tab w:val="left" w:pos="3780"/>
        </w:tabs>
        <w:kinsoku/>
        <w:wordWrap/>
        <w:overflowPunct/>
        <w:topLinePunct w:val="0"/>
        <w:autoSpaceDE/>
        <w:autoSpaceDN/>
        <w:bidi w:val="0"/>
        <w:adjustRightInd w:val="0"/>
        <w:spacing w:before="0" w:beforeAutospacing="0" w:after="0" w:afterAutospacing="0" w:line="360" w:lineRule="auto"/>
        <w:ind w:left="0" w:right="0" w:firstLine="480" w:firstLineChars="200"/>
        <w:jc w:val="both"/>
        <w:textAlignment w:val="auto"/>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采购内容：</w:t>
      </w:r>
      <w:r>
        <w:rPr>
          <w:rFonts w:hint="eastAsia" w:ascii="宋体" w:hAnsi="宋体" w:cs="宋体"/>
          <w:bCs/>
          <w:kern w:val="2"/>
          <w:sz w:val="24"/>
          <w:szCs w:val="24"/>
          <w:highlight w:val="none"/>
          <w:lang w:val="en-US" w:eastAsia="zh-CN" w:bidi="ar"/>
        </w:rPr>
        <w:t>杭州市西湖区住房和城乡建设局台式计算机第二次采购项目</w:t>
      </w:r>
      <w:r>
        <w:rPr>
          <w:rFonts w:hint="eastAsia" w:ascii="宋体" w:hAnsi="宋体" w:eastAsia="宋体" w:cs="宋体"/>
          <w:bCs/>
          <w:kern w:val="2"/>
          <w:sz w:val="24"/>
          <w:szCs w:val="24"/>
          <w:highlight w:val="none"/>
          <w:lang w:val="en-US" w:eastAsia="zh-CN" w:bidi="ar"/>
        </w:rPr>
        <w:t>，主要包括符合信创产品要求的办公电脑60台，台式电脑预装信创操作系统60套、配套正版WPS办公软件60套。具体包括安装、产品调试、试运行、验收与相关的操作培训及不少于3年（含）7×24小时免费设备保修和售后现场技术服务等内容。</w:t>
      </w:r>
    </w:p>
    <w:p>
      <w:pPr>
        <w:pStyle w:val="79"/>
        <w:keepNext w:val="0"/>
        <w:keepLines w:val="0"/>
        <w:pageBreakBefore w:val="0"/>
        <w:widowControl w:val="0"/>
        <w:numPr>
          <w:ilvl w:val="0"/>
          <w:numId w:val="2"/>
        </w:numPr>
        <w:kinsoku/>
        <w:wordWrap/>
        <w:overflowPunct/>
        <w:topLinePunct w:val="0"/>
        <w:autoSpaceDE/>
        <w:autoSpaceDN/>
        <w:bidi w:val="0"/>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采购项目为交钥匙项目，包括设备费、样品费、产品演示产生的费用、材料费、保管费、安装调试费、运输费、税收、售后服务、采购需求中未提到但在实际采购和安装过程中需要配置的各种设备、材料及其他费用等须由投标人支付的所有费用。</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▲显示器：要求与主机同品牌</w:t>
      </w:r>
      <w:r>
        <w:rPr>
          <w:rFonts w:hint="eastAsia" w:ascii="宋体" w:hAnsi="宋体" w:eastAsia="宋体" w:cs="宋体"/>
          <w:b/>
          <w:bCs/>
          <w:kern w:val="2"/>
          <w:sz w:val="24"/>
          <w:szCs w:val="24"/>
          <w:highlight w:val="none"/>
          <w:lang w:val="en-US" w:eastAsia="zh-CN" w:bidi="ar-SA"/>
        </w:rPr>
        <w:t>（提供证明材料或产品彩页加盖公章）</w:t>
      </w:r>
      <w:r>
        <w:rPr>
          <w:rFonts w:hint="eastAsia" w:ascii="宋体" w:hAnsi="宋体" w:eastAsia="宋体" w:cs="宋体"/>
          <w:kern w:val="2"/>
          <w:sz w:val="24"/>
          <w:szCs w:val="24"/>
          <w:highlight w:val="none"/>
          <w:lang w:val="en-US" w:eastAsia="zh-CN" w:bidi="ar-SA"/>
        </w:rPr>
        <w:t>。</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▲要求所投标项内的所有台式计算机为同一品牌、型号的国产化台式计算机。</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▲免费提供3年操作系统技术支持、运维、升级、软件适配及上门服务</w:t>
      </w:r>
      <w:r>
        <w:rPr>
          <w:rFonts w:hint="eastAsia" w:ascii="宋体" w:hAnsi="宋体" w:eastAsia="宋体" w:cs="宋体"/>
          <w:b/>
          <w:bCs/>
          <w:sz w:val="24"/>
          <w:szCs w:val="24"/>
          <w:highlight w:val="none"/>
          <w:lang w:val="en-US" w:eastAsia="zh-CN"/>
        </w:rPr>
        <w:t>（提供相应承诺函，非OEM正版授权，正版授权用户为采购人）</w:t>
      </w:r>
      <w:r>
        <w:rPr>
          <w:rFonts w:hint="eastAsia" w:ascii="宋体" w:hAnsi="宋体" w:eastAsia="宋体" w:cs="宋体"/>
          <w:sz w:val="24"/>
          <w:szCs w:val="24"/>
          <w:highlight w:val="none"/>
          <w:lang w:val="en-US" w:eastAsia="zh-CN"/>
        </w:rPr>
        <w:t>。</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▲配套正版授权软件（操作系统、WPS）为永久激活版本、永久使用，WPS为金山WPS软件,</w:t>
      </w:r>
      <w:r>
        <w:rPr>
          <w:rFonts w:hint="default" w:ascii="Times New Roman" w:hAnsi="Times New Roman" w:eastAsia="宋体" w:cs="Times New Roman"/>
          <w:sz w:val="24"/>
          <w:szCs w:val="24"/>
          <w:highlight w:val="none"/>
          <w:lang w:val="en-US" w:eastAsia="zh-CN"/>
        </w:rPr>
        <w:t>提供3年原厂技术支持、升级服务</w:t>
      </w:r>
      <w:r>
        <w:rPr>
          <w:rFonts w:hint="eastAsia" w:ascii="Times New Roman" w:hAnsi="Times New Roman" w:eastAsia="宋体" w:cs="Times New Roman"/>
          <w:sz w:val="24"/>
          <w:szCs w:val="24"/>
          <w:highlight w:val="none"/>
          <w:lang w:val="en-US" w:eastAsia="zh-CN"/>
        </w:rPr>
        <w:t>。</w:t>
      </w:r>
      <w:r>
        <w:rPr>
          <w:rFonts w:hint="eastAsia" w:ascii="宋体" w:hAnsi="宋体" w:eastAsia="宋体" w:cs="宋体"/>
          <w:b/>
          <w:bCs/>
          <w:sz w:val="24"/>
          <w:szCs w:val="24"/>
          <w:highlight w:val="none"/>
          <w:lang w:val="en-US" w:eastAsia="zh-CN"/>
        </w:rPr>
        <w:t>（提供相应承诺函）</w:t>
      </w:r>
      <w:r>
        <w:rPr>
          <w:rFonts w:hint="eastAsia" w:ascii="宋体" w:hAnsi="宋体" w:eastAsia="宋体" w:cs="宋体"/>
          <w:sz w:val="24"/>
          <w:szCs w:val="24"/>
          <w:highlight w:val="none"/>
          <w:lang w:val="en-US" w:eastAsia="zh-CN"/>
        </w:rPr>
        <w:t>。</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▲中标人在合同签订前须提供整机产品彩页及详细参数资料，提供国家认可的质检机构出具的显示器（蓝光、护眼）认证、MTBF测试认证、与系统厂家的软件适配认证等资料，提供相关软件授权证明材料</w:t>
      </w:r>
      <w:r>
        <w:rPr>
          <w:rFonts w:hint="eastAsia" w:ascii="宋体" w:hAnsi="宋体" w:eastAsia="宋体" w:cs="宋体"/>
          <w:b/>
          <w:bCs/>
          <w:sz w:val="24"/>
          <w:szCs w:val="24"/>
          <w:highlight w:val="none"/>
          <w:lang w:val="en-US" w:eastAsia="zh-CN"/>
        </w:rPr>
        <w:t>（提供相应承诺函）</w:t>
      </w:r>
      <w:r>
        <w:rPr>
          <w:rFonts w:hint="eastAsia" w:ascii="宋体" w:hAnsi="宋体" w:eastAsia="宋体" w:cs="宋体"/>
          <w:sz w:val="24"/>
          <w:szCs w:val="24"/>
          <w:highlight w:val="none"/>
          <w:lang w:val="en-US" w:eastAsia="zh-CN"/>
        </w:rPr>
        <w:t>。</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▲1.交付（实施）的时间（期限）：2024年10月31日前完成供货、安装调试及验收（提供相应承诺函）。</w:t>
      </w:r>
    </w:p>
    <w:p>
      <w:pPr>
        <w:pStyle w:val="79"/>
        <w:keepNext w:val="0"/>
        <w:keepLines w:val="0"/>
        <w:pageBreakBefore w:val="0"/>
        <w:widowControl w:val="0"/>
        <w:numPr>
          <w:ilvl w:val="0"/>
          <w:numId w:val="2"/>
        </w:numPr>
        <w:kinsoku/>
        <w:wordWrap/>
        <w:overflowPunct/>
        <w:topLinePunct w:val="0"/>
        <w:autoSpaceDE/>
        <w:autoSpaceDN/>
        <w:bidi w:val="0"/>
        <w:ind w:left="0" w:leftChars="0" w:firstLine="480" w:firstLineChars="200"/>
        <w:textAlignment w:val="auto"/>
        <w:rPr>
          <w:rFonts w:hint="eastAsia" w:ascii="宋体" w:hAnsi="宋体" w:eastAsia="宋体" w:cs="宋体"/>
          <w:sz w:val="24"/>
          <w:szCs w:val="24"/>
          <w:highlight w:val="none"/>
          <w:lang w:val="en-US" w:eastAsia="zh-CN"/>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r>
        <w:rPr>
          <w:rFonts w:hint="eastAsia" w:ascii="宋体" w:hAnsi="宋体" w:eastAsia="宋体" w:cs="宋体"/>
          <w:i w:val="0"/>
          <w:iCs w:val="0"/>
          <w:caps w:val="0"/>
          <w:color w:val="171A1D"/>
          <w:spacing w:val="0"/>
          <w:sz w:val="24"/>
          <w:szCs w:val="24"/>
          <w:shd w:val="clear" w:fill="FFFFFF"/>
        </w:rPr>
        <w:t>属于实质性要求条款的，已用符号“▲”标明，标“▲”参数投标人可提供承诺函作为佐证材料。列入评审的参数，投标时需提供产品说明书或宣传册页或生产厂商官网技术参数截图等作为佐证材料。</w:t>
      </w:r>
    </w:p>
    <w:p>
      <w:pPr>
        <w:pStyle w:val="258"/>
        <w:numPr>
          <w:ilvl w:val="0"/>
          <w:numId w:val="1"/>
        </w:numPr>
        <w:ind w:firstLineChars="0"/>
        <w:outlineLvl w:val="1"/>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部署</w:t>
      </w:r>
      <w:r>
        <w:rPr>
          <w:rFonts w:hint="eastAsia" w:ascii="宋体" w:hAnsi="宋体" w:eastAsia="宋体" w:cs="宋体"/>
          <w:b/>
          <w:bCs/>
          <w:color w:val="000000" w:themeColor="text1"/>
          <w:sz w:val="28"/>
          <w:szCs w:val="28"/>
          <w:highlight w:val="none"/>
          <w14:textFill>
            <w14:solidFill>
              <w14:schemeClr w14:val="tx1"/>
            </w14:solidFill>
          </w14:textFill>
        </w:rPr>
        <w:t>要求</w:t>
      </w:r>
    </w:p>
    <w:p>
      <w:pPr>
        <w:tabs>
          <w:tab w:val="left" w:pos="0"/>
        </w:tabs>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中标供应商为项目建设提供团队、基础软硬件、总体方案和全面服务保障，对项目建设提供技术把控、总体集成、项目实施管理等工作，配合进行应用软件的安装部署、测试上线工作等，通过对项目的整体组织、技术进行规划，满足客户的建设要求，通过对整个工程进行管理，协助各方资源，统筹安排各分项目实施计划及制定技术方案，解决各分项目间的无缝衔接问题。通过控制总工期，控制工程质量，实现工程验收。</w:t>
      </w:r>
    </w:p>
    <w:p>
      <w:pPr>
        <w:tabs>
          <w:tab w:val="left" w:pos="0"/>
        </w:tabs>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1.实施内容清单中货物供货、安装调试、系统集成、培训、质保期内的售后服务、旧电脑设备按采购单位要求把旧设备存放至指定地点等。投标报价包括货物、搬运、安装、调试、集成、售后服务费、培训费、有关部门的验收费、政策性文件规定及合同包含的所有风险、责任等各项全部费用，采购需求清单中未提到，但在实际项目实施过程中需要配置的配件等各种费用，均计入投标报价中，不得额外收费。</w:t>
      </w:r>
    </w:p>
    <w:p>
      <w:pPr>
        <w:tabs>
          <w:tab w:val="left" w:pos="0"/>
        </w:tabs>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2.项目实施期间，供应商需指派专职项目经理负责各实施主体单位项目的建设管理工作，并派驻主要项目组成员（含项目经理、实施工程师等）驻各实施主体单位现场实施。各系统集成商按各实施主体单位要求，统筹信创终端的运维，提供符合条件运维服务。</w:t>
      </w:r>
    </w:p>
    <w:p>
      <w:pPr>
        <w:tabs>
          <w:tab w:val="left" w:pos="0"/>
        </w:tabs>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3.项目实施期间，接受</w:t>
      </w:r>
      <w:r>
        <w:rPr>
          <w:rFonts w:hint="eastAsia"/>
          <w:color w:val="000000" w:themeColor="text1"/>
          <w:sz w:val="24"/>
          <w:szCs w:val="32"/>
          <w:highlight w:val="none"/>
          <w:lang w:eastAsia="zh-CN"/>
          <w14:textFill>
            <w14:solidFill>
              <w14:schemeClr w14:val="tx1"/>
            </w14:solidFill>
          </w14:textFill>
        </w:rPr>
        <w:t>西湖区住房和城乡建设局</w:t>
      </w:r>
      <w:r>
        <w:rPr>
          <w:rFonts w:hint="eastAsia"/>
          <w:color w:val="000000" w:themeColor="text1"/>
          <w:sz w:val="24"/>
          <w:szCs w:val="32"/>
          <w:highlight w:val="none"/>
          <w14:textFill>
            <w14:solidFill>
              <w14:schemeClr w14:val="tx1"/>
            </w14:solidFill>
          </w14:textFill>
        </w:rPr>
        <w:t>的统一指导和工作安排，落实有关工作任务和要求。</w:t>
      </w:r>
    </w:p>
    <w:p>
      <w:pPr>
        <w:tabs>
          <w:tab w:val="left" w:pos="0"/>
        </w:tabs>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4.项目实施期间，如出现人员不到位、进度不到位、目标任务未完成等情况而被投诉，或者发生泄密等违规行为，将视情节严重程度对各供应商进行违约处罚。</w:t>
      </w:r>
    </w:p>
    <w:p>
      <w:pPr>
        <w:pStyle w:val="258"/>
        <w:numPr>
          <w:ilvl w:val="0"/>
          <w:numId w:val="1"/>
        </w:numPr>
        <w:ind w:firstLineChars="0"/>
        <w:outlineLvl w:val="1"/>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其他要求</w:t>
      </w:r>
    </w:p>
    <w:p>
      <w:pPr>
        <w:spacing w:line="360" w:lineRule="auto"/>
        <w:ind w:right="-147" w:rightChars="-70" w:firstLine="638" w:firstLineChars="266"/>
        <w:rPr>
          <w:rFonts w:hint="eastAsia" w:ascii="宋体" w:hAnsi="宋体" w:cs="宋体"/>
          <w:sz w:val="24"/>
          <w:highlight w:val="none"/>
        </w:rPr>
      </w:pPr>
      <w:r>
        <w:rPr>
          <w:rFonts w:hint="eastAsia" w:ascii="宋体" w:hAnsi="宋体" w:cs="宋体"/>
          <w:sz w:val="24"/>
          <w:highlight w:val="none"/>
        </w:rPr>
        <w:t>1、售后服务：</w:t>
      </w:r>
      <w:r>
        <w:rPr>
          <w:rFonts w:hint="default" w:ascii="Times New Roman" w:hAnsi="Times New Roman" w:cs="Times New Roman"/>
          <w:sz w:val="24"/>
          <w:highlight w:val="none"/>
        </w:rPr>
        <w:t>提供上门服务，质保不低于</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年</w:t>
      </w:r>
      <w:r>
        <w:rPr>
          <w:rFonts w:hint="default" w:ascii="Times New Roman" w:hAnsi="Times New Roman" w:cs="Times New Roman"/>
          <w:sz w:val="24"/>
          <w:highlight w:val="none"/>
        </w:rPr>
        <w:t>。</w:t>
      </w:r>
    </w:p>
    <w:p>
      <w:pPr>
        <w:spacing w:line="360" w:lineRule="auto"/>
        <w:ind w:left="92" w:leftChars="44" w:right="-147" w:rightChars="-70" w:firstLine="480" w:firstLineChars="200"/>
        <w:rPr>
          <w:rFonts w:hint="eastAsia" w:ascii="宋体" w:hAnsi="宋体" w:cs="宋体"/>
          <w:sz w:val="24"/>
          <w:highlight w:val="none"/>
        </w:rPr>
      </w:pPr>
      <w:r>
        <w:rPr>
          <w:rFonts w:hint="eastAsia" w:ascii="宋体" w:hAnsi="宋体" w:cs="宋体"/>
          <w:sz w:val="24"/>
          <w:highlight w:val="none"/>
        </w:rPr>
        <w:t>2、保修条件：符合国家质量监督检验检疫总局、信息产业部第24号令《微型计算机商品修理更换退货责任规定》和其它相关规定。</w:t>
      </w:r>
    </w:p>
    <w:p>
      <w:pPr>
        <w:spacing w:line="360" w:lineRule="auto"/>
        <w:ind w:left="92" w:leftChars="44" w:right="-147" w:rightChars="-70" w:firstLine="480" w:firstLineChars="200"/>
        <w:rPr>
          <w:rFonts w:hint="eastAsia" w:ascii="宋体" w:hAnsi="宋体" w:cs="宋体"/>
          <w:sz w:val="24"/>
          <w:highlight w:val="none"/>
        </w:rPr>
      </w:pPr>
      <w:r>
        <w:rPr>
          <w:rFonts w:hint="eastAsia" w:ascii="宋体" w:hAnsi="宋体" w:cs="宋体"/>
          <w:sz w:val="24"/>
          <w:highlight w:val="none"/>
        </w:rPr>
        <w:t>3、供货时间：</w:t>
      </w:r>
      <w:r>
        <w:rPr>
          <w:rFonts w:hint="eastAsia" w:ascii="宋体" w:hAnsi="宋体" w:cs="宋体"/>
          <w:b/>
          <w:bCs/>
          <w:sz w:val="24"/>
          <w:highlight w:val="none"/>
        </w:rPr>
        <w:t>2024年</w:t>
      </w:r>
      <w:r>
        <w:rPr>
          <w:rFonts w:hint="eastAsia" w:ascii="宋体" w:hAnsi="宋体" w:cs="宋体"/>
          <w:b/>
          <w:bCs/>
          <w:sz w:val="24"/>
          <w:highlight w:val="none"/>
          <w:lang w:val="en-US" w:eastAsia="zh-CN"/>
        </w:rPr>
        <w:t>10</w:t>
      </w:r>
      <w:r>
        <w:rPr>
          <w:rFonts w:hint="eastAsia" w:ascii="宋体" w:hAnsi="宋体" w:cs="宋体"/>
          <w:b/>
          <w:bCs/>
          <w:sz w:val="24"/>
          <w:highlight w:val="none"/>
        </w:rPr>
        <w:t>月</w:t>
      </w:r>
      <w:r>
        <w:rPr>
          <w:rFonts w:hint="eastAsia" w:ascii="宋体" w:hAnsi="宋体" w:cs="宋体"/>
          <w:b/>
          <w:bCs/>
          <w:sz w:val="24"/>
          <w:highlight w:val="none"/>
          <w:lang w:val="en-US" w:eastAsia="zh-CN"/>
        </w:rPr>
        <w:t>11</w:t>
      </w:r>
      <w:r>
        <w:rPr>
          <w:rFonts w:hint="eastAsia" w:ascii="宋体" w:hAnsi="宋体" w:cs="宋体"/>
          <w:b/>
          <w:bCs/>
          <w:sz w:val="24"/>
          <w:highlight w:val="none"/>
        </w:rPr>
        <w:t>日</w:t>
      </w:r>
      <w:r>
        <w:rPr>
          <w:rFonts w:hint="eastAsia" w:ascii="宋体" w:hAnsi="宋体" w:cs="宋体"/>
          <w:b/>
          <w:bCs/>
          <w:sz w:val="24"/>
          <w:highlight w:val="none"/>
          <w:lang w:eastAsia="zh-CN"/>
        </w:rPr>
        <w:t>前</w:t>
      </w:r>
      <w:r>
        <w:rPr>
          <w:rFonts w:hint="eastAsia" w:ascii="宋体" w:hAnsi="宋体" w:cs="宋体"/>
          <w:sz w:val="24"/>
          <w:highlight w:val="none"/>
        </w:rPr>
        <w:t>，供应商需将所供产品（出厂原包装）按合同清单所列的采购单位、地址以及货物品种、数量等，运至指定地点拆箱，并负责安装、调试，由采购单位负责验收，在产品试运行1个月后交付使用。</w:t>
      </w:r>
    </w:p>
    <w:p>
      <w:pPr>
        <w:spacing w:line="360" w:lineRule="auto"/>
        <w:ind w:left="92" w:leftChars="44" w:right="-147" w:rightChars="-70" w:firstLine="480" w:firstLineChars="200"/>
        <w:rPr>
          <w:rFonts w:hint="eastAsia" w:ascii="宋体" w:hAnsi="宋体" w:cs="宋体"/>
          <w:sz w:val="24"/>
          <w:highlight w:val="none"/>
        </w:rPr>
      </w:pPr>
      <w:r>
        <w:rPr>
          <w:rFonts w:hint="eastAsia" w:ascii="宋体" w:hAnsi="宋体" w:cs="宋体"/>
          <w:sz w:val="24"/>
          <w:highlight w:val="none"/>
        </w:rPr>
        <w:t>4、验收条件：开箱验收：清点产品装箱内容符合装箱单所列并符合招标文件要求和承诺书承诺；开机验收：产品应通电开机后进行所规定时间的试验运行后方可验收。</w:t>
      </w:r>
    </w:p>
    <w:p>
      <w:pPr>
        <w:spacing w:line="360" w:lineRule="auto"/>
        <w:ind w:left="92" w:leftChars="44" w:right="-147" w:rightChars="-70" w:firstLine="480" w:firstLineChars="200"/>
        <w:rPr>
          <w:rFonts w:hint="eastAsia" w:ascii="宋体" w:hAnsi="宋体" w:cs="宋体"/>
          <w:sz w:val="24"/>
          <w:highlight w:val="none"/>
        </w:rPr>
      </w:pPr>
      <w:r>
        <w:rPr>
          <w:rFonts w:hint="eastAsia" w:ascii="宋体" w:hAnsi="宋体" w:cs="宋体"/>
          <w:sz w:val="24"/>
          <w:highlight w:val="none"/>
        </w:rPr>
        <w:t>5、投标人的主机和所有配件、附件，必须保证产品的序列号、产品型号统一对应、描述一致。产品安装调试完毕后，能在其功能范围内保障用户的系统安全、稳定运行。软件产品是原厂产品包或原厂家提供许可证协议的正版软件，并符合采购单位的采购要求。</w:t>
      </w:r>
    </w:p>
    <w:p>
      <w:pPr>
        <w:pStyle w:val="258"/>
        <w:numPr>
          <w:ilvl w:val="0"/>
          <w:numId w:val="1"/>
        </w:numPr>
        <w:ind w:firstLineChars="0"/>
        <w:outlineLvl w:val="1"/>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服务要求</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1、质量保证：</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（1）投标货物必须是经国家“3C”认证的符合国家技术规范和质量标准的合格产品，满足采购单位的使用需求，并具有可靠的售后服务体系，质量可靠、使用安全；</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（2）投标人保证其提供的货物中所有预装和为本项目安装的软件均为具有合法版权或使用权的正版软件且无质量瑕疵；</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（3）在质保期内，如遇软件产品升级、改版，应免费提供更新、升级服务。</w:t>
      </w:r>
    </w:p>
    <w:p>
      <w:pPr>
        <w:pStyle w:val="15"/>
        <w:spacing w:line="360" w:lineRule="auto"/>
        <w:rPr>
          <w:rFonts w:hint="eastAsia" w:hAnsi="宋体" w:cs="宋体"/>
          <w:sz w:val="24"/>
          <w:szCs w:val="24"/>
          <w:highlight w:val="none"/>
        </w:rPr>
      </w:pPr>
      <w:r>
        <w:rPr>
          <w:rFonts w:hint="eastAsia" w:hAnsi="宋体" w:cs="宋体"/>
          <w:sz w:val="24"/>
          <w:szCs w:val="24"/>
          <w:highlight w:val="none"/>
        </w:rPr>
        <w:t>2、要求投标人提供不低于标准服务，即与投标设备制造厂商对外公众网站上公布的有效服务标准相一致（投标人不得另行制作网页）。在标准服务基础上，投标人还应达到以下标准：</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（1）</w:t>
      </w:r>
      <w:r>
        <w:rPr>
          <w:rFonts w:hint="eastAsia" w:hAnsi="宋体" w:cs="宋体"/>
          <w:sz w:val="24"/>
          <w:szCs w:val="24"/>
          <w:highlight w:val="none"/>
        </w:rPr>
        <w:tab/>
      </w:r>
      <w:r>
        <w:rPr>
          <w:rFonts w:hint="eastAsia" w:hAnsi="宋体" w:cs="宋体"/>
          <w:sz w:val="24"/>
          <w:szCs w:val="24"/>
          <w:highlight w:val="none"/>
        </w:rPr>
        <w:t>投标设备的品质和服务由供应商对采购单位负责；</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（2）</w:t>
      </w:r>
      <w:r>
        <w:rPr>
          <w:rFonts w:hint="eastAsia" w:hAnsi="宋体" w:cs="宋体"/>
          <w:sz w:val="24"/>
          <w:szCs w:val="24"/>
          <w:highlight w:val="none"/>
        </w:rPr>
        <w:tab/>
      </w:r>
      <w:r>
        <w:rPr>
          <w:rFonts w:hint="eastAsia" w:hAnsi="宋体" w:cs="宋体"/>
          <w:sz w:val="24"/>
          <w:szCs w:val="24"/>
          <w:highlight w:val="none"/>
        </w:rPr>
        <w:t>投标人应明确说明此次投标的服务策略，提供此次投标设备的服务计划（售后服务内容、等级、相关服务指标、售后服务组织机构及人员安排情况及其联络信息）；</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（3）</w:t>
      </w:r>
      <w:r>
        <w:rPr>
          <w:rFonts w:hint="eastAsia" w:hAnsi="宋体" w:cs="宋体"/>
          <w:sz w:val="24"/>
          <w:szCs w:val="24"/>
          <w:highlight w:val="none"/>
        </w:rPr>
        <w:tab/>
      </w:r>
      <w:r>
        <w:rPr>
          <w:rFonts w:hint="eastAsia" w:hAnsi="宋体" w:cs="宋体"/>
          <w:sz w:val="24"/>
          <w:szCs w:val="24"/>
          <w:highlight w:val="none"/>
        </w:rPr>
        <w:t>在质保期内除提供设备标准保修和技术支持服务外，还应保证相关配套设备及配件等设备</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年</w:t>
      </w:r>
      <w:r>
        <w:rPr>
          <w:rFonts w:hint="eastAsia" w:hAnsi="宋体" w:cs="宋体"/>
          <w:sz w:val="24"/>
          <w:szCs w:val="24"/>
          <w:highlight w:val="none"/>
        </w:rPr>
        <w:t>的服务承诺及备品、备件支持，以满足最终用户硬件故障、升级的要求；</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（4）</w:t>
      </w:r>
      <w:r>
        <w:rPr>
          <w:rFonts w:hint="eastAsia" w:hAnsi="宋体" w:cs="宋体"/>
          <w:sz w:val="24"/>
          <w:szCs w:val="24"/>
          <w:highlight w:val="none"/>
        </w:rPr>
        <w:tab/>
      </w:r>
      <w:r>
        <w:rPr>
          <w:rFonts w:hint="eastAsia" w:hAnsi="宋体" w:cs="宋体"/>
          <w:sz w:val="24"/>
          <w:szCs w:val="24"/>
          <w:highlight w:val="none"/>
        </w:rPr>
        <w:t>在</w:t>
      </w:r>
      <w:r>
        <w:rPr>
          <w:rFonts w:hint="eastAsia" w:hAnsi="宋体" w:cs="宋体"/>
          <w:sz w:val="24"/>
          <w:szCs w:val="24"/>
          <w:highlight w:val="none"/>
          <w:lang w:val="en-US" w:eastAsia="zh-CN"/>
        </w:rPr>
        <w:t>现场服务</w:t>
      </w:r>
      <w:r>
        <w:rPr>
          <w:rFonts w:hint="eastAsia" w:hAnsi="宋体" w:cs="宋体"/>
          <w:sz w:val="24"/>
          <w:szCs w:val="24"/>
          <w:highlight w:val="none"/>
        </w:rPr>
        <w:t>期内，供应商应提供7</w:t>
      </w:r>
      <w:r>
        <w:rPr>
          <w:rFonts w:hint="eastAsia" w:hAnsi="宋体" w:cs="宋体"/>
          <w:color w:val="auto"/>
          <w:sz w:val="24"/>
          <w:szCs w:val="24"/>
          <w:highlight w:val="none"/>
        </w:rPr>
        <w:t>×</w:t>
      </w:r>
      <w:r>
        <w:rPr>
          <w:rFonts w:hint="eastAsia" w:hAnsi="宋体" w:cs="宋体"/>
          <w:sz w:val="24"/>
          <w:szCs w:val="24"/>
          <w:highlight w:val="none"/>
        </w:rPr>
        <w:t>24小时的免费现场技术服务，对故障在1小时内响应，2小时以内到现场，4小时以内解决问题；</w:t>
      </w:r>
      <w:r>
        <w:rPr>
          <w:rFonts w:hint="eastAsia" w:hAnsi="宋体" w:cs="宋体"/>
          <w:b/>
          <w:sz w:val="24"/>
          <w:szCs w:val="24"/>
          <w:highlight w:val="none"/>
        </w:rPr>
        <w:t>12小时内不能解决问题的</w:t>
      </w:r>
      <w:r>
        <w:rPr>
          <w:rFonts w:hint="eastAsia" w:hAnsi="宋体" w:cs="宋体"/>
          <w:b/>
          <w:sz w:val="24"/>
          <w:szCs w:val="24"/>
          <w:highlight w:val="none"/>
          <w:lang w:val="zh-CN"/>
        </w:rPr>
        <w:t>，必须提供备机</w:t>
      </w:r>
      <w:r>
        <w:rPr>
          <w:rFonts w:hint="eastAsia" w:hAnsi="宋体" w:cs="宋体"/>
          <w:sz w:val="24"/>
          <w:szCs w:val="24"/>
          <w:highlight w:val="none"/>
          <w:lang w:val="zh-CN"/>
        </w:rPr>
        <w:t>，</w:t>
      </w:r>
      <w:r>
        <w:rPr>
          <w:rFonts w:hint="eastAsia" w:hAnsi="宋体" w:cs="宋体"/>
          <w:sz w:val="24"/>
          <w:szCs w:val="24"/>
          <w:highlight w:val="none"/>
        </w:rPr>
        <w:t xml:space="preserve">以保证采购单位的正常使用。如果逾期未作出响应，则由于故障所造成的全部损失由供应商承担； </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（5）</w:t>
      </w:r>
      <w:r>
        <w:rPr>
          <w:rFonts w:hint="eastAsia" w:hAnsi="宋体" w:cs="宋体"/>
          <w:sz w:val="24"/>
          <w:szCs w:val="24"/>
          <w:highlight w:val="none"/>
        </w:rPr>
        <w:tab/>
      </w:r>
      <w:r>
        <w:rPr>
          <w:rFonts w:hint="eastAsia" w:hAnsi="宋体" w:cs="宋体"/>
          <w:sz w:val="24"/>
          <w:szCs w:val="24"/>
          <w:highlight w:val="none"/>
        </w:rPr>
        <w:t>当投标货物发生非人为因素严重故障时，供应商应当免费在七日内将补充或者更换的货物运抵发生故障的货物所在地，由此产生的一切相关费用由供应商负担；</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（6）</w:t>
      </w:r>
      <w:r>
        <w:rPr>
          <w:rFonts w:hint="eastAsia" w:hAnsi="宋体" w:cs="宋体"/>
          <w:sz w:val="24"/>
          <w:szCs w:val="24"/>
          <w:highlight w:val="none"/>
        </w:rPr>
        <w:tab/>
      </w:r>
      <w:r>
        <w:rPr>
          <w:rFonts w:hint="eastAsia" w:hAnsi="宋体" w:cs="宋体"/>
          <w:sz w:val="24"/>
          <w:szCs w:val="24"/>
          <w:highlight w:val="none"/>
        </w:rPr>
        <w:t>质保期内所有因更换或修理设备或部件而导致设备停止运行的时间应从其质保期内扣除；</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（7）</w:t>
      </w:r>
      <w:r>
        <w:rPr>
          <w:rFonts w:hint="eastAsia" w:hAnsi="宋体" w:cs="宋体"/>
          <w:sz w:val="24"/>
          <w:szCs w:val="24"/>
          <w:highlight w:val="none"/>
        </w:rPr>
        <w:tab/>
      </w:r>
      <w:r>
        <w:rPr>
          <w:rFonts w:hint="eastAsia" w:hAnsi="宋体" w:cs="宋体"/>
          <w:sz w:val="24"/>
          <w:szCs w:val="24"/>
          <w:highlight w:val="none"/>
        </w:rPr>
        <w:t>供应商在质保期内安装的任何零配件，必须是其投标设备制造厂商原产的或是经其认可的；</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（8）</w:t>
      </w:r>
      <w:r>
        <w:rPr>
          <w:rFonts w:hint="eastAsia" w:hAnsi="宋体" w:cs="宋体"/>
          <w:sz w:val="24"/>
          <w:szCs w:val="24"/>
          <w:highlight w:val="none"/>
        </w:rPr>
        <w:tab/>
      </w:r>
      <w:r>
        <w:rPr>
          <w:rFonts w:hint="eastAsia" w:hAnsi="宋体" w:cs="宋体"/>
          <w:sz w:val="24"/>
          <w:szCs w:val="24"/>
          <w:highlight w:val="none"/>
        </w:rPr>
        <w:t>所有的替代零配件必须是新的未使用和未经修复的，除非最终用户提供书面许可，否则不可使用此范围外的其他（非新的）配件；</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（9） 供应商必须为维修和技术支持所未能解决的问题和故障提供正式的升级方案；</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（10）在质保期内，供应商有责任解决所提供的投标设备和软件系统的任何问题，在质保期满后，当需要时，供应商仍须对因投标设备本身的固有缺陷和瑕疵承担相应责任。</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3、对设备服务要求的有效响应将被视为投标人对其所投标设备的服务承诺，如果中标，须将服务承诺列入合同的设备服务条款。</w:t>
      </w:r>
    </w:p>
    <w:p>
      <w:pPr>
        <w:tabs>
          <w:tab w:val="left" w:pos="3780"/>
        </w:tabs>
        <w:spacing w:line="360" w:lineRule="auto"/>
        <w:rPr>
          <w:rFonts w:hint="eastAsia" w:ascii="宋体" w:hAnsi="宋体" w:cs="宋体"/>
          <w:snapToGrid w:val="0"/>
          <w:color w:val="000000"/>
          <w:kern w:val="28"/>
          <w:sz w:val="24"/>
          <w:highlight w:val="none"/>
        </w:rPr>
      </w:pPr>
    </w:p>
    <w:p>
      <w:pPr>
        <w:pStyle w:val="3"/>
        <w:keepNext w:val="0"/>
        <w:ind w:left="0" w:firstLine="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五</w:t>
      </w:r>
      <w:r>
        <w:rPr>
          <w:rFonts w:hint="eastAsia" w:ascii="宋体" w:hAnsi="宋体" w:eastAsia="宋体" w:cs="宋体"/>
          <w:highlight w:val="none"/>
          <w:lang w:val="en-US"/>
        </w:rPr>
        <w:t>、</w:t>
      </w:r>
      <w:r>
        <w:rPr>
          <w:rFonts w:hint="eastAsia" w:ascii="宋体" w:hAnsi="宋体" w:eastAsia="宋体" w:cs="宋体"/>
          <w:highlight w:val="none"/>
          <w:lang w:val="en-US" w:eastAsia="zh-CN"/>
        </w:rPr>
        <w:t>参数要求</w:t>
      </w:r>
    </w:p>
    <w:tbl>
      <w:tblPr>
        <w:tblStyle w:val="62"/>
        <w:tblW w:w="4995" w:type="pct"/>
        <w:tblInd w:w="0" w:type="dxa"/>
        <w:tblLayout w:type="autofit"/>
        <w:tblCellMar>
          <w:top w:w="0" w:type="dxa"/>
          <w:left w:w="108" w:type="dxa"/>
          <w:bottom w:w="0" w:type="dxa"/>
          <w:right w:w="108" w:type="dxa"/>
        </w:tblCellMar>
      </w:tblPr>
      <w:tblGrid>
        <w:gridCol w:w="705"/>
        <w:gridCol w:w="1418"/>
        <w:gridCol w:w="2408"/>
        <w:gridCol w:w="3956"/>
      </w:tblGrid>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一级指标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二级指标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指标要求</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▲CPU架构类型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eastAsia="zh-CN"/>
              </w:rPr>
            </w:pPr>
            <w:r>
              <w:rPr>
                <w:rFonts w:hint="default" w:ascii="Times New Roman" w:hAnsi="Times New Roman" w:eastAsia="宋体" w:cs="Times New Roman"/>
                <w:color w:val="000000"/>
                <w:sz w:val="24"/>
                <w:highlight w:val="none"/>
                <w:lang w:eastAsia="zh-CN"/>
              </w:rPr>
              <w:t>国产</w:t>
            </w:r>
            <w:r>
              <w:rPr>
                <w:rFonts w:hint="eastAsia" w:cs="Times New Roman"/>
                <w:color w:val="000000"/>
                <w:sz w:val="24"/>
                <w:highlight w:val="none"/>
                <w:lang w:val="en-US" w:eastAsia="zh-CN"/>
              </w:rPr>
              <w:t>C</w:t>
            </w:r>
            <w:r>
              <w:rPr>
                <w:rFonts w:hint="default" w:ascii="Times New Roman" w:hAnsi="Times New Roman" w:eastAsia="宋体" w:cs="Times New Roman"/>
                <w:color w:val="000000"/>
                <w:sz w:val="24"/>
                <w:highlight w:val="none"/>
                <w:lang w:eastAsia="zh-CN"/>
              </w:rPr>
              <w:t>86架构处理器</w:t>
            </w:r>
            <w:r>
              <w:rPr>
                <w:rFonts w:hint="eastAsia" w:cs="Times New Roman"/>
                <w:color w:val="000000"/>
                <w:sz w:val="24"/>
                <w:highlight w:val="none"/>
                <w:lang w:eastAsia="zh-CN"/>
              </w:rPr>
              <w:t>，海光</w:t>
            </w:r>
            <w:r>
              <w:rPr>
                <w:rFonts w:hint="eastAsia" w:ascii="Times New Roman" w:hAnsi="Times New Roman" w:eastAsia="宋体" w:cs="Times New Roman"/>
                <w:color w:val="000000"/>
                <w:sz w:val="24"/>
                <w:highlight w:val="none"/>
                <w:lang w:eastAsia="zh-CN"/>
              </w:rPr>
              <w:t>Hygon</w:t>
            </w:r>
            <w:r>
              <w:rPr>
                <w:rFonts w:hint="eastAsia" w:ascii="Times New Roman" w:hAnsi="Times New Roman" w:eastAsia="宋体" w:cs="Times New Roman"/>
                <w:color w:val="000000"/>
                <w:sz w:val="24"/>
                <w:highlight w:val="none"/>
                <w:lang w:val="en-US" w:eastAsia="zh-CN"/>
              </w:rPr>
              <w:t>3350及以上</w:t>
            </w:r>
            <w:r>
              <w:rPr>
                <w:rFonts w:hint="default" w:ascii="Times New Roman" w:hAnsi="Times New Roman" w:eastAsia="宋体" w:cs="Times New Roman"/>
                <w:color w:val="000000"/>
                <w:sz w:val="24"/>
                <w:highlight w:val="none"/>
                <w:lang w:eastAsia="zh-CN"/>
              </w:rPr>
              <w:t>。</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▲CPU通道数</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≥2</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▲CPU热功耗</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热设计功耗≤</w:t>
            </w:r>
            <w:r>
              <w:rPr>
                <w:rFonts w:hint="eastAsia" w:ascii="宋体" w:hAnsi="宋体" w:cs="宋体"/>
                <w:color w:val="000000"/>
                <w:kern w:val="0"/>
                <w:sz w:val="24"/>
                <w:highlight w:val="none"/>
                <w:lang w:val="en-US" w:eastAsia="zh-CN" w:bidi="ar"/>
              </w:rPr>
              <w:t>65</w:t>
            </w:r>
            <w:r>
              <w:rPr>
                <w:rFonts w:hint="eastAsia" w:ascii="宋体" w:hAnsi="宋体" w:eastAsia="宋体" w:cs="宋体"/>
                <w:color w:val="000000"/>
                <w:kern w:val="0"/>
                <w:sz w:val="24"/>
                <w:highlight w:val="none"/>
                <w:lang w:bidi="ar"/>
              </w:rPr>
              <w:t>W</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▲CPU位宽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≥64位</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▲内存配置容量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≥16GB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支持DDR4及以上内存类型</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▲内存条配置数量（板载内存不涉及）</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▲主板支持的CPU和内存情况</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auto"/>
                <w:kern w:val="0"/>
                <w:sz w:val="24"/>
                <w:highlight w:val="none"/>
                <w:lang w:bidi="ar"/>
              </w:rPr>
              <w:t>支持国产</w:t>
            </w:r>
            <w:r>
              <w:rPr>
                <w:rFonts w:hint="eastAsia" w:ascii="宋体" w:hAnsi="宋体" w:cs="宋体"/>
                <w:color w:val="auto"/>
                <w:kern w:val="0"/>
                <w:sz w:val="24"/>
                <w:highlight w:val="none"/>
                <w:lang w:val="en-US" w:eastAsia="zh-CN" w:bidi="ar"/>
              </w:rPr>
              <w:t>C86</w:t>
            </w:r>
            <w:r>
              <w:rPr>
                <w:rFonts w:hint="eastAsia" w:ascii="宋体" w:hAnsi="宋体" w:eastAsia="宋体" w:cs="宋体"/>
                <w:color w:val="auto"/>
                <w:kern w:val="0"/>
                <w:sz w:val="24"/>
                <w:highlight w:val="none"/>
                <w:lang w:bidi="ar"/>
              </w:rPr>
              <w:t>架构CPU和DDR4及以上内存</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▲主板集成模块</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集成资源扩展模块、计算处理模块、音频扩展模块等，主板的互联拓扑可通过处理器或交换电路实现</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▲主板内置PCle插槽数量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支持PCle插槽数量不少于3个</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▲主板其他内置接口</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供应商给出相关 SATA、M.2、USB 接口数量及占用状态</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单内存插槽最大可支持容量（板载内存不涉及）</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32</w:t>
            </w:r>
            <w:r>
              <w:rPr>
                <w:rFonts w:hint="eastAsia" w:ascii="宋体" w:hAnsi="宋体" w:eastAsia="宋体" w:cs="宋体"/>
                <w:color w:val="000000"/>
                <w:kern w:val="0"/>
                <w:sz w:val="24"/>
                <w:highlight w:val="none"/>
                <w:lang w:bidi="ar"/>
              </w:rPr>
              <w:t>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内存插槽满配时提供的最高内存总容量（板载内存不涉及）</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128</w:t>
            </w:r>
            <w:r>
              <w:rPr>
                <w:rFonts w:hint="eastAsia" w:ascii="宋体" w:hAnsi="宋体" w:eastAsia="宋体" w:cs="宋体"/>
                <w:color w:val="000000"/>
                <w:kern w:val="0"/>
                <w:sz w:val="24"/>
                <w:highlight w:val="none"/>
                <w:lang w:bidi="ar"/>
              </w:rPr>
              <w:t>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存储设备规格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▲固态盘数量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≥1个</w:t>
            </w:r>
          </w:p>
        </w:tc>
      </w:tr>
      <w:tr>
        <w:tblPrEx>
          <w:tblCellMar>
            <w:top w:w="0" w:type="dxa"/>
            <w:left w:w="108" w:type="dxa"/>
            <w:bottom w:w="0" w:type="dxa"/>
            <w:right w:w="108" w:type="dxa"/>
          </w:tblCellMar>
        </w:tblPrEx>
        <w:trPr>
          <w:trHeight w:val="329"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★固态存储容量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≥512GB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▲机械硬盘数量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val="en-US" w:eastAsia="zh-CN" w:bidi="ar"/>
              </w:rPr>
              <w:t>1</w:t>
            </w:r>
            <w:r>
              <w:rPr>
                <w:rFonts w:hint="eastAsia" w:ascii="宋体" w:hAnsi="宋体" w:eastAsia="宋体" w:cs="宋体"/>
                <w:color w:val="000000"/>
                <w:kern w:val="0"/>
                <w:sz w:val="24"/>
                <w:highlight w:val="none"/>
                <w:lang w:bidi="ar"/>
              </w:rPr>
              <w:t>个</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★机械硬盘总容量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val="en-US" w:eastAsia="zh-CN" w:bidi="ar"/>
              </w:rPr>
              <w:t>1TB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机械硬盘转速</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若配置机械硬盘，转速≥</w:t>
            </w:r>
            <w:r>
              <w:rPr>
                <w:rFonts w:hint="eastAsia" w:ascii="宋体" w:hAnsi="宋体" w:cs="宋体"/>
                <w:color w:val="000000"/>
                <w:kern w:val="0"/>
                <w:sz w:val="24"/>
                <w:highlight w:val="none"/>
                <w:lang w:val="en-US" w:eastAsia="zh-CN" w:bidi="ar"/>
              </w:rPr>
              <w:t>72</w:t>
            </w:r>
            <w:r>
              <w:rPr>
                <w:rFonts w:hint="eastAsia" w:ascii="宋体" w:hAnsi="宋体" w:eastAsia="宋体" w:cs="宋体"/>
                <w:color w:val="000000"/>
                <w:kern w:val="0"/>
                <w:sz w:val="24"/>
                <w:highlight w:val="none"/>
                <w:lang w:bidi="ar"/>
              </w:rPr>
              <w:t>00rpm</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▲机械硬盘形态</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若配置机械硬盘，2.5英寸或3.5英寸等</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▲固态存储形态</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采用插卡或板载等形态，可选用符合M.2 或 2.5 寸 SATA 或mSATA 等标准的插卡形态</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▲存储设备其他参数要求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a)固态盘应符合 SJ/T 11654相关规定；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b)机械硬盘准备时间应不大于30s；侧面固定螺丝孔数量可为 4 孔或 6 孔；工作状态环境温度应满足 5℃~55℃；其它参数应符合GB/T  12628 相关规定</w:t>
            </w:r>
          </w:p>
        </w:tc>
      </w:tr>
      <w:tr>
        <w:tblPrEx>
          <w:tblCellMar>
            <w:top w:w="0" w:type="dxa"/>
            <w:left w:w="108" w:type="dxa"/>
            <w:bottom w:w="0" w:type="dxa"/>
            <w:right w:w="108" w:type="dxa"/>
          </w:tblCellMar>
        </w:tblPrEx>
        <w:trPr>
          <w:trHeight w:val="9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eastAsia="zh-CN"/>
              </w:rPr>
            </w:pPr>
            <w:r>
              <w:rPr>
                <w:rFonts w:hint="default" w:ascii="Times New Roman" w:hAnsi="Times New Roman" w:eastAsia="宋体" w:cs="Times New Roman"/>
                <w:color w:val="000000"/>
                <w:kern w:val="0"/>
                <w:sz w:val="24"/>
                <w:highlight w:val="none"/>
                <w:lang w:bidi="ar"/>
              </w:rPr>
              <w:t>独立显卡显存容量≥2GB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▲独立显卡显存类型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显存类型应为DDR4/GDDR5/GDDR6/LPDDR4</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独立显卡显存容量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default" w:ascii="Times New Roman" w:hAnsi="Times New Roman" w:eastAsia="宋体" w:cs="Times New Roman"/>
                <w:color w:val="000000"/>
                <w:kern w:val="0"/>
                <w:sz w:val="24"/>
                <w:highlight w:val="none"/>
                <w:lang w:bidi="ar"/>
              </w:rPr>
              <w:t>≥2GB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独立显卡显存位宽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default" w:ascii="Times New Roman" w:hAnsi="Times New Roman" w:eastAsia="宋体" w:cs="Times New Roman"/>
                <w:color w:val="000000"/>
                <w:kern w:val="0"/>
                <w:sz w:val="24"/>
                <w:highlight w:val="none"/>
                <w:lang w:bidi="ar"/>
              </w:rPr>
              <w:t>显存位宽≥64 位</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40"/>
              <w:keepNext w:val="0"/>
              <w:keepLines w:val="0"/>
              <w:suppressLineNumbers w:val="0"/>
              <w:spacing w:beforeAutospacing="0" w:afterAutospacing="0"/>
              <w:ind w:left="0" w:right="0"/>
              <w:jc w:val="center"/>
              <w:rPr>
                <w:rFonts w:hint="eastAsia" w:ascii="宋体" w:hAnsi="宋体" w:eastAsia="宋体" w:cs="宋体"/>
                <w:kern w:val="0"/>
                <w:sz w:val="24"/>
                <w:szCs w:val="24"/>
                <w:highlight w:val="none"/>
                <w:lang w:val="en-US" w:eastAsia="zh-CN" w:bidi="ar-SA"/>
              </w:rPr>
            </w:pPr>
            <w:r>
              <w:rPr>
                <w:rFonts w:hint="eastAsia" w:ascii="宋体" w:hAnsi="宋体" w:cs="宋体"/>
                <w:highlight w:val="none"/>
              </w:rPr>
              <w:t>独立显卡接口协议</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40"/>
              <w:keepNext w:val="0"/>
              <w:keepLines w:val="0"/>
              <w:suppressLineNumbers w:val="0"/>
              <w:spacing w:beforeAutospacing="0" w:afterAutospacing="0"/>
              <w:ind w:left="0" w:right="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支持 PCIe协议版本大于等于 2.0 或 HT （HyperTransport）协议版本大于等于3.0的独立显卡接口协议</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显示设备规格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★显示屏屏占比</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≥8</w:t>
            </w:r>
            <w:r>
              <w:rPr>
                <w:rFonts w:hint="eastAsia" w:ascii="宋体" w:hAnsi="宋体" w:cs="宋体"/>
                <w:color w:val="000000"/>
                <w:kern w:val="0"/>
                <w:sz w:val="24"/>
                <w:highlight w:val="none"/>
                <w:lang w:val="en-US" w:eastAsia="zh-CN" w:bidi="ar"/>
              </w:rPr>
              <w:t>9</w:t>
            </w:r>
            <w:r>
              <w:rPr>
                <w:rFonts w:hint="eastAsia" w:ascii="宋体" w:hAnsi="宋体" w:eastAsia="宋体" w:cs="宋体"/>
                <w:color w:val="000000"/>
                <w:kern w:val="0"/>
                <w:sz w:val="24"/>
                <w:highlight w:val="none"/>
                <w:lang w:bidi="ar"/>
              </w:rPr>
              <w:t>%</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▲显示屏分辨率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≥1920x1080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▲显示屏尺寸</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≥23.8英寸</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▲显示屏屏幕比例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16:9</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▲显示器外观颜色</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黑色/白色/银色等商务色系</w:t>
            </w:r>
          </w:p>
        </w:tc>
      </w:tr>
      <w:tr>
        <w:tblPrEx>
          <w:tblCellMar>
            <w:top w:w="0" w:type="dxa"/>
            <w:left w:w="108" w:type="dxa"/>
            <w:bottom w:w="0" w:type="dxa"/>
            <w:right w:w="108" w:type="dxa"/>
          </w:tblCellMar>
        </w:tblPrEx>
        <w:trPr>
          <w:trHeight w:val="9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显示屏防蓝光</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支持防蓝光模式，蓝光加权辐射亮度比应≤0.0012W/(·cd·sr)（瓦每坎特拉每球面度）</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显示屏低频闪</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显示屏应支持低频闪≤-35dB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显示屏防炫目</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显示屏镜面反射率≤10%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外设规格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▲鼠标数量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≥1个</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≥1个</w:t>
            </w:r>
          </w:p>
        </w:tc>
      </w:tr>
      <w:tr>
        <w:tblPrEx>
          <w:tblCellMar>
            <w:top w:w="0" w:type="dxa"/>
            <w:left w:w="108" w:type="dxa"/>
            <w:bottom w:w="0" w:type="dxa"/>
            <w:right w:w="108" w:type="dxa"/>
          </w:tblCellMar>
        </w:tblPrEx>
        <w:trPr>
          <w:trHeight w:val="341"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▲键盘按键数目</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61键/86键/101键/104键等</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▲键盘连接方式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有线</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▲键盘键程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2.3mm~4.0mm</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▲键盘按键压力</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按键压力应在 0.54  N±0.14N</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▲键盘颜色</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黑色/白色/银色等商务色系</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▲鼠标连接方式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有线</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▲有线鼠标连接线</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≥1.5 米</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▲鼠标DPI分辨率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800~1600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▲鼠标颜色</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黑色/银色/白色等商务色系</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▲鼠标其他要求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其它参数应符合 GB/T  26245 的相关规定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光驱数量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内置光驱</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highlight w:val="none"/>
                <w:lang w:val="en-US" w:eastAsia="zh-CN" w:bidi="ar"/>
              </w:rPr>
              <w:t>支持内置光驱</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光驱功能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cs="宋体"/>
                <w:color w:val="000000"/>
                <w:kern w:val="0"/>
                <w:sz w:val="24"/>
                <w:highlight w:val="none"/>
                <w:lang w:val="en-US" w:eastAsia="zh-CN" w:bidi="ar"/>
              </w:rPr>
              <w:t>光</w:t>
            </w:r>
            <w:r>
              <w:rPr>
                <w:rFonts w:hint="eastAsia" w:ascii="宋体" w:hAnsi="宋体" w:eastAsia="宋体" w:cs="宋体"/>
                <w:color w:val="000000"/>
                <w:kern w:val="0"/>
                <w:sz w:val="24"/>
                <w:highlight w:val="none"/>
                <w:lang w:val="en-US" w:eastAsia="zh-CN" w:bidi="ar"/>
              </w:rPr>
              <w:t xml:space="preserve">驱应支持只读、刻录等类型；最大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 xml:space="preserve">读取速度 CD 不低于 24×150KB/s；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 xml:space="preserve">最大读取速度DVD不低于8×358KB/s；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 xml:space="preserve">最大刻录速度CD不低于24×150KB/s；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 xml:space="preserve">最大刻录速度 DVD 不低于 6×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 xml:space="preserve">1358KB/s；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val="en-US" w:eastAsia="zh-CN" w:bidi="ar"/>
              </w:rPr>
              <w:t xml:space="preserve">兼容光盘类型包含只读光盘、可读写 </w:t>
            </w:r>
          </w:p>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光盘、可擦写光盘等</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网络设备规格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▲有线网卡数量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外部接口规格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▲USB接口数量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个USB接口，</w:t>
            </w:r>
            <w:r>
              <w:rPr>
                <w:rFonts w:hint="eastAsia" w:ascii="宋体" w:hAnsi="宋体" w:eastAsia="宋体" w:cs="宋体"/>
                <w:color w:val="auto"/>
                <w:kern w:val="0"/>
                <w:sz w:val="22"/>
                <w:szCs w:val="22"/>
                <w:highlight w:val="none"/>
                <w:lang w:val="en-US" w:eastAsia="zh-CN"/>
              </w:rPr>
              <w:t>其中</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个USB3.0和4个USB2.0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▲音频接口数量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2</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▲视频接口数量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2</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整机基础规格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▲整机外观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 产品表面不应有凹痕、划伤、裂缝、变形和污染等。表面涂层均匀，不应起泡、龟裂、脱落和磨损，金属零部件无锈蚀及其它机械损伤；</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b) 产品表面说明功能的文字、符号、标志，应清晰、端正、牢固；</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▲状态指示灯</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在产品显著位置提供状态指示功能，如运行状态，并由供应商提供详细参数</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▲整机结构</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a)机箱应符合 GB/T 4208、GB/T 26246的相关规定；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b) 产品内部结构应符合通用部件的安装需求；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c) 所有输入输出接口应符合相关国家或行业标准；</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d) 产品零部件应紧固无松动，可插拔部件应可靠连接，开关、按钮和其它控制部件应灵活可靠，布局应方便使用；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e) 所有I/O 连接器及需插接线缆的部位应预留采购人操作空间，方便插拔解锁与插拔线缆；</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f) 可插拔板卡插槽部位应预留安装、拆卸或更换板卡空间；</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g) 拆装可能接触到的金属剪口或金属尖角部位应做防划伤处理，以保证安全；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h) 整机内部走线应规整，固线结构和位置要合理可靠并做防割线处理，需便于理线和插拔操作，走线应不影响系统各主要部件组装和拆卸；</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i) 如需通过孔走线，过线孔应做防割线处理；</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j)各插头位置和插拔方向应合理，应做到插拔无障碍设计，具备防呆设计，有效避免误操作；</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k)各主要部件拆装无障碍，使用常规工具拆装，无特殊拆装工具需求；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l)各主要部件拆装步骤要少，各自拆装需避免相互干扰；</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m)对于整机或零部件外表面为高亮面的，应粘贴保护膜，保护膜需粘贴牢固，运输、组装等过程不易脱落，撕下无残留；</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n)其它要求应符合GB/T9813.1的相关规定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▲机箱防护要求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机箱应符合 GB/T  4208 中 IP20 防护要求</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整机噪音</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产品工作在空闲状态下，产品的声功率级应不超过 4.5  Bel</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▲整机散热</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在环境温度 25℃及处理器满载情况下，产品表面温度应符合如下要求：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 出风口在机箱后面板情况下，出风口温度不高于 55℃；</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b) 可触及面温度不高于 45℃；</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 显示器表面温度：显示屏不高于 38℃，显示屏上下灯带位置温度（如涉及）不高于 40℃，出风口温度不高于 45℃</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▲整机能效限定值</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产品能效限定值应达到GB 28380-2012标准中能效等级 2 级及以上</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▲机身材质</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塑料/金属等</w:t>
            </w:r>
          </w:p>
        </w:tc>
      </w:tr>
      <w:tr>
        <w:tblPrEx>
          <w:tblCellMar>
            <w:top w:w="0" w:type="dxa"/>
            <w:left w:w="108" w:type="dxa"/>
            <w:bottom w:w="0" w:type="dxa"/>
            <w:right w:w="108" w:type="dxa"/>
          </w:tblCellMar>
        </w:tblPrEx>
        <w:trPr>
          <w:trHeight w:val="316"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▲机身颜色</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灰色/黑色等商务色系</w:t>
            </w:r>
          </w:p>
        </w:tc>
      </w:tr>
      <w:tr>
        <w:tblPrEx>
          <w:tblCellMar>
            <w:top w:w="0" w:type="dxa"/>
            <w:left w:w="108" w:type="dxa"/>
            <w:bottom w:w="0" w:type="dxa"/>
            <w:right w:w="108" w:type="dxa"/>
          </w:tblCellMar>
        </w:tblPrEx>
        <w:trPr>
          <w:trHeight w:val="313"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▲机箱尺寸容量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机箱体积应不</w:t>
            </w:r>
            <w:r>
              <w:rPr>
                <w:rFonts w:hint="eastAsia" w:ascii="宋体" w:hAnsi="宋体" w:cs="宋体"/>
                <w:color w:val="000000"/>
                <w:kern w:val="0"/>
                <w:sz w:val="24"/>
                <w:highlight w:val="none"/>
                <w:lang w:eastAsia="zh-CN" w:bidi="ar"/>
              </w:rPr>
              <w:t>大于</w:t>
            </w:r>
            <w:r>
              <w:rPr>
                <w:rFonts w:hint="eastAsia" w:ascii="宋体" w:hAnsi="宋体" w:cs="宋体"/>
                <w:color w:val="000000"/>
                <w:kern w:val="0"/>
                <w:sz w:val="24"/>
                <w:highlight w:val="none"/>
                <w:lang w:val="en-US" w:eastAsia="zh-CN" w:bidi="ar"/>
              </w:rPr>
              <w:t>30</w:t>
            </w:r>
            <w:r>
              <w:rPr>
                <w:rFonts w:hint="eastAsia" w:ascii="宋体" w:hAnsi="宋体" w:eastAsia="宋体" w:cs="宋体"/>
                <w:color w:val="000000"/>
                <w:kern w:val="0"/>
                <w:sz w:val="24"/>
                <w:highlight w:val="none"/>
                <w:lang w:bidi="ar"/>
              </w:rPr>
              <w:t>L</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CPU性能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▲CPU物理核数</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≥8</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▲CPU主频</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3.0</w:t>
            </w:r>
            <w:r>
              <w:rPr>
                <w:rFonts w:hint="eastAsia" w:ascii="宋体" w:hAnsi="宋体" w:eastAsia="宋体" w:cs="宋体"/>
                <w:color w:val="000000"/>
                <w:kern w:val="0"/>
                <w:sz w:val="24"/>
                <w:highlight w:val="none"/>
                <w:lang w:bidi="ar"/>
              </w:rPr>
              <w:t>GHz</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CPU末级缓存容量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16</w:t>
            </w:r>
            <w:r>
              <w:rPr>
                <w:rFonts w:hint="eastAsia" w:ascii="宋体" w:hAnsi="宋体" w:eastAsia="宋体" w:cs="宋体"/>
                <w:color w:val="000000"/>
                <w:kern w:val="0"/>
                <w:sz w:val="24"/>
                <w:highlight w:val="none"/>
                <w:lang w:bidi="ar"/>
              </w:rPr>
              <w:t>MB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 支持的内存最高速率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≥2666MT/s</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内存性能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★内存读写速率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val="en-US" w:eastAsia="zh-CN" w:bidi="ar"/>
              </w:rPr>
              <w:t>2666</w:t>
            </w:r>
            <w:r>
              <w:rPr>
                <w:rFonts w:hint="eastAsia" w:ascii="宋体" w:hAnsi="宋体" w:eastAsia="宋体" w:cs="宋体"/>
                <w:color w:val="000000"/>
                <w:kern w:val="0"/>
                <w:sz w:val="24"/>
                <w:highlight w:val="none"/>
                <w:lang w:bidi="ar"/>
              </w:rPr>
              <w:t>MT/s</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显卡性能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显示分辨率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≥1920x1080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显卡显示芯片核心频率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30</w:t>
            </w:r>
            <w:r>
              <w:rPr>
                <w:rFonts w:hint="eastAsia" w:ascii="宋体" w:hAnsi="宋体" w:eastAsia="宋体" w:cs="宋体"/>
                <w:color w:val="000000"/>
                <w:kern w:val="0"/>
                <w:sz w:val="24"/>
                <w:highlight w:val="none"/>
                <w:lang w:bidi="ar"/>
              </w:rPr>
              <w:t>0MHz</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显存等效频率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r>
              <w:rPr>
                <w:rFonts w:hint="eastAsia" w:ascii="宋体" w:hAnsi="宋体" w:cs="宋体"/>
                <w:color w:val="000000"/>
                <w:kern w:val="0"/>
                <w:sz w:val="24"/>
                <w:highlight w:val="none"/>
                <w:lang w:val="en-US" w:eastAsia="zh-CN" w:bidi="ar"/>
              </w:rPr>
              <w:t>0</w:t>
            </w:r>
            <w:r>
              <w:rPr>
                <w:rFonts w:hint="eastAsia" w:ascii="宋体" w:hAnsi="宋体" w:eastAsia="宋体" w:cs="宋体"/>
                <w:color w:val="000000"/>
                <w:kern w:val="0"/>
                <w:sz w:val="24"/>
                <w:highlight w:val="none"/>
                <w:lang w:bidi="ar"/>
              </w:rPr>
              <w:t>00MT/s</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▲显卡可支持多屏同时显示数量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显卡应支持 2 块屏幕同时显示，分辨率应不低于 1920×1080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显示设备性能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显示屏刷新率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75</w:t>
            </w:r>
            <w:r>
              <w:rPr>
                <w:rFonts w:hint="eastAsia" w:ascii="宋体" w:hAnsi="宋体" w:eastAsia="宋体" w:cs="宋体"/>
                <w:color w:val="000000"/>
                <w:kern w:val="0"/>
                <w:sz w:val="24"/>
                <w:highlight w:val="none"/>
                <w:lang w:bidi="ar"/>
              </w:rPr>
              <w:t>Hz</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显示屏位深</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≥8 位</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显示屏色域</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≥99%  sRGB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显示屏色准</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△E  ≤  4</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显示屏响应时间</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≤8ms</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显示屏亮度</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≥250 cd/m²</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显示屏亮度一致性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≥70%</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显示屏对比度</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5</w:t>
            </w:r>
            <w:r>
              <w:rPr>
                <w:rFonts w:hint="eastAsia" w:ascii="宋体" w:hAnsi="宋体" w:eastAsia="宋体" w:cs="宋体"/>
                <w:color w:val="000000"/>
                <w:kern w:val="0"/>
                <w:sz w:val="24"/>
                <w:highlight w:val="none"/>
                <w:lang w:bidi="ar"/>
              </w:rPr>
              <w:t>00：1</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▲显示屏其他参数</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其它参数应符合 SJ/T 11292 的相关规定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网络设备性能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▲有线网卡速率</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最高速率应不低于 1000Mbps，应支持 10Mbps、100Mbps、1000Mbps 速率自适应</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▲内存扩展接口(板载内存不涉及)</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r>
              <w:rPr>
                <w:rFonts w:hint="eastAsia" w:ascii="宋体" w:hAnsi="宋体" w:cs="宋体"/>
                <w:color w:val="000000"/>
                <w:kern w:val="0"/>
                <w:sz w:val="24"/>
                <w:highlight w:val="none"/>
                <w:lang w:val="en-US" w:eastAsia="zh-CN" w:bidi="ar"/>
              </w:rPr>
              <w:t>2</w:t>
            </w:r>
            <w:r>
              <w:rPr>
                <w:rFonts w:hint="eastAsia" w:ascii="宋体" w:hAnsi="宋体" w:eastAsia="宋体" w:cs="宋体"/>
                <w:color w:val="000000"/>
                <w:kern w:val="0"/>
                <w:sz w:val="24"/>
                <w:highlight w:val="none"/>
                <w:lang w:bidi="ar"/>
              </w:rPr>
              <w:t>个</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▲存储扩展接口(板载存储不涉及)</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供应商给出主板支持存储扩展接口类型，如 UFS3.0、SATA3.0、SAS3.0、M.2等类型接口</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▲主板USB瞬间过流保护</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支持有瞬间过流保护功能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▲主板防静电保护</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支持防静电保护功能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▲I/O 接口功能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提供基于标准USB 接口外设连接功能、基于音频输入输出接口的音频扩展功能、基于PCIe 接口板卡扩展功能、基于 HDMI 或 VGA 或 Type-C 或 DVI 或 DP等接口外接显示器扩展功能、基于存储接口对产品进行增容功能等。产品I/O 接口，应具备外接标准 USB 设备、显示器、音频设备等内外部设备能力</w:t>
            </w:r>
          </w:p>
        </w:tc>
      </w:tr>
      <w:tr>
        <w:tblPrEx>
          <w:tblCellMar>
            <w:top w:w="0" w:type="dxa"/>
            <w:left w:w="108" w:type="dxa"/>
            <w:bottom w:w="0" w:type="dxa"/>
            <w:right w:w="108" w:type="dxa"/>
          </w:tblCellMar>
        </w:tblPrEx>
        <w:trPr>
          <w:trHeight w:val="945"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▲显卡外接显示接口</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显卡至少支持 VGA、HDMI、DVI、DP、 Type-C 中 2 种显示接口，其中1种显示接口为HDMI，并与显示器接口相匹配</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显示设备功能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▲显示器接口</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显示器应与显卡外接显示接口匹配</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▲显示器支架</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显示器应提供显示器支架，支持屏幕旋转、升降等</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▲显示器参数调节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a)提供 OSD 选单按钮用于调节色彩、模式等；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b)支持色温、亮度、对比度调节</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▲存储功能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通过 SATA 固态存储/PCIe 固态存储/UFS 固态存储/SATA 硬磁盘等存储部件提供存储功能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网络设备功能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▲网络功能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a)支持网络连接、网络开启/关闭功能；</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b)支持访问网络和数据交换功能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▲数据传输</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支持数据传输能力，并提供数据流量和异常日志记录功能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▲有线网卡接口类型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 RJ45 接口</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▲网络设备拆装</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网络设备支持物理拆装，包括无线网卡和蓝牙模块等（若配置无线网卡和蓝牙模块）</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外部接口功能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▲音频接口类型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 3.5mm 孔径 3 段式或 4 段式接口</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▲视频接口类型</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至少支持 VGA、HDMI、DVI、DP、Type-C中 1 种显示接口</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▲HDMI、DP、Type-C显示接口要求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若提供HDMI 或DP 或 Type-C 作为显示接口，应支持音频和视频同步输出</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▲电源线适配能力</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电源适配器电线组件应符合 GB/T 15934 的要求，可拆线的插头和连接器可以不做要求</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操作系统及软件功能</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▲中文信息处理要求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  18030 的相关规定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▲操作系统备份及还原功能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支持操作系统备份及还原功能</w:t>
            </w:r>
          </w:p>
        </w:tc>
      </w:tr>
      <w:tr>
        <w:tblPrEx>
          <w:tblCellMar>
            <w:top w:w="0" w:type="dxa"/>
            <w:left w:w="108" w:type="dxa"/>
            <w:bottom w:w="0" w:type="dxa"/>
            <w:right w:w="108" w:type="dxa"/>
          </w:tblCellMar>
        </w:tblPrEx>
        <w:trPr>
          <w:trHeight w:val="553"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▲固件备份还原能力</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支持备份及还原固件的功能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▲操作系统及驱动升级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支持通过网络、闪存盘等方式对操作系统、驱动进行升级</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▲固件升级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支持通过网络、闪存盘等方式对固件进行升级</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▲BIOS 支持关闭通讯接口</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 BIOS 关闭以太网及 USB 接口</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▲固件查看信息</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支持查看固件版本、内存信息、主板信息、处理器信息和系统时间信息等功能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▲固件设置启动顺序</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支持设置启动顺序功能，并按照设置的启动顺序启动</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▲固件设置口令</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支持设置口令、修改口令、验证口令功能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▲固件设置网络引导</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支持网络引导启动和关闭功能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存储设备可靠性</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★固态存储寿命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TBW  ≥  80TB</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★机械硬盘寿命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通电时间≥</w:t>
            </w:r>
            <w:r>
              <w:rPr>
                <w:rFonts w:hint="eastAsia" w:ascii="宋体" w:hAnsi="宋体" w:cs="宋体"/>
                <w:color w:val="000000"/>
                <w:kern w:val="0"/>
                <w:sz w:val="24"/>
                <w:highlight w:val="none"/>
                <w:lang w:val="en-US" w:eastAsia="zh-CN" w:bidi="ar"/>
              </w:rPr>
              <w:t>5</w:t>
            </w:r>
            <w:r>
              <w:rPr>
                <w:rFonts w:hint="eastAsia" w:ascii="宋体" w:hAnsi="宋体" w:eastAsia="宋体" w:cs="宋体"/>
                <w:color w:val="000000"/>
                <w:kern w:val="0"/>
                <w:sz w:val="24"/>
                <w:highlight w:val="none"/>
                <w:lang w:bidi="ar"/>
              </w:rPr>
              <w:t>万小时</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显示设备可靠性</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▲显示屏屏幕失效点</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9813.2 的要求</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外设可靠性</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▲键盘按键寿命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≥1000 万次</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▲鼠标按键寿命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≥500 万次</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▲键盘鼠标线材寿命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键盘鼠标所用线材经±60°弯折不低于 3000 次，功能、外观完好</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▲风扇寿命</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≥4 万小时</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整机可靠性要求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▲电磁兼容性要求的抗扰度</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9254.2 的规定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▲环境条件要求的气候环境适应性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9813.1 中规定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▲环境条件要求的振动适应性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9813.1 中规定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▲环境条件要求的冲击适应性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9813.1 中规定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▲环境条件要求的碰撞适应性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9813.1 中规定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▲环境条件要求的运输包装件跌落适应性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9813.1 中规定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▲MTBF 测试</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MTBF(m1)≥</w:t>
            </w:r>
            <w:r>
              <w:rPr>
                <w:rFonts w:hint="eastAsia" w:ascii="宋体" w:hAnsi="宋体" w:cs="宋体"/>
                <w:color w:val="000000"/>
                <w:kern w:val="0"/>
                <w:sz w:val="24"/>
                <w:highlight w:val="none"/>
                <w:lang w:val="en-US" w:eastAsia="zh-CN" w:bidi="ar"/>
              </w:rPr>
              <w:t>15</w:t>
            </w:r>
            <w:r>
              <w:rPr>
                <w:rFonts w:hint="eastAsia" w:ascii="宋体" w:hAnsi="宋体" w:eastAsia="宋体" w:cs="宋体"/>
                <w:color w:val="000000"/>
                <w:kern w:val="0"/>
                <w:sz w:val="24"/>
                <w:highlight w:val="none"/>
                <w:lang w:bidi="ar"/>
              </w:rPr>
              <w:t>万小时</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常用软件兼容</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支持流式软件、版式软件、浏览器、邮件采购人端、解压软件、多媒体、图形图像处理等常用软件</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数据库兼容</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 3 个及以上厂商的数据库产品</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中间件兼容</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 3 个及以上厂商中间件产品</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平台软件兼容</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 3 个及以上厂商云计算及大数据平台</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包装及运输要求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▲标志、包装、运输和贮存</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9813.1 和商品包装政府采购需求标准的相关规定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▲配置检查工具</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供应商提供自检测试工具</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▲服务响应</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a)供应商提供电话、电子邮件、远程连接等多种形式服务；</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b)供应商应提供7×24小时的免费技术服务，对故障在1小时内响应，2小时以内到现场，4小时以内解决问题；12小时内不能解决问题的，必须提供备机，以保证采购单位的正常使用。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c)建立全国技术服务体系和服务团 体，符合专业服务体系标准要求，提供原厂中文服务；</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d)服务周期内提供产品的维修、换件和升级服务</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▲服务周期</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a)设备停产后应继续提供质量保障服务（含备品备件），服务终止时间与最后一批设备交付时间间隔不低于 6 年；</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b)产品停止服务时间应提前 1 年告知；</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c)应明确产品发布日期</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▲预装操作系统</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bidi="ar"/>
              </w:rPr>
              <w:t>预装正版国产麒麟或统信操作系统</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▲培训服务</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供应商提供培训材料、产品手册、培训视频等培训相关内容</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▲典型问题解决手册</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供应商提供典型问题解决说明文档或视频</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▲厂家升级软件与扩容服务</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供应商提供上门升级部件/软件与扩容的增值服务</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▲整机质量服务要求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免费服务周期（含换件和维修）应不小于</w:t>
            </w:r>
            <w:r>
              <w:rPr>
                <w:rFonts w:hint="eastAsia" w:ascii="宋体" w:hAnsi="宋体" w:cs="宋体"/>
                <w:color w:val="000000"/>
                <w:kern w:val="0"/>
                <w:sz w:val="24"/>
                <w:highlight w:val="none"/>
                <w:lang w:val="en-US" w:eastAsia="zh-CN" w:bidi="ar"/>
              </w:rPr>
              <w:t>3</w:t>
            </w:r>
            <w:r>
              <w:rPr>
                <w:rFonts w:hint="eastAsia" w:ascii="宋体" w:hAnsi="宋体" w:eastAsia="宋体" w:cs="宋体"/>
                <w:color w:val="000000"/>
                <w:kern w:val="0"/>
                <w:sz w:val="24"/>
                <w:highlight w:val="none"/>
                <w:lang w:bidi="ar"/>
              </w:rPr>
              <w:t>年</w:t>
            </w:r>
            <w:r>
              <w:rPr>
                <w:rFonts w:hint="eastAsia" w:ascii="宋体" w:hAnsi="宋体" w:eastAsia="宋体" w:cs="宋体"/>
                <w:b/>
                <w:bCs/>
                <w:color w:val="000000"/>
                <w:kern w:val="0"/>
                <w:sz w:val="24"/>
                <w:highlight w:val="none"/>
                <w:lang w:eastAsia="zh-CN" w:bidi="ar"/>
              </w:rPr>
              <w:t>（</w:t>
            </w:r>
            <w:r>
              <w:rPr>
                <w:rFonts w:hint="eastAsia" w:ascii="宋体" w:hAnsi="宋体" w:eastAsia="宋体" w:cs="宋体"/>
                <w:b/>
                <w:bCs/>
                <w:color w:val="000000"/>
                <w:kern w:val="0"/>
                <w:sz w:val="24"/>
                <w:highlight w:val="none"/>
                <w:lang w:val="en-US" w:eastAsia="zh-CN" w:bidi="ar"/>
              </w:rPr>
              <w:t>提供质保承诺函</w:t>
            </w:r>
            <w:r>
              <w:rPr>
                <w:rFonts w:hint="eastAsia" w:ascii="宋体" w:hAnsi="宋体" w:eastAsia="宋体" w:cs="宋体"/>
                <w:b/>
                <w:bCs/>
                <w:color w:val="000000"/>
                <w:kern w:val="0"/>
                <w:sz w:val="24"/>
                <w:highlight w:val="none"/>
                <w:lang w:eastAsia="zh-CN" w:bidi="ar"/>
              </w:rPr>
              <w:t>）</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▲合格证书要求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供应商提供产品合格证</w:t>
            </w:r>
            <w:r>
              <w:rPr>
                <w:rFonts w:hint="eastAsia" w:ascii="宋体" w:hAnsi="宋体" w:cs="宋体"/>
                <w:b/>
                <w:bCs/>
                <w:color w:val="auto"/>
                <w:kern w:val="0"/>
                <w:sz w:val="24"/>
                <w:highlight w:val="none"/>
                <w:lang w:eastAsia="zh-CN" w:bidi="ar"/>
              </w:rPr>
              <w:t>（提供合格证）</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▲开箱组装/使用指导要求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供应商提供开箱组装/使用指导</w:t>
            </w:r>
          </w:p>
        </w:tc>
      </w:tr>
      <w:tr>
        <w:tblPrEx>
          <w:tblCellMar>
            <w:top w:w="0" w:type="dxa"/>
            <w:left w:w="108" w:type="dxa"/>
            <w:bottom w:w="0" w:type="dxa"/>
            <w:right w:w="108" w:type="dxa"/>
          </w:tblCellMar>
        </w:tblPrEx>
        <w:trPr>
          <w:trHeight w:val="316"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▲驱动下载服务要求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供应商提供驱动光盘或下载方式</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▲兼容适配软件下载服务要求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供应商提供兼容适配软件下载渠道（光盘、网站）</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供应链合规性</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产品部件保障</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供应商保障产品主要部件，提供 6 年的备件服务能力（自购买之日起），或提供可兼容原设备的升级换代产品</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供应链质量</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▲抗干扰性</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当产品部件出现供应风险时，供应商应通知采购人并提供风险应对方案确保产品的服务保障</w:t>
            </w:r>
          </w:p>
        </w:tc>
      </w:tr>
      <w:tr>
        <w:tblPrEx>
          <w:tblCellMar>
            <w:top w:w="0" w:type="dxa"/>
            <w:left w:w="108" w:type="dxa"/>
            <w:bottom w:w="0" w:type="dxa"/>
            <w:right w:w="108" w:type="dxa"/>
          </w:tblCellMar>
        </w:tblPrEx>
        <w:trPr>
          <w:trHeight w:val="997"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▲供应能力证明</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供应商提供供应链稳定承诺书，确保产品的部件在产品服务周期内稳定供货</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关键部件安全要求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▲关键部件安全要求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CPU 和操作系统等关键部件应当符合安全可靠测评要求</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整机安全性要求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▲密码算法实现</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CPU 芯片应符合GM/T 0008的相关规定，或芯片密码模块应符合 GB/T 37092或 GM/T  0028 的相关规定；通过商用密码检测机构检测并经商用密码认证机构认证合格</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▲信息安全基本要求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a)产品应符合GB/T 39276的5.2 的规定；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b)生产厂商应建立漏洞跟踪表，保证产品版本涉及到的漏洞(如驱动程序等)可查看；</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c)产品不得包含已知的恶意代码或漏洞，不存在未声明的指令、功能、接口</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▲固件安全启动</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支持固件安全启动功能，固件启动过程中只有通过启动校验才能正常启动</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▲限用物质的限量要求</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 GB/T 26572中规定</w:t>
            </w:r>
          </w:p>
        </w:tc>
      </w:tr>
      <w:tr>
        <w:tblPrEx>
          <w:tblCellMar>
            <w:top w:w="0" w:type="dxa"/>
            <w:left w:w="108" w:type="dxa"/>
            <w:bottom w:w="0" w:type="dxa"/>
            <w:right w:w="108" w:type="dxa"/>
          </w:tblCellMar>
        </w:tblPrEx>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before="0" w:beforeAutospacing="0" w:after="0" w:afterAutospacing="0"/>
              <w:ind w:right="0"/>
              <w:jc w:val="center"/>
              <w:textAlignment w:val="center"/>
              <w:rPr>
                <w:rFonts w:hint="eastAsia" w:ascii="宋体" w:hAnsi="宋体" w:eastAsia="宋体" w:cs="宋体"/>
                <w:color w:val="000000"/>
                <w:sz w:val="24"/>
                <w:highlight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配套软件</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40"/>
              <w:keepNext w:val="0"/>
              <w:keepLines w:val="0"/>
              <w:suppressLineNumbers w:val="0"/>
              <w:spacing w:beforeAutospacing="0" w:afterAutospacing="0"/>
              <w:ind w:left="0" w:right="0"/>
              <w:jc w:val="left"/>
              <w:rPr>
                <w:rFonts w:hint="eastAsia" w:ascii="宋体" w:hAnsi="宋体" w:eastAsia="宋体" w:cs="宋体"/>
                <w:kern w:val="0"/>
                <w:sz w:val="24"/>
                <w:szCs w:val="24"/>
                <w:highlight w:val="none"/>
                <w:lang w:val="en-US" w:eastAsia="zh-CN" w:bidi="ar-SA"/>
              </w:rPr>
            </w:pPr>
            <w:r>
              <w:rPr>
                <w:rFonts w:hint="eastAsia" w:ascii="宋体" w:hAnsi="宋体" w:cs="宋体"/>
                <w:highlight w:val="none"/>
              </w:rPr>
              <w:t>▲WPS</w:t>
            </w:r>
          </w:p>
        </w:tc>
        <w:tc>
          <w:tcPr>
            <w:tcW w:w="2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40"/>
              <w:keepNext w:val="0"/>
              <w:keepLines w:val="0"/>
              <w:suppressLineNumbers w:val="0"/>
              <w:spacing w:beforeAutospacing="0" w:afterAutospacing="0"/>
              <w:ind w:left="0" w:right="0"/>
              <w:jc w:val="left"/>
              <w:rPr>
                <w:rFonts w:hint="eastAsia" w:ascii="宋体" w:hAnsi="宋体" w:eastAsia="宋体" w:cs="宋体"/>
                <w:kern w:val="0"/>
                <w:sz w:val="24"/>
                <w:szCs w:val="24"/>
                <w:highlight w:val="none"/>
                <w:lang w:val="en-US" w:eastAsia="zh-CN" w:bidi="ar-SA"/>
              </w:rPr>
            </w:pPr>
            <w:r>
              <w:rPr>
                <w:rFonts w:hint="eastAsia" w:ascii="宋体" w:hAnsi="宋体" w:cs="宋体"/>
                <w:highlight w:val="none"/>
              </w:rPr>
              <w:t>正版授权</w:t>
            </w:r>
          </w:p>
        </w:tc>
      </w:tr>
    </w:tbl>
    <w:p>
      <w:pPr>
        <w:pStyle w:val="60"/>
        <w:rPr>
          <w:rFonts w:hint="eastAsia" w:ascii="宋体" w:hAnsi="宋体" w:cs="宋体"/>
          <w:color w:val="auto"/>
          <w:sz w:val="24"/>
          <w:highlight w:val="none"/>
        </w:rPr>
      </w:pPr>
    </w:p>
    <w:p>
      <w:pPr>
        <w:pStyle w:val="258"/>
        <w:numPr>
          <w:ilvl w:val="0"/>
          <w:numId w:val="0"/>
        </w:numPr>
        <w:ind w:left="420" w:leftChars="0" w:hanging="420" w:firstLineChars="0"/>
        <w:outlineLvl w:val="1"/>
        <w:rPr>
          <w:rFonts w:hint="eastAsia" w:ascii="宋体" w:hAnsi="宋体" w:eastAsia="宋体" w:cs="宋体"/>
          <w:color w:val="000000" w:themeColor="text1"/>
          <w:sz w:val="28"/>
          <w:szCs w:val="28"/>
          <w:highlight w:val="none"/>
          <w14:textFill>
            <w14:solidFill>
              <w14:schemeClr w14:val="tx1"/>
            </w14:solidFill>
          </w14:textFill>
        </w:rPr>
      </w:pPr>
      <w:bookmarkStart w:id="32" w:name="_Toc17912"/>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六、</w:t>
      </w:r>
      <w:r>
        <w:rPr>
          <w:rFonts w:hint="eastAsia" w:ascii="宋体" w:hAnsi="宋体" w:eastAsia="宋体" w:cs="宋体"/>
          <w:b/>
          <w:bCs/>
          <w:color w:val="000000" w:themeColor="text1"/>
          <w:sz w:val="28"/>
          <w:szCs w:val="28"/>
          <w:highlight w:val="none"/>
          <w14:textFill>
            <w14:solidFill>
              <w14:schemeClr w14:val="tx1"/>
            </w14:solidFill>
          </w14:textFill>
        </w:rPr>
        <w:t>商务要求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.交付（实施）的地点（范围）：</w:t>
      </w:r>
      <w:r>
        <w:rPr>
          <w:rFonts w:hint="eastAsia" w:ascii="宋体" w:hAnsi="宋体" w:cs="宋体"/>
          <w:sz w:val="24"/>
          <w:highlight w:val="none"/>
          <w:lang w:eastAsia="zh-CN"/>
        </w:rPr>
        <w:t>西湖区住房和城乡建设局</w:t>
      </w:r>
      <w:r>
        <w:rPr>
          <w:rFonts w:hint="eastAsia" w:ascii="宋体" w:hAnsi="宋体" w:cs="宋体"/>
          <w:sz w:val="24"/>
          <w:highlight w:val="none"/>
        </w:rPr>
        <w:t>。</w:t>
      </w:r>
    </w:p>
    <w:p>
      <w:pPr>
        <w:pStyle w:val="258"/>
        <w:numPr>
          <w:ilvl w:val="0"/>
          <w:numId w:val="0"/>
        </w:numPr>
        <w:ind w:left="420" w:leftChars="0" w:hanging="420" w:firstLineChars="0"/>
        <w:outlineLvl w:val="1"/>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七、</w:t>
      </w:r>
      <w:r>
        <w:rPr>
          <w:rFonts w:hint="eastAsia" w:ascii="宋体" w:hAnsi="宋体" w:eastAsia="宋体" w:cs="宋体"/>
          <w:b/>
          <w:bCs/>
          <w:color w:val="000000" w:themeColor="text1"/>
          <w:sz w:val="28"/>
          <w:szCs w:val="28"/>
          <w:highlight w:val="none"/>
          <w14:textFill>
            <w14:solidFill>
              <w14:schemeClr w14:val="tx1"/>
            </w14:solidFill>
          </w14:textFill>
        </w:rPr>
        <w:t>项目实施要求</w:t>
      </w:r>
    </w:p>
    <w:p>
      <w:pPr>
        <w:spacing w:line="360" w:lineRule="auto"/>
        <w:ind w:firstLine="482" w:firstLineChars="200"/>
        <w:outlineLvl w:val="2"/>
        <w:rPr>
          <w:rFonts w:hint="eastAsia" w:ascii="宋体" w:hAnsi="宋体" w:cs="宋体"/>
          <w:b/>
          <w:sz w:val="24"/>
          <w:highlight w:val="none"/>
        </w:rPr>
      </w:pPr>
      <w:r>
        <w:rPr>
          <w:rFonts w:hint="eastAsia" w:ascii="宋体" w:hAnsi="宋体" w:cs="宋体"/>
          <w:b/>
          <w:sz w:val="24"/>
          <w:highlight w:val="none"/>
        </w:rPr>
        <w:t>1.到货</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设备到达现场后，中标人必须派人员到现场与使用人一起开箱检验,按供货清单验收,若有缺少或损坏，中标人应立即补足或更换全新同规格产品，并承担相关费用直至使采购人满意为止。</w:t>
      </w:r>
    </w:p>
    <w:p>
      <w:pPr>
        <w:spacing w:line="360" w:lineRule="auto"/>
        <w:ind w:firstLine="482" w:firstLineChars="200"/>
        <w:outlineLvl w:val="2"/>
        <w:rPr>
          <w:rFonts w:hint="eastAsia" w:ascii="宋体" w:hAnsi="宋体" w:cs="宋体"/>
          <w:b/>
          <w:sz w:val="24"/>
          <w:highlight w:val="none"/>
        </w:rPr>
      </w:pPr>
      <w:r>
        <w:rPr>
          <w:rFonts w:hint="eastAsia" w:ascii="宋体" w:hAnsi="宋体" w:cs="宋体"/>
          <w:b/>
          <w:sz w:val="24"/>
          <w:highlight w:val="none"/>
        </w:rPr>
        <w:t>2.安装、调试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为确保安装调试工作安全有序的进行，要求中标人在货物运抵安装现场前3天内，向采购人提供一份详细的安装、调试验收计划和所采用的标准及方法，现场负责人、工程师和参与安装人员的名单，此计划和采用的标准一旦被采购人确认就不得随意更改，否则中标人应承担相应责任。</w:t>
      </w:r>
    </w:p>
    <w:p>
      <w:pPr>
        <w:spacing w:line="360" w:lineRule="auto"/>
        <w:ind w:firstLine="480" w:firstLineChars="200"/>
        <w:rPr>
          <w:rFonts w:hint="eastAsia"/>
          <w:highlight w:val="none"/>
        </w:rPr>
      </w:pPr>
      <w:r>
        <w:rPr>
          <w:rFonts w:hint="eastAsia" w:ascii="宋体" w:hAnsi="宋体" w:cs="宋体"/>
          <w:sz w:val="24"/>
          <w:highlight w:val="none"/>
        </w:rPr>
        <w:t>（2）设备的安装必须符合有关标准和规范。安装过程中使用人将对设备的安装质量进行监督，安装过程中安全责任由中标人承担。</w:t>
      </w:r>
    </w:p>
    <w:p>
      <w:pPr>
        <w:pStyle w:val="258"/>
        <w:numPr>
          <w:ilvl w:val="0"/>
          <w:numId w:val="0"/>
        </w:numPr>
        <w:ind w:left="420" w:leftChars="0" w:hanging="420" w:firstLineChars="0"/>
        <w:outlineLvl w:val="1"/>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八、</w:t>
      </w:r>
      <w:r>
        <w:rPr>
          <w:rFonts w:hint="eastAsia" w:ascii="宋体" w:hAnsi="宋体" w:eastAsia="宋体" w:cs="宋体"/>
          <w:b/>
          <w:bCs/>
          <w:color w:val="000000" w:themeColor="text1"/>
          <w:sz w:val="28"/>
          <w:szCs w:val="28"/>
          <w:highlight w:val="none"/>
          <w14:textFill>
            <w14:solidFill>
              <w14:schemeClr w14:val="tx1"/>
            </w14:solidFill>
          </w14:textFill>
        </w:rPr>
        <w:t>服务质量</w:t>
      </w:r>
    </w:p>
    <w:p>
      <w:pPr>
        <w:tabs>
          <w:tab w:val="left" w:pos="3780"/>
        </w:tabs>
        <w:adjustRightInd/>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1、签订合同后，供应商按照其与采购人的事先约定将所供货物免费上门送货至采购人指定地点后拆箱，负责免费安装调试，正常运行后交用户单位验收。</w:t>
      </w:r>
      <w:r>
        <w:rPr>
          <w:rFonts w:ascii="宋体" w:hAnsi="宋体" w:cs="宋体"/>
          <w:sz w:val="24"/>
          <w:highlight w:val="none"/>
        </w:rPr>
        <w:t xml:space="preserve"> </w:t>
      </w:r>
    </w:p>
    <w:p>
      <w:pPr>
        <w:tabs>
          <w:tab w:val="left" w:pos="3780"/>
        </w:tabs>
        <w:adjustRightInd/>
        <w:spacing w:line="360" w:lineRule="auto"/>
        <w:ind w:firstLine="480" w:firstLineChars="200"/>
        <w:rPr>
          <w:rFonts w:hint="eastAsia" w:ascii="宋体" w:hAnsi="宋体" w:cs="宋体"/>
          <w:sz w:val="24"/>
          <w:highlight w:val="none"/>
        </w:rPr>
      </w:pPr>
      <w:r>
        <w:rPr>
          <w:rFonts w:ascii="宋体" w:hAnsi="宋体" w:cs="宋体"/>
          <w:sz w:val="24"/>
          <w:highlight w:val="none"/>
        </w:rPr>
        <w:t>2</w:t>
      </w:r>
      <w:r>
        <w:rPr>
          <w:rFonts w:hint="eastAsia" w:ascii="宋体" w:hAnsi="宋体" w:cs="宋体"/>
          <w:sz w:val="24"/>
          <w:highlight w:val="none"/>
        </w:rPr>
        <w:t>、中标单位所供的货物</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14:textFill>
            <w14:solidFill>
              <w14:schemeClr w14:val="tx1"/>
            </w14:solidFill>
          </w14:textFill>
        </w:rPr>
        <w:t>4年</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1月01日以</w:t>
      </w:r>
      <w:r>
        <w:rPr>
          <w:rFonts w:hint="eastAsia" w:ascii="宋体" w:hAnsi="宋体" w:cs="宋体"/>
          <w:sz w:val="24"/>
          <w:highlight w:val="none"/>
        </w:rPr>
        <w:t>后生产的，符合国家标准的合格产品。设备安装调试完毕后，在其功能范围内保障用户的系统安全、稳定运行。</w:t>
      </w:r>
    </w:p>
    <w:p>
      <w:pPr>
        <w:tabs>
          <w:tab w:val="left" w:pos="3780"/>
        </w:tabs>
        <w:spacing w:line="360" w:lineRule="auto"/>
        <w:ind w:firstLine="480" w:firstLineChars="200"/>
        <w:rPr>
          <w:rFonts w:hint="eastAsia"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投标人所提供的货物必须是符合需求的合法产品，且符合质量检测标准，杜绝三无、假冒和走私产品。投标人使用材料必须具有质量保证书，或符合规定做的试验资料报告。严禁使用质量不合格或不符合设计要求的材料，否则供应商及厂家必须承担由此产生的一切责任。</w:t>
      </w:r>
    </w:p>
    <w:p>
      <w:pPr>
        <w:spacing w:line="360" w:lineRule="auto"/>
        <w:ind w:firstLine="420"/>
        <w:rPr>
          <w:rFonts w:hint="eastAsia" w:ascii="宋体" w:hAnsi="宋体" w:cs="宋体"/>
          <w:sz w:val="24"/>
          <w:highlight w:val="none"/>
        </w:rPr>
      </w:pPr>
      <w:r>
        <w:rPr>
          <w:rFonts w:ascii="宋体" w:hAnsi="宋体" w:cs="宋体"/>
          <w:sz w:val="24"/>
          <w:highlight w:val="none"/>
        </w:rPr>
        <w:t>4</w:t>
      </w:r>
      <w:r>
        <w:rPr>
          <w:rFonts w:hint="eastAsia" w:ascii="宋体" w:hAnsi="宋体" w:cs="宋体"/>
          <w:sz w:val="24"/>
          <w:highlight w:val="none"/>
        </w:rPr>
        <w:t>、设备在安装时不得损坏墙体、门窗等，如有损坏要予以赔偿。所有设备安装确保牢固安全。请供应商综合考虑投标总报价内。</w:t>
      </w:r>
    </w:p>
    <w:p>
      <w:pPr>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5、必须保证所有货物全新的，与规定的型号与配置相一致；</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根据上述内容投标人提供服务质量保证方案，有明确的维护质量目标，质量保证措施，并具有详细可行的实施内容。</w:t>
      </w:r>
    </w:p>
    <w:p>
      <w:pPr>
        <w:pStyle w:val="79"/>
        <w:ind w:firstLine="0" w:firstLineChars="0"/>
        <w:rPr>
          <w:rFonts w:hint="eastAsia"/>
          <w:highlight w:val="none"/>
        </w:rPr>
      </w:pPr>
    </w:p>
    <w:bookmarkEnd w:id="32"/>
    <w:p>
      <w:pPr>
        <w:tabs>
          <w:tab w:val="left" w:pos="0"/>
        </w:tabs>
        <w:spacing w:line="360" w:lineRule="auto"/>
        <w:rPr>
          <w:rFonts w:cs="仿宋_GB2312"/>
          <w:color w:val="000000" w:themeColor="text1"/>
          <w:sz w:val="24"/>
          <w:szCs w:val="32"/>
          <w:highlight w:val="none"/>
          <w14:textFill>
            <w14:solidFill>
              <w14:schemeClr w14:val="tx1"/>
            </w14:solidFill>
          </w14:textFill>
        </w:rPr>
      </w:pPr>
    </w:p>
    <w:p>
      <w:pPr>
        <w:numPr>
          <w:ilvl w:val="0"/>
          <w:numId w:val="0"/>
        </w:numPr>
        <w:tabs>
          <w:tab w:val="left" w:pos="640"/>
        </w:tabs>
        <w:adjustRightInd/>
        <w:spacing w:line="360" w:lineRule="auto"/>
        <w:ind w:left="420" w:leftChars="0" w:hanging="420" w:firstLineChars="0"/>
        <w:outlineLvl w:val="1"/>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2"/>
          <w:sz w:val="28"/>
          <w:szCs w:val="28"/>
          <w:lang w:val="en-US" w:eastAsia="zh-CN" w:bidi="ar-SA"/>
          <w14:textFill>
            <w14:solidFill>
              <w14:schemeClr w14:val="tx1"/>
            </w14:solidFill>
          </w14:textFill>
        </w:rPr>
        <w:t>九</w:t>
      </w: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付款方式</w:t>
      </w:r>
    </w:p>
    <w:p>
      <w:pPr>
        <w:tabs>
          <w:tab w:val="left" w:pos="0"/>
        </w:tabs>
        <w:spacing w:line="360" w:lineRule="auto"/>
        <w:ind w:firstLine="480" w:firstLineChars="200"/>
        <w:rPr>
          <w:rFonts w:hint="eastAsia" w:eastAsia="宋体" w:cs="仿宋_GB2312"/>
          <w:color w:val="000000" w:themeColor="text1"/>
          <w:sz w:val="24"/>
          <w:szCs w:val="32"/>
          <w:highlight w:val="none"/>
          <w:lang w:eastAsia="zh-CN"/>
          <w14:textFill>
            <w14:solidFill>
              <w14:schemeClr w14:val="tx1"/>
            </w14:solidFill>
          </w14:textFill>
        </w:rPr>
      </w:pPr>
      <w:r>
        <w:rPr>
          <w:rFonts w:hint="eastAsia" w:cs="仿宋_GB2312"/>
          <w:color w:val="000000" w:themeColor="text1"/>
          <w:sz w:val="24"/>
          <w:szCs w:val="32"/>
          <w:highlight w:val="none"/>
          <w14:textFill>
            <w14:solidFill>
              <w14:schemeClr w14:val="tx1"/>
            </w14:solidFill>
          </w14:textFill>
        </w:rPr>
        <w:t>（1）合同生效后</w:t>
      </w:r>
      <w:r>
        <w:rPr>
          <w:rFonts w:hint="eastAsia" w:cs="仿宋_GB2312"/>
          <w:color w:val="000000" w:themeColor="text1"/>
          <w:sz w:val="24"/>
          <w:szCs w:val="32"/>
          <w:highlight w:val="none"/>
          <w:lang w:val="en-US" w:eastAsia="zh-CN"/>
          <w14:textFill>
            <w14:solidFill>
              <w14:schemeClr w14:val="tx1"/>
            </w14:solidFill>
          </w14:textFill>
        </w:rPr>
        <w:t>5</w:t>
      </w:r>
      <w:r>
        <w:rPr>
          <w:rFonts w:hint="eastAsia" w:cs="仿宋_GB2312"/>
          <w:color w:val="000000" w:themeColor="text1"/>
          <w:sz w:val="24"/>
          <w:szCs w:val="32"/>
          <w:highlight w:val="none"/>
          <w14:textFill>
            <w14:solidFill>
              <w14:schemeClr w14:val="tx1"/>
            </w14:solidFill>
          </w14:textFill>
        </w:rPr>
        <w:t>个工作日内，采购人向供应商支付合同总价</w:t>
      </w:r>
      <w:r>
        <w:rPr>
          <w:rFonts w:hint="eastAsia" w:cs="仿宋_GB2312"/>
          <w:color w:val="000000" w:themeColor="text1"/>
          <w:sz w:val="24"/>
          <w:szCs w:val="32"/>
          <w:highlight w:val="none"/>
          <w:lang w:val="en-US" w:eastAsia="zh-CN"/>
          <w14:textFill>
            <w14:solidFill>
              <w14:schemeClr w14:val="tx1"/>
            </w14:solidFill>
          </w14:textFill>
        </w:rPr>
        <w:t>7</w:t>
      </w:r>
      <w:r>
        <w:rPr>
          <w:rFonts w:cs="仿宋_GB2312"/>
          <w:color w:val="000000" w:themeColor="text1"/>
          <w:sz w:val="24"/>
          <w:szCs w:val="32"/>
          <w:highlight w:val="none"/>
          <w14:textFill>
            <w14:solidFill>
              <w14:schemeClr w14:val="tx1"/>
            </w14:solidFill>
          </w14:textFill>
        </w:rPr>
        <w:t>0%</w:t>
      </w:r>
      <w:r>
        <w:rPr>
          <w:rFonts w:hint="eastAsia" w:cs="仿宋_GB2312"/>
          <w:color w:val="000000" w:themeColor="text1"/>
          <w:sz w:val="24"/>
          <w:szCs w:val="32"/>
          <w:highlight w:val="none"/>
          <w14:textFill>
            <w14:solidFill>
              <w14:schemeClr w14:val="tx1"/>
            </w14:solidFill>
          </w14:textFill>
        </w:rPr>
        <w:t>的</w:t>
      </w:r>
      <w:r>
        <w:rPr>
          <w:rFonts w:cs="仿宋_GB2312"/>
          <w:color w:val="000000" w:themeColor="text1"/>
          <w:sz w:val="24"/>
          <w:szCs w:val="32"/>
          <w:highlight w:val="none"/>
          <w14:textFill>
            <w14:solidFill>
              <w14:schemeClr w14:val="tx1"/>
            </w14:solidFill>
          </w14:textFill>
        </w:rPr>
        <w:t>预付款</w:t>
      </w:r>
      <w:r>
        <w:rPr>
          <w:rFonts w:hint="eastAsia" w:cs="仿宋_GB2312"/>
          <w:color w:val="000000" w:themeColor="text1"/>
          <w:sz w:val="24"/>
          <w:szCs w:val="32"/>
          <w:highlight w:val="none"/>
          <w:lang w:eastAsia="zh-CN"/>
          <w14:textFill>
            <w14:solidFill>
              <w14:schemeClr w14:val="tx1"/>
            </w14:solidFill>
          </w14:textFill>
        </w:rPr>
        <w:t>。</w:t>
      </w:r>
    </w:p>
    <w:p>
      <w:pPr>
        <w:tabs>
          <w:tab w:val="left" w:pos="0"/>
        </w:tabs>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hint="eastAsia" w:cs="仿宋_GB2312"/>
          <w:color w:val="000000" w:themeColor="text1"/>
          <w:sz w:val="24"/>
          <w:szCs w:val="32"/>
          <w:highlight w:val="none"/>
          <w14:textFill>
            <w14:solidFill>
              <w14:schemeClr w14:val="tx1"/>
            </w14:solidFill>
          </w14:textFill>
        </w:rPr>
        <w:t>（2）货到无任何质量问题、验收合格后，采购人在</w:t>
      </w:r>
      <w:r>
        <w:rPr>
          <w:rFonts w:hint="eastAsia" w:cs="仿宋_GB2312"/>
          <w:color w:val="000000" w:themeColor="text1"/>
          <w:sz w:val="24"/>
          <w:szCs w:val="32"/>
          <w:highlight w:val="none"/>
          <w:lang w:val="en-US" w:eastAsia="zh-CN"/>
          <w14:textFill>
            <w14:solidFill>
              <w14:schemeClr w14:val="tx1"/>
            </w14:solidFill>
          </w14:textFill>
        </w:rPr>
        <w:t>7</w:t>
      </w:r>
      <w:r>
        <w:rPr>
          <w:rFonts w:hint="eastAsia" w:cs="仿宋_GB2312"/>
          <w:color w:val="000000" w:themeColor="text1"/>
          <w:sz w:val="24"/>
          <w:szCs w:val="32"/>
          <w:highlight w:val="none"/>
          <w14:textFill>
            <w14:solidFill>
              <w14:schemeClr w14:val="tx1"/>
            </w14:solidFill>
          </w14:textFill>
        </w:rPr>
        <w:t>个工作日内将合同余款支付至供应商的账户。</w:t>
      </w:r>
    </w:p>
    <w:p>
      <w:pPr>
        <w:tabs>
          <w:tab w:val="left" w:pos="0"/>
        </w:tabs>
        <w:spacing w:line="360" w:lineRule="auto"/>
        <w:ind w:firstLine="480" w:firstLineChars="200"/>
        <w:rPr>
          <w:color w:val="000000" w:themeColor="text1"/>
          <w:sz w:val="24"/>
          <w:szCs w:val="32"/>
          <w:highlight w:val="none"/>
          <w14:textFill>
            <w14:solidFill>
              <w14:schemeClr w14:val="tx1"/>
            </w14:solidFill>
          </w14:textFill>
        </w:rPr>
      </w:pPr>
      <w:r>
        <w:rPr>
          <w:rFonts w:hint="eastAsia" w:asciiTheme="minorEastAsia" w:hAnsiTheme="minorEastAsia" w:eastAsiaTheme="minorEastAsia"/>
          <w:color w:val="000000" w:themeColor="text1"/>
          <w:sz w:val="24"/>
          <w:szCs w:val="32"/>
          <w:highlight w:val="none"/>
          <w14:textFill>
            <w14:solidFill>
              <w14:schemeClr w14:val="tx1"/>
            </w14:solidFill>
          </w14:textFill>
        </w:rPr>
        <w:t>注：</w:t>
      </w:r>
      <w:r>
        <w:rPr>
          <w:rFonts w:hint="eastAsia"/>
          <w:b/>
          <w:bCs/>
          <w:color w:val="000000" w:themeColor="text1"/>
          <w:sz w:val="24"/>
          <w:szCs w:val="32"/>
          <w:highlight w:val="none"/>
          <w14:textFill>
            <w14:solidFill>
              <w14:schemeClr w14:val="tx1"/>
            </w14:solidFill>
          </w14:textFill>
        </w:rPr>
        <w:t>每次付款前，乙方提供甲方要求的正规发票。</w:t>
      </w:r>
      <w:r>
        <w:rPr>
          <w:rFonts w:hint="eastAsia" w:asciiTheme="minorEastAsia" w:hAnsiTheme="minorEastAsia" w:eastAsiaTheme="minorEastAsia"/>
          <w:color w:val="000000" w:themeColor="text1"/>
          <w:sz w:val="24"/>
          <w:szCs w:val="32"/>
          <w:highlight w:val="none"/>
          <w14:textFill>
            <w14:solidFill>
              <w14:schemeClr w14:val="tx1"/>
            </w14:solidFill>
          </w14:textFill>
        </w:rPr>
        <w:t>以上付款时间是指采购人完成向财政部门申报支付手续的时间，财政部门审查及实际支付可能造成的时间延误不视为采购人违约。</w:t>
      </w:r>
    </w:p>
    <w:p>
      <w:pPr>
        <w:pStyle w:val="258"/>
        <w:numPr>
          <w:ilvl w:val="0"/>
          <w:numId w:val="0"/>
        </w:numPr>
        <w:ind w:left="420" w:leftChars="0" w:hanging="420" w:firstLineChars="0"/>
        <w:outlineLvl w:val="1"/>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w:t>
      </w:r>
      <w:r>
        <w:rPr>
          <w:rFonts w:hint="eastAsia" w:ascii="宋体" w:hAnsi="宋体" w:eastAsia="宋体" w:cs="宋体"/>
          <w:b/>
          <w:bCs/>
          <w:color w:val="000000" w:themeColor="text1"/>
          <w:sz w:val="28"/>
          <w:szCs w:val="28"/>
          <w:highlight w:val="none"/>
          <w14:textFill>
            <w14:solidFill>
              <w14:schemeClr w14:val="tx1"/>
            </w14:solidFill>
          </w14:textFill>
        </w:rPr>
        <w:t>验收要求</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1.采购人参照《杭州市政府采购履约验收暂行办法》（杭财采监[2019]10号）规定组织对成交人履约的验收。验收方成员应当在验收书上签字，并承担相应的法律责任。如果发现与合同中要求不符，中标人须承担由此发生的一切损失和费用，并接受相应的处理。</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2.严格按照采购合同开展履约验收。采购人成立验收小组，按照采购合同的约定对供应商履约情况进行验收，验收时，按照采购合同的约定对每一项技术、服务、安全标准的履约情况进行确认，验收小组成员现场组织对产品进行清点及现场演示，出具验收报告并经验收小组全体成员签字。采购人根据验收报告形成验收意见并经采购人与成交供应商签字盖章，并在财政指定媒体上公示无异议后生效。验收结果与采购合同约定的资金支付及履约保证金返还条件挂钩。履约验收的各项资料应当存档备查。</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3.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4.验收内容及资料要求：</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4.1验收内容</w:t>
      </w:r>
    </w:p>
    <w:tbl>
      <w:tblPr>
        <w:tblStyle w:val="62"/>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261"/>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68"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b/>
                <w:bCs/>
                <w:color w:val="000000" w:themeColor="text1"/>
                <w:highlight w:val="none"/>
                <w14:textFill>
                  <w14:solidFill>
                    <w14:schemeClr w14:val="tx1"/>
                  </w14:solidFill>
                </w14:textFill>
              </w:rPr>
            </w:pPr>
            <w:r>
              <w:rPr>
                <w:rFonts w:hint="eastAsia" w:asciiTheme="minorEastAsia" w:hAnsiTheme="minorEastAsia"/>
                <w:b/>
                <w:bCs/>
                <w:color w:val="000000" w:themeColor="text1"/>
                <w:highlight w:val="none"/>
                <w14:textFill>
                  <w14:solidFill>
                    <w14:schemeClr w14:val="tx1"/>
                  </w14:solidFill>
                </w14:textFill>
              </w:rPr>
              <w:t>序号</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b/>
                <w:bCs/>
                <w:color w:val="000000" w:themeColor="text1"/>
                <w:highlight w:val="none"/>
                <w14:textFill>
                  <w14:solidFill>
                    <w14:schemeClr w14:val="tx1"/>
                  </w14:solidFill>
                </w14:textFill>
              </w:rPr>
            </w:pPr>
            <w:r>
              <w:rPr>
                <w:rFonts w:hint="eastAsia" w:asciiTheme="minorEastAsia" w:hAnsiTheme="minorEastAsia"/>
                <w:b/>
                <w:bCs/>
                <w:color w:val="000000" w:themeColor="text1"/>
                <w:highlight w:val="none"/>
                <w14:textFill>
                  <w14:solidFill>
                    <w14:schemeClr w14:val="tx1"/>
                  </w14:solidFill>
                </w14:textFill>
              </w:rPr>
              <w:t>验收内容</w:t>
            </w:r>
          </w:p>
        </w:tc>
        <w:tc>
          <w:tcPr>
            <w:tcW w:w="5960"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b/>
                <w:bCs/>
                <w:color w:val="000000" w:themeColor="text1"/>
                <w:highlight w:val="none"/>
                <w14:textFill>
                  <w14:solidFill>
                    <w14:schemeClr w14:val="tx1"/>
                  </w14:solidFill>
                </w14:textFill>
              </w:rPr>
            </w:pPr>
            <w:r>
              <w:rPr>
                <w:rFonts w:hint="eastAsia" w:asciiTheme="minorEastAsia" w:hAnsiTheme="minorEastAsia"/>
                <w:b/>
                <w:bCs/>
                <w:color w:val="000000" w:themeColor="text1"/>
                <w:highlight w:val="none"/>
                <w14:textFill>
                  <w14:solidFill>
                    <w14:schemeClr w14:val="tx1"/>
                  </w14:solidFill>
                </w14:textFill>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1</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质量</w:t>
            </w:r>
          </w:p>
        </w:tc>
        <w:tc>
          <w:tcPr>
            <w:tcW w:w="5960"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line="360" w:lineRule="auto"/>
              <w:ind w:left="0" w:right="0" w:firstLine="0" w:firstLineChars="0"/>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提供的产品、型号、参数、数量等与合同相符，质量符合国家标准，提供产品合格证</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原厂售后服务承诺函、三包凭证、检测报告等。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68"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2</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送货</w:t>
            </w:r>
          </w:p>
        </w:tc>
        <w:tc>
          <w:tcPr>
            <w:tcW w:w="5960"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line="360" w:lineRule="auto"/>
              <w:ind w:left="0" w:right="0" w:firstLine="0" w:firstLineChars="0"/>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项目按送货要求完成供货、安装、调试、并在规定的时间内交货。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68"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eastAsia="宋体" w:asciiTheme="minorEastAsia" w:hAnsiTheme="minorEastAsia"/>
                <w:color w:val="000000" w:themeColor="text1"/>
                <w:highlight w:val="none"/>
                <w:lang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3</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验收小组现场清点</w:t>
            </w:r>
          </w:p>
        </w:tc>
        <w:tc>
          <w:tcPr>
            <w:tcW w:w="5960"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line="360" w:lineRule="auto"/>
              <w:ind w:left="0" w:right="0" w:firstLine="0" w:firstLineChars="0"/>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验收时，验收小组现场组织对产品进行清点。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tcBorders>
              <w:top w:val="single" w:color="auto" w:sz="4" w:space="0"/>
              <w:left w:val="single" w:color="auto" w:sz="4" w:space="0"/>
              <w:bottom w:val="single" w:color="auto" w:sz="4" w:space="0"/>
              <w:right w:val="single" w:color="auto" w:sz="4" w:space="0"/>
            </w:tcBorders>
            <w:noWrap/>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eastAsia="宋体" w:asciiTheme="minorEastAsia" w:hAnsiTheme="minorEastAsia"/>
                <w:color w:val="000000" w:themeColor="text1"/>
                <w:highlight w:val="none"/>
                <w:lang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4</w:t>
            </w:r>
          </w:p>
        </w:tc>
        <w:tc>
          <w:tcPr>
            <w:tcW w:w="1261"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其他工作</w:t>
            </w:r>
          </w:p>
        </w:tc>
        <w:tc>
          <w:tcPr>
            <w:tcW w:w="5960"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line="360" w:lineRule="auto"/>
              <w:ind w:left="0" w:right="0" w:firstLine="0" w:firstLineChars="0"/>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 xml:space="preserve">履行项目采购文件、投标文件、合同条款中涉及的其他承诺的情况， </w:t>
            </w:r>
          </w:p>
        </w:tc>
      </w:tr>
    </w:tbl>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4.2验收资料要求</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验收资料要求包括（不限于）以下内容：</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1、招标文件</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2、投标文件</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3、采购合同</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4、到货核验单</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5</w:t>
      </w:r>
      <w:r>
        <w:rPr>
          <w:rFonts w:hint="eastAsia" w:cs="仿宋_GB2312"/>
          <w:color w:val="000000" w:themeColor="text1"/>
          <w:sz w:val="24"/>
          <w:szCs w:val="32"/>
          <w:highlight w:val="none"/>
          <w14:textFill>
            <w14:solidFill>
              <w14:schemeClr w14:val="tx1"/>
            </w14:solidFill>
          </w14:textFill>
        </w:rPr>
        <w:t>、</w:t>
      </w:r>
      <w:r>
        <w:rPr>
          <w:rFonts w:hint="eastAsia" w:cs="仿宋" w:asciiTheme="minorEastAsia" w:hAnsiTheme="minorEastAsia" w:eastAsiaTheme="minorEastAsia"/>
          <w:color w:val="000000" w:themeColor="text1"/>
          <w:sz w:val="24"/>
          <w:szCs w:val="32"/>
          <w:highlight w:val="none"/>
          <w14:textFill>
            <w14:solidFill>
              <w14:schemeClr w14:val="tx1"/>
            </w14:solidFill>
          </w14:textFill>
        </w:rPr>
        <w:t>验收时提供投标产品详细技术说明资料，例如：如</w:t>
      </w:r>
      <w:r>
        <w:rPr>
          <w:rFonts w:cs="仿宋" w:asciiTheme="minorEastAsia" w:hAnsiTheme="minorEastAsia" w:eastAsiaTheme="minorEastAsia"/>
          <w:color w:val="000000" w:themeColor="text1"/>
          <w:sz w:val="24"/>
          <w:szCs w:val="32"/>
          <w:highlight w:val="none"/>
          <w14:textFill>
            <w14:solidFill>
              <w14:schemeClr w14:val="tx1"/>
            </w14:solidFill>
          </w14:textFill>
        </w:rPr>
        <w:t>生产厂家官方网站截图或产品白皮书或第三方机构检验报告或其他相关证明材料</w:t>
      </w:r>
      <w:r>
        <w:rPr>
          <w:rFonts w:hint="eastAsia" w:cs="仿宋" w:asciiTheme="minorEastAsia" w:hAnsiTheme="minorEastAsia" w:eastAsiaTheme="minorEastAsia"/>
          <w:color w:val="000000" w:themeColor="text1"/>
          <w:sz w:val="24"/>
          <w:szCs w:val="32"/>
          <w:highlight w:val="none"/>
          <w14:textFill>
            <w14:solidFill>
              <w14:schemeClr w14:val="tx1"/>
            </w14:solidFill>
          </w14:textFill>
        </w:rPr>
        <w:t>等可以体现参数符合情况的资料。</w:t>
      </w:r>
      <w:r>
        <w:rPr>
          <w:rFonts w:cs="仿宋" w:asciiTheme="minorEastAsia" w:hAnsiTheme="minorEastAsia" w:eastAsiaTheme="minorEastAsia"/>
          <w:color w:val="000000" w:themeColor="text1"/>
          <w:sz w:val="24"/>
          <w:szCs w:val="32"/>
          <w:highlight w:val="none"/>
          <w14:textFill>
            <w14:solidFill>
              <w14:schemeClr w14:val="tx1"/>
            </w14:solidFill>
          </w14:textFill>
        </w:rPr>
        <w:t>未提供有效证明材料或证明材料中内容与</w:t>
      </w:r>
      <w:r>
        <w:rPr>
          <w:rFonts w:hint="eastAsia" w:cs="仿宋" w:asciiTheme="minorEastAsia" w:hAnsiTheme="minorEastAsia" w:eastAsiaTheme="minorEastAsia"/>
          <w:color w:val="000000" w:themeColor="text1"/>
          <w:sz w:val="24"/>
          <w:szCs w:val="32"/>
          <w:highlight w:val="none"/>
          <w14:textFill>
            <w14:solidFill>
              <w14:schemeClr w14:val="tx1"/>
            </w14:solidFill>
          </w14:textFill>
        </w:rPr>
        <w:t>投标内容</w:t>
      </w:r>
      <w:r>
        <w:rPr>
          <w:rFonts w:cs="仿宋" w:asciiTheme="minorEastAsia" w:hAnsiTheme="minorEastAsia" w:eastAsiaTheme="minorEastAsia"/>
          <w:color w:val="000000" w:themeColor="text1"/>
          <w:sz w:val="24"/>
          <w:szCs w:val="32"/>
          <w:highlight w:val="none"/>
          <w14:textFill>
            <w14:solidFill>
              <w14:schemeClr w14:val="tx1"/>
            </w14:solidFill>
          </w14:textFill>
        </w:rPr>
        <w:t>不一致的，</w:t>
      </w:r>
      <w:r>
        <w:rPr>
          <w:rFonts w:hint="eastAsia" w:cs="仿宋" w:asciiTheme="minorEastAsia" w:hAnsiTheme="minorEastAsia" w:eastAsiaTheme="minorEastAsia"/>
          <w:color w:val="000000" w:themeColor="text1"/>
          <w:sz w:val="24"/>
          <w:szCs w:val="32"/>
          <w:highlight w:val="none"/>
          <w14:textFill>
            <w14:solidFill>
              <w14:schemeClr w14:val="tx1"/>
            </w14:solidFill>
          </w14:textFill>
        </w:rPr>
        <w:t>视为产品不符合要求</w:t>
      </w:r>
      <w:r>
        <w:rPr>
          <w:rFonts w:cs="仿宋" w:asciiTheme="minorEastAsia" w:hAnsiTheme="minorEastAsia" w:eastAsiaTheme="minorEastAsia"/>
          <w:color w:val="000000" w:themeColor="text1"/>
          <w:sz w:val="24"/>
          <w:szCs w:val="32"/>
          <w:highlight w:val="none"/>
          <w14:textFill>
            <w14:solidFill>
              <w14:schemeClr w14:val="tx1"/>
            </w14:solidFill>
          </w14:textFill>
        </w:rPr>
        <w:t xml:space="preserve">。 </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cs="仿宋_GB2312"/>
          <w:color w:val="000000" w:themeColor="text1"/>
          <w:sz w:val="24"/>
          <w:szCs w:val="32"/>
          <w:highlight w:val="none"/>
          <w14:textFill>
            <w14:solidFill>
              <w14:schemeClr w14:val="tx1"/>
            </w14:solidFill>
          </w14:textFill>
        </w:rPr>
        <w:t>6、其他需提供的相关材料。</w:t>
      </w:r>
    </w:p>
    <w:p>
      <w:pPr>
        <w:pStyle w:val="258"/>
        <w:numPr>
          <w:ilvl w:val="0"/>
          <w:numId w:val="0"/>
        </w:numPr>
        <w:ind w:left="420" w:leftChars="0" w:hanging="420" w:firstLineChars="0"/>
        <w:outlineLvl w:val="1"/>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十一、</w:t>
      </w:r>
      <w:r>
        <w:rPr>
          <w:rFonts w:hint="eastAsia" w:ascii="宋体" w:hAnsi="宋体" w:eastAsia="宋体" w:cs="宋体"/>
          <w:b/>
          <w:bCs/>
          <w:color w:val="000000" w:themeColor="text1"/>
          <w:sz w:val="28"/>
          <w:szCs w:val="28"/>
          <w:highlight w:val="none"/>
          <w14:textFill>
            <w14:solidFill>
              <w14:schemeClr w14:val="tx1"/>
            </w14:solidFill>
          </w14:textFill>
        </w:rPr>
        <w:t>其他要求</w:t>
      </w:r>
    </w:p>
    <w:p>
      <w:pPr>
        <w:spacing w:line="360" w:lineRule="auto"/>
        <w:ind w:firstLine="482" w:firstLineChars="200"/>
        <w:rPr>
          <w:rFonts w:cs="仿宋_GB2312"/>
          <w:b/>
          <w:bCs/>
          <w:color w:val="000000" w:themeColor="text1"/>
          <w:sz w:val="24"/>
          <w:szCs w:val="32"/>
          <w:highlight w:val="none"/>
          <w14:textFill>
            <w14:solidFill>
              <w14:schemeClr w14:val="tx1"/>
            </w14:solidFill>
          </w14:textFill>
        </w:rPr>
      </w:pPr>
      <w:r>
        <w:rPr>
          <w:rFonts w:hint="eastAsia" w:cs="仿宋_GB2312"/>
          <w:b/>
          <w:bCs/>
          <w:color w:val="000000" w:themeColor="text1"/>
          <w:sz w:val="24"/>
          <w:szCs w:val="32"/>
          <w:highlight w:val="none"/>
          <w14:textFill>
            <w14:solidFill>
              <w14:schemeClr w14:val="tx1"/>
            </w14:solidFill>
          </w14:textFill>
        </w:rPr>
        <w:t>1.安全保密要求</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hint="eastAsia" w:cs="仿宋_GB2312"/>
          <w:color w:val="000000" w:themeColor="text1"/>
          <w:sz w:val="24"/>
          <w:szCs w:val="32"/>
          <w:highlight w:val="none"/>
          <w14:textFill>
            <w14:solidFill>
              <w14:schemeClr w14:val="tx1"/>
            </w14:solidFill>
          </w14:textFill>
        </w:rPr>
        <w:t>中标人（含项目组所有成员）必须对项目技术文件以及招标人提供的所有内部资料、技术文档、数据和信息予以保密。中标人必须与招标人签订保密协议并严格遵守，未经招标人书面许可，中标人不得以任何形式向第三方透露本项目的任何内容。</w:t>
      </w:r>
    </w:p>
    <w:p>
      <w:pPr>
        <w:spacing w:line="360" w:lineRule="auto"/>
        <w:ind w:firstLine="482" w:firstLineChars="200"/>
        <w:rPr>
          <w:rFonts w:cs="仿宋_GB2312"/>
          <w:b/>
          <w:bCs/>
          <w:color w:val="000000" w:themeColor="text1"/>
          <w:sz w:val="24"/>
          <w:szCs w:val="32"/>
          <w:highlight w:val="none"/>
          <w14:textFill>
            <w14:solidFill>
              <w14:schemeClr w14:val="tx1"/>
            </w14:solidFill>
          </w14:textFill>
        </w:rPr>
      </w:pPr>
      <w:r>
        <w:rPr>
          <w:rFonts w:hint="eastAsia" w:cs="仿宋_GB2312"/>
          <w:b/>
          <w:bCs/>
          <w:color w:val="000000" w:themeColor="text1"/>
          <w:sz w:val="24"/>
          <w:szCs w:val="32"/>
          <w:highlight w:val="none"/>
          <w14:textFill>
            <w14:solidFill>
              <w14:schemeClr w14:val="tx1"/>
            </w14:solidFill>
          </w14:textFill>
        </w:rPr>
        <w:t>2.知识产权要求</w:t>
      </w:r>
    </w:p>
    <w:p>
      <w:pPr>
        <w:spacing w:line="360" w:lineRule="auto"/>
        <w:ind w:firstLine="480" w:firstLineChars="200"/>
        <w:rPr>
          <w:rFonts w:cs="仿宋_GB2312"/>
          <w:color w:val="000000" w:themeColor="text1"/>
          <w:sz w:val="24"/>
          <w:szCs w:val="32"/>
          <w:highlight w:val="none"/>
          <w14:textFill>
            <w14:solidFill>
              <w14:schemeClr w14:val="tx1"/>
            </w14:solidFill>
          </w14:textFill>
        </w:rPr>
      </w:pPr>
      <w:r>
        <w:rPr>
          <w:rFonts w:hint="eastAsia" w:cs="仿宋_GB2312"/>
          <w:color w:val="000000" w:themeColor="text1"/>
          <w:sz w:val="24"/>
          <w:szCs w:val="32"/>
          <w:highlight w:val="none"/>
          <w14:textFill>
            <w14:solidFill>
              <w14:schemeClr w14:val="tx1"/>
            </w14:solidFill>
          </w14:textFill>
        </w:rPr>
        <w:t>采购人拥有项目过程中除第三方产品外所有工作件、交付品文档及其他附属产品的知识产权，未经采购人许可，不得用于第三方。</w:t>
      </w:r>
    </w:p>
    <w:p>
      <w:pPr>
        <w:autoSpaceDE w:val="0"/>
        <w:autoSpaceDN w:val="0"/>
        <w:spacing w:line="360" w:lineRule="auto"/>
        <w:ind w:firstLine="480" w:firstLineChars="200"/>
        <w:rPr>
          <w:rFonts w:hint="eastAsia" w:asciiTheme="minorEastAsia" w:hAnsiTheme="minorEastAsia"/>
          <w:bCs/>
          <w:color w:val="000000" w:themeColor="text1"/>
          <w:sz w:val="24"/>
          <w:szCs w:val="32"/>
          <w:highlight w:val="none"/>
          <w14:textFill>
            <w14:solidFill>
              <w14:schemeClr w14:val="tx1"/>
            </w14:solidFill>
          </w14:textFill>
        </w:rPr>
      </w:pPr>
      <w:r>
        <w:rPr>
          <w:rFonts w:hint="eastAsia" w:asciiTheme="minorEastAsia" w:hAnsiTheme="minorEastAsia"/>
          <w:bCs/>
          <w:color w:val="000000" w:themeColor="text1"/>
          <w:sz w:val="24"/>
          <w:szCs w:val="32"/>
          <w:highlight w:val="none"/>
          <w14:textFill>
            <w14:solidFill>
              <w14:schemeClr w14:val="tx1"/>
            </w14:solidFill>
          </w14:textFill>
        </w:rPr>
        <w:t>投标人应保证采购人在使用投标标的物或其任何一部分时不受任何第三方提出的侵犯其著作权、商标权、专利权等知识产权方面的起诉；如果任何第三方提出侵权指控，那么投标人须与该第三方交涉并承担由此发生的一切责任、费用和赔偿；投标人已获取的知识产权归投标人所有。</w:t>
      </w:r>
    </w:p>
    <w:p>
      <w:pPr>
        <w:spacing w:line="360" w:lineRule="auto"/>
        <w:ind w:firstLine="482" w:firstLineChars="200"/>
        <w:rPr>
          <w:rFonts w:cs="仿宋_GB2312"/>
          <w:b/>
          <w:bCs/>
          <w:color w:val="000000" w:themeColor="text1"/>
          <w:sz w:val="24"/>
          <w:szCs w:val="32"/>
          <w14:textFill>
            <w14:solidFill>
              <w14:schemeClr w14:val="tx1"/>
            </w14:solidFill>
          </w14:textFill>
        </w:rPr>
      </w:pPr>
      <w:r>
        <w:rPr>
          <w:rFonts w:hint="eastAsia" w:cs="仿宋_GB2312"/>
          <w:b/>
          <w:bCs/>
          <w:color w:val="000000" w:themeColor="text1"/>
          <w:sz w:val="24"/>
          <w:szCs w:val="32"/>
          <w14:textFill>
            <w14:solidFill>
              <w14:schemeClr w14:val="tx1"/>
            </w14:solidFill>
          </w14:textFill>
        </w:rPr>
        <w:t>3.重要说明</w:t>
      </w:r>
    </w:p>
    <w:p>
      <w:pPr>
        <w:spacing w:line="360" w:lineRule="auto"/>
        <w:ind w:firstLine="480" w:firstLineChars="200"/>
        <w:rPr>
          <w:rFonts w:hint="eastAsia" w:cs="仿宋_GB2312"/>
          <w:color w:val="000000" w:themeColor="text1"/>
          <w:sz w:val="24"/>
          <w:szCs w:val="32"/>
          <w14:textFill>
            <w14:solidFill>
              <w14:schemeClr w14:val="tx1"/>
            </w14:solidFill>
          </w14:textFill>
        </w:rPr>
      </w:pPr>
      <w:r>
        <w:rPr>
          <w:rFonts w:hint="eastAsia" w:cs="仿宋_GB2312"/>
          <w:color w:val="000000" w:themeColor="text1"/>
          <w:sz w:val="24"/>
          <w:szCs w:val="32"/>
          <w14:textFill>
            <w14:solidFill>
              <w14:schemeClr w14:val="tx1"/>
            </w14:solidFill>
          </w14:textFill>
        </w:rPr>
        <w:t>本项目属于交钥匙工程。采购文件中要求建设的内容而投标人未予报价的，将被认为包含在投标总价中，风险由投标人自行承担；投标人应对项目完整性、兼容性负责。</w:t>
      </w:r>
    </w:p>
    <w:p>
      <w:pPr>
        <w:autoSpaceDE w:val="0"/>
        <w:autoSpaceDN w:val="0"/>
        <w:spacing w:line="360" w:lineRule="auto"/>
        <w:rPr>
          <w:rFonts w:hint="eastAsia" w:asciiTheme="minorEastAsia" w:hAnsiTheme="minorEastAsia"/>
          <w:bCs/>
          <w:color w:val="000000" w:themeColor="text1"/>
          <w:sz w:val="24"/>
          <w:szCs w:val="32"/>
          <w14:textFill>
            <w14:solidFill>
              <w14:schemeClr w14:val="tx1"/>
            </w14:solidFill>
          </w14:textFill>
        </w:rPr>
      </w:pPr>
    </w:p>
    <w:p>
      <w:pPr>
        <w:pStyle w:val="791"/>
        <w:tabs>
          <w:tab w:val="left" w:pos="567"/>
        </w:tabs>
        <w:spacing w:after="120"/>
        <w:ind w:firstLine="480"/>
        <w:rPr>
          <w:rFonts w:hint="eastAsia" w:cs="仿宋_GB2312"/>
          <w:color w:val="000000" w:themeColor="text1"/>
          <w:highlight w:val="none"/>
          <w14:textFill>
            <w14:solidFill>
              <w14:schemeClr w14:val="tx1"/>
            </w14:solidFill>
          </w14:textFill>
        </w:rPr>
      </w:pPr>
      <w:r>
        <w:rPr>
          <w:rFonts w:hint="eastAsia" w:ascii="宋体" w:hAnsi="宋体"/>
          <w:bCs/>
          <w:color w:val="000000" w:themeColor="text1"/>
          <w14:textFill>
            <w14:solidFill>
              <w14:schemeClr w14:val="tx1"/>
            </w14:solidFill>
          </w14:textFill>
        </w:rPr>
        <w:t>◆特别提示：</w:t>
      </w:r>
      <w:r>
        <w:rPr>
          <w:rFonts w:hint="eastAsia" w:cs="仿宋_GB2312"/>
          <w:color w:val="000000" w:themeColor="text1"/>
          <w14:textFill>
            <w14:solidFill>
              <w14:schemeClr w14:val="tx1"/>
            </w14:solidFill>
          </w14:textFill>
        </w:rPr>
        <w:t>如采购文件中遗漏了必须具备的设备、配件或服务，请投标人在投标文件中指出，并提出解决方案供采购单位、采购机构参考；中标人有义务保证采购单位系统的完整性，如项目实施过程中因缺少设备、配件或服务导致采购单位系统无法正常运行，中标人须承诺免费提供。</w:t>
      </w:r>
    </w:p>
    <w:p>
      <w:pPr>
        <w:jc w:val="both"/>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textWrapping"/>
      </w:r>
    </w:p>
    <w:p>
      <w:pPr>
        <w:pStyle w:val="79"/>
        <w:rPr>
          <w:rFonts w:hint="eastAsia" w:ascii="宋体" w:hAnsi="宋体" w:cs="宋体"/>
          <w:b/>
          <w:color w:val="auto"/>
          <w:sz w:val="36"/>
          <w:szCs w:val="36"/>
          <w:highlight w:val="none"/>
        </w:rPr>
      </w:pPr>
    </w:p>
    <w:p>
      <w:pPr>
        <w:pStyle w:val="79"/>
        <w:rPr>
          <w:rFonts w:hint="eastAsia" w:ascii="宋体" w:hAnsi="宋体" w:cs="宋体"/>
          <w:b/>
          <w:color w:val="auto"/>
          <w:sz w:val="36"/>
          <w:szCs w:val="36"/>
          <w:highlight w:val="none"/>
        </w:rPr>
      </w:pPr>
    </w:p>
    <w:p>
      <w:pPr>
        <w:pStyle w:val="79"/>
        <w:ind w:left="0" w:leftChars="0" w:firstLine="0" w:firstLineChars="0"/>
        <w:rPr>
          <w:rFonts w:hint="eastAsia" w:ascii="宋体" w:hAnsi="宋体" w:cs="宋体"/>
          <w:b/>
          <w:color w:val="auto"/>
          <w:sz w:val="36"/>
          <w:szCs w:val="36"/>
          <w:highlight w:val="none"/>
        </w:rPr>
      </w:pPr>
    </w:p>
    <w:p>
      <w:pPr>
        <w:pStyle w:val="79"/>
        <w:ind w:left="0" w:leftChars="0" w:firstLine="0" w:firstLineChars="0"/>
        <w:rPr>
          <w:rFonts w:hint="eastAsia" w:ascii="宋体" w:hAnsi="宋体" w:cs="宋体"/>
          <w:b/>
          <w:color w:val="auto"/>
          <w:sz w:val="36"/>
          <w:szCs w:val="36"/>
          <w:highlight w:val="none"/>
        </w:rPr>
      </w:pPr>
    </w:p>
    <w:p>
      <w:pPr>
        <w:pStyle w:val="79"/>
        <w:ind w:left="0" w:leftChars="0" w:firstLine="0" w:firstLineChars="0"/>
        <w:rPr>
          <w:rFonts w:hint="eastAsia" w:ascii="宋体" w:hAnsi="宋体" w:cs="宋体"/>
          <w:b/>
          <w:color w:val="auto"/>
          <w:sz w:val="36"/>
          <w:szCs w:val="36"/>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3" w:name="_Toc184313262"/>
      <w:bookmarkEnd w:id="33"/>
      <w:bookmarkStart w:id="34" w:name="_Toc184308086"/>
      <w:bookmarkEnd w:id="34"/>
      <w:bookmarkStart w:id="35" w:name="_Toc184313267"/>
      <w:bookmarkEnd w:id="35"/>
      <w:bookmarkStart w:id="36" w:name="_Toc184308065"/>
      <w:bookmarkEnd w:id="36"/>
      <w:bookmarkStart w:id="37" w:name="_Toc184314444"/>
      <w:bookmarkEnd w:id="37"/>
      <w:bookmarkStart w:id="38" w:name="_Toc184308077"/>
      <w:bookmarkEnd w:id="38"/>
      <w:bookmarkStart w:id="39" w:name="_Toc184314434"/>
      <w:bookmarkEnd w:id="39"/>
      <w:bookmarkStart w:id="40" w:name="_Toc184314480"/>
      <w:bookmarkEnd w:id="40"/>
      <w:bookmarkStart w:id="41" w:name="_Toc184313255"/>
      <w:bookmarkEnd w:id="41"/>
      <w:bookmarkStart w:id="42" w:name="_Toc184313281"/>
      <w:bookmarkEnd w:id="42"/>
      <w:bookmarkStart w:id="43" w:name="_Toc184314461"/>
      <w:bookmarkEnd w:id="43"/>
      <w:bookmarkStart w:id="44" w:name="_Toc184310301"/>
      <w:bookmarkEnd w:id="44"/>
      <w:bookmarkStart w:id="45" w:name="_Toc184313293"/>
      <w:bookmarkEnd w:id="45"/>
      <w:bookmarkStart w:id="46" w:name="_Toc184308103"/>
      <w:bookmarkEnd w:id="46"/>
      <w:bookmarkStart w:id="47" w:name="_Toc184312134"/>
      <w:bookmarkEnd w:id="47"/>
      <w:bookmarkStart w:id="48" w:name="_Toc184313271"/>
      <w:bookmarkEnd w:id="48"/>
      <w:bookmarkStart w:id="49" w:name="_Toc184310315"/>
      <w:bookmarkEnd w:id="49"/>
      <w:bookmarkStart w:id="50" w:name="_Toc184313300"/>
      <w:bookmarkEnd w:id="50"/>
      <w:bookmarkStart w:id="51" w:name="_Toc184308072"/>
      <w:bookmarkEnd w:id="51"/>
      <w:bookmarkStart w:id="52" w:name="_Toc184314475"/>
      <w:bookmarkEnd w:id="52"/>
      <w:bookmarkStart w:id="53" w:name="_Toc184310284"/>
      <w:bookmarkEnd w:id="53"/>
      <w:bookmarkStart w:id="54" w:name="_Toc184313257"/>
      <w:bookmarkEnd w:id="54"/>
      <w:bookmarkStart w:id="55" w:name="_Toc184313280"/>
      <w:bookmarkEnd w:id="55"/>
      <w:bookmarkStart w:id="56" w:name="_Toc184310304"/>
      <w:bookmarkEnd w:id="56"/>
      <w:bookmarkStart w:id="57" w:name="_Toc184308047"/>
      <w:bookmarkEnd w:id="57"/>
      <w:bookmarkStart w:id="58" w:name="_Toc184312120"/>
      <w:bookmarkEnd w:id="58"/>
      <w:bookmarkStart w:id="59" w:name="_Toc184310335"/>
      <w:bookmarkEnd w:id="59"/>
      <w:bookmarkStart w:id="60" w:name="_Toc184314443"/>
      <w:bookmarkEnd w:id="60"/>
      <w:bookmarkStart w:id="61" w:name="_Toc184314466"/>
      <w:bookmarkEnd w:id="61"/>
      <w:bookmarkStart w:id="62" w:name="_Toc184308049"/>
      <w:bookmarkEnd w:id="62"/>
      <w:bookmarkStart w:id="63" w:name="_Toc184314430"/>
      <w:bookmarkEnd w:id="63"/>
      <w:bookmarkStart w:id="64" w:name="_Toc184308076"/>
      <w:bookmarkEnd w:id="64"/>
      <w:bookmarkStart w:id="65" w:name="_Toc184313310"/>
      <w:bookmarkEnd w:id="65"/>
      <w:bookmarkStart w:id="66" w:name="_Toc184314420"/>
      <w:bookmarkEnd w:id="66"/>
      <w:bookmarkStart w:id="67" w:name="_Toc184314464"/>
      <w:bookmarkEnd w:id="67"/>
      <w:bookmarkStart w:id="68" w:name="_Toc184314467"/>
      <w:bookmarkEnd w:id="68"/>
      <w:bookmarkStart w:id="69" w:name="_Toc184314468"/>
      <w:bookmarkEnd w:id="69"/>
      <w:bookmarkStart w:id="70" w:name="_Toc184314415"/>
      <w:bookmarkEnd w:id="70"/>
      <w:bookmarkStart w:id="71" w:name="_Toc184310337"/>
      <w:bookmarkEnd w:id="71"/>
      <w:bookmarkStart w:id="72" w:name="_Toc184310319"/>
      <w:bookmarkEnd w:id="72"/>
      <w:bookmarkStart w:id="73" w:name="_Toc184312127"/>
      <w:bookmarkEnd w:id="73"/>
      <w:bookmarkStart w:id="74" w:name="_Toc184313239"/>
      <w:bookmarkEnd w:id="74"/>
      <w:bookmarkStart w:id="75" w:name="_Toc184312075"/>
      <w:bookmarkEnd w:id="75"/>
      <w:bookmarkStart w:id="76" w:name="_Toc184312132"/>
      <w:bookmarkEnd w:id="76"/>
      <w:bookmarkStart w:id="77" w:name="_Toc184314428"/>
      <w:bookmarkEnd w:id="77"/>
      <w:bookmarkStart w:id="78" w:name="_Toc184308084"/>
      <w:bookmarkEnd w:id="78"/>
      <w:bookmarkStart w:id="79" w:name="_Toc184313284"/>
      <w:bookmarkEnd w:id="79"/>
      <w:bookmarkStart w:id="80" w:name="_Toc184314448"/>
      <w:bookmarkEnd w:id="80"/>
      <w:bookmarkStart w:id="81" w:name="_Toc184312087"/>
      <w:bookmarkEnd w:id="81"/>
      <w:bookmarkStart w:id="82" w:name="_Toc184313256"/>
      <w:bookmarkEnd w:id="82"/>
      <w:bookmarkStart w:id="83" w:name="_Toc184314481"/>
      <w:bookmarkEnd w:id="83"/>
      <w:bookmarkStart w:id="84" w:name="_Toc184313250"/>
      <w:bookmarkEnd w:id="84"/>
      <w:bookmarkStart w:id="85" w:name="_Toc184313273"/>
      <w:bookmarkEnd w:id="85"/>
      <w:bookmarkStart w:id="86" w:name="_Toc184313269"/>
      <w:bookmarkEnd w:id="86"/>
      <w:bookmarkStart w:id="87" w:name="_Toc184312131"/>
      <w:bookmarkEnd w:id="87"/>
      <w:bookmarkStart w:id="88" w:name="_Toc184313292"/>
      <w:bookmarkEnd w:id="88"/>
      <w:bookmarkStart w:id="89" w:name="_Toc184310286"/>
      <w:bookmarkEnd w:id="89"/>
      <w:bookmarkStart w:id="90" w:name="_Toc184310320"/>
      <w:bookmarkEnd w:id="90"/>
      <w:bookmarkStart w:id="91" w:name="_Toc184314474"/>
      <w:bookmarkEnd w:id="91"/>
      <w:bookmarkStart w:id="92" w:name="_Toc184312093"/>
      <w:bookmarkEnd w:id="92"/>
      <w:bookmarkStart w:id="93" w:name="_Toc184312090"/>
      <w:bookmarkEnd w:id="93"/>
      <w:bookmarkStart w:id="94" w:name="_Toc184312088"/>
      <w:bookmarkEnd w:id="94"/>
      <w:bookmarkStart w:id="95" w:name="_Toc184310310"/>
      <w:bookmarkEnd w:id="95"/>
      <w:bookmarkStart w:id="96" w:name="_Toc184314479"/>
      <w:bookmarkEnd w:id="96"/>
      <w:bookmarkStart w:id="97" w:name="_Toc184313275"/>
      <w:bookmarkEnd w:id="97"/>
      <w:bookmarkStart w:id="98" w:name="_Toc184312084"/>
      <w:bookmarkEnd w:id="98"/>
      <w:bookmarkStart w:id="99" w:name="_Toc184313253"/>
      <w:bookmarkEnd w:id="99"/>
      <w:bookmarkStart w:id="100" w:name="_Toc184308096"/>
      <w:bookmarkEnd w:id="100"/>
      <w:bookmarkStart w:id="101" w:name="_Toc184314447"/>
      <w:bookmarkEnd w:id="101"/>
      <w:bookmarkStart w:id="102" w:name="_Toc184313249"/>
      <w:bookmarkEnd w:id="102"/>
      <w:bookmarkStart w:id="103" w:name="_Toc184310289"/>
      <w:bookmarkEnd w:id="103"/>
      <w:bookmarkStart w:id="104" w:name="_Toc184310342"/>
      <w:bookmarkEnd w:id="104"/>
      <w:bookmarkStart w:id="105" w:name="_Toc184310316"/>
      <w:bookmarkEnd w:id="105"/>
      <w:bookmarkStart w:id="106" w:name="_Toc184313277"/>
      <w:bookmarkEnd w:id="106"/>
      <w:bookmarkStart w:id="107" w:name="_Toc184310323"/>
      <w:bookmarkEnd w:id="107"/>
      <w:bookmarkStart w:id="108" w:name="_Toc184312105"/>
      <w:bookmarkEnd w:id="108"/>
      <w:bookmarkStart w:id="109" w:name="_Toc184310328"/>
      <w:bookmarkEnd w:id="109"/>
      <w:bookmarkStart w:id="110" w:name="_Toc184313254"/>
      <w:bookmarkEnd w:id="110"/>
      <w:bookmarkStart w:id="111" w:name="_Toc184313266"/>
      <w:bookmarkEnd w:id="111"/>
      <w:bookmarkStart w:id="112" w:name="_Toc184308067"/>
      <w:bookmarkEnd w:id="112"/>
      <w:bookmarkStart w:id="113" w:name="_Toc184312095"/>
      <w:bookmarkEnd w:id="113"/>
      <w:bookmarkStart w:id="114" w:name="_Toc184310302"/>
      <w:bookmarkEnd w:id="114"/>
      <w:bookmarkStart w:id="115" w:name="_Toc184313283"/>
      <w:bookmarkEnd w:id="115"/>
      <w:bookmarkStart w:id="116" w:name="_Toc184314431"/>
      <w:bookmarkEnd w:id="116"/>
      <w:bookmarkStart w:id="117" w:name="_Toc184310327"/>
      <w:bookmarkEnd w:id="117"/>
      <w:bookmarkStart w:id="118" w:name="_Toc184308059"/>
      <w:bookmarkEnd w:id="118"/>
      <w:bookmarkStart w:id="119" w:name="_Toc184314456"/>
      <w:bookmarkEnd w:id="119"/>
      <w:bookmarkStart w:id="120" w:name="_Toc184310311"/>
      <w:bookmarkEnd w:id="120"/>
      <w:bookmarkStart w:id="121" w:name="_Toc184314478"/>
      <w:bookmarkEnd w:id="121"/>
      <w:bookmarkStart w:id="122" w:name="_Toc184312123"/>
      <w:bookmarkEnd w:id="122"/>
      <w:bookmarkStart w:id="123" w:name="_Toc184312121"/>
      <w:bookmarkEnd w:id="123"/>
      <w:bookmarkStart w:id="124" w:name="_Toc184310339"/>
      <w:bookmarkEnd w:id="124"/>
      <w:bookmarkStart w:id="125" w:name="_Toc184308043"/>
      <w:bookmarkEnd w:id="125"/>
      <w:bookmarkStart w:id="126" w:name="_Toc184313259"/>
      <w:bookmarkEnd w:id="126"/>
      <w:bookmarkStart w:id="127" w:name="_Toc184314455"/>
      <w:bookmarkEnd w:id="127"/>
      <w:bookmarkStart w:id="128" w:name="_Toc184310290"/>
      <w:bookmarkEnd w:id="128"/>
      <w:bookmarkStart w:id="129" w:name="_Toc184308052"/>
      <w:bookmarkEnd w:id="129"/>
      <w:bookmarkStart w:id="130" w:name="_Toc184314459"/>
      <w:bookmarkEnd w:id="130"/>
      <w:bookmarkStart w:id="131" w:name="_Toc184312098"/>
      <w:bookmarkEnd w:id="131"/>
      <w:bookmarkStart w:id="132" w:name="_Toc184310305"/>
      <w:bookmarkEnd w:id="132"/>
      <w:bookmarkStart w:id="133" w:name="_Toc184310298"/>
      <w:bookmarkEnd w:id="133"/>
      <w:bookmarkStart w:id="134" w:name="_Toc184312128"/>
      <w:bookmarkEnd w:id="134"/>
      <w:bookmarkStart w:id="135" w:name="_Toc184310325"/>
      <w:bookmarkEnd w:id="135"/>
      <w:bookmarkStart w:id="136" w:name="_Toc184308042"/>
      <w:bookmarkEnd w:id="136"/>
      <w:bookmarkStart w:id="137" w:name="_Toc184308073"/>
      <w:bookmarkEnd w:id="137"/>
      <w:bookmarkStart w:id="138" w:name="_Toc184314412"/>
      <w:bookmarkEnd w:id="138"/>
      <w:bookmarkStart w:id="139" w:name="_Toc184314476"/>
      <w:bookmarkEnd w:id="139"/>
      <w:bookmarkStart w:id="140" w:name="_Toc184313258"/>
      <w:bookmarkEnd w:id="140"/>
      <w:bookmarkStart w:id="141" w:name="_Toc184308057"/>
      <w:bookmarkEnd w:id="141"/>
      <w:bookmarkStart w:id="142" w:name="_Toc184308107"/>
      <w:bookmarkEnd w:id="142"/>
      <w:bookmarkStart w:id="143" w:name="_Toc184314482"/>
      <w:bookmarkEnd w:id="143"/>
      <w:bookmarkStart w:id="144" w:name="_Toc184312097"/>
      <w:bookmarkEnd w:id="144"/>
      <w:bookmarkStart w:id="145" w:name="_Toc184310334"/>
      <w:bookmarkEnd w:id="145"/>
      <w:bookmarkStart w:id="146" w:name="_Toc184314438"/>
      <w:bookmarkEnd w:id="146"/>
      <w:bookmarkStart w:id="147" w:name="_Toc184308058"/>
      <w:bookmarkEnd w:id="147"/>
      <w:bookmarkStart w:id="148" w:name="_Toc184310278"/>
      <w:bookmarkEnd w:id="148"/>
      <w:bookmarkStart w:id="149" w:name="_Toc184314410"/>
      <w:bookmarkEnd w:id="149"/>
      <w:bookmarkStart w:id="150" w:name="_Toc184314453"/>
      <w:bookmarkEnd w:id="150"/>
      <w:bookmarkStart w:id="151" w:name="_Toc184314460"/>
      <w:bookmarkEnd w:id="151"/>
      <w:bookmarkStart w:id="152" w:name="_Toc184308089"/>
      <w:bookmarkEnd w:id="152"/>
      <w:bookmarkStart w:id="153" w:name="_Toc184308071"/>
      <w:bookmarkEnd w:id="153"/>
      <w:bookmarkStart w:id="154" w:name="_Toc184312092"/>
      <w:bookmarkEnd w:id="154"/>
      <w:bookmarkStart w:id="155" w:name="_Toc184308038"/>
      <w:bookmarkEnd w:id="155"/>
      <w:bookmarkStart w:id="156" w:name="_Toc184313298"/>
      <w:bookmarkEnd w:id="156"/>
      <w:bookmarkStart w:id="157" w:name="_Toc184310326"/>
      <w:bookmarkEnd w:id="157"/>
      <w:bookmarkStart w:id="158" w:name="_Toc184308053"/>
      <w:bookmarkEnd w:id="158"/>
      <w:bookmarkStart w:id="159" w:name="_Toc184312115"/>
      <w:bookmarkEnd w:id="159"/>
      <w:bookmarkStart w:id="160" w:name="_Toc184314419"/>
      <w:bookmarkEnd w:id="160"/>
      <w:bookmarkStart w:id="161" w:name="_Toc184313290"/>
      <w:bookmarkEnd w:id="161"/>
      <w:bookmarkStart w:id="162" w:name="_Toc184312106"/>
      <w:bookmarkEnd w:id="162"/>
      <w:bookmarkStart w:id="163" w:name="_Toc184308060"/>
      <w:bookmarkEnd w:id="163"/>
      <w:bookmarkStart w:id="164" w:name="_Toc184312102"/>
      <w:bookmarkEnd w:id="164"/>
      <w:bookmarkStart w:id="165" w:name="_Toc184314457"/>
      <w:bookmarkEnd w:id="165"/>
      <w:bookmarkStart w:id="166" w:name="_Toc184314439"/>
      <w:bookmarkEnd w:id="166"/>
      <w:bookmarkStart w:id="167" w:name="_Toc184308085"/>
      <w:bookmarkEnd w:id="167"/>
      <w:bookmarkStart w:id="168" w:name="_Toc184310285"/>
      <w:bookmarkEnd w:id="168"/>
      <w:bookmarkStart w:id="169" w:name="_Toc184308046"/>
      <w:bookmarkEnd w:id="169"/>
      <w:bookmarkStart w:id="170" w:name="_Toc184314416"/>
      <w:bookmarkEnd w:id="170"/>
      <w:bookmarkStart w:id="171" w:name="_Toc184312094"/>
      <w:bookmarkEnd w:id="171"/>
      <w:bookmarkStart w:id="172" w:name="_Toc184313244"/>
      <w:bookmarkEnd w:id="172"/>
      <w:bookmarkStart w:id="173" w:name="_Toc184310333"/>
      <w:bookmarkEnd w:id="173"/>
      <w:bookmarkStart w:id="174" w:name="_Toc184312118"/>
      <w:bookmarkEnd w:id="174"/>
      <w:bookmarkStart w:id="175" w:name="_Toc184313291"/>
      <w:bookmarkEnd w:id="175"/>
      <w:bookmarkStart w:id="176" w:name="_Toc184313260"/>
      <w:bookmarkEnd w:id="176"/>
      <w:bookmarkStart w:id="177" w:name="_Toc184312122"/>
      <w:bookmarkEnd w:id="177"/>
      <w:bookmarkStart w:id="178" w:name="_Toc184308106"/>
      <w:bookmarkEnd w:id="178"/>
      <w:bookmarkStart w:id="179" w:name="_Toc184314441"/>
      <w:bookmarkEnd w:id="179"/>
      <w:bookmarkStart w:id="180" w:name="_Toc184312100"/>
      <w:bookmarkEnd w:id="180"/>
      <w:bookmarkStart w:id="181" w:name="_Toc184313286"/>
      <w:bookmarkEnd w:id="181"/>
      <w:bookmarkStart w:id="182" w:name="_Toc184312138"/>
      <w:bookmarkEnd w:id="182"/>
      <w:bookmarkStart w:id="183" w:name="_Toc184314432"/>
      <w:bookmarkEnd w:id="183"/>
      <w:bookmarkStart w:id="184" w:name="_Toc184313278"/>
      <w:bookmarkEnd w:id="184"/>
      <w:bookmarkStart w:id="185" w:name="_Toc184312078"/>
      <w:bookmarkEnd w:id="185"/>
      <w:bookmarkStart w:id="186" w:name="_Toc184314413"/>
      <w:bookmarkEnd w:id="186"/>
      <w:bookmarkStart w:id="187" w:name="_Toc184312126"/>
      <w:bookmarkEnd w:id="187"/>
      <w:bookmarkStart w:id="188" w:name="_Toc184314423"/>
      <w:bookmarkEnd w:id="188"/>
      <w:bookmarkStart w:id="189" w:name="_Toc184308094"/>
      <w:bookmarkEnd w:id="189"/>
      <w:bookmarkStart w:id="190" w:name="_Toc184312125"/>
      <w:bookmarkEnd w:id="190"/>
      <w:bookmarkStart w:id="191" w:name="_Toc184308081"/>
      <w:bookmarkEnd w:id="191"/>
      <w:bookmarkStart w:id="192" w:name="_Toc184308100"/>
      <w:bookmarkEnd w:id="192"/>
      <w:bookmarkStart w:id="193" w:name="_Toc184313282"/>
      <w:bookmarkEnd w:id="193"/>
      <w:bookmarkStart w:id="194" w:name="_Toc184313306"/>
      <w:bookmarkEnd w:id="194"/>
      <w:bookmarkStart w:id="195" w:name="_Toc184310340"/>
      <w:bookmarkEnd w:id="195"/>
      <w:bookmarkStart w:id="196" w:name="_Toc184312081"/>
      <w:bookmarkEnd w:id="196"/>
      <w:bookmarkStart w:id="197" w:name="_Toc184314449"/>
      <w:bookmarkEnd w:id="197"/>
      <w:bookmarkStart w:id="198" w:name="_Toc184313285"/>
      <w:bookmarkEnd w:id="198"/>
      <w:bookmarkStart w:id="199" w:name="_Toc184308066"/>
      <w:bookmarkEnd w:id="199"/>
      <w:bookmarkStart w:id="200" w:name="_Toc184314417"/>
      <w:bookmarkEnd w:id="200"/>
      <w:bookmarkStart w:id="201" w:name="_Toc184313246"/>
      <w:bookmarkEnd w:id="201"/>
      <w:bookmarkStart w:id="202" w:name="_Toc184310309"/>
      <w:bookmarkEnd w:id="202"/>
      <w:bookmarkStart w:id="203" w:name="_Toc184310330"/>
      <w:bookmarkEnd w:id="203"/>
      <w:bookmarkStart w:id="204" w:name="_Toc184310293"/>
      <w:bookmarkEnd w:id="204"/>
      <w:bookmarkStart w:id="205" w:name="_Toc184308061"/>
      <w:bookmarkEnd w:id="205"/>
      <w:bookmarkStart w:id="206" w:name="_Toc184314436"/>
      <w:bookmarkEnd w:id="206"/>
      <w:bookmarkStart w:id="207" w:name="_Toc184313309"/>
      <w:bookmarkEnd w:id="207"/>
      <w:bookmarkStart w:id="208" w:name="_Toc184308104"/>
      <w:bookmarkEnd w:id="208"/>
      <w:bookmarkStart w:id="209" w:name="_Toc184310274"/>
      <w:bookmarkEnd w:id="209"/>
      <w:bookmarkStart w:id="210" w:name="_Toc184310277"/>
      <w:bookmarkEnd w:id="210"/>
      <w:bookmarkStart w:id="211" w:name="_Toc184308054"/>
      <w:bookmarkEnd w:id="211"/>
      <w:bookmarkStart w:id="212" w:name="_Toc184313264"/>
      <w:bookmarkEnd w:id="212"/>
      <w:bookmarkStart w:id="213" w:name="_Toc184310336"/>
      <w:bookmarkEnd w:id="213"/>
      <w:bookmarkStart w:id="214" w:name="_Toc184310308"/>
      <w:bookmarkEnd w:id="214"/>
      <w:bookmarkStart w:id="215" w:name="_Toc184312099"/>
      <w:bookmarkEnd w:id="215"/>
      <w:bookmarkStart w:id="216" w:name="_Toc184310295"/>
      <w:bookmarkEnd w:id="216"/>
      <w:bookmarkStart w:id="217" w:name="_Toc184312079"/>
      <w:bookmarkEnd w:id="217"/>
      <w:bookmarkStart w:id="218" w:name="_Toc184310312"/>
      <w:bookmarkEnd w:id="218"/>
      <w:bookmarkStart w:id="219" w:name="_Toc184312129"/>
      <w:bookmarkEnd w:id="219"/>
      <w:bookmarkStart w:id="220" w:name="_Toc184313270"/>
      <w:bookmarkEnd w:id="220"/>
      <w:bookmarkStart w:id="221" w:name="_Toc184310281"/>
      <w:bookmarkEnd w:id="221"/>
      <w:bookmarkStart w:id="222" w:name="_Toc184312119"/>
      <w:bookmarkEnd w:id="222"/>
      <w:bookmarkStart w:id="223" w:name="_Toc184308091"/>
      <w:bookmarkEnd w:id="223"/>
      <w:bookmarkStart w:id="224" w:name="_Toc184308051"/>
      <w:bookmarkEnd w:id="224"/>
      <w:bookmarkStart w:id="225" w:name="_Toc184310279"/>
      <w:bookmarkEnd w:id="225"/>
      <w:bookmarkStart w:id="226" w:name="_Toc184310313"/>
      <w:bookmarkEnd w:id="226"/>
      <w:bookmarkStart w:id="227" w:name="_Toc184312083"/>
      <w:bookmarkEnd w:id="227"/>
      <w:bookmarkStart w:id="228" w:name="_Toc184308045"/>
      <w:bookmarkEnd w:id="228"/>
      <w:bookmarkStart w:id="229" w:name="_Toc184312109"/>
      <w:bookmarkEnd w:id="229"/>
      <w:bookmarkStart w:id="230" w:name="_Toc184313301"/>
      <w:bookmarkEnd w:id="230"/>
      <w:bookmarkStart w:id="231" w:name="_Toc184310306"/>
      <w:bookmarkEnd w:id="231"/>
      <w:bookmarkStart w:id="232" w:name="_Toc184310307"/>
      <w:bookmarkEnd w:id="232"/>
      <w:bookmarkStart w:id="233" w:name="_Toc184312071"/>
      <w:bookmarkEnd w:id="233"/>
      <w:bookmarkStart w:id="234" w:name="_Toc184308050"/>
      <w:bookmarkEnd w:id="234"/>
      <w:bookmarkStart w:id="235" w:name="_Toc184312130"/>
      <w:bookmarkEnd w:id="235"/>
      <w:bookmarkStart w:id="236" w:name="_Toc184310338"/>
      <w:bookmarkEnd w:id="236"/>
      <w:bookmarkStart w:id="237" w:name="_Toc184312103"/>
      <w:bookmarkEnd w:id="237"/>
      <w:bookmarkStart w:id="238" w:name="_Toc184308055"/>
      <w:bookmarkEnd w:id="238"/>
      <w:bookmarkStart w:id="239" w:name="_Toc184310331"/>
      <w:bookmarkEnd w:id="239"/>
      <w:bookmarkStart w:id="240" w:name="_Toc184308039"/>
      <w:bookmarkEnd w:id="240"/>
      <w:bookmarkStart w:id="241" w:name="_Toc184314452"/>
      <w:bookmarkEnd w:id="241"/>
      <w:bookmarkStart w:id="242" w:name="_Toc184312116"/>
      <w:bookmarkEnd w:id="242"/>
      <w:bookmarkStart w:id="243" w:name="_Toc184314422"/>
      <w:bookmarkEnd w:id="243"/>
      <w:bookmarkStart w:id="244" w:name="_Toc184313304"/>
      <w:bookmarkEnd w:id="244"/>
      <w:bookmarkStart w:id="245" w:name="_Toc184310282"/>
      <w:bookmarkEnd w:id="245"/>
      <w:bookmarkStart w:id="246" w:name="_Toc184308062"/>
      <w:bookmarkEnd w:id="246"/>
      <w:bookmarkStart w:id="247" w:name="_Toc184314435"/>
      <w:bookmarkEnd w:id="247"/>
      <w:bookmarkStart w:id="248" w:name="_Toc184312135"/>
      <w:bookmarkEnd w:id="248"/>
      <w:bookmarkStart w:id="249" w:name="_Toc184310291"/>
      <w:bookmarkEnd w:id="249"/>
      <w:bookmarkStart w:id="250" w:name="_Toc184313251"/>
      <w:bookmarkEnd w:id="250"/>
      <w:bookmarkStart w:id="251" w:name="_Toc184314429"/>
      <w:bookmarkEnd w:id="251"/>
      <w:bookmarkStart w:id="252" w:name="_Toc184313261"/>
      <w:bookmarkEnd w:id="252"/>
      <w:bookmarkStart w:id="253" w:name="_Toc184310273"/>
      <w:bookmarkEnd w:id="253"/>
      <w:bookmarkStart w:id="254" w:name="_Toc184312096"/>
      <w:bookmarkEnd w:id="254"/>
      <w:bookmarkStart w:id="255" w:name="_Toc184308044"/>
      <w:bookmarkEnd w:id="255"/>
      <w:bookmarkStart w:id="256" w:name="_Toc184312136"/>
      <w:bookmarkEnd w:id="256"/>
      <w:bookmarkStart w:id="257" w:name="_Toc184312114"/>
      <w:bookmarkEnd w:id="257"/>
      <w:bookmarkStart w:id="258" w:name="_Toc184314471"/>
      <w:bookmarkEnd w:id="258"/>
      <w:bookmarkStart w:id="259" w:name="_Toc184314427"/>
      <w:bookmarkEnd w:id="259"/>
      <w:bookmarkStart w:id="260" w:name="_Toc184312124"/>
      <w:bookmarkEnd w:id="260"/>
      <w:bookmarkStart w:id="261" w:name="_Toc184314425"/>
      <w:bookmarkEnd w:id="261"/>
      <w:bookmarkStart w:id="262" w:name="_Toc184313305"/>
      <w:bookmarkEnd w:id="262"/>
      <w:bookmarkStart w:id="263" w:name="_Toc184313289"/>
      <w:bookmarkEnd w:id="263"/>
      <w:bookmarkStart w:id="264" w:name="_Toc184312101"/>
      <w:bookmarkEnd w:id="264"/>
      <w:bookmarkStart w:id="265" w:name="_Toc184312069"/>
      <w:bookmarkEnd w:id="265"/>
      <w:bookmarkStart w:id="266" w:name="_Toc184313268"/>
      <w:bookmarkEnd w:id="266"/>
      <w:bookmarkStart w:id="267" w:name="_Toc184312104"/>
      <w:bookmarkEnd w:id="267"/>
      <w:bookmarkStart w:id="268" w:name="_Toc184312085"/>
      <w:bookmarkEnd w:id="268"/>
      <w:bookmarkStart w:id="269" w:name="_Toc184308082"/>
      <w:bookmarkEnd w:id="269"/>
      <w:bookmarkStart w:id="270" w:name="_Toc184314477"/>
      <w:bookmarkEnd w:id="270"/>
      <w:bookmarkStart w:id="271" w:name="_Toc184310344"/>
      <w:bookmarkEnd w:id="271"/>
      <w:bookmarkStart w:id="272" w:name="_Toc184310324"/>
      <w:bookmarkEnd w:id="272"/>
      <w:bookmarkStart w:id="273" w:name="_Toc184314465"/>
      <w:bookmarkEnd w:id="273"/>
      <w:bookmarkStart w:id="274" w:name="_Toc184314458"/>
      <w:bookmarkEnd w:id="274"/>
      <w:bookmarkStart w:id="275" w:name="_Toc184312070"/>
      <w:bookmarkEnd w:id="275"/>
      <w:bookmarkStart w:id="276" w:name="_Toc184313245"/>
      <w:bookmarkEnd w:id="276"/>
      <w:bookmarkStart w:id="277" w:name="_Toc184313279"/>
      <w:bookmarkEnd w:id="277"/>
      <w:bookmarkStart w:id="278" w:name="_Toc184308040"/>
      <w:bookmarkEnd w:id="278"/>
      <w:bookmarkStart w:id="279" w:name="_Toc184314454"/>
      <w:bookmarkEnd w:id="279"/>
      <w:bookmarkStart w:id="280" w:name="_Toc184308056"/>
      <w:bookmarkEnd w:id="280"/>
      <w:bookmarkStart w:id="281" w:name="_Toc184314445"/>
      <w:bookmarkEnd w:id="281"/>
      <w:bookmarkStart w:id="282" w:name="_Toc184310294"/>
      <w:bookmarkEnd w:id="282"/>
      <w:bookmarkStart w:id="283" w:name="_Toc184313242"/>
      <w:bookmarkEnd w:id="283"/>
      <w:bookmarkStart w:id="284" w:name="_Toc184308099"/>
      <w:bookmarkEnd w:id="284"/>
      <w:bookmarkStart w:id="285" w:name="_Toc184310283"/>
      <w:bookmarkEnd w:id="285"/>
      <w:bookmarkStart w:id="286" w:name="_Toc184313274"/>
      <w:bookmarkEnd w:id="286"/>
      <w:bookmarkStart w:id="287" w:name="_Toc184310314"/>
      <w:bookmarkEnd w:id="287"/>
      <w:bookmarkStart w:id="288" w:name="_Toc184312089"/>
      <w:bookmarkEnd w:id="288"/>
      <w:bookmarkStart w:id="289" w:name="_Toc184312086"/>
      <w:bookmarkEnd w:id="289"/>
      <w:bookmarkStart w:id="290" w:name="_Toc184310288"/>
      <w:bookmarkEnd w:id="290"/>
      <w:bookmarkStart w:id="291" w:name="_Toc184310343"/>
      <w:bookmarkEnd w:id="291"/>
      <w:bookmarkStart w:id="292" w:name="_Toc184308070"/>
      <w:bookmarkEnd w:id="292"/>
      <w:bookmarkStart w:id="293" w:name="_Toc184308037"/>
      <w:bookmarkEnd w:id="293"/>
      <w:bookmarkStart w:id="294" w:name="_Toc184313297"/>
      <w:bookmarkEnd w:id="294"/>
      <w:bookmarkStart w:id="295" w:name="_Toc184312111"/>
      <w:bookmarkEnd w:id="295"/>
      <w:bookmarkStart w:id="296" w:name="_Toc184313299"/>
      <w:bookmarkEnd w:id="296"/>
      <w:bookmarkStart w:id="297" w:name="_Toc184310329"/>
      <w:bookmarkEnd w:id="297"/>
      <w:bookmarkStart w:id="298" w:name="_Toc184312080"/>
      <w:bookmarkEnd w:id="298"/>
      <w:bookmarkStart w:id="299" w:name="_Toc184314426"/>
      <w:bookmarkEnd w:id="299"/>
      <w:bookmarkStart w:id="300" w:name="_Toc184310280"/>
      <w:bookmarkEnd w:id="300"/>
      <w:bookmarkStart w:id="301" w:name="_Toc184313247"/>
      <w:bookmarkEnd w:id="301"/>
      <w:bookmarkStart w:id="302" w:name="_Toc184308083"/>
      <w:bookmarkEnd w:id="302"/>
      <w:bookmarkStart w:id="303" w:name="_Toc184310272"/>
      <w:bookmarkEnd w:id="303"/>
      <w:bookmarkStart w:id="304" w:name="_Toc184308108"/>
      <w:bookmarkEnd w:id="304"/>
      <w:bookmarkStart w:id="305" w:name="_Toc184310303"/>
      <w:bookmarkEnd w:id="305"/>
      <w:bookmarkStart w:id="306" w:name="_Toc184314418"/>
      <w:bookmarkEnd w:id="306"/>
      <w:bookmarkStart w:id="307" w:name="_Toc184312110"/>
      <w:bookmarkEnd w:id="307"/>
      <w:bookmarkStart w:id="308" w:name="_Toc184314437"/>
      <w:bookmarkEnd w:id="308"/>
      <w:bookmarkStart w:id="309" w:name="_Toc184308093"/>
      <w:bookmarkEnd w:id="309"/>
      <w:bookmarkStart w:id="310" w:name="_Toc184312067"/>
      <w:bookmarkEnd w:id="310"/>
      <w:bookmarkStart w:id="311" w:name="_Toc184313308"/>
      <w:bookmarkEnd w:id="311"/>
      <w:bookmarkStart w:id="312" w:name="_Toc184314433"/>
      <w:bookmarkEnd w:id="312"/>
      <w:bookmarkStart w:id="313" w:name="_Toc184310299"/>
      <w:bookmarkEnd w:id="313"/>
      <w:bookmarkStart w:id="314" w:name="_Toc184308097"/>
      <w:bookmarkEnd w:id="314"/>
      <w:bookmarkStart w:id="315" w:name="_Toc184313240"/>
      <w:bookmarkEnd w:id="315"/>
      <w:bookmarkStart w:id="316" w:name="_Toc184312068"/>
      <w:bookmarkEnd w:id="316"/>
      <w:bookmarkStart w:id="317" w:name="_Toc184313302"/>
      <w:bookmarkEnd w:id="317"/>
      <w:bookmarkStart w:id="318" w:name="_Toc184312133"/>
      <w:bookmarkEnd w:id="318"/>
      <w:bookmarkStart w:id="319" w:name="_Toc184312139"/>
      <w:bookmarkEnd w:id="319"/>
      <w:bookmarkStart w:id="320" w:name="_Toc184312074"/>
      <w:bookmarkEnd w:id="320"/>
      <w:bookmarkStart w:id="321" w:name="_Toc184314442"/>
      <w:bookmarkEnd w:id="321"/>
      <w:bookmarkStart w:id="322" w:name="_Toc184308079"/>
      <w:bookmarkEnd w:id="322"/>
      <w:bookmarkStart w:id="323" w:name="_Toc184310317"/>
      <w:bookmarkEnd w:id="323"/>
      <w:bookmarkStart w:id="324" w:name="_Toc184310292"/>
      <w:bookmarkEnd w:id="324"/>
      <w:bookmarkStart w:id="325" w:name="_Toc184314421"/>
      <w:bookmarkEnd w:id="325"/>
      <w:bookmarkStart w:id="326" w:name="_Toc184313265"/>
      <w:bookmarkEnd w:id="326"/>
      <w:bookmarkStart w:id="327" w:name="_Toc184308095"/>
      <w:bookmarkEnd w:id="327"/>
      <w:bookmarkStart w:id="328" w:name="_Toc184308036"/>
      <w:bookmarkEnd w:id="328"/>
      <w:bookmarkStart w:id="329" w:name="_Toc184313295"/>
      <w:bookmarkEnd w:id="329"/>
      <w:bookmarkStart w:id="330" w:name="_Toc184308068"/>
      <w:bookmarkEnd w:id="330"/>
      <w:bookmarkStart w:id="331" w:name="_Toc184312107"/>
      <w:bookmarkEnd w:id="331"/>
      <w:bookmarkStart w:id="332" w:name="_Toc184313276"/>
      <w:bookmarkEnd w:id="332"/>
      <w:bookmarkStart w:id="333" w:name="_Toc184313263"/>
      <w:bookmarkEnd w:id="333"/>
      <w:bookmarkStart w:id="334" w:name="_Toc184314414"/>
      <w:bookmarkEnd w:id="334"/>
      <w:bookmarkStart w:id="335" w:name="_Toc184312073"/>
      <w:bookmarkEnd w:id="335"/>
      <w:bookmarkStart w:id="336" w:name="_Toc184313307"/>
      <w:bookmarkEnd w:id="336"/>
      <w:bookmarkStart w:id="337" w:name="_Toc184308074"/>
      <w:bookmarkEnd w:id="337"/>
      <w:bookmarkStart w:id="338" w:name="_Toc184310321"/>
      <w:bookmarkEnd w:id="338"/>
      <w:bookmarkStart w:id="339" w:name="_Toc184310322"/>
      <w:bookmarkEnd w:id="339"/>
      <w:bookmarkStart w:id="340" w:name="_Toc184313243"/>
      <w:bookmarkEnd w:id="340"/>
      <w:bookmarkStart w:id="341" w:name="_Toc184308075"/>
      <w:bookmarkEnd w:id="341"/>
      <w:bookmarkStart w:id="342" w:name="_Toc184313241"/>
      <w:bookmarkEnd w:id="342"/>
      <w:bookmarkStart w:id="343" w:name="_Toc184312082"/>
      <w:bookmarkEnd w:id="343"/>
      <w:bookmarkStart w:id="344" w:name="_Toc184308101"/>
      <w:bookmarkEnd w:id="344"/>
      <w:bookmarkStart w:id="345" w:name="_Toc184314446"/>
      <w:bookmarkEnd w:id="345"/>
      <w:bookmarkStart w:id="346" w:name="_Toc184313296"/>
      <w:bookmarkEnd w:id="346"/>
      <w:bookmarkStart w:id="347" w:name="_Toc184312076"/>
      <w:bookmarkEnd w:id="347"/>
      <w:bookmarkStart w:id="348" w:name="_Toc184313287"/>
      <w:bookmarkEnd w:id="348"/>
      <w:bookmarkStart w:id="349" w:name="_Toc184308088"/>
      <w:bookmarkEnd w:id="349"/>
      <w:bookmarkStart w:id="350" w:name="_Toc184314411"/>
      <w:bookmarkEnd w:id="350"/>
      <w:bookmarkStart w:id="351" w:name="_Toc184312117"/>
      <w:bookmarkEnd w:id="351"/>
      <w:bookmarkStart w:id="352" w:name="_Toc184314440"/>
      <w:bookmarkEnd w:id="352"/>
      <w:bookmarkStart w:id="353" w:name="_Toc184312091"/>
      <w:bookmarkEnd w:id="353"/>
      <w:bookmarkStart w:id="354" w:name="_Toc184312113"/>
      <w:bookmarkEnd w:id="354"/>
      <w:bookmarkStart w:id="355" w:name="_Toc184310341"/>
      <w:bookmarkEnd w:id="355"/>
      <w:bookmarkStart w:id="356" w:name="_Toc184308098"/>
      <w:bookmarkEnd w:id="356"/>
      <w:bookmarkStart w:id="357" w:name="_Toc184308092"/>
      <w:bookmarkEnd w:id="357"/>
      <w:bookmarkStart w:id="358" w:name="_Toc184314450"/>
      <w:bookmarkEnd w:id="358"/>
      <w:bookmarkStart w:id="359" w:name="_Toc184314451"/>
      <w:bookmarkEnd w:id="359"/>
      <w:bookmarkStart w:id="360" w:name="_Toc184312072"/>
      <w:bookmarkEnd w:id="360"/>
      <w:bookmarkStart w:id="361" w:name="_Toc184308105"/>
      <w:bookmarkEnd w:id="361"/>
      <w:bookmarkStart w:id="362" w:name="_Toc184308090"/>
      <w:bookmarkEnd w:id="362"/>
      <w:bookmarkStart w:id="363" w:name="_Toc184314424"/>
      <w:bookmarkEnd w:id="363"/>
      <w:bookmarkStart w:id="364" w:name="_Toc184308063"/>
      <w:bookmarkEnd w:id="364"/>
      <w:bookmarkStart w:id="365" w:name="_Toc184312112"/>
      <w:bookmarkEnd w:id="365"/>
      <w:bookmarkStart w:id="366" w:name="_Toc184313294"/>
      <w:bookmarkEnd w:id="366"/>
      <w:bookmarkStart w:id="367" w:name="_Toc184310276"/>
      <w:bookmarkEnd w:id="367"/>
      <w:bookmarkStart w:id="368" w:name="_Toc184313248"/>
      <w:bookmarkEnd w:id="368"/>
      <w:bookmarkStart w:id="369" w:name="_Toc184313252"/>
      <w:bookmarkEnd w:id="369"/>
      <w:bookmarkStart w:id="370" w:name="_Toc184313288"/>
      <w:bookmarkEnd w:id="370"/>
      <w:bookmarkStart w:id="371" w:name="_Toc184308064"/>
      <w:bookmarkEnd w:id="371"/>
      <w:bookmarkStart w:id="372" w:name="_Toc184310332"/>
      <w:bookmarkEnd w:id="372"/>
      <w:bookmarkStart w:id="373" w:name="_Toc184313238"/>
      <w:bookmarkEnd w:id="373"/>
      <w:bookmarkStart w:id="374" w:name="_Toc184314469"/>
      <w:bookmarkEnd w:id="374"/>
      <w:bookmarkStart w:id="375" w:name="_Toc184308078"/>
      <w:bookmarkEnd w:id="375"/>
      <w:bookmarkStart w:id="376" w:name="_Toc184310296"/>
      <w:bookmarkEnd w:id="376"/>
      <w:bookmarkStart w:id="377" w:name="_Toc184308087"/>
      <w:bookmarkEnd w:id="377"/>
      <w:bookmarkStart w:id="378" w:name="_Toc184308080"/>
      <w:bookmarkEnd w:id="378"/>
      <w:bookmarkStart w:id="379" w:name="_Toc184310318"/>
      <w:bookmarkEnd w:id="379"/>
      <w:bookmarkStart w:id="380" w:name="_Toc184310287"/>
      <w:bookmarkEnd w:id="380"/>
      <w:bookmarkStart w:id="381" w:name="_Toc184308102"/>
      <w:bookmarkEnd w:id="381"/>
      <w:bookmarkStart w:id="382" w:name="_Toc184314462"/>
      <w:bookmarkEnd w:id="382"/>
      <w:bookmarkStart w:id="383" w:name="_Toc184314470"/>
      <w:bookmarkEnd w:id="383"/>
      <w:bookmarkStart w:id="384" w:name="_Toc184314463"/>
      <w:bookmarkEnd w:id="384"/>
      <w:bookmarkStart w:id="385" w:name="_Toc184313272"/>
      <w:bookmarkEnd w:id="385"/>
      <w:bookmarkStart w:id="386" w:name="_Toc184313303"/>
      <w:bookmarkEnd w:id="386"/>
      <w:bookmarkStart w:id="387" w:name="_Toc184310300"/>
      <w:bookmarkEnd w:id="387"/>
      <w:bookmarkStart w:id="388" w:name="_Toc184312108"/>
      <w:bookmarkEnd w:id="388"/>
      <w:bookmarkStart w:id="389" w:name="_Toc184308041"/>
      <w:bookmarkEnd w:id="389"/>
      <w:bookmarkStart w:id="390" w:name="_Toc184312137"/>
      <w:bookmarkEnd w:id="390"/>
      <w:bookmarkStart w:id="391" w:name="_Toc184314473"/>
      <w:bookmarkEnd w:id="391"/>
      <w:bookmarkStart w:id="392" w:name="_Toc184308069"/>
      <w:bookmarkEnd w:id="392"/>
      <w:bookmarkStart w:id="393" w:name="_Toc184310297"/>
      <w:bookmarkEnd w:id="393"/>
      <w:bookmarkStart w:id="394" w:name="_Toc184314472"/>
      <w:bookmarkEnd w:id="394"/>
      <w:bookmarkStart w:id="395" w:name="_Toc184310275"/>
      <w:bookmarkEnd w:id="395"/>
      <w:bookmarkStart w:id="396" w:name="_Toc184308048"/>
      <w:bookmarkEnd w:id="396"/>
      <w:bookmarkStart w:id="397" w:name="_Toc184312077"/>
      <w:bookmarkEnd w:id="397"/>
      <w:r>
        <w:rPr>
          <w:rFonts w:hint="eastAsia" w:ascii="宋体" w:hAnsi="宋体" w:cs="宋体"/>
          <w:b/>
          <w:color w:val="auto"/>
          <w:sz w:val="36"/>
          <w:szCs w:val="36"/>
          <w:highlight w:val="none"/>
        </w:rPr>
        <w:t>评标办法</w:t>
      </w:r>
    </w:p>
    <w:p>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5669"/>
        <w:gridCol w:w="738"/>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15"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权重（分值）</w:t>
            </w:r>
          </w:p>
        </w:tc>
        <w:tc>
          <w:tcPr>
            <w:tcW w:w="823" w:type="pct"/>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415" w:type="pct"/>
            <w:vAlign w:val="top"/>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投标人或制造商具有信息安全管理体系认证证书、信息技术服务管理体系认证</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、质量管理体系认证</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环境管理体系认证证书；在有效期内的每提供1个得1分，共</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（提供证书复印件）</w:t>
            </w:r>
            <w:r>
              <w:rPr>
                <w:rFonts w:hint="eastAsia" w:ascii="宋体" w:hAnsi="宋体" w:eastAsia="宋体" w:cs="宋体"/>
                <w:color w:val="auto"/>
                <w:sz w:val="24"/>
                <w:szCs w:val="24"/>
                <w:highlight w:val="none"/>
              </w:rPr>
              <w:t>。</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823"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企业管理体系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415" w:type="pct"/>
            <w:vAlign w:val="top"/>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strike w:val="0"/>
                <w:sz w:val="24"/>
                <w:szCs w:val="24"/>
                <w:highlight w:val="none"/>
              </w:rPr>
              <w:t>投标人投标截止时间前三年内（以合同签订时间为准）的同类案例，每个案例需提供</w:t>
            </w:r>
            <w:r>
              <w:rPr>
                <w:rFonts w:hint="eastAsia" w:ascii="宋体" w:hAnsi="宋体" w:eastAsia="宋体" w:cs="宋体"/>
                <w:b/>
                <w:bCs/>
                <w:strike w:val="0"/>
                <w:sz w:val="24"/>
                <w:szCs w:val="24"/>
                <w:highlight w:val="none"/>
              </w:rPr>
              <w:t>合同复印件</w:t>
            </w:r>
            <w:r>
              <w:rPr>
                <w:rFonts w:hint="eastAsia" w:ascii="宋体" w:hAnsi="宋体" w:eastAsia="宋体" w:cs="宋体"/>
                <w:strike w:val="0"/>
                <w:sz w:val="24"/>
                <w:szCs w:val="24"/>
                <w:highlight w:val="none"/>
              </w:rPr>
              <w:t>，每个案例得0.5分，最高得</w:t>
            </w:r>
            <w:r>
              <w:rPr>
                <w:rFonts w:hint="eastAsia" w:ascii="宋体" w:hAnsi="宋体" w:eastAsia="宋体" w:cs="宋体"/>
                <w:strike w:val="0"/>
                <w:sz w:val="24"/>
                <w:szCs w:val="24"/>
                <w:highlight w:val="none"/>
                <w:lang w:val="en-US" w:eastAsia="zh-CN"/>
              </w:rPr>
              <w:t>3</w:t>
            </w:r>
            <w:r>
              <w:rPr>
                <w:rFonts w:hint="eastAsia" w:ascii="宋体" w:hAnsi="宋体" w:eastAsia="宋体" w:cs="宋体"/>
                <w:strike w:val="0"/>
                <w:sz w:val="24"/>
                <w:szCs w:val="24"/>
                <w:highlight w:val="none"/>
              </w:rPr>
              <w:t>分（以上材料缺一不得分，同类案例是指与采购标的同品类的产品案例）。</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415" w:type="pct"/>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3"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环保产品标志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3415" w:type="pct"/>
          </w:tcPr>
          <w:p>
            <w:pPr>
              <w:pStyle w:val="19"/>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投标产品的基本功能、技术指标与需求的吻合程度和偏差情况：</w:t>
            </w:r>
            <w:r>
              <w:rPr>
                <w:rFonts w:hint="eastAsia" w:ascii="宋体" w:hAnsi="宋体" w:eastAsia="宋体" w:cs="宋体"/>
                <w:b w:val="0"/>
                <w:bCs w:val="0"/>
                <w:color w:val="auto"/>
                <w:sz w:val="24"/>
                <w:szCs w:val="24"/>
                <w:highlight w:val="none"/>
                <w:lang w:val="en-US" w:eastAsia="zh-CN"/>
              </w:rPr>
              <w:t>带“★”的技术指标须提供相关证明材料。</w:t>
            </w:r>
            <w:r>
              <w:rPr>
                <w:rFonts w:hint="eastAsia" w:ascii="宋体" w:hAnsi="宋体" w:eastAsia="宋体" w:cs="宋体"/>
                <w:sz w:val="24"/>
                <w:szCs w:val="24"/>
                <w:highlight w:val="none"/>
                <w:lang w:val="en-US" w:eastAsia="zh-CN"/>
              </w:rPr>
              <w:t>其中加“▲”的技术参数为实质性要求，不符合的投标文件无效；对于带“★”的技术指标负偏离每一项扣减2分；其他技术指标负偏离每一项扣减1分，扣完为止。</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823"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投标产品的性能和功能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3415" w:type="pct"/>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项目实施方案：包括①项目实施计划进度②项目实施保障措施③项目实施培训方案④项目验收方案。方案完整、合理，针对性强，视为符合，每一项完全符合得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分，部分符合得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分，不符合不得分，总分</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823"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415" w:type="pct"/>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投标人提供的</w:t>
            </w:r>
            <w:r>
              <w:rPr>
                <w:rFonts w:hint="eastAsia" w:ascii="宋体" w:hAnsi="宋体" w:eastAsia="宋体" w:cs="宋体"/>
                <w:sz w:val="24"/>
                <w:szCs w:val="24"/>
                <w:highlight w:val="none"/>
                <w:lang w:eastAsia="zh-CN"/>
              </w:rPr>
              <w:t>工期及</w:t>
            </w:r>
            <w:r>
              <w:rPr>
                <w:rFonts w:hint="eastAsia" w:ascii="宋体" w:hAnsi="宋体" w:eastAsia="宋体" w:cs="宋体"/>
                <w:sz w:val="24"/>
                <w:szCs w:val="24"/>
                <w:highlight w:val="none"/>
              </w:rPr>
              <w:t>安装服务实施方案：包括①项目交付工期</w:t>
            </w:r>
            <w:r>
              <w:rPr>
                <w:rFonts w:hint="eastAsia" w:ascii="宋体" w:hAnsi="宋体" w:eastAsia="宋体" w:cs="宋体"/>
                <w:sz w:val="24"/>
                <w:szCs w:val="24"/>
                <w:highlight w:val="none"/>
                <w:lang w:eastAsia="zh-CN"/>
              </w:rPr>
              <w:t>方案；</w:t>
            </w:r>
            <w:r>
              <w:rPr>
                <w:rFonts w:hint="eastAsia" w:ascii="宋体" w:hAnsi="宋体" w:eastAsia="宋体" w:cs="宋体"/>
                <w:sz w:val="24"/>
                <w:szCs w:val="24"/>
                <w:highlight w:val="none"/>
              </w:rPr>
              <w:t>②根据项目交付时间节点，送货安装时间、人员安排、设备调试等</w:t>
            </w:r>
            <w:r>
              <w:rPr>
                <w:rFonts w:hint="eastAsia" w:ascii="宋体" w:hAnsi="宋体" w:eastAsia="宋体" w:cs="宋体"/>
                <w:sz w:val="24"/>
                <w:szCs w:val="24"/>
                <w:highlight w:val="none"/>
                <w:lang w:eastAsia="zh-CN"/>
              </w:rPr>
              <w:t>方案</w:t>
            </w:r>
            <w:r>
              <w:rPr>
                <w:rFonts w:hint="eastAsia" w:ascii="宋体" w:hAnsi="宋体" w:eastAsia="宋体" w:cs="宋体"/>
                <w:sz w:val="24"/>
                <w:szCs w:val="24"/>
                <w:highlight w:val="none"/>
              </w:rPr>
              <w:t>的落实情况。方案完整、合理，针对性强，视为符合，每一项完全符合得2分，部分符合得1分，不符合不得分，总分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444"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23"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lang w:eastAsia="zh-CN"/>
              </w:rPr>
              <w:t>工期及</w:t>
            </w:r>
            <w:r>
              <w:rPr>
                <w:rFonts w:hint="eastAsia" w:ascii="宋体" w:hAnsi="宋体" w:eastAsia="宋体" w:cs="宋体"/>
                <w:b w:val="0"/>
                <w:bCs w:val="0"/>
                <w:sz w:val="24"/>
                <w:szCs w:val="24"/>
                <w:highlight w:val="none"/>
              </w:rPr>
              <w:t>安装服务实施方案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3415" w:type="pct"/>
            <w:vAlign w:val="top"/>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top"/>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bidi="ar"/>
              </w:rPr>
              <w:t>投标人提供的运维服务方案</w:t>
            </w:r>
            <w:r>
              <w:rPr>
                <w:rFonts w:hint="eastAsia" w:ascii="宋体" w:hAnsi="宋体" w:cs="宋体"/>
                <w:color w:val="auto"/>
                <w:sz w:val="24"/>
                <w:szCs w:val="24"/>
                <w:highlight w:val="none"/>
                <w:lang w:eastAsia="zh-CN" w:bidi="ar"/>
              </w:rPr>
              <w:t>进行</w:t>
            </w:r>
            <w:r>
              <w:rPr>
                <w:rFonts w:hint="eastAsia" w:ascii="宋体" w:hAnsi="宋体" w:eastAsia="宋体" w:cs="宋体"/>
                <w:color w:val="auto"/>
                <w:sz w:val="24"/>
                <w:szCs w:val="24"/>
                <w:highlight w:val="none"/>
                <w:lang w:bidi="ar"/>
              </w:rPr>
              <w:t>评分，</w:t>
            </w:r>
            <w:r>
              <w:rPr>
                <w:rFonts w:hint="eastAsia" w:ascii="宋体" w:hAnsi="宋体" w:eastAsia="宋体" w:cs="宋体"/>
                <w:color w:val="auto"/>
                <w:sz w:val="24"/>
                <w:szCs w:val="24"/>
                <w:highlight w:val="none"/>
                <w:lang w:eastAsia="zh-CN" w:bidi="ar"/>
              </w:rPr>
              <w:t>完全符合得</w:t>
            </w:r>
            <w:r>
              <w:rPr>
                <w:rFonts w:hint="eastAsia" w:ascii="宋体" w:hAnsi="宋体" w:eastAsia="宋体" w:cs="宋体"/>
                <w:color w:val="auto"/>
                <w:sz w:val="24"/>
                <w:szCs w:val="24"/>
                <w:highlight w:val="none"/>
                <w:lang w:val="en-US" w:eastAsia="zh-CN" w:bidi="ar"/>
              </w:rPr>
              <w:t>2分，部分符合得1分，不提供或不符合不得</w:t>
            </w:r>
            <w:r>
              <w:rPr>
                <w:rFonts w:hint="eastAsia" w:ascii="宋体" w:hAnsi="宋体" w:eastAsia="宋体" w:cs="宋体"/>
                <w:color w:val="auto"/>
                <w:sz w:val="24"/>
                <w:szCs w:val="24"/>
                <w:highlight w:val="none"/>
                <w:lang w:bidi="ar"/>
              </w:rPr>
              <w:t>分。</w:t>
            </w:r>
          </w:p>
        </w:tc>
        <w:tc>
          <w:tcPr>
            <w:tcW w:w="444" w:type="pct"/>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823" w:type="pct"/>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运维服务方案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6" w:type="pct"/>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3415" w:type="pct"/>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kern w:val="0"/>
                <w:sz w:val="24"/>
                <w:szCs w:val="24"/>
                <w:highlight w:val="none"/>
              </w:rPr>
              <w:t>投标人承诺的备品备件情况，承诺提供所投清单中台式电脑整机备机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w:t>
            </w:r>
            <w:r>
              <w:rPr>
                <w:rFonts w:hint="eastAsia" w:ascii="宋体" w:hAnsi="宋体" w:eastAsia="宋体" w:cs="宋体"/>
                <w:snapToGrid w:val="0"/>
                <w:kern w:val="0"/>
                <w:sz w:val="24"/>
                <w:szCs w:val="24"/>
                <w:highlight w:val="none"/>
              </w:rPr>
              <w:t>台得</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r>
              <w:rPr>
                <w:rFonts w:hint="eastAsia" w:ascii="宋体" w:hAnsi="宋体" w:eastAsia="宋体" w:cs="宋体"/>
                <w:snapToGrid w:val="0"/>
                <w:kern w:val="0"/>
                <w:sz w:val="24"/>
                <w:szCs w:val="24"/>
                <w:highlight w:val="none"/>
              </w:rPr>
              <w:t>台得</w:t>
            </w:r>
            <w:r>
              <w:rPr>
                <w:rFonts w:hint="eastAsia" w:ascii="宋体" w:hAnsi="宋体" w:eastAsia="宋体" w:cs="宋体"/>
                <w:snapToGrid w:val="0"/>
                <w:kern w:val="0"/>
                <w:sz w:val="24"/>
                <w:szCs w:val="24"/>
                <w:highlight w:val="none"/>
                <w:lang w:val="en-US" w:eastAsia="zh-CN"/>
              </w:rPr>
              <w:t>0.5</w:t>
            </w:r>
            <w:r>
              <w:rPr>
                <w:rFonts w:hint="eastAsia" w:ascii="宋体" w:hAnsi="宋体" w:eastAsia="宋体" w:cs="宋体"/>
                <w:snapToGrid w:val="0"/>
                <w:kern w:val="0"/>
                <w:sz w:val="24"/>
                <w:szCs w:val="24"/>
                <w:highlight w:val="none"/>
              </w:rPr>
              <w:t>分，并存放于用户单位指定仓库</w:t>
            </w:r>
            <w:r>
              <w:rPr>
                <w:rFonts w:hint="eastAsia" w:ascii="宋体" w:hAnsi="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须提供承诺函加盖公章</w:t>
            </w:r>
            <w:r>
              <w:rPr>
                <w:rFonts w:hint="eastAsia" w:ascii="宋体" w:hAnsi="宋体" w:cs="宋体"/>
                <w:snapToGrid w:val="0"/>
                <w:kern w:val="0"/>
                <w:sz w:val="24"/>
                <w:szCs w:val="24"/>
                <w:highlight w:val="none"/>
                <w:lang w:eastAsia="zh-CN"/>
              </w:rPr>
              <w:t>。</w:t>
            </w:r>
          </w:p>
        </w:tc>
        <w:tc>
          <w:tcPr>
            <w:tcW w:w="444" w:type="pct"/>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23" w:type="pct"/>
            <w:vMerge w:val="restart"/>
            <w:vAlign w:val="center"/>
          </w:tcPr>
          <w:p>
            <w:pPr>
              <w:keepNext w:val="0"/>
              <w:keepLines w:val="0"/>
              <w:suppressLineNumbers w:val="0"/>
              <w:spacing w:before="0" w:beforeAutospacing="0" w:after="0" w:afterAutospacing="0" w:line="360" w:lineRule="auto"/>
              <w:ind w:left="0" w:right="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316" w:type="pct"/>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15" w:type="pct"/>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snapToGrid w:val="0"/>
                <w:kern w:val="0"/>
                <w:sz w:val="24"/>
                <w:szCs w:val="24"/>
                <w:highlight w:val="none"/>
              </w:rPr>
              <w:t>根据投标人提供完善的售后服务方案，主要包括①售后服务承诺可操作性、②维修服务方案、③定期巡检方案。方案完整、合理，针对性强，视为符合，每一项完全符合得</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分，部分符合得0.</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分，不符合不得分，总分</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分。</w:t>
            </w:r>
          </w:p>
        </w:tc>
        <w:tc>
          <w:tcPr>
            <w:tcW w:w="444" w:type="pct"/>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823" w:type="pct"/>
            <w:vMerge w:val="continue"/>
            <w:vAlign w:val="center"/>
          </w:tcPr>
          <w:p>
            <w:pPr>
              <w:keepNext w:val="0"/>
              <w:keepLines w:val="0"/>
              <w:suppressLineNumbers w:val="0"/>
              <w:spacing w:before="0" w:beforeAutospacing="0" w:after="0" w:afterAutospacing="0" w:line="360" w:lineRule="auto"/>
              <w:ind w:left="0" w:right="0"/>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Merge w:val="continue"/>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3415" w:type="pct"/>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满足质保期</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年的前提下，每增加一年质保得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分（以整机的质保期为计算依据）。</w:t>
            </w:r>
            <w:r>
              <w:rPr>
                <w:rFonts w:hint="eastAsia" w:ascii="宋体" w:hAnsi="宋体" w:eastAsia="宋体" w:cs="宋体"/>
                <w:snapToGrid w:val="0"/>
                <w:kern w:val="0"/>
                <w:sz w:val="24"/>
                <w:szCs w:val="24"/>
                <w:highlight w:val="none"/>
              </w:rPr>
              <w:t>须提供承诺函加盖公章</w:t>
            </w:r>
          </w:p>
        </w:tc>
        <w:tc>
          <w:tcPr>
            <w:tcW w:w="444" w:type="pct"/>
            <w:vMerge w:val="continue"/>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823" w:type="pct"/>
            <w:vMerge w:val="continue"/>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3415" w:type="pct"/>
            <w:vAlign w:val="top"/>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投标人是否提供</w:t>
            </w:r>
            <w:r>
              <w:rPr>
                <w:rFonts w:hint="eastAsia" w:ascii="宋体" w:hAnsi="宋体" w:eastAsia="宋体" w:cs="宋体"/>
                <w:sz w:val="24"/>
                <w:szCs w:val="24"/>
                <w:highlight w:val="none"/>
              </w:rPr>
              <w:t>承诺</w:t>
            </w:r>
            <w:r>
              <w:rPr>
                <w:rFonts w:hint="eastAsia" w:ascii="宋体" w:hAnsi="宋体" w:eastAsia="宋体" w:cs="宋体"/>
                <w:b/>
                <w:bCs/>
                <w:sz w:val="24"/>
                <w:szCs w:val="24"/>
                <w:highlight w:val="none"/>
              </w:rPr>
              <w:t>中标后</w:t>
            </w:r>
            <w:r>
              <w:rPr>
                <w:rFonts w:hint="eastAsia" w:ascii="宋体" w:hAnsi="宋体" w:eastAsia="宋体" w:cs="宋体"/>
                <w:sz w:val="24"/>
                <w:szCs w:val="24"/>
                <w:highlight w:val="none"/>
              </w:rPr>
              <w:t>在签订合同</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提供加盖制造商公章的授权、质保承诺书等（承诺</w:t>
            </w:r>
            <w:r>
              <w:rPr>
                <w:rFonts w:hint="eastAsia" w:ascii="宋体" w:hAnsi="宋体" w:eastAsia="宋体" w:cs="宋体"/>
                <w:sz w:val="24"/>
                <w:szCs w:val="24"/>
                <w:highlight w:val="none"/>
                <w:lang w:val="en-US" w:eastAsia="zh-CN"/>
              </w:rPr>
              <w:t>书</w:t>
            </w:r>
            <w:r>
              <w:rPr>
                <w:rFonts w:hint="eastAsia" w:ascii="宋体" w:hAnsi="宋体" w:eastAsia="宋体" w:cs="宋体"/>
                <w:sz w:val="24"/>
                <w:szCs w:val="24"/>
                <w:highlight w:val="none"/>
              </w:rPr>
              <w:t>格式自拟）</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lang w:val="en-US" w:eastAsia="zh-CN"/>
              </w:rPr>
              <w:t>提供承诺函并加盖投标人公章，满足的得2分，否则不得分。</w:t>
            </w:r>
          </w:p>
        </w:tc>
        <w:tc>
          <w:tcPr>
            <w:tcW w:w="44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240" w:firstLineChars="100"/>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823"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415" w:type="pct"/>
            <w:vAlign w:val="top"/>
          </w:tcPr>
          <w:p>
            <w:pPr>
              <w:keepNext w:val="0"/>
              <w:keepLines w:val="0"/>
              <w:numPr>
                <w:ilvl w:val="0"/>
                <w:numId w:val="0"/>
              </w:numPr>
              <w:suppressLineNumbers w:val="0"/>
              <w:snapToGri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rPr>
              <w:t>项目团队</w:t>
            </w:r>
            <w:r>
              <w:rPr>
                <w:rFonts w:hint="eastAsia" w:ascii="宋体" w:hAnsi="宋体" w:eastAsia="宋体" w:cs="宋体"/>
                <w:b/>
                <w:bCs/>
                <w:color w:val="auto"/>
                <w:kern w:val="0"/>
                <w:sz w:val="24"/>
                <w:szCs w:val="24"/>
                <w:highlight w:val="none"/>
                <w:lang w:val="en-US" w:eastAsia="zh-CN" w:bidi="ar-SA"/>
              </w:rPr>
              <w:t>情况（投标人或制造商满足以下要求）：</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（1）项目负责人要求具有：提供人力资源和社会保障部或工业和信息化部颁发的系统集成项目管理工程师或信息系统管理工程师（一个证书得1分，同一人具有多个证书不重复得分），最多1分。</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专业技术人员3名以上，要求具有：人力资源和社会保障部或工业和信息化部颁发的系统集成项目管理工程师、信息系统管理工程师、信息安全工程师、网络工程师、计算机硬件工程师（一个证书得1分，同一人具有多个证书不重复得分），最多3分。</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（3）其他售后技术人员10名及以上以保障后续质保服务，提供相关工作经验证明，提供十人及以上得2分，5-10人得1分，5人以下不得分）。</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以上人员一人不得兼任多个岗位，且均须提供投标截止时间近3个月内任意一个月的社保缴纳证明，否则不得分。</w:t>
            </w:r>
          </w:p>
        </w:tc>
        <w:tc>
          <w:tcPr>
            <w:tcW w:w="444" w:type="pct"/>
            <w:vAlign w:val="center"/>
          </w:tcPr>
          <w:p>
            <w:pPr>
              <w:keepNext w:val="0"/>
              <w:keepLines w:val="0"/>
              <w:suppressLineNumbers w:val="0"/>
              <w:spacing w:before="0" w:beforeAutospacing="0" w:after="0" w:afterAutospacing="0" w:line="360" w:lineRule="auto"/>
              <w:ind w:left="0" w:right="0" w:firstLine="240" w:firstLineChars="100"/>
              <w:outlineLvl w:val="0"/>
              <w:rPr>
                <w:rFonts w:hint="eastAsia" w:ascii="宋体" w:hAnsi="宋体" w:eastAsia="宋体" w:cs="宋体"/>
                <w:color w:val="auto"/>
                <w:sz w:val="24"/>
                <w:szCs w:val="24"/>
                <w:highlight w:val="none"/>
                <w:lang w:val="en-US"/>
              </w:rPr>
            </w:pPr>
          </w:p>
          <w:p>
            <w:pPr>
              <w:keepNext w:val="0"/>
              <w:keepLines w:val="0"/>
              <w:suppressLineNumbers w:val="0"/>
              <w:spacing w:before="0" w:beforeAutospacing="0" w:after="0" w:afterAutospacing="0" w:line="360" w:lineRule="auto"/>
              <w:ind w:left="0" w:right="0" w:firstLine="240" w:firstLineChars="100"/>
              <w:outlineLvl w:val="0"/>
              <w:rPr>
                <w:rFonts w:hint="eastAsia" w:ascii="宋体" w:hAnsi="宋体" w:eastAsia="宋体" w:cs="宋体"/>
                <w:color w:val="auto"/>
                <w:sz w:val="24"/>
                <w:szCs w:val="24"/>
                <w:highlight w:val="none"/>
                <w:lang w:val="en-US"/>
              </w:rPr>
            </w:pPr>
          </w:p>
          <w:p>
            <w:pPr>
              <w:keepNext w:val="0"/>
              <w:keepLines w:val="0"/>
              <w:suppressLineNumbers w:val="0"/>
              <w:spacing w:before="0" w:beforeAutospacing="0" w:after="0" w:afterAutospacing="0" w:line="360" w:lineRule="auto"/>
              <w:ind w:left="0" w:right="0" w:firstLine="240" w:firstLineChars="1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23"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szCs w:val="24"/>
                <w:highlight w:val="none"/>
              </w:rPr>
            </w:pPr>
          </w:p>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szCs w:val="24"/>
                <w:highlight w:val="none"/>
              </w:rPr>
            </w:pPr>
          </w:p>
          <w:p>
            <w:pPr>
              <w:keepNext w:val="0"/>
              <w:keepLines w:val="0"/>
              <w:suppressLineNumbers w:val="0"/>
              <w:spacing w:before="0" w:beforeAutospacing="0" w:after="0" w:afterAutospacing="0" w:line="360" w:lineRule="auto"/>
              <w:ind w:left="0" w:right="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3415" w:type="pct"/>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详细的通过国家安全可靠测评电脑的软硬件适配方案。①包含CPU厂商、整机厂商、操作系统厂商的服务能力、服务承诺、服务创新性等；②包括质保期内、外适配服务（技术支持、运维、升级、软件适配及上门服务）承诺的可行性、完整性及落实的保障措施等。</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以上每小点完全符合得2分，部分符合得1分，不符合得0分，共4分。</w:t>
            </w:r>
          </w:p>
        </w:tc>
        <w:tc>
          <w:tcPr>
            <w:tcW w:w="444"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823"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适配方案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415"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样品计算机安装图片播放、视频播放、WPS授权软件，采购人提供演示素材、音箱，根据以下要求进行打分：</w:t>
            </w:r>
          </w:p>
          <w:p>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①整机外观及功能设计美观度，结构合理性，使用舒适度，散热正常；</w:t>
            </w:r>
          </w:p>
          <w:p>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spacing w:val="-6"/>
                <w:kern w:val="0"/>
                <w:sz w:val="24"/>
                <w:szCs w:val="24"/>
                <w:highlight w:val="none"/>
                <w:lang w:val="en-US" w:eastAsia="zh-CN" w:bidi="ar-SA"/>
              </w:rPr>
            </w:pPr>
            <w:r>
              <w:rPr>
                <w:rFonts w:hint="eastAsia" w:ascii="宋体" w:hAnsi="宋体" w:eastAsia="宋体" w:cs="宋体"/>
                <w:spacing w:val="-6"/>
                <w:kern w:val="0"/>
                <w:sz w:val="24"/>
                <w:szCs w:val="24"/>
                <w:highlight w:val="none"/>
                <w:lang w:val="en-US" w:eastAsia="zh-CN" w:bidi="ar-SA"/>
              </w:rPr>
              <w:t>②能安装QQ、微信、浙政钉等三个常用办公软件并流畅打开。</w:t>
            </w:r>
          </w:p>
          <w:p>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③</w:t>
            </w:r>
            <w:r>
              <w:rPr>
                <w:rFonts w:hint="eastAsia" w:ascii="宋体" w:hAnsi="宋体" w:eastAsia="宋体" w:cs="宋体"/>
                <w:color w:val="auto"/>
                <w:kern w:val="0"/>
                <w:sz w:val="24"/>
                <w:szCs w:val="24"/>
                <w:highlight w:val="none"/>
                <w:lang w:val="en-US" w:eastAsia="zh-CN" w:bidi="ar-SA"/>
              </w:rPr>
              <w:t>开机状况，开机后部件工作状况及噪音情况；</w:t>
            </w:r>
          </w:p>
          <w:p>
            <w:pPr>
              <w:pStyle w:val="19"/>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④图片播放效果展示（播放流畅、色彩还原度高等）；</w:t>
            </w:r>
          </w:p>
          <w:p>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⑤视频播放效果展示（画面流畅、音质优美，色彩还原度高等）；</w:t>
            </w:r>
          </w:p>
          <w:p>
            <w:pPr>
              <w:pStyle w:val="19"/>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SA"/>
              </w:rPr>
              <w:t>⑥</w:t>
            </w:r>
            <w:r>
              <w:rPr>
                <w:rFonts w:hint="eastAsia" w:ascii="宋体" w:hAnsi="宋体" w:eastAsia="宋体" w:cs="宋体"/>
                <w:b w:val="0"/>
                <w:bCs w:val="0"/>
                <w:kern w:val="0"/>
                <w:sz w:val="24"/>
                <w:szCs w:val="24"/>
                <w:highlight w:val="none"/>
                <w:lang w:val="en-US" w:eastAsia="zh-CN" w:bidi="ar-SA"/>
              </w:rPr>
              <w:t>WPS授权软件</w:t>
            </w:r>
            <w:r>
              <w:rPr>
                <w:rFonts w:hint="eastAsia" w:ascii="宋体" w:hAnsi="宋体" w:eastAsia="宋体" w:cs="宋体"/>
                <w:kern w:val="0"/>
                <w:sz w:val="24"/>
                <w:szCs w:val="24"/>
                <w:highlight w:val="none"/>
                <w:lang w:val="en-US" w:eastAsia="zh-CN" w:bidi="ar-SA"/>
              </w:rPr>
              <w:t>运行效果</w:t>
            </w:r>
            <w:r>
              <w:rPr>
                <w:rFonts w:hint="eastAsia" w:ascii="宋体" w:hAnsi="宋体" w:eastAsia="宋体" w:cs="宋体"/>
                <w:sz w:val="24"/>
                <w:szCs w:val="24"/>
                <w:highlight w:val="none"/>
                <w:lang w:val="en-US" w:eastAsia="zh-CN"/>
              </w:rPr>
              <w:t>（打开、保存文档，输入文字、插入图片、视频等），打开网页搜索、打开网页图片、视频等效果）。</w:t>
            </w:r>
          </w:p>
          <w:p>
            <w:pPr>
              <w:pStyle w:val="19"/>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根据演示效果，以上每项内容效果优良得1分，一般得0.5分，未提供得0分，共6分。</w:t>
            </w:r>
          </w:p>
        </w:tc>
        <w:tc>
          <w:tcPr>
            <w:tcW w:w="444"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23"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kern w:val="0"/>
                <w:sz w:val="24"/>
                <w:szCs w:val="24"/>
                <w:highlight w:val="none"/>
              </w:rPr>
            </w:pPr>
          </w:p>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产品工艺及功能演示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3415" w:type="pct"/>
          </w:tcPr>
          <w:p>
            <w:pPr>
              <w:keepNext w:val="0"/>
              <w:keepLines w:val="0"/>
              <w:suppressLineNumbers w:val="0"/>
              <w:spacing w:before="0" w:beforeAutospacing="0" w:after="0" w:afterAutospacing="0" w:line="360" w:lineRule="auto"/>
              <w:ind w:left="0" w:right="0"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］的计算公式计算。</w:t>
            </w:r>
          </w:p>
          <w:p>
            <w:pPr>
              <w:keepNext w:val="0"/>
              <w:keepLines w:val="0"/>
              <w:suppressLineNumbers w:val="0"/>
              <w:spacing w:before="0" w:beforeAutospacing="0" w:after="0" w:afterAutospacing="0" w:line="360" w:lineRule="auto"/>
              <w:ind w:left="0" w:right="0"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pPr>
              <w:keepNext w:val="0"/>
              <w:keepLines w:val="0"/>
              <w:widowControl/>
              <w:suppressLineNumbers w:val="0"/>
              <w:shd w:val="clear" w:color="auto" w:fill="FFFFFF"/>
              <w:adjustRightInd/>
              <w:spacing w:before="0" w:beforeAutospacing="0" w:after="225" w:afterAutospacing="0" w:line="360" w:lineRule="auto"/>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对于未预留份额专门面向中小企业的政府采购服务项目，以及预留份额政府采购服务项目中的非预留部分标项，对小型和微型企业的投标报价给予</w:t>
            </w:r>
            <w:r>
              <w:rPr>
                <w:rFonts w:hint="eastAsia" w:ascii="宋体" w:hAnsi="宋体" w:eastAsia="宋体" w:cs="宋体"/>
                <w:b/>
                <w:color w:val="auto"/>
                <w:sz w:val="24"/>
                <w:szCs w:val="24"/>
                <w:highlight w:val="none"/>
                <w:u w:val="single"/>
                <w:lang w:val="en-US" w:eastAsia="zh-CN"/>
              </w:rPr>
              <w:t>10</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b/>
                <w:color w:val="auto"/>
                <w:sz w:val="24"/>
                <w:szCs w:val="24"/>
                <w:highlight w:val="none"/>
                <w:u w:val="single"/>
                <w:lang w:val="en-US" w:eastAsia="zh-CN"/>
              </w:rPr>
              <w:t>4</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的扣除，用扣除后的价格参加评审。</w:t>
            </w:r>
          </w:p>
        </w:tc>
        <w:tc>
          <w:tcPr>
            <w:tcW w:w="444"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823" w:type="pct"/>
            <w:vAlign w:val="center"/>
          </w:tcPr>
          <w:p>
            <w:pPr>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jc w:val="center"/>
        <w:rPr>
          <w:color w:val="auto"/>
          <w:highlight w:val="none"/>
        </w:rPr>
      </w:pPr>
    </w:p>
    <w:p>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pPr>
        <w:spacing w:line="360" w:lineRule="auto"/>
        <w:outlineLvl w:val="0"/>
        <w:rPr>
          <w:rFonts w:ascii="宋体" w:hAnsi="宋体" w:cs="宋体"/>
          <w:b/>
          <w:sz w:val="36"/>
          <w:szCs w:val="36"/>
          <w:highlight w:val="none"/>
        </w:rPr>
      </w:pPr>
      <w:r>
        <w:rPr>
          <w:rFonts w:hint="eastAsia" w:ascii="宋体" w:hAnsi="宋体" w:cs="宋体"/>
          <w:b/>
          <w:sz w:val="36"/>
          <w:szCs w:val="36"/>
          <w:highlight w:val="none"/>
        </w:rPr>
        <w:t>三、评标程序</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pPr>
        <w:pStyle w:val="131"/>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3.4.5对于未预留份额专门面向中小企业的政府采购货物项目，以及预留份额政府采购货物项目中的非预留部分标项，对小型和微型企业的投标报价给予10%-20%（招标文件第四部分评标办法明确具体的扣除比例，未明确的，给予20%的扣除）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招标文件第四部分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pPr>
        <w:pStyle w:val="131"/>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4.2.9投标人对根据修正原则修正后的报价不确认的；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4.2.12投标人仅提交备份投标文件，未在电子交易平台传输递交投标文件的，投标无效；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4.2.13投标人未提供样品或提供的样品不满足采购需求实质性条件的，投标无效；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4.2.14 投标文件不满足招标文件的其它实质性要求的；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4.2.15法律、法规、规章（适用本市的）及省级以上规范性文件（适用本市的）规定的其他无效情形。</w:t>
      </w:r>
    </w:p>
    <w:p>
      <w:pPr>
        <w:pStyle w:val="24"/>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pPr>
        <w:pStyle w:val="24"/>
        <w:snapToGrid w:val="0"/>
        <w:spacing w:line="360" w:lineRule="auto"/>
        <w:rPr>
          <w:rFonts w:cs="宋体"/>
          <w:highlight w:val="none"/>
        </w:rPr>
      </w:pPr>
      <w:r>
        <w:rPr>
          <w:rFonts w:hint="eastAsia" w:cs="宋体"/>
          <w:highlight w:val="none"/>
        </w:rPr>
        <w:t>5.1符合专业条件的供应商或者对招标文件作实质响应的供应商不足3家的；</w:t>
      </w:r>
    </w:p>
    <w:p>
      <w:pPr>
        <w:pStyle w:val="24"/>
        <w:snapToGrid w:val="0"/>
        <w:spacing w:line="360" w:lineRule="auto"/>
        <w:rPr>
          <w:rFonts w:cs="宋体"/>
          <w:highlight w:val="none"/>
        </w:rPr>
      </w:pPr>
      <w:r>
        <w:rPr>
          <w:rFonts w:hint="eastAsia" w:cs="宋体"/>
          <w:highlight w:val="none"/>
        </w:rPr>
        <w:t>5.2出现影响采购公正的违法、违规行为的；</w:t>
      </w:r>
    </w:p>
    <w:p>
      <w:pPr>
        <w:pStyle w:val="24"/>
        <w:snapToGrid w:val="0"/>
        <w:spacing w:line="360" w:lineRule="auto"/>
        <w:rPr>
          <w:rFonts w:cs="宋体"/>
          <w:highlight w:val="none"/>
        </w:rPr>
      </w:pPr>
      <w:r>
        <w:rPr>
          <w:rFonts w:hint="eastAsia" w:cs="宋体"/>
          <w:highlight w:val="none"/>
        </w:rPr>
        <w:t>5.3投标人的报价均超过了采购预算，采购人不能支付的；</w:t>
      </w:r>
    </w:p>
    <w:p>
      <w:pPr>
        <w:pStyle w:val="24"/>
        <w:snapToGrid w:val="0"/>
        <w:spacing w:line="360" w:lineRule="auto"/>
        <w:rPr>
          <w:rFonts w:cs="宋体"/>
          <w:highlight w:val="none"/>
        </w:rPr>
      </w:pPr>
      <w:r>
        <w:rPr>
          <w:rFonts w:hint="eastAsia" w:cs="宋体"/>
          <w:highlight w:val="none"/>
        </w:rPr>
        <w:t>5.4因重大变故，采购任务取消的。</w:t>
      </w:r>
    </w:p>
    <w:p>
      <w:pPr>
        <w:pStyle w:val="24"/>
        <w:snapToGrid w:val="0"/>
        <w:spacing w:line="360" w:lineRule="auto"/>
        <w:rPr>
          <w:rFonts w:cs="宋体"/>
          <w:highlight w:val="none"/>
        </w:rPr>
      </w:pPr>
      <w:r>
        <w:rPr>
          <w:rFonts w:hint="eastAsia" w:cs="宋体"/>
          <w:highlight w:val="none"/>
        </w:rPr>
        <w:t>废标后，采购机构应当将废标理由通知所有投标人。</w:t>
      </w:r>
    </w:p>
    <w:p>
      <w:pPr>
        <w:pStyle w:val="24"/>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pPr>
        <w:pStyle w:val="24"/>
        <w:snapToGrid w:val="0"/>
        <w:spacing w:line="360" w:lineRule="auto"/>
        <w:rPr>
          <w:rFonts w:cs="宋体"/>
          <w:highlight w:val="none"/>
        </w:rPr>
      </w:pPr>
      <w:r>
        <w:rPr>
          <w:rFonts w:hint="eastAsia" w:cs="宋体"/>
          <w:highlight w:val="none"/>
        </w:rPr>
        <w:t>7.1未确定中标供应商的，终止本次政府采购活动，重新开展政府采购活动。</w:t>
      </w:r>
    </w:p>
    <w:p>
      <w:pPr>
        <w:pStyle w:val="24"/>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pPr>
        <w:pStyle w:val="24"/>
        <w:snapToGrid w:val="0"/>
        <w:spacing w:line="360" w:lineRule="auto"/>
        <w:rPr>
          <w:rFonts w:hint="eastAsia"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8" w:name="第五部分"/>
      <w:bookmarkStart w:id="399" w:name="_Toc86217003"/>
    </w:p>
    <w:p>
      <w:pPr>
        <w:pStyle w:val="61"/>
        <w:rPr>
          <w:rFonts w:hint="eastAsia" w:cs="宋体"/>
          <w:highlight w:val="none"/>
        </w:rPr>
      </w:pPr>
    </w:p>
    <w:p>
      <w:pPr>
        <w:rPr>
          <w:rFonts w:hint="eastAsia" w:cs="宋体"/>
          <w:highlight w:val="none"/>
        </w:rPr>
      </w:pPr>
    </w:p>
    <w:p>
      <w:pPr>
        <w:pStyle w:val="23"/>
        <w:rPr>
          <w:rFonts w:hint="eastAsia" w:cs="宋体"/>
          <w:highlight w:val="none"/>
        </w:rPr>
      </w:pPr>
    </w:p>
    <w:p>
      <w:pPr>
        <w:pStyle w:val="60"/>
        <w:rPr>
          <w:rFonts w:hint="eastAsia" w:cs="宋体"/>
          <w:highlight w:val="none"/>
        </w:rPr>
      </w:pPr>
    </w:p>
    <w:p>
      <w:pPr>
        <w:pStyle w:val="60"/>
        <w:rPr>
          <w:rFonts w:hint="eastAsia" w:cs="宋体"/>
          <w:highlight w:val="none"/>
        </w:rPr>
      </w:pPr>
    </w:p>
    <w:p>
      <w:pPr>
        <w:pStyle w:val="60"/>
        <w:rPr>
          <w:rFonts w:hint="eastAsia" w:cs="宋体"/>
          <w:highlight w:val="none"/>
        </w:rPr>
      </w:pPr>
    </w:p>
    <w:p>
      <w:pPr>
        <w:pStyle w:val="60"/>
        <w:rPr>
          <w:rFonts w:hint="eastAsia" w:cs="宋体"/>
          <w:highlight w:val="none"/>
        </w:rPr>
      </w:pPr>
    </w:p>
    <w:p>
      <w:pPr>
        <w:pStyle w:val="60"/>
        <w:rPr>
          <w:rFonts w:hint="eastAsia" w:cs="宋体"/>
          <w:highlight w:val="none"/>
        </w:rPr>
      </w:pPr>
    </w:p>
    <w:p>
      <w:pPr>
        <w:pStyle w:val="6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60"/>
        <w:ind w:left="0" w:leftChars="0" w:firstLine="0" w:firstLineChars="0"/>
        <w:rPr>
          <w:rFonts w:hint="eastAsia" w:cs="宋体"/>
          <w:highlight w:val="none"/>
        </w:rPr>
      </w:pPr>
    </w:p>
    <w:p>
      <w:pPr>
        <w:pStyle w:val="24"/>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第五部分 拟签订的合同文本</w:t>
      </w: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政府采购合同参考范本</w:t>
      </w: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w:t>
      </w:r>
    </w:p>
    <w:p>
      <w:pPr>
        <w:pStyle w:val="702"/>
        <w:rPr>
          <w:rFonts w:ascii="宋体" w:hAnsi="宋体" w:cs="宋体"/>
          <w:szCs w:val="24"/>
          <w:highlight w:val="none"/>
        </w:rPr>
      </w:pPr>
    </w:p>
    <w:p>
      <w:pPr>
        <w:pStyle w:val="702"/>
        <w:rPr>
          <w:rFonts w:ascii="宋体" w:hAnsi="宋体" w:cs="宋体"/>
          <w:szCs w:val="24"/>
          <w:highlight w:val="none"/>
        </w:rPr>
      </w:pPr>
    </w:p>
    <w:p>
      <w:pPr>
        <w:pStyle w:val="702"/>
        <w:rPr>
          <w:rFonts w:ascii="宋体" w:hAnsi="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hint="eastAsia" w:ascii="宋体" w:hAnsi="宋体" w:cs="宋体"/>
          <w:sz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u w:val="single"/>
          <w:lang w:eastAsia="zh-CN"/>
        </w:rPr>
        <w:t>杭州市西湖区住房和城乡建设局台式计算机第二次采购项目</w:t>
      </w:r>
    </w:p>
    <w:p>
      <w:pPr>
        <w:spacing w:before="120" w:line="22" w:lineRule="atLeast"/>
        <w:ind w:left="960"/>
        <w:rPr>
          <w:rFonts w:ascii="宋体" w:hAnsi="宋体" w:eastAsia="宋体" w:cs="宋体"/>
          <w:sz w:val="24"/>
          <w:highlight w:val="none"/>
        </w:rPr>
      </w:pPr>
      <w:r>
        <w:rPr>
          <w:rFonts w:hint="eastAsia" w:ascii="宋体" w:hAnsi="宋体" w:eastAsia="宋体" w:cs="宋体"/>
          <w:sz w:val="24"/>
          <w:highlight w:val="none"/>
        </w:rPr>
        <w:t>项目</w:t>
      </w:r>
      <w:r>
        <w:rPr>
          <w:rFonts w:hint="eastAsia" w:ascii="宋体" w:hAnsi="宋体" w:eastAsia="宋体" w:cs="宋体"/>
          <w:sz w:val="24"/>
          <w:highlight w:val="none"/>
          <w:lang w:val="en-US" w:eastAsia="zh-CN"/>
        </w:rPr>
        <w:t>编号</w:t>
      </w:r>
      <w:r>
        <w:rPr>
          <w:rFonts w:hint="eastAsia" w:ascii="宋体" w:hAnsi="宋体" w:eastAsia="宋体" w:cs="宋体"/>
          <w:sz w:val="24"/>
          <w:highlight w:val="none"/>
        </w:rPr>
        <w:t>：</w:t>
      </w:r>
      <w:r>
        <w:rPr>
          <w:rFonts w:hint="eastAsia" w:ascii="宋体" w:hAnsi="宋体" w:cs="宋体"/>
          <w:sz w:val="24"/>
          <w:highlight w:val="none"/>
          <w:u w:val="single"/>
          <w:lang w:eastAsia="zh-CN"/>
        </w:rPr>
        <w:t>XHZFCG-2024-G-60</w:t>
      </w:r>
      <w:r>
        <w:rPr>
          <w:rFonts w:hint="eastAsia" w:ascii="宋体" w:hAnsi="宋体" w:eastAsia="宋体" w:cs="宋体"/>
          <w:sz w:val="24"/>
          <w:highlight w:val="none"/>
          <w:u w:val="single"/>
        </w:rPr>
        <w:t xml:space="preserve">                </w:t>
      </w:r>
    </w:p>
    <w:p>
      <w:pPr>
        <w:pStyle w:val="23"/>
        <w:rPr>
          <w:highlight w:val="none"/>
        </w:rPr>
      </w:pPr>
    </w:p>
    <w:p>
      <w:pPr>
        <w:pStyle w:val="599"/>
        <w:spacing w:before="120" w:line="22" w:lineRule="atLeast"/>
        <w:rPr>
          <w:rFonts w:ascii="宋体" w:hAnsi="宋体" w:eastAsia="宋体" w:cs="宋体"/>
          <w:szCs w:val="24"/>
          <w:highlight w:val="none"/>
        </w:rPr>
      </w:pPr>
    </w:p>
    <w:p>
      <w:pPr>
        <w:pStyle w:val="599"/>
        <w:spacing w:before="120" w:line="22" w:lineRule="atLeast"/>
        <w:rPr>
          <w:rFonts w:ascii="宋体" w:hAnsi="宋体" w:eastAsia="宋体" w:cs="宋体"/>
          <w:szCs w:val="24"/>
          <w:highlight w:val="none"/>
        </w:rPr>
      </w:pP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headerReference r:id="rId12" w:type="default"/>
          <w:footerReference r:id="rId13" w:type="default"/>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杭州市西湖区住房和城乡建设局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sz w:val="24"/>
          <w:highlight w:val="none"/>
          <w:u w:val="single"/>
          <w:lang w:eastAsia="zh-CN"/>
        </w:rPr>
        <w:t>杭州市西湖区住房和城乡建设局台式计算机第二次采购项目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评审小组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w:t>
      </w:r>
      <w:r>
        <w:rPr>
          <w:rFonts w:hint="eastAsia" w:ascii="宋体" w:hAnsi="宋体" w:cs="宋体"/>
          <w:sz w:val="24"/>
          <w:highlight w:val="none"/>
        </w:rPr>
        <w:t>标供应商。现于中标通知书发出之日起10个工作日内，按照采购文件确定的事项签订本合同。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sz w:val="24"/>
          <w:highlight w:val="none"/>
          <w:u w:val="single"/>
        </w:rPr>
        <w:t xml:space="preserve">   </w:t>
      </w:r>
      <w:r>
        <w:rPr>
          <w:rFonts w:hint="eastAsia" w:ascii="宋体" w:hAnsi="宋体" w:cs="宋体"/>
          <w:color w:val="auto"/>
          <w:sz w:val="24"/>
          <w:highlight w:val="none"/>
          <w:u w:val="single"/>
          <w:lang w:eastAsia="zh-CN"/>
        </w:rPr>
        <w:t>杭州市西湖区住房和城乡建设局</w:t>
      </w:r>
      <w:r>
        <w:rPr>
          <w:rFonts w:hint="eastAsia" w:ascii="宋体" w:hAnsi="宋体" w:cs="宋体"/>
          <w:sz w:val="24"/>
          <w:highlight w:val="none"/>
          <w:u w:val="single"/>
        </w:rPr>
        <w:t xml:space="preserve">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b/>
          <w:sz w:val="24"/>
          <w:highlight w:val="none"/>
        </w:rPr>
      </w:pPr>
      <w:bookmarkStart w:id="400" w:name="_Toc3029"/>
      <w:bookmarkStart w:id="401" w:name="_Toc2232"/>
      <w:bookmarkStart w:id="402" w:name="_Toc24059"/>
      <w:r>
        <w:rPr>
          <w:rFonts w:hint="eastAsia" w:ascii="宋体" w:hAnsi="宋体" w:cs="宋体"/>
          <w:b/>
          <w:sz w:val="24"/>
          <w:highlight w:val="none"/>
        </w:rPr>
        <w:t>1.1 合同组成部分</w:t>
      </w:r>
      <w:bookmarkEnd w:id="400"/>
      <w:bookmarkEnd w:id="401"/>
      <w:bookmarkEnd w:id="402"/>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403" w:name="_Toc27126"/>
      <w:bookmarkStart w:id="404" w:name="_Toc21295"/>
      <w:bookmarkStart w:id="405" w:name="_Toc24300"/>
      <w:r>
        <w:rPr>
          <w:rFonts w:hint="eastAsia" w:ascii="宋体" w:hAnsi="宋体" w:cs="宋体"/>
          <w:b/>
          <w:sz w:val="24"/>
          <w:highlight w:val="none"/>
        </w:rPr>
        <w:t>1.2 货物</w:t>
      </w:r>
      <w:bookmarkEnd w:id="403"/>
      <w:bookmarkEnd w:id="404"/>
      <w:bookmarkEnd w:id="405"/>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货物名称：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货物数量：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详见开标一览表或附件（附件格式自拟）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货物质量：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06" w:name="_Toc21631"/>
      <w:bookmarkStart w:id="407" w:name="_Toc21551"/>
      <w:bookmarkStart w:id="408" w:name="_Toc23292"/>
      <w:r>
        <w:rPr>
          <w:rFonts w:hint="eastAsia" w:ascii="宋体" w:hAnsi="宋体" w:cs="宋体"/>
          <w:b/>
          <w:sz w:val="24"/>
          <w:highlight w:val="none"/>
        </w:rPr>
        <w:t>1.3 价款</w:t>
      </w:r>
      <w:bookmarkEnd w:id="406"/>
      <w:bookmarkEnd w:id="407"/>
      <w:bookmarkEnd w:id="408"/>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jc w:val="center"/>
              <w:rPr>
                <w:rFonts w:hint="default" w:hAnsi="宋体" w:cs="宋体"/>
                <w:sz w:val="24"/>
                <w:szCs w:val="24"/>
                <w:highlight w:val="none"/>
              </w:rPr>
            </w:pPr>
            <w:r>
              <w:rPr>
                <w:rFonts w:hint="eastAsia" w:hAnsi="宋体" w:cs="宋体"/>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r>
              <w:rPr>
                <w:rFonts w:hint="eastAsia" w:hAnsi="宋体" w:cs="宋体"/>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jc w:val="center"/>
              <w:rPr>
                <w:rFonts w:hint="default"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r>
              <w:rPr>
                <w:rFonts w:hint="eastAsia" w:hAnsi="宋体" w:cs="宋体"/>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320"/>
              <w:keepNext w:val="0"/>
              <w:keepLines w:val="0"/>
              <w:suppressLineNumbers w:val="0"/>
              <w:spacing w:before="0" w:beforeAutospacing="0" w:after="0" w:afterAutospacing="0" w:line="560" w:lineRule="exact"/>
              <w:ind w:left="0" w:right="0" w:firstLine="200"/>
              <w:jc w:val="center"/>
              <w:rPr>
                <w:rFonts w:hint="default" w:hAnsi="宋体" w:cs="宋体"/>
                <w:sz w:val="24"/>
                <w:szCs w:val="24"/>
                <w:highlight w:val="none"/>
              </w:rPr>
            </w:pPr>
          </w:p>
        </w:tc>
      </w:tr>
    </w:tbl>
    <w:p>
      <w:pPr>
        <w:pStyle w:val="959"/>
        <w:spacing w:before="0" w:beforeAutospacing="0" w:after="0" w:afterAutospacing="0" w:line="360" w:lineRule="auto"/>
        <w:ind w:firstLine="480"/>
        <w:rPr>
          <w:b/>
          <w:color w:val="auto"/>
          <w:highlight w:val="none"/>
        </w:rPr>
      </w:pPr>
      <w:bookmarkStart w:id="409" w:name="_Toc331685783"/>
      <w:r>
        <w:rPr>
          <w:rFonts w:hint="eastAsia"/>
          <w:b/>
          <w:color w:val="auto"/>
          <w:highlight w:val="none"/>
        </w:rPr>
        <w:t>1.4履约保证金</w:t>
      </w:r>
    </w:p>
    <w:p>
      <w:pPr>
        <w:pStyle w:val="959"/>
        <w:spacing w:before="0" w:beforeAutospacing="0" w:after="0" w:afterAutospacing="0" w:line="360" w:lineRule="auto"/>
        <w:ind w:firstLine="480"/>
        <w:rPr>
          <w:color w:val="auto"/>
          <w:highlight w:val="none"/>
        </w:rPr>
      </w:pPr>
      <w:r>
        <w:rPr>
          <w:rFonts w:hint="eastAsia"/>
          <w:color w:val="auto"/>
          <w:highlight w:val="none"/>
        </w:rPr>
        <w:t>乙方</w:t>
      </w:r>
      <w:r>
        <w:rPr>
          <w:rFonts w:hint="eastAsia"/>
          <w:b/>
          <w:i/>
          <w:color w:val="auto"/>
          <w:highlight w:val="none"/>
          <w:u w:val="single"/>
        </w:rPr>
        <w:t>合同专用条款</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pPr>
        <w:pStyle w:val="3"/>
        <w:tabs>
          <w:tab w:val="left" w:pos="0"/>
          <w:tab w:val="clear" w:pos="432"/>
        </w:tabs>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b/>
          <w:i/>
          <w:color w:val="auto"/>
          <w:highlight w:val="none"/>
          <w:u w:val="single"/>
        </w:rPr>
        <w:t>合同专用条款</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pPr>
        <w:pStyle w:val="959"/>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b/>
          <w:i/>
          <w:color w:val="auto"/>
          <w:highlight w:val="none"/>
          <w:u w:val="single"/>
        </w:rPr>
        <w:t>合同专用条款</w:t>
      </w:r>
      <w:r>
        <w:rPr>
          <w:rFonts w:hint="eastAsia"/>
          <w:color w:val="auto"/>
          <w:highlight w:val="none"/>
        </w:rPr>
        <w:t>；</w:t>
      </w:r>
    </w:p>
    <w:p>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b/>
          <w:i/>
          <w:color w:val="auto"/>
          <w:highlight w:val="none"/>
          <w:u w:val="single"/>
        </w:rPr>
        <w:t>合同专用条款</w:t>
      </w:r>
      <w:r>
        <w:rPr>
          <w:rFonts w:hint="eastAsia"/>
          <w:color w:val="auto"/>
          <w:highlight w:val="none"/>
        </w:rPr>
        <w:t>。</w:t>
      </w:r>
    </w:p>
    <w:p>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w:t>
      </w:r>
      <w:r>
        <w:rPr>
          <w:rFonts w:hint="eastAsia"/>
          <w:color w:val="auto"/>
          <w:highlight w:val="none"/>
          <w:lang w:val="en-US" w:eastAsia="zh-CN"/>
        </w:rPr>
        <w:t>7</w:t>
      </w:r>
      <w:r>
        <w:rPr>
          <w:rFonts w:hint="eastAsia"/>
          <w:color w:val="auto"/>
          <w:highlight w:val="none"/>
        </w:rPr>
        <w:t>个工作日内将资金支付到合同约定的乙方账户，有条件的甲方可以即时支付。甲方不得以机构变动、人员更替、政策调整、单位放假等为由延迟付款。</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1.10 合同生效</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360" w:lineRule="auto"/>
        <w:rPr>
          <w:rFonts w:ascii="宋体" w:hAnsi="宋体" w:cs="宋体"/>
          <w:color w:val="auto"/>
          <w:sz w:val="24"/>
          <w:highlight w:val="none"/>
          <w:lang w:val="zh-CN"/>
        </w:rPr>
      </w:pPr>
    </w:p>
    <w:p>
      <w:pPr>
        <w:autoSpaceDE w:val="0"/>
        <w:autoSpaceDN w:val="0"/>
        <w:spacing w:line="360" w:lineRule="auto"/>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autoSpaceDE w:val="0"/>
        <w:autoSpaceDN w:val="0"/>
        <w:spacing w:line="360" w:lineRule="auto"/>
        <w:rPr>
          <w:rFonts w:ascii="宋体" w:hAnsi="宋体" w:cs="宋体"/>
          <w:color w:val="auto"/>
          <w:sz w:val="24"/>
          <w:highlight w:val="none"/>
          <w:lang w:val="zh-CN"/>
        </w:rPr>
      </w:pP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开户账号：开户账号：</w:t>
      </w:r>
    </w:p>
    <w:p>
      <w:pPr>
        <w:pStyle w:val="3"/>
        <w:rPr>
          <w:rFonts w:ascii="宋体" w:hAnsi="宋体" w:cs="宋体"/>
          <w:color w:val="auto"/>
          <w:sz w:val="24"/>
          <w:highlight w:val="none"/>
        </w:rPr>
      </w:pPr>
    </w:p>
    <w:p>
      <w:pPr>
        <w:widowControl/>
        <w:adjustRightInd/>
        <w:jc w:val="left"/>
        <w:rPr>
          <w:rFonts w:ascii="宋体" w:hAnsi="宋体" w:cs="宋体"/>
          <w:b/>
          <w:sz w:val="24"/>
          <w:highlight w:val="none"/>
        </w:rPr>
      </w:pPr>
      <w:r>
        <w:rPr>
          <w:rFonts w:ascii="宋体" w:hAnsi="宋体" w:cs="宋体"/>
          <w:b/>
          <w:highlight w:val="none"/>
        </w:rPr>
        <w:br w:type="page"/>
      </w:r>
    </w:p>
    <w:p>
      <w:pPr>
        <w:pStyle w:val="702"/>
        <w:spacing w:line="560" w:lineRule="exact"/>
        <w:ind w:firstLine="482"/>
        <w:jc w:val="center"/>
        <w:rPr>
          <w:rFonts w:ascii="宋体" w:hAnsi="宋体" w:cs="宋体"/>
          <w:b/>
          <w:szCs w:val="24"/>
          <w:highlight w:val="none"/>
        </w:rPr>
      </w:pPr>
      <w:r>
        <w:rPr>
          <w:rFonts w:hint="eastAsia" w:ascii="宋体" w:hAnsi="宋体" w:cs="宋体"/>
          <w:b/>
          <w:szCs w:val="24"/>
          <w:highlight w:val="none"/>
        </w:rPr>
        <w:t>第二部分 合同一般条款</w:t>
      </w:r>
      <w:bookmarkEnd w:id="409"/>
    </w:p>
    <w:p>
      <w:pPr>
        <w:spacing w:line="560" w:lineRule="exact"/>
        <w:ind w:firstLine="482" w:firstLineChars="200"/>
        <w:outlineLvl w:val="0"/>
        <w:rPr>
          <w:rFonts w:ascii="宋体" w:hAnsi="宋体" w:cs="宋体"/>
          <w:b/>
          <w:sz w:val="24"/>
          <w:highlight w:val="none"/>
        </w:rPr>
      </w:pPr>
      <w:bookmarkStart w:id="410" w:name="_Ref467379195"/>
      <w:bookmarkStart w:id="411" w:name="_Toc16917"/>
      <w:bookmarkStart w:id="412" w:name="_Ref467378499"/>
      <w:bookmarkStart w:id="413" w:name="_Ref467379205"/>
      <w:bookmarkStart w:id="414" w:name="_Ref467379101"/>
      <w:bookmarkStart w:id="415" w:name="_Toc28763"/>
      <w:bookmarkStart w:id="416" w:name="_Ref467379225"/>
      <w:bookmarkStart w:id="417" w:name="_Toc259093669"/>
      <w:bookmarkStart w:id="418" w:name="_Ref467378463"/>
      <w:bookmarkStart w:id="419" w:name="_Ref467379214"/>
      <w:bookmarkStart w:id="420" w:name="_Toc487900349"/>
      <w:bookmarkStart w:id="421" w:name="_Ref467378404"/>
      <w:bookmarkStart w:id="422" w:name="_Toc19614"/>
      <w:bookmarkStart w:id="423" w:name="_Ref467379094"/>
      <w:bookmarkStart w:id="424" w:name="_Ref467379109"/>
      <w:bookmarkStart w:id="425" w:name="_Toc279701240"/>
      <w:r>
        <w:rPr>
          <w:rFonts w:hint="eastAsia" w:ascii="宋体" w:hAnsi="宋体" w:cs="宋体"/>
          <w:b/>
          <w:sz w:val="24"/>
          <w:highlight w:val="none"/>
        </w:rPr>
        <w:t>2.1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highlight w:val="none"/>
        </w:rPr>
      </w:pPr>
      <w:bookmarkStart w:id="426" w:name="_Ref467378840"/>
      <w:r>
        <w:rPr>
          <w:rFonts w:hint="eastAsia" w:ascii="宋体" w:hAnsi="宋体" w:cs="宋体"/>
          <w:sz w:val="24"/>
          <w:highlight w:val="none"/>
        </w:rPr>
        <w:t>2.1.4 “甲方”系指与中标供应商签署合同的采购人</w:t>
      </w:r>
      <w:bookmarkEnd w:id="426"/>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427" w:name="_Ref467379400"/>
      <w:r>
        <w:rPr>
          <w:rFonts w:hint="eastAsia" w:ascii="宋体" w:hAnsi="宋体" w:cs="宋体"/>
          <w:sz w:val="24"/>
          <w:highlight w:val="none"/>
        </w:rPr>
        <w:t>2.1.5 “乙方”系指根据合同约定交付货物的中标供应商</w:t>
      </w:r>
      <w:bookmarkEnd w:id="427"/>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428" w:name="_Ref467379436"/>
      <w:r>
        <w:rPr>
          <w:rFonts w:hint="eastAsia" w:ascii="宋体" w:hAnsi="宋体" w:cs="宋体"/>
          <w:sz w:val="24"/>
          <w:highlight w:val="none"/>
        </w:rPr>
        <w:t>2.1.6 “现场”系指合同约定货物将要运至或者安装的地点。</w:t>
      </w:r>
      <w:bookmarkEnd w:id="428"/>
    </w:p>
    <w:p>
      <w:pPr>
        <w:spacing w:line="560" w:lineRule="exact"/>
        <w:ind w:firstLine="482" w:firstLineChars="200"/>
        <w:outlineLvl w:val="0"/>
        <w:rPr>
          <w:rFonts w:ascii="宋体" w:hAnsi="宋体" w:cs="宋体"/>
          <w:b/>
          <w:sz w:val="24"/>
          <w:highlight w:val="none"/>
        </w:rPr>
      </w:pPr>
      <w:bookmarkStart w:id="429" w:name="_Toc279701241"/>
      <w:bookmarkStart w:id="430" w:name="_Toc487900350"/>
      <w:bookmarkStart w:id="431" w:name="_Toc27635"/>
      <w:bookmarkStart w:id="432" w:name="_Toc32504"/>
      <w:bookmarkStart w:id="433" w:name="_Toc13336"/>
      <w:bookmarkStart w:id="434" w:name="_Toc259093670"/>
      <w:r>
        <w:rPr>
          <w:rFonts w:hint="eastAsia" w:ascii="宋体" w:hAnsi="宋体" w:cs="宋体"/>
          <w:b/>
          <w:sz w:val="24"/>
          <w:highlight w:val="none"/>
        </w:rPr>
        <w:t>2.2 技术规范</w:t>
      </w:r>
      <w:bookmarkEnd w:id="429"/>
      <w:bookmarkEnd w:id="430"/>
      <w:bookmarkEnd w:id="431"/>
      <w:bookmarkEnd w:id="432"/>
      <w:bookmarkEnd w:id="433"/>
      <w:bookmarkEnd w:id="434"/>
    </w:p>
    <w:p>
      <w:pPr>
        <w:spacing w:line="560" w:lineRule="exact"/>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435" w:name="_Toc27853"/>
      <w:bookmarkStart w:id="436" w:name="_Toc31634"/>
      <w:bookmarkStart w:id="437" w:name="_Toc279701242"/>
      <w:bookmarkStart w:id="438" w:name="_Toc487900351"/>
      <w:bookmarkStart w:id="439" w:name="_Toc259093671"/>
      <w:bookmarkStart w:id="440" w:name="_Toc9829"/>
      <w:r>
        <w:rPr>
          <w:rFonts w:hint="eastAsia" w:ascii="宋体" w:hAnsi="宋体" w:cs="宋体"/>
          <w:b/>
          <w:sz w:val="24"/>
          <w:highlight w:val="none"/>
        </w:rPr>
        <w:t>2.3 知识产权</w:t>
      </w:r>
      <w:bookmarkEnd w:id="435"/>
      <w:bookmarkEnd w:id="436"/>
      <w:bookmarkEnd w:id="437"/>
      <w:bookmarkEnd w:id="438"/>
      <w:bookmarkEnd w:id="439"/>
      <w:bookmarkEnd w:id="440"/>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2.3.2具有知识产权的计算机软件等货物的知识产权归属，详见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41" w:name="_Toc11932"/>
      <w:bookmarkStart w:id="442" w:name="_Toc29149"/>
      <w:bookmarkStart w:id="443" w:name="_Toc4194"/>
      <w:r>
        <w:rPr>
          <w:rFonts w:hint="eastAsia" w:ascii="宋体" w:hAnsi="宋体" w:cs="宋体"/>
          <w:b/>
          <w:sz w:val="24"/>
          <w:highlight w:val="none"/>
        </w:rPr>
        <w:t>2.4 包装和装运</w:t>
      </w:r>
      <w:bookmarkEnd w:id="441"/>
      <w:bookmarkEnd w:id="442"/>
      <w:bookmarkEnd w:id="443"/>
    </w:p>
    <w:p>
      <w:pPr>
        <w:spacing w:line="560" w:lineRule="exact"/>
        <w:ind w:firstLine="480" w:firstLineChars="200"/>
        <w:rPr>
          <w:rFonts w:ascii="宋体" w:hAnsi="宋体" w:cs="宋体"/>
          <w:sz w:val="24"/>
          <w:highlight w:val="none"/>
        </w:rPr>
      </w:pPr>
      <w:r>
        <w:rPr>
          <w:rFonts w:hint="eastAsia" w:ascii="宋体" w:hAnsi="宋体" w:cs="宋体"/>
          <w:sz w:val="24"/>
          <w:highlight w:val="none"/>
        </w:rPr>
        <w:t>2.4.1除</w:t>
      </w:r>
      <w:r>
        <w:rPr>
          <w:rFonts w:hint="eastAsia" w:ascii="宋体" w:hAnsi="宋体" w:cs="宋体"/>
          <w:b/>
          <w:i/>
          <w:sz w:val="24"/>
          <w:highlight w:val="none"/>
          <w:u w:val="single"/>
        </w:rPr>
        <w:t>合同专用条款</w:t>
      </w:r>
      <w:r>
        <w:rPr>
          <w:rFonts w:hint="eastAsia" w:ascii="宋体" w:hAnsi="宋体" w:cs="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2.4.3 装运货物的要求和通知，详见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44" w:name="_Toc279701245"/>
      <w:bookmarkStart w:id="445" w:name="_Ref467378591"/>
      <w:bookmarkStart w:id="446" w:name="_Ref467378541"/>
      <w:bookmarkStart w:id="447" w:name="_Ref467379527"/>
      <w:bookmarkStart w:id="448" w:name="_Ref467379542"/>
      <w:bookmarkStart w:id="449" w:name="_Toc487900354"/>
      <w:bookmarkStart w:id="450" w:name="_Toc259093674"/>
      <w:bookmarkStart w:id="451" w:name="_Ref467379536"/>
      <w:bookmarkStart w:id="452" w:name="_Toc19074"/>
      <w:bookmarkStart w:id="453" w:name="_Toc30272"/>
      <w:bookmarkStart w:id="454" w:name="_Toc26182"/>
      <w:r>
        <w:rPr>
          <w:rFonts w:hint="eastAsia" w:ascii="宋体" w:hAnsi="宋体" w:cs="宋体"/>
          <w:b/>
          <w:sz w:val="24"/>
          <w:highlight w:val="none"/>
        </w:rPr>
        <w:t>2.</w:t>
      </w:r>
      <w:bookmarkEnd w:id="444"/>
      <w:bookmarkEnd w:id="445"/>
      <w:bookmarkEnd w:id="446"/>
      <w:bookmarkEnd w:id="447"/>
      <w:bookmarkEnd w:id="448"/>
      <w:bookmarkEnd w:id="449"/>
      <w:bookmarkEnd w:id="450"/>
      <w:bookmarkEnd w:id="451"/>
      <w:r>
        <w:rPr>
          <w:rFonts w:hint="eastAsia" w:ascii="宋体" w:hAnsi="宋体" w:cs="宋体"/>
          <w:b/>
          <w:sz w:val="24"/>
          <w:highlight w:val="none"/>
        </w:rPr>
        <w:t>5 履约检查和问题反馈</w:t>
      </w:r>
      <w:bookmarkEnd w:id="452"/>
      <w:bookmarkEnd w:id="453"/>
      <w:bookmarkEnd w:id="454"/>
    </w:p>
    <w:p>
      <w:pPr>
        <w:spacing w:line="560" w:lineRule="exact"/>
        <w:ind w:firstLine="480" w:firstLineChars="200"/>
        <w:rPr>
          <w:rFonts w:ascii="宋体" w:hAnsi="宋体" w:cs="宋体"/>
          <w:sz w:val="24"/>
          <w:highlight w:val="none"/>
        </w:rPr>
      </w:pPr>
      <w:bookmarkStart w:id="455" w:name="_Ref467379657"/>
      <w:r>
        <w:rPr>
          <w:rFonts w:hint="eastAsia" w:ascii="宋体" w:hAnsi="宋体" w:cs="宋体"/>
          <w:sz w:val="24"/>
          <w:highlight w:val="none"/>
        </w:rPr>
        <w:t>2.5.1</w:t>
      </w:r>
      <w:bookmarkEnd w:id="455"/>
      <w:bookmarkStart w:id="456" w:name="_Toc186431854"/>
      <w:bookmarkStart w:id="457" w:name="_Ref467379807"/>
      <w:bookmarkStart w:id="458" w:name="_Ref467379793"/>
      <w:bookmarkStart w:id="459" w:name="_Toc259093676"/>
      <w:bookmarkStart w:id="460" w:name="_Toc279701247"/>
      <w:bookmarkStart w:id="461" w:name="_Toc487900357"/>
      <w:r>
        <w:rPr>
          <w:rFonts w:hint="eastAsia" w:ascii="宋体" w:hAnsi="宋体" w:cs="宋体"/>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2.5.2 合同履行期间，甲方有权将履行过程中出现的问题反馈给乙方，双方当事人应以书面形式约定需要完善和改进的内容</w:t>
      </w:r>
      <w:bookmarkEnd w:id="456"/>
      <w:bookmarkStart w:id="462" w:name="_Toc186431855"/>
      <w:r>
        <w:rPr>
          <w:rFonts w:hint="eastAsia" w:ascii="宋体" w:hAnsi="宋体" w:cs="宋体"/>
          <w:sz w:val="24"/>
          <w:highlight w:val="none"/>
        </w:rPr>
        <w:t>。</w:t>
      </w:r>
    </w:p>
    <w:bookmarkEnd w:id="457"/>
    <w:bookmarkEnd w:id="458"/>
    <w:bookmarkEnd w:id="459"/>
    <w:bookmarkEnd w:id="460"/>
    <w:bookmarkEnd w:id="461"/>
    <w:bookmarkEnd w:id="462"/>
    <w:p>
      <w:pPr>
        <w:spacing w:line="560" w:lineRule="exact"/>
        <w:ind w:firstLine="482" w:firstLineChars="200"/>
        <w:outlineLvl w:val="0"/>
        <w:rPr>
          <w:rFonts w:ascii="宋体" w:hAnsi="宋体" w:cs="宋体"/>
          <w:b/>
          <w:sz w:val="24"/>
          <w:highlight w:val="none"/>
        </w:rPr>
      </w:pPr>
      <w:bookmarkStart w:id="463" w:name="_Ref467379852"/>
      <w:bookmarkStart w:id="464" w:name="_Ref467379863"/>
      <w:bookmarkStart w:id="465" w:name="_Toc279701248"/>
      <w:bookmarkStart w:id="466" w:name="_Toc487900358"/>
      <w:bookmarkStart w:id="467" w:name="_Toc259093677"/>
      <w:bookmarkStart w:id="468" w:name="_Ref467379923"/>
      <w:bookmarkStart w:id="469" w:name="_Toc3225"/>
      <w:bookmarkStart w:id="470" w:name="_Toc16110"/>
      <w:bookmarkStart w:id="471" w:name="_Toc774"/>
      <w:r>
        <w:rPr>
          <w:rFonts w:hint="eastAsia" w:ascii="宋体" w:hAnsi="宋体" w:cs="宋体"/>
          <w:b/>
          <w:sz w:val="24"/>
          <w:highlight w:val="none"/>
        </w:rPr>
        <w:t>2.6 技术资料</w:t>
      </w:r>
      <w:bookmarkEnd w:id="463"/>
      <w:bookmarkEnd w:id="464"/>
      <w:bookmarkEnd w:id="465"/>
      <w:bookmarkEnd w:id="466"/>
      <w:bookmarkEnd w:id="467"/>
      <w:bookmarkEnd w:id="468"/>
      <w:r>
        <w:rPr>
          <w:rFonts w:hint="eastAsia" w:ascii="宋体" w:hAnsi="宋体" w:cs="宋体"/>
          <w:b/>
          <w:sz w:val="24"/>
          <w:highlight w:val="none"/>
        </w:rPr>
        <w:t>和保密义务</w:t>
      </w:r>
      <w:bookmarkEnd w:id="469"/>
      <w:bookmarkEnd w:id="470"/>
      <w:bookmarkEnd w:id="471"/>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472" w:name="_Toc7860"/>
      <w:r>
        <w:rPr>
          <w:rFonts w:hint="eastAsia" w:ascii="宋体" w:hAnsi="宋体" w:cs="宋体"/>
          <w:b/>
          <w:sz w:val="24"/>
          <w:highlight w:val="none"/>
        </w:rPr>
        <w:t>2.7 质量保证</w:t>
      </w:r>
      <w:bookmarkEnd w:id="472"/>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473" w:name="_Toc17244"/>
      <w:bookmarkStart w:id="474" w:name="_Toc279701252"/>
      <w:bookmarkStart w:id="475" w:name="_Toc259093681"/>
      <w:bookmarkStart w:id="476" w:name="_Toc487900362"/>
      <w:r>
        <w:rPr>
          <w:rFonts w:hint="eastAsia" w:ascii="宋体" w:hAnsi="宋体" w:cs="宋体"/>
          <w:b/>
          <w:sz w:val="24"/>
          <w:highlight w:val="none"/>
        </w:rPr>
        <w:t>2.8 货物的风险负担</w:t>
      </w:r>
      <w:bookmarkEnd w:id="473"/>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77" w:name="_Toc14055"/>
      <w:r>
        <w:rPr>
          <w:rFonts w:hint="eastAsia" w:ascii="宋体" w:hAnsi="宋体" w:cs="宋体"/>
          <w:b/>
          <w:sz w:val="24"/>
          <w:highlight w:val="none"/>
        </w:rPr>
        <w:t>2.9 延迟交货</w:t>
      </w:r>
      <w:bookmarkEnd w:id="474"/>
      <w:bookmarkEnd w:id="475"/>
      <w:bookmarkEnd w:id="476"/>
      <w:bookmarkEnd w:id="477"/>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highlight w:val="none"/>
        </w:rPr>
      </w:pPr>
      <w:bookmarkStart w:id="478" w:name="_Toc7502"/>
      <w:bookmarkStart w:id="479" w:name="_Toc259093683"/>
      <w:bookmarkStart w:id="480" w:name="_Ref467378121"/>
      <w:bookmarkStart w:id="481" w:name="_Toc487900364"/>
      <w:bookmarkStart w:id="482" w:name="_Toc279701254"/>
      <w:r>
        <w:rPr>
          <w:rFonts w:hint="eastAsia" w:ascii="宋体" w:hAnsi="宋体" w:cs="宋体"/>
          <w:b/>
          <w:sz w:val="24"/>
          <w:highlight w:val="none"/>
        </w:rPr>
        <w:t>2.10 合同变更</w:t>
      </w:r>
      <w:bookmarkEnd w:id="478"/>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合同继续履行将损害国家利益和社会公共利益的，双方当事人应当以书面形式变更合同。有过错的一方应当承担赔偿责任，双方当事人都有过错的，各自承担相应的责任。</w:t>
      </w:r>
      <w:bookmarkStart w:id="483" w:name="_Toc487900369"/>
      <w:bookmarkStart w:id="484" w:name="_Toc279701259"/>
      <w:bookmarkStart w:id="485" w:name="_Toc259093688"/>
    </w:p>
    <w:p>
      <w:pPr>
        <w:spacing w:line="560" w:lineRule="exact"/>
        <w:ind w:firstLine="482" w:firstLineChars="200"/>
        <w:outlineLvl w:val="0"/>
        <w:rPr>
          <w:rFonts w:ascii="宋体" w:hAnsi="宋体" w:cs="宋体"/>
          <w:b/>
          <w:sz w:val="24"/>
          <w:highlight w:val="none"/>
        </w:rPr>
      </w:pPr>
      <w:bookmarkStart w:id="486" w:name="_Toc22955"/>
      <w:bookmarkStart w:id="487" w:name="_Toc15237"/>
      <w:bookmarkStart w:id="488" w:name="_Toc10366"/>
      <w:r>
        <w:rPr>
          <w:rFonts w:hint="eastAsia" w:ascii="宋体" w:hAnsi="宋体" w:cs="宋体"/>
          <w:b/>
          <w:sz w:val="24"/>
          <w:highlight w:val="none"/>
        </w:rPr>
        <w:t>2.11 合同转让</w:t>
      </w:r>
      <w:bookmarkEnd w:id="483"/>
      <w:bookmarkEnd w:id="484"/>
      <w:bookmarkEnd w:id="485"/>
      <w:r>
        <w:rPr>
          <w:rFonts w:hint="eastAsia" w:ascii="宋体" w:hAnsi="宋体" w:cs="宋体"/>
          <w:b/>
          <w:sz w:val="24"/>
          <w:highlight w:val="none"/>
        </w:rPr>
        <w:t>和分包</w:t>
      </w:r>
      <w:bookmarkEnd w:id="486"/>
      <w:bookmarkEnd w:id="487"/>
      <w:bookmarkEnd w:id="48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2.11.2乙方采取分包方式履行合同的，甲方可直接向分包供应商支付款项。</w:t>
      </w:r>
    </w:p>
    <w:p>
      <w:pPr>
        <w:spacing w:line="560" w:lineRule="exact"/>
        <w:ind w:firstLine="482" w:firstLineChars="200"/>
        <w:outlineLvl w:val="0"/>
        <w:rPr>
          <w:rFonts w:ascii="宋体" w:hAnsi="宋体" w:cs="宋体"/>
          <w:b/>
          <w:sz w:val="24"/>
          <w:highlight w:val="none"/>
        </w:rPr>
      </w:pPr>
      <w:bookmarkStart w:id="489" w:name="_Toc13566"/>
      <w:bookmarkStart w:id="490" w:name="_Toc14066"/>
      <w:bookmarkStart w:id="491" w:name="_Toc16508"/>
      <w:r>
        <w:rPr>
          <w:rFonts w:hint="eastAsia" w:ascii="宋体" w:hAnsi="宋体" w:cs="宋体"/>
          <w:b/>
          <w:sz w:val="24"/>
          <w:highlight w:val="none"/>
        </w:rPr>
        <w:t>2.12 不可抗力</w:t>
      </w:r>
      <w:bookmarkEnd w:id="489"/>
      <w:bookmarkEnd w:id="490"/>
      <w:bookmarkEnd w:id="4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492" w:name="_Toc30676"/>
      <w:bookmarkStart w:id="493" w:name="_Toc6969"/>
      <w:bookmarkStart w:id="494" w:name="_Toc487900365"/>
      <w:bookmarkStart w:id="495" w:name="_Toc689"/>
      <w:bookmarkStart w:id="496" w:name="_Toc259093684"/>
      <w:bookmarkStart w:id="497" w:name="_Toc279701255"/>
      <w:r>
        <w:rPr>
          <w:rFonts w:hint="eastAsia" w:ascii="宋体" w:hAnsi="宋体" w:cs="宋体"/>
          <w:b/>
          <w:sz w:val="24"/>
          <w:highlight w:val="none"/>
        </w:rPr>
        <w:t>2.13 税费</w:t>
      </w:r>
      <w:bookmarkEnd w:id="492"/>
      <w:bookmarkEnd w:id="493"/>
      <w:bookmarkEnd w:id="494"/>
      <w:bookmarkEnd w:id="495"/>
      <w:bookmarkEnd w:id="496"/>
      <w:bookmarkEnd w:id="497"/>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560" w:lineRule="exact"/>
        <w:ind w:firstLine="482" w:firstLineChars="200"/>
        <w:outlineLvl w:val="0"/>
        <w:rPr>
          <w:rFonts w:ascii="宋体" w:hAnsi="宋体" w:cs="宋体"/>
          <w:b/>
          <w:sz w:val="24"/>
          <w:highlight w:val="none"/>
        </w:rPr>
      </w:pPr>
      <w:bookmarkStart w:id="498" w:name="_Toc487900368"/>
      <w:bookmarkStart w:id="499" w:name="_Toc16959"/>
      <w:bookmarkStart w:id="500" w:name="_Toc279701258"/>
      <w:bookmarkStart w:id="501" w:name="_Toc7102"/>
      <w:bookmarkStart w:id="502" w:name="_Toc8298"/>
      <w:bookmarkStart w:id="503" w:name="_Toc259093687"/>
      <w:r>
        <w:rPr>
          <w:rFonts w:hint="eastAsia" w:ascii="宋体" w:hAnsi="宋体" w:cs="宋体"/>
          <w:b/>
          <w:sz w:val="24"/>
          <w:highlight w:val="none"/>
        </w:rPr>
        <w:t>2.14乙方破产</w:t>
      </w:r>
      <w:bookmarkEnd w:id="498"/>
      <w:bookmarkEnd w:id="499"/>
      <w:bookmarkEnd w:id="500"/>
      <w:bookmarkEnd w:id="501"/>
      <w:bookmarkEnd w:id="502"/>
      <w:bookmarkEnd w:id="503"/>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504" w:name="_Toc15387"/>
      <w:bookmarkStart w:id="505" w:name="_Toc29333"/>
      <w:bookmarkStart w:id="506" w:name="_Toc6134"/>
      <w:r>
        <w:rPr>
          <w:rFonts w:hint="eastAsia" w:ascii="宋体" w:hAnsi="宋体" w:cs="宋体"/>
          <w:b/>
          <w:sz w:val="24"/>
          <w:highlight w:val="none"/>
        </w:rPr>
        <w:t>2.15 合同中止、终止</w:t>
      </w:r>
      <w:bookmarkEnd w:id="504"/>
      <w:bookmarkEnd w:id="505"/>
      <w:bookmarkEnd w:id="50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2.15.1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507" w:name="_Toc6596"/>
      <w:bookmarkStart w:id="508" w:name="_Toc14563"/>
      <w:bookmarkStart w:id="509" w:name="_Toc1125"/>
      <w:r>
        <w:rPr>
          <w:rFonts w:hint="eastAsia" w:ascii="宋体" w:hAnsi="宋体" w:cs="宋体"/>
          <w:b/>
          <w:sz w:val="24"/>
          <w:highlight w:val="none"/>
        </w:rPr>
        <w:t>2.16检验和验收</w:t>
      </w:r>
      <w:bookmarkEnd w:id="507"/>
      <w:bookmarkEnd w:id="508"/>
      <w:bookmarkEnd w:id="509"/>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sz w:val="24"/>
          <w:highlight w:val="none"/>
          <w:u w:val="single"/>
        </w:rPr>
        <w:t>合同专用条款</w:t>
      </w:r>
      <w:r>
        <w:rPr>
          <w:rFonts w:hint="eastAsia" w:ascii="宋体" w:hAnsi="宋体" w:cs="宋体"/>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2.16.3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479"/>
    <w:bookmarkEnd w:id="480"/>
    <w:bookmarkEnd w:id="481"/>
    <w:bookmarkEnd w:id="482"/>
    <w:p>
      <w:pPr>
        <w:spacing w:line="560" w:lineRule="exact"/>
        <w:ind w:firstLine="482" w:firstLineChars="200"/>
        <w:outlineLvl w:val="0"/>
        <w:rPr>
          <w:rFonts w:ascii="宋体" w:hAnsi="宋体" w:cs="宋体"/>
          <w:b/>
          <w:sz w:val="24"/>
          <w:highlight w:val="none"/>
        </w:rPr>
      </w:pPr>
      <w:bookmarkStart w:id="510" w:name="_Toc487900371"/>
      <w:bookmarkStart w:id="511" w:name="_Toc279701261"/>
      <w:bookmarkStart w:id="512" w:name="_Toc259093690"/>
      <w:bookmarkStart w:id="513" w:name="_Toc19604"/>
      <w:bookmarkStart w:id="514" w:name="_Toc11284"/>
      <w:bookmarkStart w:id="515" w:name="_Toc25182"/>
      <w:r>
        <w:rPr>
          <w:rFonts w:hint="eastAsia" w:ascii="宋体" w:hAnsi="宋体" w:cs="宋体"/>
          <w:b/>
          <w:sz w:val="24"/>
          <w:highlight w:val="none"/>
        </w:rPr>
        <w:t>2.17 通知</w:t>
      </w:r>
      <w:bookmarkEnd w:id="510"/>
      <w:bookmarkEnd w:id="511"/>
      <w:bookmarkEnd w:id="512"/>
      <w:r>
        <w:rPr>
          <w:rFonts w:hint="eastAsia" w:ascii="宋体" w:hAnsi="宋体" w:cs="宋体"/>
          <w:b/>
          <w:sz w:val="24"/>
          <w:highlight w:val="none"/>
        </w:rPr>
        <w:t>和送达</w:t>
      </w:r>
      <w:bookmarkEnd w:id="513"/>
      <w:bookmarkEnd w:id="514"/>
      <w:bookmarkEnd w:id="515"/>
    </w:p>
    <w:p>
      <w:pPr>
        <w:spacing w:line="560" w:lineRule="exact"/>
        <w:ind w:firstLine="480" w:firstLineChars="200"/>
        <w:rPr>
          <w:rFonts w:ascii="宋体" w:hAnsi="宋体" w:cs="宋体"/>
          <w:sz w:val="24"/>
          <w:highlight w:val="none"/>
        </w:rPr>
      </w:pPr>
      <w:bookmarkStart w:id="516" w:name="_Toc3135"/>
      <w:bookmarkStart w:id="517" w:name="_Toc6698"/>
      <w:bookmarkStart w:id="518" w:name="_Toc259093691"/>
      <w:bookmarkStart w:id="519" w:name="_Toc279701262"/>
      <w:bookmarkStart w:id="520" w:name="_Toc487900372"/>
      <w:r>
        <w:rPr>
          <w:rFonts w:hint="eastAsia" w:ascii="宋体" w:hAnsi="宋体" w:cs="宋体"/>
          <w:sz w:val="24"/>
          <w:highlight w:val="none"/>
        </w:rPr>
        <w:t xml:space="preserve">2.17.1任何一方因履行合同而以合同第一部分尾部所列明的传真或电子邮件 </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3</w:t>
      </w:r>
      <w:r>
        <w:rPr>
          <w:rFonts w:hint="eastAsia" w:ascii="宋体" w:hAnsi="宋体" w:cs="宋体"/>
          <w:sz w:val="24"/>
          <w:highlight w:val="none"/>
        </w:rPr>
        <w:t>个工作日内书面通知对方当事人，在对方当事人收到有关变更通知之前，变更前的约定送达方式或者地址仍视为有效。</w:t>
      </w:r>
      <w:bookmarkEnd w:id="516"/>
      <w:bookmarkEnd w:id="517"/>
    </w:p>
    <w:p>
      <w:pPr>
        <w:spacing w:line="560" w:lineRule="exact"/>
        <w:ind w:firstLine="480" w:firstLineChars="200"/>
        <w:rPr>
          <w:rFonts w:ascii="宋体" w:hAnsi="宋体" w:cs="宋体"/>
          <w:sz w:val="24"/>
          <w:highlight w:val="none"/>
        </w:rPr>
      </w:pPr>
      <w:bookmarkStart w:id="521" w:name="_Toc23128"/>
      <w:bookmarkStart w:id="522" w:name="_Toc23294"/>
      <w:r>
        <w:rPr>
          <w:rFonts w:hint="eastAsia" w:ascii="宋体" w:hAnsi="宋体" w:cs="宋体"/>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21"/>
      <w:bookmarkEnd w:id="522"/>
    </w:p>
    <w:p>
      <w:pPr>
        <w:spacing w:line="560" w:lineRule="exact"/>
        <w:ind w:firstLine="482" w:firstLineChars="200"/>
        <w:outlineLvl w:val="0"/>
        <w:rPr>
          <w:rFonts w:ascii="宋体" w:hAnsi="宋体" w:cs="宋体"/>
          <w:b/>
          <w:sz w:val="24"/>
          <w:highlight w:val="none"/>
        </w:rPr>
      </w:pPr>
      <w:bookmarkStart w:id="523" w:name="_Toc4355"/>
      <w:bookmarkStart w:id="524" w:name="_Toc30599"/>
      <w:bookmarkStart w:id="525" w:name="_Toc18540"/>
      <w:r>
        <w:rPr>
          <w:rFonts w:hint="eastAsia" w:ascii="宋体" w:hAnsi="宋体" w:cs="宋体"/>
          <w:b/>
          <w:sz w:val="24"/>
          <w:highlight w:val="none"/>
        </w:rPr>
        <w:t>2.18 计量单位</w:t>
      </w:r>
      <w:bookmarkEnd w:id="518"/>
      <w:bookmarkEnd w:id="519"/>
      <w:bookmarkEnd w:id="520"/>
      <w:bookmarkEnd w:id="523"/>
      <w:bookmarkEnd w:id="524"/>
      <w:bookmarkEnd w:id="525"/>
    </w:p>
    <w:p>
      <w:pPr>
        <w:spacing w:line="560" w:lineRule="exact"/>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560" w:lineRule="exact"/>
        <w:ind w:firstLine="482" w:firstLineChars="200"/>
        <w:outlineLvl w:val="0"/>
        <w:rPr>
          <w:rFonts w:ascii="宋体" w:hAnsi="宋体" w:cs="宋体"/>
          <w:b/>
          <w:sz w:val="24"/>
          <w:highlight w:val="none"/>
        </w:rPr>
      </w:pPr>
      <w:bookmarkStart w:id="526" w:name="_Toc18567"/>
      <w:bookmarkStart w:id="527" w:name="_Toc487900373"/>
      <w:bookmarkStart w:id="528" w:name="_Toc259093692"/>
      <w:bookmarkStart w:id="529" w:name="_Toc279701263"/>
      <w:bookmarkStart w:id="530" w:name="_Toc12773"/>
      <w:bookmarkStart w:id="531" w:name="_Toc10330"/>
      <w:r>
        <w:rPr>
          <w:rFonts w:hint="eastAsia" w:ascii="宋体" w:hAnsi="宋体" w:cs="宋体"/>
          <w:b/>
          <w:sz w:val="24"/>
          <w:highlight w:val="none"/>
        </w:rPr>
        <w:t>2.19 合同使用的文字和适用的法律</w:t>
      </w:r>
      <w:bookmarkEnd w:id="526"/>
      <w:bookmarkEnd w:id="527"/>
      <w:bookmarkEnd w:id="528"/>
      <w:bookmarkEnd w:id="529"/>
      <w:bookmarkEnd w:id="530"/>
      <w:bookmarkEnd w:id="53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2.19.1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2.19.2 合同适用中华人民共和国法律。</w:t>
      </w:r>
    </w:p>
    <w:p>
      <w:pPr>
        <w:spacing w:line="560" w:lineRule="exact"/>
        <w:ind w:firstLine="482" w:firstLineChars="200"/>
        <w:outlineLvl w:val="0"/>
        <w:rPr>
          <w:rFonts w:ascii="宋体" w:hAnsi="宋体" w:cs="宋体"/>
          <w:b/>
          <w:sz w:val="24"/>
          <w:highlight w:val="none"/>
        </w:rPr>
      </w:pPr>
      <w:bookmarkStart w:id="532" w:name="_Toc6885"/>
      <w:bookmarkStart w:id="533" w:name="_Toc14001"/>
      <w:bookmarkStart w:id="534" w:name="_Toc19890"/>
      <w:r>
        <w:rPr>
          <w:rFonts w:hint="eastAsia" w:ascii="宋体" w:hAnsi="宋体" w:cs="宋体"/>
          <w:b/>
          <w:sz w:val="24"/>
          <w:highlight w:val="none"/>
        </w:rPr>
        <w:t>2.2</w:t>
      </w:r>
      <w:r>
        <w:rPr>
          <w:rFonts w:hint="eastAsia" w:ascii="宋体" w:hAnsi="宋体" w:cs="宋体"/>
          <w:b/>
          <w:sz w:val="24"/>
          <w:highlight w:val="none"/>
          <w:lang w:val="en-US" w:eastAsia="zh-CN"/>
        </w:rPr>
        <w:t>0</w:t>
      </w:r>
      <w:r>
        <w:rPr>
          <w:rFonts w:hint="eastAsia" w:ascii="宋体" w:hAnsi="宋体" w:cs="宋体"/>
          <w:b/>
          <w:sz w:val="24"/>
          <w:highlight w:val="none"/>
        </w:rPr>
        <w:t>合同份数</w:t>
      </w:r>
      <w:bookmarkEnd w:id="532"/>
      <w:bookmarkEnd w:id="533"/>
      <w:bookmarkEnd w:id="534"/>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adjustRightInd/>
        <w:spacing w:line="360" w:lineRule="auto"/>
        <w:ind w:firstLine="2513" w:firstLineChars="1197"/>
        <w:outlineLvl w:val="0"/>
        <w:rPr>
          <w:rFonts w:ascii="宋体" w:hAnsi="宋体" w:cs="宋体"/>
          <w:b/>
          <w:highlight w:val="none"/>
        </w:rPr>
      </w:pPr>
      <w:r>
        <w:rPr>
          <w:rFonts w:hint="eastAsia" w:ascii="宋体" w:hAnsi="宋体" w:cs="宋体"/>
          <w:kern w:val="0"/>
          <w:highlight w:val="none"/>
        </w:rPr>
        <w:br w:type="page"/>
      </w:r>
      <w:bookmarkStart w:id="535" w:name="_Toc331685784"/>
      <w:r>
        <w:rPr>
          <w:rFonts w:hint="eastAsia" w:ascii="宋体" w:hAnsi="宋体" w:cs="宋体"/>
          <w:b/>
          <w:sz w:val="32"/>
          <w:szCs w:val="20"/>
          <w:highlight w:val="none"/>
        </w:rPr>
        <w:t xml:space="preserve"> </w:t>
      </w:r>
      <w:bookmarkEnd w:id="535"/>
      <w:r>
        <w:rPr>
          <w:rFonts w:hint="eastAsia" w:ascii="宋体" w:hAnsi="宋体" w:cs="宋体"/>
          <w:b/>
          <w:sz w:val="32"/>
          <w:szCs w:val="20"/>
          <w:highlight w:val="none"/>
        </w:rPr>
        <w:t>第三部分  合同专用条款</w:t>
      </w:r>
    </w:p>
    <w:p>
      <w:pPr>
        <w:spacing w:line="560" w:lineRule="exact"/>
        <w:ind w:left="-420" w:leftChars="-200" w:right="-420" w:rightChars="-200" w:firstLine="480" w:firstLineChars="200"/>
        <w:rPr>
          <w:rFonts w:hint="eastAsia"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pPr>
              <w:keepNext w:val="0"/>
              <w:keepLines w:val="0"/>
              <w:widowControl/>
              <w:suppressLineNumbers w:val="0"/>
              <w:adjustRightInd/>
              <w:spacing w:before="0" w:beforeAutospacing="0" w:after="0" w:afterAutospacing="0"/>
              <w:ind w:left="0" w:right="0"/>
              <w:jc w:val="left"/>
              <w:rPr>
                <w:rFonts w:hint="default" w:ascii="宋体" w:hAnsi="宋体" w:cs="宋体"/>
                <w:b/>
                <w:sz w:val="24"/>
                <w:highlight w:val="none"/>
              </w:rPr>
            </w:pPr>
            <w:r>
              <w:rPr>
                <w:rFonts w:hint="default" w:ascii="宋体" w:hAnsi="宋体" w:cs="宋体"/>
                <w:b/>
                <w:sz w:val="36"/>
                <w:szCs w:val="20"/>
                <w:highlight w:val="none"/>
              </w:rPr>
              <w:br w:type="page"/>
            </w:r>
            <w:r>
              <w:rPr>
                <w:rFonts w:hint="eastAsia" w:ascii="宋体" w:hAnsi="宋体" w:cs="宋体"/>
                <w:b/>
                <w:sz w:val="24"/>
                <w:highlight w:val="none"/>
              </w:rPr>
              <w:t>条款号</w:t>
            </w:r>
          </w:p>
        </w:tc>
        <w:tc>
          <w:tcPr>
            <w:tcW w:w="827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lang w:val="en-US" w:eastAsia="zh-CN"/>
              </w:rPr>
            </w:pPr>
            <w:r>
              <w:rPr>
                <w:rFonts w:hint="eastAsia" w:ascii="宋体" w:hAnsi="宋体" w:cs="宋体"/>
                <w:sz w:val="24"/>
                <w:highlight w:val="none"/>
                <w:lang w:val="en-US" w:eastAsia="zh-CN"/>
              </w:rPr>
              <w:t>1.4</w:t>
            </w:r>
          </w:p>
        </w:tc>
        <w:tc>
          <w:tcPr>
            <w:tcW w:w="8275" w:type="dxa"/>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乙方不需要支付履约保证金。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1.4.1</w:t>
            </w:r>
          </w:p>
        </w:tc>
        <w:tc>
          <w:tcPr>
            <w:tcW w:w="8275" w:type="dxa"/>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auto"/>
                <w:sz w:val="24"/>
                <w:highlight w:val="none"/>
                <w:lang w:val="en-US" w:eastAsia="zh-CN"/>
              </w:rPr>
            </w:pPr>
            <w:r>
              <w:rPr>
                <w:rFonts w:hint="eastAsia" w:ascii="宋体" w:hAnsi="宋体" w:cs="宋体"/>
                <w:color w:val="auto"/>
                <w:kern w:val="0"/>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1.4.2</w:t>
            </w:r>
          </w:p>
        </w:tc>
        <w:tc>
          <w:tcPr>
            <w:tcW w:w="8275" w:type="dxa"/>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auto"/>
                <w:sz w:val="24"/>
                <w:highlight w:val="none"/>
                <w:lang w:val="en-US" w:eastAsia="zh-CN"/>
              </w:rPr>
            </w:pPr>
            <w:r>
              <w:rPr>
                <w:rFonts w:hint="eastAsia" w:ascii="宋体" w:hAnsi="宋体" w:cs="宋体"/>
                <w:color w:val="auto"/>
                <w:kern w:val="0"/>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1.5</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none"/>
                <w:lang w:bidi="ar"/>
              </w:rPr>
            </w:pPr>
            <w:r>
              <w:rPr>
                <w:rFonts w:hint="default" w:ascii="Times New Roman" w:hAnsi="Times New Roman" w:eastAsia="宋体" w:cs="Times New Roman"/>
                <w:color w:val="auto"/>
                <w:sz w:val="24"/>
                <w:highlight w:val="none"/>
                <w:lang w:val="en-US" w:eastAsia="zh-CN"/>
              </w:rPr>
              <w:t>预付款</w:t>
            </w:r>
            <w:r>
              <w:rPr>
                <w:rFonts w:hint="default" w:ascii="Times New Roman" w:hAnsi="Times New Roman" w:eastAsia="宋体" w:cs="Times New Roman"/>
                <w:color w:val="auto"/>
                <w:sz w:val="24"/>
                <w:highlight w:val="none"/>
              </w:rPr>
              <w:t>比例、支付方式、时间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1.5.1</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lang w:val="en-US" w:eastAsia="zh-CN"/>
              </w:rPr>
            </w:pPr>
            <w:r>
              <w:rPr>
                <w:rFonts w:hint="eastAsia" w:ascii="宋体" w:hAnsi="宋体" w:cs="宋体"/>
                <w:sz w:val="24"/>
                <w:highlight w:val="none"/>
                <w:lang w:bidi="ar"/>
              </w:rPr>
              <w:t>合同生效后</w:t>
            </w:r>
            <w:r>
              <w:rPr>
                <w:rFonts w:hint="eastAsia" w:ascii="宋体" w:hAnsi="宋体" w:cs="宋体"/>
                <w:sz w:val="24"/>
                <w:highlight w:val="none"/>
                <w:lang w:val="en-US" w:eastAsia="zh-CN" w:bidi="ar"/>
              </w:rPr>
              <w:t>5</w:t>
            </w:r>
            <w:r>
              <w:rPr>
                <w:rFonts w:hint="eastAsia" w:ascii="宋体" w:hAnsi="宋体" w:cs="宋体"/>
                <w:sz w:val="24"/>
                <w:highlight w:val="none"/>
                <w:lang w:bidi="ar"/>
              </w:rPr>
              <w:t>个工作日内</w:t>
            </w:r>
            <w:r>
              <w:rPr>
                <w:rFonts w:hint="eastAsia" w:ascii="宋体" w:hAnsi="宋体" w:cs="宋体"/>
                <w:sz w:val="24"/>
                <w:highlight w:val="none"/>
                <w:lang w:val="en-US" w:eastAsia="zh-CN" w:bidi="ar"/>
              </w:rPr>
              <w:t>支付合同总价的70%货款。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1.5.2</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1.5.3</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1.6</w:t>
            </w:r>
          </w:p>
        </w:tc>
        <w:tc>
          <w:tcPr>
            <w:tcW w:w="8275" w:type="dxa"/>
            <w:vAlign w:val="center"/>
          </w:tcPr>
          <w:p>
            <w:pPr>
              <w:pStyle w:val="57"/>
              <w:keepNext w:val="0"/>
              <w:keepLines w:val="0"/>
              <w:suppressLineNumbers w:val="0"/>
              <w:snapToGrid w:val="0"/>
              <w:spacing w:before="0" w:beforeAutospacing="0" w:after="0" w:afterAutospacing="0" w:line="300" w:lineRule="auto"/>
              <w:ind w:left="0" w:right="0"/>
              <w:rPr>
                <w:rFonts w:hint="default"/>
                <w:highlight w:val="none"/>
              </w:rPr>
            </w:pPr>
            <w:r>
              <w:rPr>
                <w:rFonts w:hint="default" w:ascii="Times New Roman" w:hAnsi="Times New Roman" w:cs="Times New Roman"/>
                <w:color w:val="auto"/>
                <w:sz w:val="24"/>
                <w:highlight w:val="none"/>
              </w:rPr>
              <w:t>资金支付的方式、时间和条件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1.6.2</w:t>
            </w:r>
          </w:p>
        </w:tc>
        <w:tc>
          <w:tcPr>
            <w:tcW w:w="8275" w:type="dxa"/>
            <w:vAlign w:val="center"/>
          </w:tcPr>
          <w:p>
            <w:pPr>
              <w:keepNext w:val="0"/>
              <w:keepLines w:val="0"/>
              <w:suppressLineNumbers w:val="0"/>
              <w:adjustRightInd/>
              <w:spacing w:before="0" w:beforeAutospacing="0" w:after="0" w:afterAutospacing="0" w:line="300" w:lineRule="auto"/>
              <w:ind w:left="0" w:right="0"/>
              <w:rPr>
                <w:rFonts w:hint="default" w:ascii="宋体" w:hAnsi="宋体"/>
                <w:kern w:val="0"/>
                <w:sz w:val="24"/>
                <w:highlight w:val="none"/>
              </w:rPr>
            </w:pPr>
            <w:r>
              <w:rPr>
                <w:rFonts w:hint="eastAsia" w:ascii="宋体" w:hAnsi="宋体" w:cs="宋体"/>
                <w:sz w:val="24"/>
                <w:highlight w:val="none"/>
                <w:lang w:bidi="ar"/>
              </w:rPr>
              <w:t>项目竣工并整体验收合格后，</w:t>
            </w:r>
            <w:r>
              <w:rPr>
                <w:rFonts w:hint="eastAsia" w:ascii="宋体" w:hAnsi="宋体" w:cs="宋体"/>
                <w:sz w:val="24"/>
                <w:highlight w:val="none"/>
              </w:rPr>
              <w:t>凭甲乙双方签字盖章的验收意见、验收小组签字的验收报告及公示截图,在收到乙方开具的正规发票后，甲方在</w:t>
            </w:r>
            <w:r>
              <w:rPr>
                <w:rFonts w:hint="eastAsia" w:ascii="宋体" w:hAnsi="宋体" w:cs="宋体"/>
                <w:sz w:val="24"/>
                <w:highlight w:val="none"/>
                <w:lang w:val="en-US" w:eastAsia="zh-CN"/>
              </w:rPr>
              <w:t>7</w:t>
            </w:r>
            <w:r>
              <w:rPr>
                <w:rFonts w:hint="eastAsia" w:ascii="宋体" w:hAnsi="宋体" w:cs="宋体"/>
                <w:sz w:val="24"/>
                <w:highlight w:val="none"/>
              </w:rPr>
              <w:t>个工作日内将合同余款支付至乙方的账户</w:t>
            </w:r>
            <w:r>
              <w:rPr>
                <w:rFonts w:hint="eastAsia" w:ascii="宋体" w:hAnsi="宋体" w:cs="宋体"/>
                <w:sz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1.7</w:t>
            </w:r>
          </w:p>
        </w:tc>
        <w:tc>
          <w:tcPr>
            <w:tcW w:w="8275" w:type="dxa"/>
            <w:vAlign w:val="center"/>
          </w:tcPr>
          <w:p>
            <w:pPr>
              <w:keepNext w:val="0"/>
              <w:keepLines w:val="0"/>
              <w:suppressLineNumbers w:val="0"/>
              <w:spacing w:before="0" w:beforeAutospacing="0" w:after="0" w:afterAutospacing="0" w:line="300" w:lineRule="auto"/>
              <w:ind w:left="0" w:right="0"/>
              <w:rPr>
                <w:rFonts w:hint="eastAsia" w:ascii="宋体" w:hAnsi="宋体"/>
                <w:kern w:val="0"/>
                <w:sz w:val="24"/>
                <w:highlight w:val="none"/>
              </w:rPr>
            </w:pPr>
            <w:r>
              <w:rPr>
                <w:rFonts w:hint="default" w:ascii="Times New Roman" w:hAnsi="Times New Roman" w:cs="Times New Roman"/>
                <w:b/>
                <w:color w:val="auto"/>
                <w:sz w:val="24"/>
                <w:highlight w:val="none"/>
              </w:rPr>
              <w:t>货物交付期限、地点和方式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1.7.1</w:t>
            </w:r>
          </w:p>
        </w:tc>
        <w:tc>
          <w:tcPr>
            <w:tcW w:w="8275" w:type="dxa"/>
            <w:vAlign w:val="center"/>
          </w:tcPr>
          <w:p>
            <w:pPr>
              <w:keepNext w:val="0"/>
              <w:keepLines w:val="0"/>
              <w:suppressLineNumbers w:val="0"/>
              <w:snapToGrid w:val="0"/>
              <w:spacing w:before="0" w:beforeAutospacing="0" w:after="0" w:afterAutospacing="0" w:line="360" w:lineRule="auto"/>
              <w:ind w:left="0" w:right="0"/>
              <w:rPr>
                <w:rFonts w:hint="eastAsia" w:ascii="宋体" w:hAnsi="宋体"/>
                <w:kern w:val="0"/>
                <w:sz w:val="24"/>
                <w:highlight w:val="none"/>
              </w:rPr>
            </w:pPr>
            <w:r>
              <w:rPr>
                <w:rFonts w:hint="default" w:ascii="Times New Roman" w:hAnsi="Times New Roman" w:eastAsia="宋体" w:cs="Times New Roman"/>
                <w:b/>
                <w:bCs/>
                <w:color w:val="auto"/>
                <w:sz w:val="24"/>
                <w:highlight w:val="none"/>
              </w:rPr>
              <w:t>交付期限：</w:t>
            </w:r>
            <w:r>
              <w:rPr>
                <w:rFonts w:hint="eastAsia" w:ascii="宋体" w:hAnsi="宋体" w:cs="宋体"/>
                <w:snapToGrid w:val="0"/>
                <w:kern w:val="28"/>
                <w:sz w:val="24"/>
                <w:szCs w:val="20"/>
                <w:highlight w:val="none"/>
                <w:lang w:val="en-US" w:eastAsia="zh-CN"/>
              </w:rPr>
              <w:t>2024年10月31日</w:t>
            </w:r>
            <w:r>
              <w:rPr>
                <w:rFonts w:hint="eastAsia" w:ascii="宋体" w:hAnsi="宋体" w:cs="宋体"/>
                <w:snapToGrid w:val="0"/>
                <w:kern w:val="28"/>
                <w:sz w:val="24"/>
                <w:szCs w:val="20"/>
                <w:highlight w:val="none"/>
              </w:rPr>
              <w:t>，供应商需将所供产品（出厂原包装）按合同清单所列的采购单位、地址以及货物品种、数量等，运至指定地点拆箱，并负责安装、调试，由采购单位负责验收，在产品试运行1个月后交付使用。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1.7.2</w:t>
            </w:r>
          </w:p>
        </w:tc>
        <w:tc>
          <w:tcPr>
            <w:tcW w:w="8275" w:type="dxa"/>
            <w:vAlign w:val="center"/>
          </w:tcPr>
          <w:p>
            <w:pPr>
              <w:keepNext w:val="0"/>
              <w:keepLines w:val="0"/>
              <w:suppressLineNumbers w:val="0"/>
              <w:snapToGrid w:val="0"/>
              <w:spacing w:before="0" w:beforeAutospacing="0" w:after="0" w:afterAutospacing="0" w:line="360" w:lineRule="auto"/>
              <w:ind w:left="0" w:right="0"/>
              <w:rPr>
                <w:rFonts w:hint="default" w:ascii="Times New Roman" w:hAnsi="Times New Roman" w:eastAsia="仿宋" w:cs="Times New Roman"/>
                <w:b/>
                <w:bCs/>
                <w:color w:val="auto"/>
                <w:sz w:val="24"/>
                <w:szCs w:val="24"/>
                <w:highlight w:val="none"/>
              </w:rPr>
            </w:pPr>
            <w:r>
              <w:rPr>
                <w:rFonts w:hint="default" w:ascii="Times New Roman" w:hAnsi="Times New Roman" w:eastAsia="宋体" w:cs="Times New Roman"/>
                <w:b/>
                <w:bCs/>
                <w:color w:val="auto"/>
                <w:sz w:val="24"/>
                <w:highlight w:val="none"/>
              </w:rPr>
              <w:t>交付地点：</w:t>
            </w:r>
          </w:p>
          <w:p>
            <w:pPr>
              <w:keepNext w:val="0"/>
              <w:keepLines w:val="0"/>
              <w:suppressLineNumbers w:val="0"/>
              <w:spacing w:before="0" w:beforeAutospacing="0" w:after="0" w:afterAutospacing="0" w:line="300" w:lineRule="auto"/>
              <w:ind w:left="0" w:right="0"/>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1.7.3</w:t>
            </w:r>
          </w:p>
        </w:tc>
        <w:tc>
          <w:tcPr>
            <w:tcW w:w="8275" w:type="dxa"/>
            <w:vAlign w:val="center"/>
          </w:tcPr>
          <w:p>
            <w:pPr>
              <w:keepNext w:val="0"/>
              <w:keepLines w:val="0"/>
              <w:suppressLineNumbers w:val="0"/>
              <w:snapToGrid w:val="0"/>
              <w:spacing w:before="0" w:beforeAutospacing="0" w:after="0" w:afterAutospacing="0" w:line="360" w:lineRule="auto"/>
              <w:ind w:left="0" w:right="0"/>
              <w:rPr>
                <w:rFonts w:hint="default" w:ascii="Times New Roman" w:hAnsi="Times New Roman" w:eastAsia="仿宋" w:cs="Times New Roman"/>
                <w:b/>
                <w:bCs/>
                <w:color w:val="auto"/>
                <w:sz w:val="24"/>
                <w:szCs w:val="24"/>
                <w:highlight w:val="none"/>
              </w:rPr>
            </w:pPr>
            <w:r>
              <w:rPr>
                <w:rFonts w:hint="default" w:ascii="Times New Roman" w:hAnsi="Times New Roman" w:eastAsia="宋体" w:cs="Times New Roman"/>
                <w:b/>
                <w:bCs/>
                <w:color w:val="auto"/>
                <w:sz w:val="24"/>
                <w:highlight w:val="none"/>
              </w:rPr>
              <w:t>交付方式：</w:t>
            </w:r>
          </w:p>
          <w:p>
            <w:pPr>
              <w:keepNext w:val="0"/>
              <w:keepLines w:val="0"/>
              <w:suppressLineNumbers w:val="0"/>
              <w:adjustRightInd/>
              <w:spacing w:before="0" w:beforeAutospacing="0" w:after="0" w:afterAutospacing="0" w:line="300" w:lineRule="auto"/>
              <w:ind w:left="0" w:right="0"/>
              <w:rPr>
                <w:rFonts w:hint="eastAsia" w:ascii="宋体" w:hAnsi="宋体" w:eastAsia="宋体"/>
                <w:kern w:val="0"/>
                <w:sz w:val="24"/>
                <w:highlight w:val="none"/>
                <w:lang w:val="en-US" w:eastAsia="zh-CN"/>
              </w:rPr>
            </w:pPr>
            <w:r>
              <w:rPr>
                <w:rFonts w:hint="eastAsia" w:ascii="宋体" w:hAnsi="宋体"/>
                <w:kern w:val="0"/>
                <w:sz w:val="24"/>
                <w:highlight w:val="none"/>
              </w:rPr>
              <w:t>现场交付</w:t>
            </w:r>
            <w:r>
              <w:rPr>
                <w:rFonts w:hint="eastAsia" w:ascii="宋体" w:hAnsi="宋体"/>
                <w:kern w:val="0"/>
                <w:sz w:val="24"/>
                <w:highlight w:val="none"/>
                <w:lang w:eastAsia="zh-CN"/>
              </w:rPr>
              <w:t>。</w:t>
            </w:r>
          </w:p>
          <w:p>
            <w:pPr>
              <w:keepNext w:val="0"/>
              <w:keepLines w:val="0"/>
              <w:suppressLineNumbers w:val="0"/>
              <w:spacing w:before="0" w:beforeAutospacing="0" w:after="0" w:afterAutospacing="0" w:line="300" w:lineRule="auto"/>
              <w:ind w:left="0" w:right="0"/>
              <w:rPr>
                <w:rFonts w:hint="default"/>
                <w:highlight w:val="none"/>
              </w:rPr>
            </w:pPr>
            <w:r>
              <w:rPr>
                <w:rFonts w:hint="eastAsia" w:ascii="宋体" w:hAnsi="宋体"/>
                <w:kern w:val="0"/>
                <w:sz w:val="24"/>
                <w:highlight w:val="none"/>
              </w:rPr>
              <w:t>乙方在货物发运手续办理完毕后24小时内或货到甲方48小时前通知甲方，以准备接货。货物在交付甲方前发生的风险均由乙方负责。货物在规定的交付期限内由乙方送达甲方指定的地点视为交付，乙方同时需通知甲方货物已送达。对其在制造、购置、运输、存放及交货过程中的丢失或损坏进行全面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eastAsia="zh-CN"/>
              </w:rPr>
            </w:pPr>
            <w:r>
              <w:rPr>
                <w:rFonts w:hint="eastAsia" w:ascii="宋体" w:hAnsi="宋体" w:cs="宋体"/>
                <w:sz w:val="24"/>
                <w:highlight w:val="none"/>
                <w:lang w:val="en-US" w:eastAsia="zh-CN"/>
              </w:rPr>
              <w:t>1.8</w:t>
            </w:r>
          </w:p>
        </w:tc>
        <w:tc>
          <w:tcPr>
            <w:tcW w:w="8275"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违约责任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1.8.6</w:t>
            </w:r>
          </w:p>
        </w:tc>
        <w:tc>
          <w:tcPr>
            <w:tcW w:w="8275" w:type="dxa"/>
            <w:vAlign w:val="center"/>
          </w:tcPr>
          <w:p>
            <w:pPr>
              <w:keepNext w:val="0"/>
              <w:keepLines w:val="0"/>
              <w:suppressLineNumbers w:val="0"/>
              <w:spacing w:before="0" w:beforeAutospacing="0" w:after="0" w:afterAutospacing="0" w:line="300" w:lineRule="auto"/>
              <w:ind w:left="0" w:right="0"/>
              <w:rPr>
                <w:rFonts w:hint="default" w:ascii="宋体" w:hAnsi="宋体" w:cs="宋体"/>
                <w:sz w:val="24"/>
                <w:highlight w:val="none"/>
              </w:rPr>
            </w:pPr>
            <w:r>
              <w:rPr>
                <w:rFonts w:hint="eastAsia" w:ascii="宋体" w:hAnsi="宋体" w:cs="宋体"/>
                <w:sz w:val="24"/>
                <w:highlight w:val="none"/>
              </w:rPr>
              <w:t>其他违约条款（可自行补充）</w:t>
            </w:r>
          </w:p>
          <w:p>
            <w:pPr>
              <w:keepNext w:val="0"/>
              <w:keepLines w:val="0"/>
              <w:numPr>
                <w:ilvl w:val="0"/>
                <w:numId w:val="4"/>
              </w:numPr>
              <w:suppressLineNumbers w:val="0"/>
              <w:spacing w:before="0" w:beforeAutospacing="0" w:after="0" w:afterAutospacing="0" w:line="300" w:lineRule="auto"/>
              <w:ind w:left="0" w:right="0" w:firstLine="240" w:firstLineChars="100"/>
              <w:rPr>
                <w:rFonts w:hint="default" w:ascii="宋体" w:hAnsi="宋体" w:cs="宋体"/>
                <w:sz w:val="24"/>
                <w:highlight w:val="none"/>
              </w:rPr>
            </w:pPr>
            <w:r>
              <w:rPr>
                <w:rFonts w:hint="eastAsia" w:ascii="宋体" w:hAnsi="宋体"/>
                <w:sz w:val="24"/>
                <w:highlight w:val="none"/>
              </w:rPr>
              <w:t>甲方有权对质量不合格产品进行拒收，由此产生的损失由乙方承担；</w:t>
            </w:r>
          </w:p>
          <w:p>
            <w:pPr>
              <w:keepNext w:val="0"/>
              <w:keepLines w:val="0"/>
              <w:numPr>
                <w:ilvl w:val="0"/>
                <w:numId w:val="4"/>
              </w:numPr>
              <w:suppressLineNumbers w:val="0"/>
              <w:spacing w:before="0" w:beforeAutospacing="0" w:after="0" w:afterAutospacing="0" w:line="300" w:lineRule="auto"/>
              <w:ind w:left="0" w:right="0" w:firstLine="240" w:firstLineChars="100"/>
              <w:rPr>
                <w:rFonts w:hint="default" w:ascii="宋体" w:hAnsi="宋体" w:cs="宋体"/>
                <w:sz w:val="24"/>
                <w:highlight w:val="none"/>
              </w:rPr>
            </w:pPr>
            <w:r>
              <w:rPr>
                <w:rFonts w:hint="default" w:ascii="宋体" w:hAnsi="宋体" w:cs="宋体"/>
                <w:sz w:val="24"/>
                <w:highlight w:val="none"/>
              </w:rPr>
              <w:t>乙方所交的货物品种、型号、规格、技术参数、质量不符合合同规定及招投标文件规定标准的，或项目经验收不合格的，甲方有权拒收该货物，乙方愿意更换货物但逾期交货的，按乙方逾期交货处理。乙方拒绝更换货物的，甲方可单方面解除合同，同时乙方应按合同价款的10%承担违约金，并退还全部已收款项。</w:t>
            </w:r>
          </w:p>
          <w:p>
            <w:pPr>
              <w:keepNext w:val="0"/>
              <w:keepLines w:val="0"/>
              <w:numPr>
                <w:ilvl w:val="0"/>
                <w:numId w:val="4"/>
              </w:numPr>
              <w:suppressLineNumbers w:val="0"/>
              <w:spacing w:before="0" w:beforeAutospacing="0" w:after="0" w:afterAutospacing="0" w:line="300" w:lineRule="auto"/>
              <w:ind w:left="0" w:right="0" w:firstLine="240" w:firstLineChars="100"/>
              <w:rPr>
                <w:rFonts w:hint="default" w:ascii="宋体" w:hAnsi="宋体" w:cs="宋体"/>
                <w:sz w:val="24"/>
                <w:highlight w:val="none"/>
              </w:rPr>
            </w:pPr>
            <w:r>
              <w:rPr>
                <w:rFonts w:hint="default" w:ascii="宋体" w:hAnsi="宋体" w:cs="宋体"/>
                <w:sz w:val="24"/>
                <w:highlight w:val="none"/>
              </w:rPr>
              <w:t>上述第</w:t>
            </w:r>
            <w:r>
              <w:rPr>
                <w:rFonts w:hint="eastAsia" w:ascii="宋体" w:hAnsi="宋体" w:cs="宋体"/>
                <w:sz w:val="24"/>
                <w:highlight w:val="none"/>
              </w:rPr>
              <w:t>2</w:t>
            </w:r>
            <w:r>
              <w:rPr>
                <w:rFonts w:hint="default" w:ascii="宋体" w:hAnsi="宋体" w:cs="宋体"/>
                <w:sz w:val="24"/>
                <w:highlight w:val="none"/>
              </w:rPr>
              <w:t>项应退回或更换的货物，由乙方在验收后一周内运离安装地点，所需费用由乙方承担。如乙方在二周内不处理（搬走）的，视为乙方放弃，甲方有权自行处置（包括废物处理）。</w:t>
            </w:r>
          </w:p>
          <w:p>
            <w:pPr>
              <w:keepNext w:val="0"/>
              <w:keepLines w:val="0"/>
              <w:numPr>
                <w:ilvl w:val="0"/>
                <w:numId w:val="4"/>
              </w:numPr>
              <w:suppressLineNumbers w:val="0"/>
              <w:spacing w:before="0" w:beforeAutospacing="0" w:after="0" w:afterAutospacing="0" w:line="300" w:lineRule="auto"/>
              <w:ind w:left="0" w:right="0" w:firstLine="240" w:firstLineChars="100"/>
              <w:rPr>
                <w:rFonts w:hint="default" w:ascii="宋体" w:hAnsi="宋体" w:cs="宋体"/>
                <w:sz w:val="24"/>
                <w:highlight w:val="none"/>
              </w:rPr>
            </w:pPr>
            <w:r>
              <w:rPr>
                <w:rFonts w:hint="default" w:ascii="宋体" w:hAnsi="宋体" w:cs="宋体"/>
                <w:sz w:val="24"/>
                <w:highlight w:val="none"/>
              </w:rPr>
              <w:t>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kern w:val="0"/>
                <w:sz w:val="24"/>
                <w:highlight w:val="none"/>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1.9.1</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lang w:eastAsia="zh-CN"/>
              </w:rPr>
            </w:pPr>
            <w:r>
              <w:rPr>
                <w:rFonts w:hint="eastAsia" w:ascii="宋体" w:hAnsi="宋体" w:cs="宋体"/>
                <w:kern w:val="0"/>
                <w:sz w:val="24"/>
                <w:highlight w:val="none"/>
              </w:rPr>
              <w:t>将争议提交杭州市仲裁委员会依申请仲裁时其现行有效的仲裁规则裁决</w:t>
            </w:r>
            <w:r>
              <w:rPr>
                <w:rFonts w:hint="eastAsia" w:ascii="宋体" w:hAnsi="宋体" w:cs="宋体"/>
                <w:kern w:val="0"/>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1.9.2</w:t>
            </w:r>
          </w:p>
        </w:tc>
        <w:tc>
          <w:tcPr>
            <w:tcW w:w="8275"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kern w:val="0"/>
                <w:sz w:val="24"/>
                <w:highlight w:val="none"/>
              </w:rPr>
              <w:t>向杭州市</w:t>
            </w:r>
            <w:r>
              <w:rPr>
                <w:rFonts w:hint="eastAsia" w:ascii="宋体" w:hAnsi="宋体" w:cs="宋体"/>
                <w:kern w:val="0"/>
                <w:sz w:val="24"/>
                <w:highlight w:val="none"/>
                <w:lang w:val="en-US" w:eastAsia="zh-CN"/>
              </w:rPr>
              <w:t>西湖</w:t>
            </w:r>
            <w:r>
              <w:rPr>
                <w:rFonts w:hint="eastAsia" w:ascii="宋体" w:hAnsi="宋体" w:cs="宋体"/>
                <w:kern w:val="0"/>
                <w:sz w:val="24"/>
                <w:highlight w:val="none"/>
              </w:rPr>
              <w:t>区人民法院起诉。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2.12.3</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因不可抗力致使合同有变更必要的，双方当事人应在</w:t>
            </w:r>
            <w:r>
              <w:rPr>
                <w:rFonts w:hint="eastAsia" w:ascii="宋体" w:hAnsi="宋体" w:eastAsia="宋体" w:cs="宋体"/>
                <w:b/>
                <w:bCs/>
                <w:kern w:val="0"/>
                <w:sz w:val="24"/>
                <w:highlight w:val="none"/>
                <w:u w:val="single"/>
                <w:lang w:val="en-US" w:eastAsia="zh-CN"/>
              </w:rPr>
              <w:t>180日</w:t>
            </w:r>
            <w:r>
              <w:rPr>
                <w:rFonts w:hint="eastAsia" w:ascii="宋体" w:hAnsi="宋体" w:eastAsia="宋体" w:cs="宋体"/>
                <w:kern w:val="0"/>
                <w:sz w:val="24"/>
                <w:highlight w:val="none"/>
              </w:rPr>
              <w:t>约定时间内以书面形式变更合同</w:t>
            </w:r>
            <w:r>
              <w:rPr>
                <w:rFonts w:hint="eastAsia" w:ascii="宋体" w:hAnsi="宋体" w:eastAsia="宋体" w:cs="宋体"/>
                <w:kern w:val="0"/>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2.12.4</w:t>
            </w:r>
          </w:p>
        </w:tc>
        <w:tc>
          <w:tcPr>
            <w:tcW w:w="827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0"/>
                <w:sz w:val="24"/>
                <w:highlight w:val="none"/>
              </w:rPr>
            </w:pPr>
            <w:r>
              <w:rPr>
                <w:rFonts w:hint="eastAsia" w:ascii="宋体" w:hAnsi="宋体" w:eastAsia="宋体" w:cs="宋体"/>
                <w:kern w:val="0"/>
                <w:sz w:val="24"/>
                <w:highlight w:val="none"/>
              </w:rPr>
              <w:t>受不可抗力影响的一方在不可抗力发生后，应在</w:t>
            </w:r>
            <w:r>
              <w:rPr>
                <w:rFonts w:hint="eastAsia" w:ascii="宋体" w:hAnsi="宋体" w:eastAsia="宋体" w:cs="宋体"/>
                <w:b/>
                <w:bCs/>
                <w:kern w:val="0"/>
                <w:sz w:val="24"/>
                <w:highlight w:val="none"/>
                <w:u w:val="single"/>
              </w:rPr>
              <w:t>30日历天内</w:t>
            </w:r>
            <w:r>
              <w:rPr>
                <w:rFonts w:hint="eastAsia" w:ascii="宋体" w:hAnsi="宋体" w:eastAsia="宋体" w:cs="宋体"/>
                <w:kern w:val="0"/>
                <w:sz w:val="24"/>
                <w:highlight w:val="none"/>
              </w:rPr>
              <w:t>以书面形式通知对方当事人，并在30日历天内，将有关部门出具的证明文件送达对方当事人。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2.16.3</w:t>
            </w:r>
          </w:p>
        </w:tc>
        <w:tc>
          <w:tcPr>
            <w:tcW w:w="8275" w:type="dxa"/>
            <w:vAlign w:val="center"/>
          </w:tcPr>
          <w:p>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hAnsi="宋体"/>
                <w:b/>
                <w:color w:val="auto"/>
                <w:sz w:val="24"/>
                <w:highlight w:val="none"/>
              </w:rPr>
              <w:t>检验和验收标准、程序等具体内容以及前述验收书的效力：</w:t>
            </w:r>
          </w:p>
          <w:p>
            <w:pPr>
              <w:keepNext w:val="0"/>
              <w:keepLines w:val="0"/>
              <w:suppressLineNumbers w:val="0"/>
              <w:spacing w:before="0" w:beforeAutospacing="0" w:after="0" w:afterAutospacing="0" w:line="300" w:lineRule="auto"/>
              <w:ind w:left="0" w:right="0"/>
              <w:rPr>
                <w:rFonts w:hint="default" w:ascii="宋体" w:hAnsi="宋体" w:cs="宋体"/>
                <w:sz w:val="24"/>
                <w:highlight w:val="none"/>
              </w:rPr>
            </w:pPr>
            <w:r>
              <w:rPr>
                <w:rFonts w:hint="eastAsia" w:hAnsi="宋体"/>
                <w:color w:val="auto"/>
                <w:sz w:val="24"/>
                <w:highlight w:val="none"/>
              </w:rPr>
              <w:t>详见采购需求及投标文件，具体验收流程、程序以甲方要求为准。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2.20</w:t>
            </w:r>
          </w:p>
        </w:tc>
        <w:tc>
          <w:tcPr>
            <w:tcW w:w="8275" w:type="dxa"/>
          </w:tcPr>
          <w:p>
            <w:pPr>
              <w:keepNext w:val="0"/>
              <w:keepLines w:val="0"/>
              <w:suppressLineNumbers w:val="0"/>
              <w:spacing w:before="0" w:beforeAutospacing="0" w:after="0" w:afterAutospacing="0" w:line="360" w:lineRule="auto"/>
              <w:ind w:left="0" w:right="0"/>
              <w:rPr>
                <w:rFonts w:hint="default"/>
                <w:b/>
                <w:color w:val="auto"/>
                <w:sz w:val="24"/>
                <w:highlight w:val="none"/>
              </w:rPr>
            </w:pPr>
            <w:r>
              <w:rPr>
                <w:rFonts w:hint="eastAsia" w:hAnsi="宋体"/>
                <w:b/>
                <w:color w:val="auto"/>
                <w:sz w:val="24"/>
                <w:highlight w:val="none"/>
              </w:rPr>
              <w:t>合同份数：</w:t>
            </w:r>
          </w:p>
          <w:p>
            <w:pPr>
              <w:keepNext w:val="0"/>
              <w:keepLines w:val="0"/>
              <w:suppressLineNumbers w:val="0"/>
              <w:spacing w:before="0" w:beforeAutospacing="0" w:after="0" w:afterAutospacing="0" w:line="300" w:lineRule="auto"/>
              <w:ind w:left="0" w:right="0"/>
              <w:rPr>
                <w:rFonts w:hint="default" w:ascii="宋体" w:hAnsi="宋体" w:cs="宋体"/>
                <w:sz w:val="24"/>
                <w:highlight w:val="none"/>
              </w:rPr>
            </w:pPr>
            <w:r>
              <w:rPr>
                <w:rFonts w:hint="eastAsia" w:hAnsi="宋体"/>
                <w:color w:val="auto"/>
                <w:sz w:val="24"/>
                <w:highlight w:val="none"/>
              </w:rPr>
              <w:t>一式</w:t>
            </w:r>
            <w:r>
              <w:rPr>
                <w:rFonts w:hint="eastAsia"/>
                <w:color w:val="auto"/>
                <w:sz w:val="24"/>
                <w:highlight w:val="none"/>
                <w:lang w:val="en-US" w:eastAsia="zh-CN"/>
              </w:rPr>
              <w:t>5</w:t>
            </w:r>
            <w:r>
              <w:rPr>
                <w:rFonts w:hint="eastAsia" w:hAnsi="宋体"/>
                <w:color w:val="auto"/>
                <w:sz w:val="24"/>
                <w:highlight w:val="none"/>
              </w:rPr>
              <w:t>份，甲方</w:t>
            </w:r>
            <w:r>
              <w:rPr>
                <w:rFonts w:hint="eastAsia"/>
                <w:color w:val="auto"/>
                <w:sz w:val="24"/>
                <w:highlight w:val="none"/>
                <w:lang w:val="en-US" w:eastAsia="zh-CN"/>
              </w:rPr>
              <w:t>2</w:t>
            </w:r>
            <w:r>
              <w:rPr>
                <w:rFonts w:hint="eastAsia" w:hAnsi="宋体"/>
                <w:color w:val="auto"/>
                <w:sz w:val="24"/>
                <w:highlight w:val="none"/>
              </w:rPr>
              <w:t>份，乙方</w:t>
            </w:r>
            <w:r>
              <w:rPr>
                <w:rFonts w:hint="default"/>
                <w:color w:val="auto"/>
                <w:sz w:val="24"/>
                <w:highlight w:val="none"/>
              </w:rPr>
              <w:t>2</w:t>
            </w:r>
            <w:r>
              <w:rPr>
                <w:rFonts w:hint="eastAsia" w:hAnsi="宋体"/>
                <w:color w:val="auto"/>
                <w:sz w:val="24"/>
                <w:highlight w:val="none"/>
              </w:rPr>
              <w:t>份</w:t>
            </w:r>
            <w:r>
              <w:rPr>
                <w:rFonts w:hint="eastAsia" w:hAnsi="宋体"/>
                <w:color w:val="auto"/>
                <w:sz w:val="24"/>
                <w:highlight w:val="none"/>
                <w:lang w:eastAsia="zh-CN"/>
              </w:rPr>
              <w:t>，</w:t>
            </w:r>
            <w:r>
              <w:rPr>
                <w:rFonts w:hint="eastAsia" w:hAnsi="宋体"/>
                <w:color w:val="auto"/>
                <w:sz w:val="24"/>
                <w:highlight w:val="none"/>
                <w:lang w:val="en-US" w:eastAsia="zh-CN"/>
              </w:rPr>
              <w:t>采购中心1份</w:t>
            </w:r>
            <w:r>
              <w:rPr>
                <w:rFonts w:hint="eastAsia" w:hAnsi="宋体"/>
                <w:color w:val="auto"/>
                <w:sz w:val="24"/>
                <w:highlight w:val="none"/>
              </w:rPr>
              <w:t>。</w:t>
            </w:r>
          </w:p>
        </w:tc>
      </w:tr>
    </w:tbl>
    <w:p>
      <w:pPr>
        <w:pStyle w:val="3"/>
        <w:rPr>
          <w:highlight w:val="none"/>
        </w:rPr>
      </w:pPr>
    </w:p>
    <w:p>
      <w:pPr>
        <w:pStyle w:val="3"/>
        <w:rPr>
          <w:highlight w:val="none"/>
        </w:rPr>
      </w:pPr>
    </w:p>
    <w:p>
      <w:pPr>
        <w:spacing w:line="360" w:lineRule="auto"/>
        <w:jc w:val="center"/>
        <w:outlineLvl w:val="0"/>
        <w:rPr>
          <w:rFonts w:hint="eastAsia" w:ascii="宋体" w:hAnsi="宋体" w:cs="宋体"/>
          <w:b/>
          <w:sz w:val="36"/>
          <w:szCs w:val="20"/>
          <w:highlight w:val="none"/>
        </w:rPr>
      </w:pPr>
    </w:p>
    <w:p>
      <w:pPr>
        <w:pStyle w:val="60"/>
        <w:rPr>
          <w:rFonts w:hint="eastAsia"/>
          <w:highlight w:val="none"/>
        </w:rPr>
      </w:pPr>
    </w:p>
    <w:p>
      <w:pPr>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398"/>
      <w:r>
        <w:rPr>
          <w:rFonts w:hint="eastAsia" w:ascii="宋体" w:hAnsi="宋体" w:cs="宋体"/>
          <w:b/>
          <w:sz w:val="36"/>
          <w:szCs w:val="20"/>
          <w:highlight w:val="none"/>
        </w:rPr>
        <w:t xml:space="preserve"> </w:t>
      </w:r>
      <w:bookmarkEnd w:id="399"/>
      <w:r>
        <w:rPr>
          <w:rFonts w:hint="eastAsia" w:ascii="宋体" w:hAnsi="宋体" w:cs="宋体"/>
          <w:b/>
          <w:sz w:val="36"/>
          <w:szCs w:val="20"/>
          <w:highlight w:val="none"/>
        </w:rPr>
        <w:t>应提交的有关格式范例</w:t>
      </w:r>
    </w:p>
    <w:p>
      <w:pPr>
        <w:spacing w:line="360" w:lineRule="auto"/>
        <w:jc w:val="center"/>
        <w:outlineLvl w:val="0"/>
        <w:rPr>
          <w:rFonts w:ascii="宋体" w:hAnsi="宋体" w:cs="宋体"/>
          <w:b/>
          <w:kern w:val="0"/>
          <w:sz w:val="36"/>
          <w:szCs w:val="36"/>
          <w:highlight w:val="none"/>
        </w:rPr>
      </w:pP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outlineLvl w:val="0"/>
        <w:rPr>
          <w:rFonts w:ascii="宋体" w:hAnsi="宋体" w:cs="宋体"/>
          <w:b/>
          <w:kern w:val="0"/>
          <w:sz w:val="36"/>
          <w:szCs w:val="36"/>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（1）符合参加政府采购活动应当具备的一般条件的承诺函……………（页码）</w:t>
      </w:r>
    </w:p>
    <w:p>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pPr>
        <w:snapToGrid w:val="0"/>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pPr>
        <w:snapToGrid w:val="0"/>
        <w:spacing w:line="360" w:lineRule="auto"/>
        <w:rPr>
          <w:rFonts w:ascii="宋体" w:hAnsi="宋体" w:cs="宋体"/>
          <w:sz w:val="24"/>
          <w:highlight w:val="none"/>
        </w:rPr>
      </w:pPr>
      <w:r>
        <w:rPr>
          <w:rFonts w:hint="eastAsia" w:ascii="宋体" w:hAnsi="宋体" w:cs="宋体"/>
          <w:sz w:val="24"/>
          <w:highlight w:val="none"/>
          <w:lang w:eastAsia="zh-CN"/>
        </w:rPr>
        <w:t>杭州市西湖区住房和城乡建设局</w:t>
      </w:r>
      <w:r>
        <w:rPr>
          <w:rFonts w:hint="eastAsia" w:ascii="宋体" w:hAnsi="宋体" w:cs="宋体"/>
          <w:sz w:val="24"/>
          <w:highlight w:val="none"/>
          <w:u w:val="none"/>
        </w:rPr>
        <w:t>、杭</w:t>
      </w:r>
      <w:r>
        <w:rPr>
          <w:rFonts w:hint="eastAsia" w:ascii="宋体" w:hAnsi="宋体" w:cs="宋体"/>
          <w:sz w:val="24"/>
          <w:highlight w:val="none"/>
        </w:rPr>
        <w:t>州市西湖区政府采购中心：</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我方参与</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】政府采购活动，郑重承诺：</w:t>
      </w:r>
    </w:p>
    <w:p>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3"/>
        <w:rPr>
          <w:highlight w:val="none"/>
        </w:rPr>
      </w:pPr>
    </w:p>
    <w:p>
      <w:pPr>
        <w:snapToGrid w:val="0"/>
        <w:spacing w:line="360" w:lineRule="auto"/>
        <w:ind w:right="480" w:firstLine="559" w:firstLineChars="233"/>
        <w:jc w:val="left"/>
        <w:rPr>
          <w:rFonts w:ascii="宋体" w:hAnsi="宋体" w:cs="宋体"/>
          <w:b/>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rPr>
          <w:rFonts w:ascii="宋体" w:hAnsi="宋体" w:cs="宋体"/>
          <w:highlight w:val="none"/>
        </w:rPr>
      </w:pPr>
    </w:p>
    <w:p>
      <w:pPr>
        <w:widowControl/>
        <w:spacing w:line="360" w:lineRule="auto"/>
        <w:ind w:firstLine="643" w:firstLineChars="200"/>
        <w:jc w:val="center"/>
        <w:rPr>
          <w:rFonts w:ascii="宋体" w:hAnsi="宋体" w:cs="宋体"/>
          <w:b/>
          <w:kern w:val="0"/>
          <w:sz w:val="32"/>
          <w:szCs w:val="32"/>
          <w:highlight w:val="none"/>
        </w:rPr>
      </w:pPr>
      <w:r>
        <w:rPr>
          <w:rFonts w:hint="eastAsia" w:ascii="宋体" w:hAnsi="宋体" w:cs="宋体"/>
          <w:b/>
          <w:kern w:val="0"/>
          <w:sz w:val="32"/>
          <w:szCs w:val="32"/>
          <w:highlight w:val="none"/>
        </w:rPr>
        <w:t>二、联合协议（如果有）</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pPr>
        <w:widowControl/>
        <w:spacing w:line="360" w:lineRule="auto"/>
        <w:ind w:left="150"/>
        <w:jc w:val="center"/>
        <w:rPr>
          <w:rFonts w:ascii="宋体" w:hAnsi="宋体" w:cs="宋体"/>
          <w:b/>
          <w:kern w:val="0"/>
          <w:sz w:val="32"/>
          <w:szCs w:val="32"/>
          <w:highlight w:val="none"/>
        </w:rPr>
      </w:pPr>
    </w:p>
    <w:p>
      <w:pPr>
        <w:pStyle w:val="79"/>
        <w:rPr>
          <w:rFonts w:ascii="宋体" w:hAnsi="宋体" w:cs="宋体"/>
          <w:b/>
          <w:kern w:val="0"/>
          <w:sz w:val="32"/>
          <w:szCs w:val="32"/>
          <w:highlight w:val="none"/>
        </w:rPr>
      </w:pPr>
    </w:p>
    <w:p>
      <w:pPr>
        <w:pStyle w:val="79"/>
        <w:rPr>
          <w:rFonts w:ascii="宋体" w:hAnsi="宋体" w:cs="宋体"/>
          <w:b/>
          <w:kern w:val="0"/>
          <w:sz w:val="32"/>
          <w:szCs w:val="32"/>
          <w:highlight w:val="none"/>
        </w:rPr>
      </w:pPr>
    </w:p>
    <w:p>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rPr>
        <w:t>四、本项目的特定资格要求（如果有）</w:t>
      </w:r>
    </w:p>
    <w:p>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pPr>
        <w:rPr>
          <w:rFonts w:ascii="宋体" w:hAnsi="宋体" w:cs="宋体"/>
          <w:highlight w:val="none"/>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pPr>
        <w:spacing w:line="360" w:lineRule="auto"/>
        <w:jc w:val="center"/>
        <w:outlineLvl w:val="0"/>
        <w:rPr>
          <w:rFonts w:ascii="宋体" w:hAnsi="宋体" w:cs="宋体"/>
          <w:b/>
          <w:kern w:val="0"/>
          <w:sz w:val="28"/>
          <w:szCs w:val="28"/>
          <w:highlight w:val="none"/>
        </w:rPr>
      </w:pPr>
      <w:r>
        <w:rPr>
          <w:rFonts w:hint="eastAsia" w:ascii="宋体" w:hAnsi="宋体" w:cs="宋体"/>
          <w:b/>
          <w:kern w:val="0"/>
          <w:sz w:val="28"/>
          <w:szCs w:val="28"/>
          <w:highlight w:val="none"/>
        </w:rPr>
        <w:t>目录</w:t>
      </w:r>
    </w:p>
    <w:p>
      <w:pPr>
        <w:snapToGrid w:val="0"/>
        <w:spacing w:line="360" w:lineRule="auto"/>
        <w:ind w:left="479" w:leftChars="228"/>
        <w:rPr>
          <w:rFonts w:ascii="宋体" w:hAnsi="宋体" w:cs="宋体"/>
          <w:highlight w:val="none"/>
        </w:rPr>
      </w:pPr>
      <w:r>
        <w:rPr>
          <w:rFonts w:hint="eastAsia" w:ascii="宋体" w:hAnsi="宋体" w:cs="宋体"/>
          <w:sz w:val="24"/>
          <w:highlight w:val="none"/>
        </w:rPr>
        <w:t>（1）投标函</w:t>
      </w:r>
      <w:r>
        <w:rPr>
          <w:rFonts w:hint="eastAsia" w:ascii="宋体" w:hAnsi="宋体" w:cs="宋体"/>
          <w:highlight w:val="none"/>
        </w:rPr>
        <w:t>…………………………………………………………………………………（页码）</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pPr>
        <w:snapToGrid w:val="0"/>
        <w:spacing w:line="360" w:lineRule="auto"/>
        <w:ind w:left="479" w:leftChars="228"/>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…………………………………………………………………………（页码）</w:t>
      </w:r>
    </w:p>
    <w:p>
      <w:pPr>
        <w:snapToGrid w:val="0"/>
        <w:spacing w:line="360" w:lineRule="auto"/>
        <w:ind w:firstLine="480" w:firstLineChars="200"/>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………………………………………………………………………（页码）</w:t>
      </w:r>
    </w:p>
    <w:p>
      <w:pPr>
        <w:snapToGrid w:val="0"/>
        <w:spacing w:line="360" w:lineRule="auto"/>
        <w:ind w:left="479" w:leftChars="228"/>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……………（页码）</w:t>
      </w: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……………（页码）</w:t>
      </w: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）商务技术偏离表</w:t>
      </w:r>
      <w:r>
        <w:rPr>
          <w:rFonts w:hint="eastAsia" w:ascii="宋体" w:hAnsi="宋体" w:cs="宋体"/>
          <w:highlight w:val="none"/>
        </w:rPr>
        <w:t>………………………………………………………………………（页码）</w:t>
      </w:r>
    </w:p>
    <w:p>
      <w:pPr>
        <w:snapToGrid w:val="0"/>
        <w:spacing w:line="360" w:lineRule="auto"/>
        <w:ind w:left="479" w:leftChars="228"/>
        <w:rPr>
          <w:rFonts w:ascii="宋体" w:hAnsi="宋体" w:cs="宋体"/>
          <w:highlight w:val="none"/>
        </w:rPr>
      </w:pP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outlineLvl w:val="0"/>
        <w:rPr>
          <w:rFonts w:ascii="宋体" w:hAnsi="宋体" w:cs="宋体"/>
          <w:b/>
          <w:kern w:val="0"/>
          <w:sz w:val="32"/>
          <w:szCs w:val="32"/>
          <w:highlight w:val="none"/>
        </w:rPr>
      </w:pPr>
    </w:p>
    <w:p>
      <w:pPr>
        <w:snapToGrid w:val="0"/>
        <w:spacing w:line="360" w:lineRule="auto"/>
        <w:jc w:val="center"/>
        <w:outlineLvl w:val="0"/>
        <w:rPr>
          <w:rFonts w:ascii="宋体" w:hAnsi="宋体" w:cs="宋体"/>
          <w:b/>
          <w:kern w:val="0"/>
          <w:sz w:val="32"/>
          <w:szCs w:val="32"/>
          <w:highlight w:val="none"/>
        </w:rPr>
      </w:pPr>
    </w:p>
    <w:p>
      <w:pPr>
        <w:rPr>
          <w:rFonts w:ascii="宋体" w:hAnsi="宋体" w:cs="宋体"/>
          <w:highlight w:val="none"/>
        </w:rPr>
      </w:pPr>
    </w:p>
    <w:p>
      <w:pPr>
        <w:snapToGrid w:val="0"/>
        <w:spacing w:line="360" w:lineRule="auto"/>
        <w:jc w:val="center"/>
        <w:outlineLvl w:val="0"/>
        <w:rPr>
          <w:rFonts w:ascii="宋体" w:hAnsi="宋体" w:cs="宋体"/>
          <w:b/>
          <w:kern w:val="0"/>
          <w:sz w:val="32"/>
          <w:szCs w:val="32"/>
          <w:highlight w:val="none"/>
        </w:rPr>
      </w:pPr>
    </w:p>
    <w:p>
      <w:pPr>
        <w:snapToGrid w:val="0"/>
        <w:spacing w:line="360" w:lineRule="auto"/>
        <w:jc w:val="center"/>
        <w:outlineLvl w:val="0"/>
        <w:rPr>
          <w:rFonts w:ascii="宋体" w:hAnsi="宋体" w:cs="宋体"/>
          <w:b/>
          <w:kern w:val="0"/>
          <w:sz w:val="32"/>
          <w:szCs w:val="32"/>
          <w:highlight w:val="none"/>
        </w:rPr>
      </w:pPr>
    </w:p>
    <w:p>
      <w:pPr>
        <w:pStyle w:val="3"/>
        <w:rPr>
          <w:highlight w:val="none"/>
          <w:lang w:val="en-US"/>
        </w:rPr>
      </w:pPr>
    </w:p>
    <w:p>
      <w:pPr>
        <w:rPr>
          <w:highlight w:val="none"/>
        </w:rPr>
      </w:pPr>
    </w:p>
    <w:p>
      <w:pPr>
        <w:snapToGrid w:val="0"/>
        <w:spacing w:line="360" w:lineRule="auto"/>
        <w:ind w:firstLine="3855" w:firstLineChars="1200"/>
        <w:outlineLvl w:val="0"/>
        <w:rPr>
          <w:rFonts w:ascii="宋体" w:hAnsi="宋体" w:cs="宋体"/>
          <w:b/>
          <w:kern w:val="0"/>
          <w:sz w:val="32"/>
          <w:szCs w:val="32"/>
          <w:highlight w:val="none"/>
        </w:rPr>
      </w:pPr>
    </w:p>
    <w:p>
      <w:pPr>
        <w:snapToGrid w:val="0"/>
        <w:spacing w:line="360" w:lineRule="auto"/>
        <w:ind w:firstLine="3855" w:firstLineChars="1200"/>
        <w:outlineLvl w:val="0"/>
        <w:rPr>
          <w:rFonts w:ascii="宋体" w:hAnsi="宋体" w:cs="宋体"/>
          <w:b/>
          <w:kern w:val="0"/>
          <w:sz w:val="32"/>
          <w:szCs w:val="32"/>
          <w:highlight w:val="none"/>
        </w:rPr>
      </w:pPr>
    </w:p>
    <w:p>
      <w:pPr>
        <w:snapToGrid w:val="0"/>
        <w:spacing w:line="360" w:lineRule="auto"/>
        <w:ind w:firstLine="3855" w:firstLineChars="1200"/>
        <w:outlineLvl w:val="0"/>
        <w:rPr>
          <w:rFonts w:ascii="宋体" w:hAnsi="宋体" w:cs="宋体"/>
          <w:b/>
          <w:kern w:val="0"/>
          <w:sz w:val="32"/>
          <w:szCs w:val="32"/>
          <w:highlight w:val="none"/>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snapToGrid w:val="0"/>
        <w:spacing w:line="360" w:lineRule="auto"/>
        <w:ind w:firstLine="3855" w:firstLineChars="1200"/>
        <w:outlineLvl w:val="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pPr>
        <w:snapToGrid w:val="0"/>
        <w:spacing w:line="360" w:lineRule="auto"/>
        <w:rPr>
          <w:rFonts w:ascii="宋体" w:hAnsi="宋体" w:cs="宋体"/>
          <w:sz w:val="24"/>
          <w:highlight w:val="none"/>
        </w:rPr>
      </w:pPr>
      <w:r>
        <w:rPr>
          <w:rFonts w:hint="eastAsia" w:ascii="宋体" w:hAnsi="宋体" w:cs="宋体"/>
          <w:sz w:val="24"/>
          <w:highlight w:val="none"/>
          <w:lang w:eastAsia="zh-CN"/>
        </w:rPr>
        <w:t>杭州市西湖区住房和城乡建设局</w:t>
      </w:r>
      <w:r>
        <w:rPr>
          <w:rFonts w:hint="eastAsia" w:ascii="宋体" w:hAnsi="宋体" w:cs="宋体"/>
          <w:sz w:val="24"/>
          <w:highlight w:val="none"/>
        </w:rPr>
        <w:t>、杭州市西湖区政府采购中心：</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我方参加你方组织的</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】招标的有关活动，并对此项目进行投标。为此：</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天（不少于90天）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2.1资格文件：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2.1.1承诺函；</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2.1.2</w:t>
      </w:r>
      <w:r>
        <w:rPr>
          <w:rFonts w:hint="eastAsia" w:ascii="宋体" w:hAnsi="宋体" w:cs="宋体"/>
          <w:snapToGrid w:val="0"/>
          <w:kern w:val="28"/>
          <w:sz w:val="24"/>
          <w:szCs w:val="20"/>
          <w:highlight w:val="none"/>
        </w:rPr>
        <w:t>联合协议（如果有)；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4</w:t>
      </w:r>
      <w:r>
        <w:rPr>
          <w:rFonts w:hint="eastAsia" w:ascii="宋体" w:hAnsi="宋体" w:cs="宋体"/>
          <w:sz w:val="24"/>
          <w:highlight w:val="none"/>
        </w:rPr>
        <w:t>符合性审查资料；</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5</w:t>
      </w:r>
      <w:r>
        <w:rPr>
          <w:rFonts w:hint="eastAsia" w:ascii="宋体" w:hAnsi="宋体" w:cs="宋体"/>
          <w:sz w:val="24"/>
          <w:highlight w:val="none"/>
        </w:rPr>
        <w:t>评标标准相应的商务技术资料；</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6</w:t>
      </w:r>
      <w:r>
        <w:rPr>
          <w:rFonts w:hint="eastAsia" w:ascii="宋体" w:hAnsi="宋体" w:cs="宋体"/>
          <w:sz w:val="24"/>
          <w:highlight w:val="none"/>
        </w:rPr>
        <w:t>投标标的清单；</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7</w:t>
      </w:r>
      <w:r>
        <w:rPr>
          <w:rFonts w:hint="eastAsia" w:ascii="宋体" w:hAnsi="宋体" w:cs="宋体"/>
          <w:sz w:val="24"/>
          <w:highlight w:val="none"/>
        </w:rPr>
        <w:t>商务技术偏离表；</w:t>
      </w:r>
    </w:p>
    <w:p>
      <w:pPr>
        <w:snapToGrid w:val="0"/>
        <w:spacing w:line="360" w:lineRule="auto"/>
        <w:ind w:left="420" w:leftChars="2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2.3.1开标一览表（报价表）；</w:t>
      </w:r>
    </w:p>
    <w:p>
      <w:pPr>
        <w:snapToGrid w:val="0"/>
        <w:spacing w:line="360" w:lineRule="auto"/>
        <w:ind w:left="420" w:leftChars="200" w:firstLine="480" w:firstLineChars="200"/>
        <w:rPr>
          <w:highlight w:val="none"/>
        </w:rPr>
      </w:pPr>
      <w:r>
        <w:rPr>
          <w:rFonts w:hint="eastAsia" w:ascii="宋体" w:hAnsi="宋体" w:cs="宋体"/>
          <w:sz w:val="24"/>
          <w:highlight w:val="none"/>
        </w:rPr>
        <w:t>2.3.</w:t>
      </w:r>
      <w:r>
        <w:rPr>
          <w:rFonts w:hint="eastAsia" w:ascii="宋体" w:hAnsi="宋体" w:cs="宋体"/>
          <w:sz w:val="24"/>
          <w:highlight w:val="none"/>
          <w:lang w:val="en-US" w:eastAsia="zh-CN"/>
        </w:rPr>
        <w:t>2中小企业声明函</w:t>
      </w:r>
      <w:r>
        <w:rPr>
          <w:rFonts w:hint="eastAsia" w:ascii="宋体" w:hAnsi="宋体" w:cs="宋体"/>
          <w:sz w:val="24"/>
          <w:highlight w:val="none"/>
        </w:rPr>
        <w:t>（</w:t>
      </w:r>
      <w:r>
        <w:rPr>
          <w:rFonts w:hint="eastAsia" w:ascii="宋体" w:hAnsi="宋体" w:cs="宋体"/>
          <w:sz w:val="24"/>
          <w:highlight w:val="none"/>
          <w:lang w:val="en-US" w:eastAsia="zh-CN"/>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5、其他补充说明: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napToGrid w:val="0"/>
        <w:spacing w:line="360" w:lineRule="auto"/>
        <w:ind w:left="420" w:leftChars="200" w:firstLine="4200" w:firstLineChars="1750"/>
        <w:rPr>
          <w:rFonts w:ascii="宋体" w:hAnsi="宋体" w:cs="宋体"/>
          <w:kern w:val="0"/>
          <w:sz w:val="24"/>
          <w:highlight w:val="none"/>
          <w:u w:val="singl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napToGrid w:val="0"/>
        <w:spacing w:line="360" w:lineRule="auto"/>
        <w:jc w:val="center"/>
        <w:rPr>
          <w:rFonts w:ascii="宋体" w:hAnsi="宋体" w:cs="宋体"/>
          <w:b/>
          <w:kern w:val="0"/>
          <w:sz w:val="32"/>
          <w:szCs w:val="32"/>
          <w:highlight w:val="none"/>
        </w:rPr>
      </w:pP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杭州市西湖区住房和城乡建设局</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投标人名称(电子签名)：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杭州市西湖区住房和城乡建设局</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jc w:val="center"/>
        <w:rPr>
          <w:rFonts w:ascii="宋体" w:hAnsi="宋体" w:cs="宋体"/>
          <w:b/>
          <w:kern w:val="0"/>
          <w:sz w:val="32"/>
          <w:szCs w:val="32"/>
          <w:highlight w:val="none"/>
        </w:rPr>
      </w:pPr>
    </w:p>
    <w:p>
      <w:pPr>
        <w:rPr>
          <w:rFonts w:ascii="宋体" w:hAnsi="宋体" w:cs="宋体"/>
          <w:highlight w:val="none"/>
        </w:rPr>
      </w:pP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snapToGrid w:val="0"/>
        <w:spacing w:line="360" w:lineRule="auto"/>
        <w:ind w:firstLine="480" w:firstLineChars="200"/>
        <w:rPr>
          <w:rFonts w:ascii="宋体" w:hAnsi="宋体" w:cs="宋体"/>
          <w:kern w:val="0"/>
          <w:sz w:val="24"/>
          <w:highlight w:val="none"/>
          <w:lang w:val="zh-CN"/>
        </w:rPr>
      </w:pPr>
    </w:p>
    <w:p>
      <w:pPr>
        <w:snapToGrid w:val="0"/>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pPr>
        <w:pStyle w:val="149"/>
        <w:spacing w:line="360" w:lineRule="auto"/>
        <w:rPr>
          <w:rFonts w:hAnsi="宋体" w:cs="宋体"/>
          <w:bCs/>
          <w:sz w:val="24"/>
          <w:highlight w:val="none"/>
        </w:rPr>
      </w:pPr>
      <w:r>
        <w:rPr>
          <w:rFonts w:hint="eastAsia" w:hAnsi="宋体" w:cs="宋体"/>
          <w:bCs/>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149"/>
              <w:keepNext w:val="0"/>
              <w:keepLines w:val="0"/>
              <w:suppressLineNumbers w:val="0"/>
              <w:adjustRightInd w:val="0"/>
              <w:spacing w:before="0" w:beforeAutospacing="0" w:after="0" w:afterAutospacing="0" w:line="360" w:lineRule="auto"/>
              <w:ind w:left="0" w:right="0"/>
              <w:rPr>
                <w:rFonts w:hint="default" w:hAnsi="宋体" w:cs="宋体"/>
                <w:bCs/>
                <w:sz w:val="24"/>
                <w:highlight w:val="none"/>
              </w:rPr>
            </w:pPr>
            <w:r>
              <w:rPr>
                <w:rFonts w:hint="eastAsia" w:hAnsi="宋体" w:cs="宋体"/>
                <w:bCs/>
                <w:sz w:val="24"/>
                <w:highlight w:val="none"/>
              </w:rPr>
              <w:t>正面：                                 反面：</w:t>
            </w:r>
          </w:p>
          <w:p>
            <w:pPr>
              <w:pStyle w:val="149"/>
              <w:keepNext w:val="0"/>
              <w:keepLines w:val="0"/>
              <w:suppressLineNumbers w:val="0"/>
              <w:adjustRightInd w:val="0"/>
              <w:spacing w:before="0" w:beforeAutospacing="0" w:after="0" w:afterAutospacing="0" w:line="360" w:lineRule="auto"/>
              <w:ind w:left="0" w:right="0"/>
              <w:rPr>
                <w:rFonts w:hint="default" w:hAnsi="宋体" w:cs="宋体"/>
                <w:bCs/>
                <w:sz w:val="24"/>
                <w:highlight w:val="none"/>
              </w:rPr>
            </w:pPr>
          </w:p>
        </w:tc>
      </w:tr>
    </w:tbl>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snapToGrid w:val="0"/>
        <w:spacing w:line="360" w:lineRule="auto"/>
        <w:ind w:right="480"/>
        <w:rPr>
          <w:rFonts w:ascii="宋体" w:hAnsi="宋体" w:cs="宋体"/>
          <w:b/>
          <w:kern w:val="0"/>
          <w:sz w:val="32"/>
          <w:szCs w:val="32"/>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三、分包意向协议（如果有）</w:t>
      </w:r>
    </w:p>
    <w:p>
      <w:pPr>
        <w:widowControl/>
        <w:spacing w:line="360" w:lineRule="auto"/>
        <w:ind w:firstLine="120" w:firstLineChars="50"/>
        <w:jc w:val="left"/>
        <w:rPr>
          <w:rFonts w:ascii="宋体" w:hAnsi="宋体" w:cs="宋体"/>
          <w:sz w:val="24"/>
          <w:highlight w:val="none"/>
        </w:rPr>
      </w:pPr>
      <w:bookmarkStart w:id="536" w:name="_Hlk101169080"/>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bookmarkEnd w:id="536"/>
    <w:p>
      <w:pPr>
        <w:snapToGrid w:val="0"/>
        <w:spacing w:line="360" w:lineRule="auto"/>
        <w:rPr>
          <w:rFonts w:ascii="宋体" w:hAnsi="宋体" w:cs="宋体"/>
          <w:kern w:val="0"/>
          <w:sz w:val="24"/>
          <w:highlight w:val="none"/>
        </w:rPr>
      </w:pPr>
    </w:p>
    <w:p>
      <w:pPr>
        <w:jc w:val="center"/>
        <w:rPr>
          <w:rFonts w:ascii="宋体" w:hAnsi="宋体" w:cs="宋体"/>
          <w:b/>
          <w:kern w:val="0"/>
          <w:sz w:val="32"/>
          <w:szCs w:val="32"/>
          <w:highlight w:val="none"/>
        </w:rPr>
      </w:pPr>
    </w:p>
    <w:p>
      <w:pPr>
        <w:pStyle w:val="3"/>
        <w:rPr>
          <w:highlight w:val="none"/>
          <w:lang w:val="en-US"/>
        </w:rPr>
      </w:pPr>
    </w:p>
    <w:p>
      <w:pPr>
        <w:rPr>
          <w:highlight w:val="none"/>
        </w:rPr>
      </w:pPr>
    </w:p>
    <w:p>
      <w:pPr>
        <w:pStyle w:val="3"/>
        <w:rPr>
          <w:highlight w:val="none"/>
          <w:lang w:val="en-US"/>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四、符合性审查资料</w:t>
      </w:r>
    </w:p>
    <w:p>
      <w:pPr>
        <w:jc w:val="center"/>
        <w:rPr>
          <w:rFonts w:ascii="宋体" w:hAnsi="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keepNext w:val="0"/>
              <w:keepLines w:val="0"/>
              <w:suppressLineNumbers w:val="0"/>
              <w:snapToGrid w:val="0"/>
              <w:spacing w:before="0" w:beforeAutospacing="0" w:after="0" w:afterAutospacing="0" w:line="240" w:lineRule="atLeast"/>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4991" w:type="dxa"/>
            <w:vAlign w:val="center"/>
          </w:tcPr>
          <w:p>
            <w:pPr>
              <w:keepNext w:val="0"/>
              <w:keepLines w:val="0"/>
              <w:suppressLineNumbers w:val="0"/>
              <w:snapToGrid w:val="0"/>
              <w:spacing w:before="0" w:beforeAutospacing="0" w:after="0" w:afterAutospacing="0" w:line="240" w:lineRule="atLeast"/>
              <w:ind w:left="0" w:right="0"/>
              <w:jc w:val="center"/>
              <w:rPr>
                <w:rFonts w:hint="default" w:ascii="宋体" w:hAnsi="宋体" w:cs="宋体"/>
                <w:b/>
                <w:sz w:val="24"/>
                <w:highlight w:val="none"/>
              </w:rPr>
            </w:pPr>
            <w:r>
              <w:rPr>
                <w:rFonts w:hint="eastAsia" w:ascii="宋体" w:hAnsi="宋体" w:cs="宋体"/>
                <w:b/>
                <w:sz w:val="24"/>
                <w:highlight w:val="none"/>
              </w:rPr>
              <w:t>实质性要求</w:t>
            </w:r>
          </w:p>
        </w:tc>
        <w:tc>
          <w:tcPr>
            <w:tcW w:w="2551" w:type="dxa"/>
            <w:vAlign w:val="center"/>
          </w:tcPr>
          <w:p>
            <w:pPr>
              <w:keepNext w:val="0"/>
              <w:keepLines w:val="0"/>
              <w:suppressLineNumbers w:val="0"/>
              <w:snapToGrid w:val="0"/>
              <w:spacing w:before="0" w:beforeAutospacing="0" w:after="0" w:afterAutospacing="0" w:line="240" w:lineRule="atLeast"/>
              <w:ind w:left="0" w:right="0"/>
              <w:jc w:val="center"/>
              <w:rPr>
                <w:rFonts w:hint="default"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pPr>
              <w:keepNext w:val="0"/>
              <w:keepLines w:val="0"/>
              <w:suppressLineNumbers w:val="0"/>
              <w:snapToGrid w:val="0"/>
              <w:spacing w:before="0" w:beforeAutospacing="0" w:after="0" w:afterAutospacing="0" w:line="240" w:lineRule="atLeast"/>
              <w:ind w:left="0" w:right="0"/>
              <w:jc w:val="center"/>
              <w:rPr>
                <w:rFonts w:hint="default" w:ascii="宋体" w:hAnsi="宋体" w:cs="宋体"/>
                <w:b/>
                <w:sz w:val="24"/>
                <w:highlight w:val="none"/>
              </w:rPr>
            </w:pPr>
            <w:r>
              <w:rPr>
                <w:rFonts w:hint="eastAsia" w:ascii="宋体" w:hAnsi="宋体" w:cs="宋体"/>
                <w:b/>
                <w:sz w:val="24"/>
                <w:highlight w:val="none"/>
              </w:rPr>
              <w:t>投标文件中的</w:t>
            </w:r>
          </w:p>
          <w:p>
            <w:pPr>
              <w:keepNext w:val="0"/>
              <w:keepLines w:val="0"/>
              <w:suppressLineNumbers w:val="0"/>
              <w:snapToGrid w:val="0"/>
              <w:spacing w:before="0" w:beforeAutospacing="0" w:after="0" w:afterAutospacing="0" w:line="240" w:lineRule="atLeast"/>
              <w:ind w:left="0" w:right="0"/>
              <w:jc w:val="center"/>
              <w:rPr>
                <w:rFonts w:hint="default" w:ascii="宋体" w:hAnsi="宋体" w:cs="宋体"/>
                <w:b/>
                <w:sz w:val="24"/>
                <w:highlight w:val="none"/>
              </w:rPr>
            </w:pPr>
            <w:r>
              <w:rPr>
                <w:rFonts w:hint="eastAsia" w:ascii="宋体" w:hAnsi="宋体" w:cs="宋体"/>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w:t>
            </w:r>
          </w:p>
        </w:tc>
        <w:tc>
          <w:tcPr>
            <w:tcW w:w="4991" w:type="dxa"/>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pPr>
              <w:keepNext w:val="0"/>
              <w:keepLines w:val="0"/>
              <w:suppressLineNumbers w:val="0"/>
              <w:spacing w:before="0" w:beforeAutospacing="0" w:after="0" w:afterAutospacing="0"/>
              <w:ind w:left="0" w:right="0"/>
              <w:rPr>
                <w:rFonts w:hint="default" w:ascii="宋体" w:hAnsi="宋体" w:cs="宋体"/>
                <w:sz w:val="24"/>
                <w:highlight w:val="none"/>
              </w:rPr>
            </w:pPr>
          </w:p>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见投标文件</w:t>
            </w:r>
          </w:p>
          <w:p>
            <w:pPr>
              <w:keepNext w:val="0"/>
              <w:keepLines w:val="0"/>
              <w:suppressLineNumbers w:val="0"/>
              <w:spacing w:before="0" w:beforeAutospacing="0" w:after="0" w:afterAutospacing="0"/>
              <w:ind w:left="0" w:right="0"/>
              <w:rPr>
                <w:rFonts w:hint="default"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2</w:t>
            </w:r>
          </w:p>
        </w:tc>
        <w:tc>
          <w:tcPr>
            <w:tcW w:w="4991" w:type="dxa"/>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sz w:val="24"/>
                <w:highlight w:val="none"/>
              </w:rPr>
              <w:t>投标函</w:t>
            </w:r>
          </w:p>
        </w:tc>
        <w:tc>
          <w:tcPr>
            <w:tcW w:w="1418" w:type="dxa"/>
          </w:tcPr>
          <w:p>
            <w:pPr>
              <w:keepNext w:val="0"/>
              <w:keepLines w:val="0"/>
              <w:suppressLineNumbers w:val="0"/>
              <w:spacing w:before="0" w:beforeAutospacing="0" w:after="0" w:afterAutospacing="0"/>
              <w:ind w:left="0" w:right="0"/>
              <w:rPr>
                <w:rFonts w:hint="default"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3</w:t>
            </w:r>
          </w:p>
        </w:tc>
        <w:tc>
          <w:tcPr>
            <w:tcW w:w="4991" w:type="dxa"/>
          </w:tcPr>
          <w:p>
            <w:pPr>
              <w:keepNext w:val="0"/>
              <w:keepLines w:val="0"/>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投标文件满足招标文件的其它实质性要求。</w:t>
            </w:r>
          </w:p>
        </w:tc>
        <w:tc>
          <w:tcPr>
            <w:tcW w:w="2551" w:type="dxa"/>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tcPr>
          <w:p>
            <w:pPr>
              <w:keepNext w:val="0"/>
              <w:keepLines w:val="0"/>
              <w:suppressLineNumbers w:val="0"/>
              <w:spacing w:before="0" w:beforeAutospacing="0" w:after="0" w:afterAutospacing="0"/>
              <w:ind w:left="0" w:right="0"/>
              <w:rPr>
                <w:rFonts w:hint="default"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ind w:firstLine="2891" w:firstLineChars="900"/>
        <w:rPr>
          <w:rFonts w:ascii="宋体" w:hAnsi="宋体" w:cs="宋体"/>
          <w:b/>
          <w:kern w:val="0"/>
          <w:sz w:val="32"/>
          <w:szCs w:val="32"/>
          <w:highlight w:val="none"/>
        </w:rPr>
      </w:pPr>
      <w:r>
        <w:rPr>
          <w:rFonts w:hint="eastAsia" w:ascii="宋体" w:hAnsi="宋体" w:cs="宋体"/>
          <w:b/>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p>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keepNext w:val="0"/>
              <w:keepLines w:val="0"/>
              <w:suppressLineNumbers w:val="0"/>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序号</w:t>
            </w:r>
          </w:p>
        </w:tc>
        <w:tc>
          <w:tcPr>
            <w:tcW w:w="3683" w:type="dxa"/>
          </w:tcPr>
          <w:p>
            <w:pPr>
              <w:keepNext w:val="0"/>
              <w:keepLines w:val="0"/>
              <w:suppressLineNumbers w:val="0"/>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pPr>
              <w:keepNext w:val="0"/>
              <w:keepLines w:val="0"/>
              <w:suppressLineNumbers w:val="0"/>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pPr>
              <w:keepNext w:val="0"/>
              <w:keepLines w:val="0"/>
              <w:suppressLineNumbers w:val="0"/>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1</w:t>
            </w:r>
          </w:p>
        </w:tc>
        <w:tc>
          <w:tcPr>
            <w:tcW w:w="3683"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c>
          <w:tcPr>
            <w:tcW w:w="3546"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c>
          <w:tcPr>
            <w:tcW w:w="1276"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2</w:t>
            </w:r>
          </w:p>
        </w:tc>
        <w:tc>
          <w:tcPr>
            <w:tcW w:w="3683"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c>
          <w:tcPr>
            <w:tcW w:w="3546"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c>
          <w:tcPr>
            <w:tcW w:w="1276"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w:t>
            </w:r>
          </w:p>
        </w:tc>
        <w:tc>
          <w:tcPr>
            <w:tcW w:w="3683"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c>
          <w:tcPr>
            <w:tcW w:w="3546"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c>
          <w:tcPr>
            <w:tcW w:w="1276" w:type="dxa"/>
          </w:tcPr>
          <w:p>
            <w:pPr>
              <w:keepNext w:val="0"/>
              <w:keepLines w:val="0"/>
              <w:suppressLineNumbers w:val="0"/>
              <w:spacing w:before="0" w:beforeAutospacing="0" w:after="0" w:afterAutospacing="0"/>
              <w:ind w:left="0" w:right="0"/>
              <w:jc w:val="center"/>
              <w:rPr>
                <w:rFonts w:hint="default" w:ascii="宋体" w:hAnsi="宋体" w:cs="宋体"/>
                <w:b/>
                <w:kern w:val="0"/>
                <w:sz w:val="32"/>
                <w:szCs w:val="32"/>
                <w:highlight w:val="none"/>
              </w:rPr>
            </w:pPr>
          </w:p>
        </w:tc>
      </w:tr>
    </w:tbl>
    <w:p>
      <w:pPr>
        <w:jc w:val="left"/>
        <w:rPr>
          <w:rFonts w:ascii="宋体" w:hAnsi="宋体" w:cs="宋体"/>
          <w:kern w:val="0"/>
          <w:sz w:val="24"/>
          <w:highlight w:val="none"/>
        </w:rPr>
      </w:pPr>
      <w:r>
        <w:rPr>
          <w:rFonts w:hint="eastAsia" w:ascii="宋体" w:hAnsi="宋体" w:cs="宋体"/>
          <w:kern w:val="0"/>
          <w:sz w:val="24"/>
          <w:highlight w:val="none"/>
        </w:rPr>
        <w:t>投标人保证：除商务技术偏离表列出的偏离外，投标人响应招标文件的全部要求</w:t>
      </w:r>
    </w:p>
    <w:p>
      <w:pPr>
        <w:jc w:val="center"/>
        <w:rPr>
          <w:rFonts w:ascii="宋体" w:hAnsi="宋体" w:cs="宋体"/>
          <w:b/>
          <w:kern w:val="0"/>
          <w:sz w:val="32"/>
          <w:szCs w:val="32"/>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ind w:firstLine="1911" w:firstLineChars="595"/>
        <w:rPr>
          <w:rFonts w:ascii="宋体" w:hAnsi="宋体" w:cs="宋体"/>
          <w:b/>
          <w:bCs/>
          <w:sz w:val="32"/>
          <w:szCs w:val="32"/>
          <w:highlight w:val="none"/>
        </w:rPr>
      </w:pPr>
    </w:p>
    <w:p>
      <w:pPr>
        <w:ind w:firstLine="1911" w:firstLineChars="595"/>
        <w:rPr>
          <w:rFonts w:ascii="宋体" w:hAnsi="宋体" w:cs="宋体"/>
          <w:b/>
          <w:bCs/>
          <w:sz w:val="32"/>
          <w:szCs w:val="32"/>
          <w:highlight w:val="none"/>
        </w:rPr>
      </w:pPr>
    </w:p>
    <w:p>
      <w:pPr>
        <w:ind w:firstLine="1911" w:firstLineChars="595"/>
        <w:rPr>
          <w:rFonts w:ascii="宋体" w:hAnsi="宋体" w:cs="宋体"/>
          <w:b/>
          <w:bCs/>
          <w:sz w:val="32"/>
          <w:szCs w:val="32"/>
          <w:highlight w:val="none"/>
        </w:rPr>
      </w:pPr>
    </w:p>
    <w:p>
      <w:pPr>
        <w:ind w:firstLine="1911" w:firstLineChars="595"/>
        <w:rPr>
          <w:rFonts w:ascii="宋体" w:hAnsi="宋体" w:cs="宋体"/>
          <w:b/>
          <w:bCs/>
          <w:sz w:val="32"/>
          <w:szCs w:val="32"/>
          <w:highlight w:val="none"/>
        </w:rPr>
      </w:pPr>
    </w:p>
    <w:p>
      <w:pPr>
        <w:ind w:firstLine="1911" w:firstLineChars="595"/>
        <w:rPr>
          <w:rFonts w:ascii="宋体" w:hAnsi="宋体" w:cs="宋体"/>
          <w:b/>
          <w:bCs/>
          <w:sz w:val="32"/>
          <w:szCs w:val="32"/>
          <w:highlight w:val="none"/>
        </w:rPr>
      </w:pPr>
    </w:p>
    <w:p>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pPr>
        <w:snapToGrid w:val="0"/>
        <w:spacing w:line="360" w:lineRule="auto"/>
        <w:rPr>
          <w:rFonts w:ascii="宋体" w:hAnsi="宋体" w:cs="宋体"/>
          <w:sz w:val="24"/>
          <w:highlight w:val="none"/>
        </w:rPr>
      </w:pP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杭州市西湖区住房和城乡建设局</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pPr>
        <w:spacing w:line="360" w:lineRule="auto"/>
        <w:jc w:val="center"/>
        <w:rPr>
          <w:rFonts w:ascii="宋体" w:hAnsi="宋体" w:cs="宋体"/>
          <w:b/>
          <w:bCs/>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pacing w:line="360" w:lineRule="auto"/>
        <w:jc w:val="center"/>
        <w:rPr>
          <w:rFonts w:ascii="宋体" w:hAnsi="宋体" w:cs="宋体"/>
          <w:b/>
          <w:bCs/>
          <w:sz w:val="24"/>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outlineLvl w:val="0"/>
        <w:rPr>
          <w:rFonts w:ascii="宋体" w:hAnsi="宋体" w:cs="宋体"/>
          <w:b/>
          <w:kern w:val="0"/>
          <w:sz w:val="36"/>
          <w:szCs w:val="36"/>
          <w:highlight w:val="none"/>
        </w:rPr>
      </w:pPr>
    </w:p>
    <w:p>
      <w:pPr>
        <w:snapToGrid w:val="0"/>
        <w:spacing w:line="360" w:lineRule="auto"/>
        <w:rPr>
          <w:rFonts w:ascii="宋体" w:hAnsi="宋体" w:cs="宋体"/>
          <w:sz w:val="24"/>
          <w:highlight w:val="none"/>
        </w:rPr>
      </w:pPr>
      <w:r>
        <w:rPr>
          <w:rFonts w:hint="eastAsia" w:ascii="宋体" w:hAnsi="宋体" w:cs="宋体"/>
          <w:sz w:val="24"/>
          <w:highlight w:val="none"/>
        </w:rPr>
        <w:t>（1）开标一览表（报价表）………………………………………………………（页码）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中小企业声明函</w:t>
      </w:r>
      <w:r>
        <w:rPr>
          <w:rFonts w:hint="eastAsia" w:ascii="宋体" w:hAnsi="宋体" w:cs="宋体"/>
          <w:sz w:val="24"/>
          <w:highlight w:val="none"/>
        </w:rPr>
        <w:t>（</w:t>
      </w:r>
      <w:r>
        <w:rPr>
          <w:rFonts w:hint="eastAsia" w:ascii="宋体" w:hAnsi="宋体" w:cs="宋体"/>
          <w:sz w:val="24"/>
          <w:highlight w:val="none"/>
          <w:lang w:val="en-US" w:eastAsia="zh-CN"/>
        </w:rPr>
        <w:t>如果有</w:t>
      </w:r>
      <w:r>
        <w:rPr>
          <w:rFonts w:hint="eastAsia" w:ascii="宋体" w:hAnsi="宋体" w:cs="宋体"/>
          <w:sz w:val="24"/>
          <w:highlight w:val="none"/>
        </w:rPr>
        <w:t>）……………………………………………………（页码）</w:t>
      </w: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23" w:type="first"/>
          <w:footerReference r:id="rId25" w:type="first"/>
          <w:headerReference r:id="rId22" w:type="default"/>
          <w:footerReference r:id="rId24" w:type="default"/>
          <w:pgSz w:w="11906" w:h="16838"/>
          <w:pgMar w:top="1276" w:right="1418" w:bottom="1247" w:left="1418" w:header="851" w:footer="992" w:gutter="0"/>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pPr>
        <w:snapToGrid w:val="0"/>
        <w:spacing w:line="360" w:lineRule="auto"/>
        <w:rPr>
          <w:rFonts w:ascii="宋体" w:hAnsi="宋体" w:cs="宋体"/>
          <w:kern w:val="0"/>
          <w:sz w:val="24"/>
          <w:highlight w:val="none"/>
        </w:rPr>
      </w:pPr>
      <w:r>
        <w:rPr>
          <w:rFonts w:hint="eastAsia" w:ascii="宋体" w:hAnsi="宋体" w:cs="宋体"/>
          <w:sz w:val="24"/>
          <w:highlight w:val="none"/>
          <w:lang w:eastAsia="zh-CN"/>
        </w:rPr>
        <w:t>杭州市西湖区住房和城乡建设局</w:t>
      </w:r>
      <w:r>
        <w:rPr>
          <w:rFonts w:hint="eastAsia" w:ascii="宋体" w:hAnsi="宋体" w:cs="宋体"/>
          <w:sz w:val="24"/>
          <w:highlight w:val="none"/>
        </w:rPr>
        <w:t>、杭州市西湖区政府采购中心</w:t>
      </w:r>
      <w:r>
        <w:rPr>
          <w:rFonts w:hint="eastAsia" w:ascii="宋体" w:hAnsi="宋体" w:cs="宋体"/>
          <w:kern w:val="0"/>
          <w:sz w:val="24"/>
          <w:highlight w:val="none"/>
          <w:lang w:val="zh-CN"/>
        </w:rPr>
        <w:t>：</w:t>
      </w:r>
    </w:p>
    <w:p>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kern w:val="0"/>
          <w:sz w:val="24"/>
          <w:highlight w:val="none"/>
          <w:lang w:val="zh-CN"/>
        </w:rPr>
        <w:t>【招标编号：</w:t>
      </w:r>
      <w:r>
        <w:rPr>
          <w:rFonts w:hint="eastAsia" w:ascii="宋体" w:hAnsi="宋体" w:cs="宋体"/>
          <w:sz w:val="24"/>
          <w:highlight w:val="none"/>
          <w:lang w:eastAsia="zh-CN"/>
        </w:rPr>
        <w:t>XHZFCG-2024-G-60</w:t>
      </w:r>
      <w:r>
        <w:rPr>
          <w:rFonts w:hint="eastAsia" w:ascii="宋体" w:hAnsi="宋体" w:cs="宋体"/>
          <w:sz w:val="24"/>
          <w:highlight w:val="none"/>
        </w:rPr>
        <w:t>】的实施</w:t>
      </w:r>
      <w:r>
        <w:rPr>
          <w:rFonts w:hint="eastAsia" w:ascii="宋体" w:hAnsi="宋体" w:cs="宋体"/>
          <w:kern w:val="0"/>
          <w:sz w:val="24"/>
          <w:highlight w:val="none"/>
          <w:lang w:val="zh-CN"/>
        </w:rPr>
        <w:t>。</w:t>
      </w:r>
    </w:p>
    <w:p>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01"/>
        <w:gridCol w:w="1920"/>
        <w:gridCol w:w="2026"/>
        <w:gridCol w:w="1124"/>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230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名称</w:t>
            </w:r>
          </w:p>
        </w:tc>
        <w:tc>
          <w:tcPr>
            <w:tcW w:w="1920" w:type="dxa"/>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p>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品牌（如果有）</w:t>
            </w:r>
          </w:p>
        </w:tc>
        <w:tc>
          <w:tcPr>
            <w:tcW w:w="202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规格型号</w:t>
            </w:r>
          </w:p>
        </w:tc>
        <w:tc>
          <w:tcPr>
            <w:tcW w:w="112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数量</w:t>
            </w:r>
          </w:p>
        </w:tc>
        <w:tc>
          <w:tcPr>
            <w:tcW w:w="155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单价</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合计</w:t>
            </w:r>
          </w:p>
        </w:tc>
        <w:tc>
          <w:tcPr>
            <w:tcW w:w="311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p>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备注（如果有）</w:t>
            </w:r>
          </w:p>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w:t>
            </w:r>
          </w:p>
        </w:tc>
        <w:tc>
          <w:tcPr>
            <w:tcW w:w="2301"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p>
        </w:tc>
        <w:tc>
          <w:tcPr>
            <w:tcW w:w="192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2026"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1124"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311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2</w:t>
            </w:r>
          </w:p>
        </w:tc>
        <w:tc>
          <w:tcPr>
            <w:tcW w:w="2301" w:type="dxa"/>
            <w:vAlign w:val="center"/>
          </w:tcPr>
          <w:p>
            <w:pPr>
              <w:keepNext w:val="0"/>
              <w:keepLines w:val="0"/>
              <w:suppressLineNumbers w:val="0"/>
              <w:snapToGrid w:val="0"/>
              <w:spacing w:before="0" w:beforeAutospacing="0" w:after="0" w:afterAutospacing="0" w:line="360" w:lineRule="auto"/>
              <w:ind w:left="0" w:right="0"/>
              <w:jc w:val="center"/>
              <w:rPr>
                <w:rFonts w:hint="default" w:ascii="Times New Roman" w:hAnsi="宋体" w:eastAsia="宋体" w:cs="Times New Roman"/>
                <w:color w:val="auto"/>
                <w:kern w:val="2"/>
                <w:sz w:val="24"/>
                <w:szCs w:val="24"/>
                <w:highlight w:val="none"/>
                <w:lang w:val="en-US" w:eastAsia="zh-CN" w:bidi="ar-SA"/>
              </w:rPr>
            </w:pPr>
          </w:p>
        </w:tc>
        <w:tc>
          <w:tcPr>
            <w:tcW w:w="192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2026"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1124"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311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lang w:val="en-US"/>
              </w:rPr>
            </w:pPr>
            <w:r>
              <w:rPr>
                <w:rFonts w:hint="default" w:ascii="宋体" w:hAnsi="宋体" w:cs="宋体"/>
                <w:sz w:val="24"/>
                <w:highlight w:val="none"/>
                <w:lang w:val="en-US"/>
              </w:rPr>
              <w:t>3</w:t>
            </w:r>
          </w:p>
        </w:tc>
        <w:tc>
          <w:tcPr>
            <w:tcW w:w="2301"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92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2026"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1124"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311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lang w:val="en-US"/>
              </w:rPr>
            </w:pPr>
            <w:r>
              <w:rPr>
                <w:rFonts w:hint="default" w:ascii="宋体" w:hAnsi="宋体" w:cs="宋体"/>
                <w:sz w:val="24"/>
                <w:highlight w:val="none"/>
                <w:lang w:val="en-US"/>
              </w:rPr>
              <w:t>4</w:t>
            </w:r>
          </w:p>
        </w:tc>
        <w:tc>
          <w:tcPr>
            <w:tcW w:w="2301"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92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2026"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1124"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311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r>
              <w:rPr>
                <w:rFonts w:hint="default" w:ascii="宋体" w:hAnsi="宋体" w:cs="宋体"/>
                <w:sz w:val="24"/>
                <w:highlight w:val="none"/>
                <w:lang w:val="en-US"/>
              </w:rPr>
              <w:t>5</w:t>
            </w:r>
          </w:p>
        </w:tc>
        <w:tc>
          <w:tcPr>
            <w:tcW w:w="2301" w:type="dxa"/>
            <w:vAlign w:val="center"/>
          </w:tcPr>
          <w:p>
            <w:pPr>
              <w:keepNext w:val="0"/>
              <w:keepLines w:val="0"/>
              <w:suppressLineNumbers w:val="0"/>
              <w:snapToGrid w:val="0"/>
              <w:spacing w:before="0" w:beforeAutospacing="0" w:after="0" w:afterAutospacing="0" w:line="360" w:lineRule="auto"/>
              <w:ind w:left="0" w:right="0"/>
              <w:jc w:val="center"/>
              <w:rPr>
                <w:rFonts w:hint="eastAsia" w:ascii="Times New Roman" w:hAnsi="宋体" w:eastAsia="宋体" w:cs="Times New Roman"/>
                <w:color w:val="auto"/>
                <w:kern w:val="2"/>
                <w:sz w:val="24"/>
                <w:szCs w:val="24"/>
                <w:highlight w:val="none"/>
                <w:lang w:val="en-US" w:eastAsia="zh-CN" w:bidi="ar-SA"/>
              </w:rPr>
            </w:pPr>
          </w:p>
        </w:tc>
        <w:tc>
          <w:tcPr>
            <w:tcW w:w="1920"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2026"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FF"/>
                <w:sz w:val="24"/>
                <w:highlight w:val="none"/>
              </w:rPr>
            </w:pPr>
          </w:p>
        </w:tc>
        <w:tc>
          <w:tcPr>
            <w:tcW w:w="1124"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c>
          <w:tcPr>
            <w:tcW w:w="311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81" w:type="dxa"/>
            <w:gridSpan w:val="4"/>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投标报价（小写）</w:t>
            </w:r>
          </w:p>
        </w:tc>
        <w:tc>
          <w:tcPr>
            <w:tcW w:w="7786" w:type="dxa"/>
            <w:gridSpan w:val="4"/>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781" w:type="dxa"/>
            <w:gridSpan w:val="4"/>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投标报价（大写）</w:t>
            </w:r>
          </w:p>
        </w:tc>
        <w:tc>
          <w:tcPr>
            <w:tcW w:w="7786" w:type="dxa"/>
            <w:gridSpan w:val="4"/>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781" w:type="dxa"/>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lang w:eastAsia="zh-CN"/>
              </w:rPr>
              <w:t>是否为中小企业</w:t>
            </w:r>
          </w:p>
        </w:tc>
        <w:tc>
          <w:tcPr>
            <w:tcW w:w="7786" w:type="dxa"/>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sdt>
              <w:sdtPr>
                <w:rPr>
                  <w:rFonts w:hint="eastAsia" w:ascii="宋体" w:hAnsi="宋体" w:cs="宋体"/>
                  <w:color w:val="auto"/>
                  <w:kern w:val="0"/>
                  <w:sz w:val="24"/>
                  <w:highlight w:val="none"/>
                </w:rPr>
                <w:id w:val="5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eastAsia="zh-CN"/>
              </w:rPr>
              <w:t>是</w:t>
            </w:r>
            <w:r>
              <w:rPr>
                <w:rFonts w:hint="default" w:ascii="宋体" w:hAnsi="宋体" w:cs="宋体"/>
                <w:color w:val="auto"/>
                <w:kern w:val="0"/>
                <w:sz w:val="24"/>
                <w:highlight w:val="none"/>
                <w:lang w:val="en-US" w:eastAsia="zh-CN"/>
              </w:rPr>
              <w:t xml:space="preserve">      </w:t>
            </w:r>
            <w:sdt>
              <w:sdtPr>
                <w:rPr>
                  <w:rFonts w:hint="eastAsia" w:ascii="宋体" w:hAnsi="宋体" w:cs="宋体"/>
                  <w:color w:val="auto"/>
                  <w:kern w:val="0"/>
                  <w:sz w:val="24"/>
                  <w:highlight w:val="none"/>
                </w:rPr>
                <w:id w:val="6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eastAsia="zh-CN"/>
              </w:rPr>
              <w:t>否</w:t>
            </w:r>
          </w:p>
        </w:tc>
      </w:tr>
    </w:tbl>
    <w:p>
      <w:pPr>
        <w:snapToGrid w:val="0"/>
        <w:spacing w:line="360" w:lineRule="auto"/>
        <w:ind w:left="480"/>
        <w:rPr>
          <w:rFonts w:hint="eastAsia" w:ascii="宋体" w:hAnsi="宋体" w:cs="宋体"/>
          <w:b/>
          <w:kern w:val="0"/>
          <w:sz w:val="24"/>
          <w:highlight w:val="none"/>
          <w:lang w:val="zh-CN"/>
        </w:rPr>
      </w:pPr>
    </w:p>
    <w:p>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1、投标人需按本表格式填写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2、有关本项目实施所涉及的一切费用均计入报价。总价不为零，报价明细表中部分产品、服务单价为零的，视作已包含在总价中。</w:t>
      </w:r>
      <w:r>
        <w:rPr>
          <w:rFonts w:hint="eastAsia" w:ascii="宋体" w:hAnsi="宋体" w:cs="宋体"/>
          <w:b/>
          <w:kern w:val="0"/>
          <w:sz w:val="24"/>
          <w:highlight w:val="none"/>
          <w:lang w:val="zh-CN"/>
        </w:rPr>
        <w:t>采购人将以合同形式有偿取得货物或服务，不接受投标人给予的赠品、回扣或者与采购无关的其他商品、服务；采购内容未包含在《开标一览表（报价表）》名称栏中，投标人不能作出合理解释的，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kern w:val="0"/>
          <w:sz w:val="24"/>
          <w:highlight w:val="none"/>
          <w:lang w:val="zh-CN"/>
        </w:rPr>
      </w:pPr>
      <w:r>
        <w:rPr>
          <w:rFonts w:ascii="宋体" w:hAnsi="宋体" w:cs="宋体"/>
          <w:kern w:val="0"/>
          <w:sz w:val="24"/>
          <w:szCs w:val="22"/>
          <w:highlight w:val="none"/>
          <w:lang w:val="zh-CN"/>
        </w:rPr>
        <w:t>4</w:t>
      </w:r>
      <w:r>
        <w:rPr>
          <w:rFonts w:hint="eastAsia" w:ascii="宋体" w:hAnsi="宋体" w:cs="宋体"/>
          <w:kern w:val="0"/>
          <w:sz w:val="24"/>
          <w:szCs w:val="22"/>
          <w:highlight w:val="none"/>
          <w:lang w:val="zh-CN"/>
        </w:rPr>
        <w:t>、</w:t>
      </w:r>
      <w:r>
        <w:rPr>
          <w:rFonts w:hint="eastAsia" w:ascii="宋体" w:hAnsi="宋体" w:cs="宋体"/>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5、特别说明：▲供应商报价低于项目预算50%的，应当在报价文件中详细阐述不影响产品质量或者诚信履约的具体原因。</w:t>
      </w:r>
    </w:p>
    <w:p>
      <w:pPr>
        <w:pStyle w:val="23"/>
        <w:rPr>
          <w:rFonts w:hint="eastAsia"/>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autoSpaceDE w:val="0"/>
        <w:autoSpaceDN w:val="0"/>
        <w:spacing w:line="360" w:lineRule="auto"/>
        <w:ind w:left="2" w:leftChars="1" w:right="1120" w:firstLine="4560" w:firstLineChars="1900"/>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w:t>
      </w:r>
      <w:r>
        <w:rPr>
          <w:rFonts w:hint="eastAsia" w:ascii="宋体" w:hAnsi="宋体" w:cs="宋体"/>
          <w:color w:val="auto"/>
          <w:kern w:val="0"/>
          <w:sz w:val="24"/>
          <w:highlight w:val="none"/>
          <w:lang w:val="en-US" w:eastAsia="zh-CN"/>
        </w:rPr>
        <w:t>日</w:t>
      </w:r>
    </w:p>
    <w:p>
      <w:pPr>
        <w:pStyle w:val="3"/>
        <w:rPr>
          <w:rFonts w:hint="eastAsia" w:ascii="宋体" w:hAnsi="宋体" w:cs="宋体"/>
          <w:color w:val="auto"/>
          <w:kern w:val="0"/>
          <w:sz w:val="24"/>
          <w:highlight w:val="none"/>
          <w:lang w:val="en-US" w:eastAsia="zh-CN"/>
        </w:rPr>
      </w:pPr>
    </w:p>
    <w:p>
      <w:pPr>
        <w:rPr>
          <w:rFonts w:hint="eastAsia" w:ascii="宋体" w:hAnsi="宋体" w:cs="宋体"/>
          <w:color w:val="auto"/>
          <w:kern w:val="0"/>
          <w:sz w:val="24"/>
          <w:highlight w:val="none"/>
          <w:lang w:val="en-US" w:eastAsia="zh-CN"/>
        </w:rPr>
      </w:pPr>
    </w:p>
    <w:p>
      <w:pPr>
        <w:pStyle w:val="24"/>
        <w:rPr>
          <w:rFonts w:hint="eastAsia" w:ascii="宋体" w:hAnsi="宋体" w:cs="宋体"/>
          <w:color w:val="auto"/>
          <w:kern w:val="0"/>
          <w:sz w:val="24"/>
          <w:highlight w:val="none"/>
          <w:lang w:val="en-US" w:eastAsia="zh-CN"/>
        </w:rPr>
      </w:pPr>
    </w:p>
    <w:p>
      <w:pPr>
        <w:pStyle w:val="61"/>
        <w:rPr>
          <w:rFonts w:hint="eastAsia" w:ascii="宋体" w:hAnsi="宋体" w:cs="宋体"/>
          <w:color w:val="auto"/>
          <w:kern w:val="0"/>
          <w:sz w:val="24"/>
          <w:highlight w:val="none"/>
          <w:lang w:val="en-US" w:eastAsia="zh-CN"/>
        </w:rPr>
      </w:pPr>
    </w:p>
    <w:p>
      <w:pPr>
        <w:rPr>
          <w:rFonts w:hint="eastAsia"/>
          <w:highlight w:val="none"/>
          <w:lang w:val="en-US" w:eastAsia="zh-CN"/>
        </w:rPr>
      </w:pPr>
    </w:p>
    <w:p>
      <w:pPr>
        <w:rPr>
          <w:rFonts w:hint="eastAsia" w:ascii="宋体" w:hAnsi="宋体" w:cs="宋体"/>
          <w:color w:val="auto"/>
          <w:kern w:val="0"/>
          <w:sz w:val="24"/>
          <w:highlight w:val="none"/>
          <w:lang w:val="en-US" w:eastAsia="zh-CN"/>
        </w:rPr>
      </w:pPr>
    </w:p>
    <w:p>
      <w:pPr>
        <w:pStyle w:val="3"/>
        <w:rPr>
          <w:rFonts w:hint="eastAsia" w:ascii="宋体" w:hAnsi="宋体" w:cs="宋体"/>
          <w:color w:val="auto"/>
          <w:kern w:val="0"/>
          <w:sz w:val="24"/>
          <w:highlight w:val="none"/>
          <w:lang w:val="en-US" w:eastAsia="zh-CN"/>
        </w:rPr>
      </w:pPr>
    </w:p>
    <w:p>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w:t>
      </w:r>
      <w:bookmarkStart w:id="537" w:name="_Hlk101259491"/>
      <w:r>
        <w:rPr>
          <w:rFonts w:hint="eastAsia" w:ascii="宋体" w:hAnsi="宋体" w:eastAsia="宋体" w:cs="宋体"/>
          <w:color w:val="auto"/>
          <w:sz w:val="32"/>
          <w:szCs w:val="32"/>
          <w:highlight w:val="none"/>
        </w:rPr>
        <w:t>（如果有）</w:t>
      </w:r>
      <w:bookmarkEnd w:id="537"/>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rPr>
          <w:highlight w:val="none"/>
        </w:rPr>
        <w:sectPr>
          <w:pgSz w:w="16838" w:h="11906" w:orient="landscape"/>
          <w:pgMar w:top="1418" w:right="1247" w:bottom="1418" w:left="1276" w:header="851" w:footer="992" w:gutter="0"/>
          <w:cols w:space="720" w:num="1"/>
          <w:titlePg/>
          <w:docGrid w:linePitch="312" w:charSpace="0"/>
        </w:sectPr>
      </w:pPr>
    </w:p>
    <w:p>
      <w:pPr>
        <w:pStyle w:val="2"/>
        <w:keepNext w:val="0"/>
        <w:keepLines w:val="0"/>
        <w:pageBreakBefore/>
        <w:widowControl/>
        <w:spacing w:before="100" w:beforeAutospacing="1" w:after="100" w:afterAutospacing="1" w:line="360" w:lineRule="auto"/>
        <w:ind w:left="0" w:leftChars="0" w:firstLine="0" w:firstLineChars="0"/>
        <w:rPr>
          <w:rFonts w:ascii="宋体" w:hAnsi="宋体" w:cs="宋体"/>
          <w:highlight w:val="none"/>
        </w:rPr>
      </w:pPr>
      <w:bookmarkStart w:id="538" w:name="_Toc465665161"/>
      <w:r>
        <w:rPr>
          <w:rFonts w:hint="eastAsia" w:ascii="宋体" w:hAnsi="宋体" w:cs="宋体"/>
          <w:highlight w:val="none"/>
        </w:rPr>
        <w:t>附件</w:t>
      </w:r>
      <w:bookmarkEnd w:id="538"/>
    </w:p>
    <w:p>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pPr>
        <w:spacing w:line="360" w:lineRule="auto"/>
        <w:jc w:val="center"/>
        <w:rPr>
          <w:rFonts w:ascii="宋体" w:hAnsi="宋体" w:cs="宋体"/>
          <w:b/>
          <w:spacing w:val="6"/>
          <w:sz w:val="32"/>
          <w:szCs w:val="32"/>
          <w:highlight w:val="none"/>
        </w:rPr>
      </w:pPr>
      <w:bookmarkStart w:id="539" w:name="OLE_LINK14"/>
      <w:bookmarkStart w:id="540" w:name="OLE_LINK13"/>
      <w:r>
        <w:rPr>
          <w:rFonts w:hint="eastAsia" w:ascii="宋体" w:hAnsi="宋体" w:cs="宋体"/>
          <w:b/>
          <w:spacing w:val="6"/>
          <w:sz w:val="32"/>
          <w:szCs w:val="32"/>
          <w:highlight w:val="none"/>
        </w:rPr>
        <w:t>残疾人福利性单位声明函</w:t>
      </w:r>
    </w:p>
    <w:bookmarkEnd w:id="539"/>
    <w:bookmarkEnd w:id="540"/>
    <w:p>
      <w:pPr>
        <w:spacing w:line="360" w:lineRule="auto"/>
        <w:rPr>
          <w:rFonts w:ascii="宋体" w:hAnsi="宋体" w:cs="宋体"/>
          <w:b/>
          <w:spacing w:val="6"/>
          <w:sz w:val="30"/>
          <w:szCs w:val="30"/>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highlight w:val="none"/>
          <w:lang w:eastAsia="zh-CN"/>
        </w:rPr>
        <w:t>杭州市西湖区住房和城乡建设局</w:t>
      </w:r>
      <w:r>
        <w:rPr>
          <w:rFonts w:hint="eastAsia" w:ascii="宋体" w:hAnsi="宋体" w:cs="宋体"/>
          <w:sz w:val="24"/>
          <w:highlight w:val="none"/>
        </w:rPr>
        <w:t>单位的</w:t>
      </w:r>
      <w:r>
        <w:rPr>
          <w:rFonts w:hint="eastAsia" w:ascii="宋体" w:hAnsi="宋体" w:cs="宋体"/>
          <w:sz w:val="24"/>
          <w:highlight w:val="none"/>
          <w:u w:val="single"/>
          <w:lang w:eastAsia="zh-CN"/>
        </w:rPr>
        <w:t>杭州市西湖区住房和城乡建设局台式计算机第二次采购项目</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pPr>
        <w:spacing w:line="360" w:lineRule="auto"/>
        <w:ind w:firstLine="480" w:firstLineChars="200"/>
        <w:rPr>
          <w:rFonts w:ascii="宋体" w:hAnsi="宋体" w:cs="宋体"/>
          <w:sz w:val="24"/>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pPr>
        <w:spacing w:line="360" w:lineRule="auto"/>
        <w:jc w:val="center"/>
        <w:rPr>
          <w:rFonts w:ascii="宋体" w:hAnsi="宋体" w:cs="宋体"/>
          <w:b/>
          <w:sz w:val="24"/>
          <w:highlight w:val="none"/>
        </w:rPr>
      </w:pP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pPr>
        <w:spacing w:line="360" w:lineRule="auto"/>
        <w:rPr>
          <w:rFonts w:ascii="宋体" w:hAnsi="宋体" w:cs="宋体"/>
          <w:sz w:val="24"/>
          <w:highlight w:val="none"/>
        </w:rPr>
      </w:pPr>
      <w:r>
        <w:rPr>
          <w:rFonts w:hint="eastAsia" w:ascii="宋体" w:hAnsi="宋体" w:cs="宋体"/>
          <w:sz w:val="24"/>
          <w:highlight w:val="none"/>
        </w:rPr>
        <w:t>一、投诉相关主体基本情况</w:t>
      </w:r>
    </w:p>
    <w:p>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被投诉人2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二、投诉项目基本情况</w:t>
      </w:r>
    </w:p>
    <w:p>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三、质疑基本情况</w:t>
      </w:r>
    </w:p>
    <w:p>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pPr>
        <w:spacing w:line="360" w:lineRule="auto"/>
        <w:rPr>
          <w:rFonts w:ascii="宋体" w:hAnsi="宋体" w:cs="宋体"/>
          <w:sz w:val="24"/>
          <w:highlight w:val="none"/>
        </w:rPr>
      </w:pPr>
      <w:r>
        <w:rPr>
          <w:rFonts w:hint="eastAsia" w:ascii="宋体" w:hAnsi="宋体" w:cs="宋体"/>
          <w:sz w:val="24"/>
          <w:highlight w:val="none"/>
        </w:rPr>
        <w:t>四、投诉事项具体内容</w:t>
      </w:r>
    </w:p>
    <w:p>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投诉事项2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投诉书制作说明：</w:t>
      </w:r>
    </w:p>
    <w:p>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pPr>
        <w:spacing w:line="360" w:lineRule="auto"/>
        <w:rPr>
          <w:rFonts w:ascii="宋体" w:hAnsi="宋体" w:cs="宋体"/>
          <w:color w:val="0000FF"/>
          <w:sz w:val="24"/>
          <w:highlight w:val="none"/>
          <w:u w:val="single"/>
        </w:rPr>
      </w:pPr>
    </w:p>
    <w:p>
      <w:pPr>
        <w:spacing w:line="360" w:lineRule="auto"/>
        <w:rPr>
          <w:rFonts w:ascii="宋体" w:hAnsi="宋体" w:cs="宋体"/>
          <w:sz w:val="24"/>
          <w:highlight w:val="none"/>
        </w:rPr>
      </w:pPr>
      <w:r>
        <w:rPr>
          <w:rFonts w:hint="eastAsia" w:ascii="宋体" w:hAnsi="宋体" w:cs="宋体"/>
          <w:sz w:val="24"/>
          <w:highlight w:val="none"/>
          <w:u w:val="single"/>
          <w:lang w:eastAsia="zh-CN"/>
        </w:rPr>
        <w:t>杭州市西湖区住房和城乡建设局</w:t>
      </w:r>
      <w:r>
        <w:rPr>
          <w:rFonts w:hint="eastAsia" w:ascii="宋体" w:hAnsi="宋体" w:cs="宋体"/>
          <w:sz w:val="24"/>
          <w:highlight w:val="none"/>
          <w:u w:val="single"/>
        </w:rPr>
        <w:t>、杭州市西湖区政府采购中心：</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pPr>
        <w:rPr>
          <w:rFonts w:ascii="宋体" w:hAnsi="宋体" w:cs="宋体"/>
          <w:sz w:val="24"/>
          <w:highlight w:val="none"/>
        </w:rPr>
      </w:pPr>
      <w:r>
        <w:rPr>
          <w:rFonts w:hint="eastAsia" w:ascii="宋体" w:hAnsi="宋体" w:cs="宋体"/>
          <w:b/>
          <w:bCs/>
          <w:sz w:val="24"/>
          <w:highlight w:val="none"/>
        </w:rPr>
        <w:t>附：</w:t>
      </w:r>
    </w:p>
    <w:p>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snapToGrid w:val="0"/>
        <w:spacing w:line="360" w:lineRule="auto"/>
        <w:jc w:val="center"/>
        <w:outlineLvl w:val="0"/>
        <w:rPr>
          <w:rFonts w:ascii="宋体" w:hAnsi="宋体" w:cs="宋体"/>
          <w:b/>
          <w:kern w:val="0"/>
          <w:sz w:val="32"/>
          <w:szCs w:val="32"/>
          <w:highlight w:val="none"/>
        </w:rPr>
      </w:pPr>
      <w:r>
        <w:rPr>
          <w:rFonts w:hint="eastAsia" w:ascii="宋体" w:hAnsi="宋体" w:cs="宋体"/>
          <w:b/>
          <w:kern w:val="0"/>
          <w:sz w:val="32"/>
          <w:szCs w:val="32"/>
          <w:highlight w:val="none"/>
        </w:rPr>
        <w:t>附件</w:t>
      </w:r>
      <w:r>
        <w:rPr>
          <w:rFonts w:ascii="宋体" w:hAnsi="宋体" w:cs="宋体"/>
          <w:b/>
          <w:kern w:val="0"/>
          <w:sz w:val="32"/>
          <w:szCs w:val="32"/>
          <w:highlight w:val="none"/>
        </w:rPr>
        <w:t>5</w:t>
      </w:r>
      <w:r>
        <w:rPr>
          <w:rFonts w:hint="eastAsia" w:ascii="宋体" w:hAnsi="宋体" w:cs="宋体"/>
          <w:b/>
          <w:kern w:val="0"/>
          <w:sz w:val="32"/>
          <w:szCs w:val="32"/>
          <w:highlight w:val="none"/>
        </w:rPr>
        <w:t>：联合协议</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w:t>
      </w:r>
      <w:r>
        <w:rPr>
          <w:rFonts w:hint="eastAsia" w:ascii="宋体" w:hAnsi="宋体" w:cs="宋体"/>
          <w:kern w:val="0"/>
          <w:sz w:val="24"/>
          <w:highlight w:val="none"/>
          <w:lang w:val="zh-CN"/>
        </w:rPr>
        <w:t xml:space="preserve">投标。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pPr>
        <w:snapToGrid w:val="0"/>
        <w:spacing w:line="360" w:lineRule="auto"/>
        <w:ind w:firstLine="576"/>
        <w:rPr>
          <w:rFonts w:ascii="宋体" w:hAnsi="宋体" w:cs="宋体"/>
          <w:kern w:val="0"/>
          <w:sz w:val="24"/>
          <w:highlight w:val="none"/>
          <w:lang w:val="zh-CN"/>
        </w:rPr>
      </w:pPr>
      <w:bookmarkStart w:id="541" w:name="_Hlk101134295"/>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bookmarkEnd w:id="541"/>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提供的全部货物由小微企业制造，其合同份额占到合同总金额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pStyle w:val="23"/>
        <w:rPr>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both"/>
        <w:rPr>
          <w:rFonts w:ascii="宋体" w:hAnsi="宋体" w:cs="宋体"/>
          <w:b/>
          <w:spacing w:val="6"/>
          <w:sz w:val="32"/>
          <w:szCs w:val="32"/>
          <w:highlight w:val="none"/>
        </w:rPr>
      </w:pPr>
    </w:p>
    <w:p>
      <w:pPr>
        <w:snapToGrid w:val="0"/>
        <w:spacing w:line="360" w:lineRule="auto"/>
        <w:jc w:val="center"/>
        <w:outlineLvl w:val="0"/>
        <w:rPr>
          <w:rFonts w:hint="eastAsia" w:ascii="宋体" w:hAnsi="宋体" w:cs="宋体"/>
          <w:b/>
          <w:kern w:val="0"/>
          <w:sz w:val="32"/>
          <w:szCs w:val="32"/>
          <w:highlight w:val="none"/>
        </w:rPr>
      </w:pPr>
    </w:p>
    <w:p>
      <w:pPr>
        <w:snapToGrid w:val="0"/>
        <w:spacing w:line="360" w:lineRule="auto"/>
        <w:jc w:val="center"/>
        <w:outlineLvl w:val="0"/>
        <w:rPr>
          <w:rFonts w:ascii="宋体" w:hAnsi="宋体" w:cs="宋体"/>
          <w:b/>
          <w:kern w:val="0"/>
          <w:sz w:val="32"/>
          <w:szCs w:val="32"/>
          <w:highlight w:val="none"/>
        </w:rPr>
      </w:pPr>
      <w:r>
        <w:rPr>
          <w:rFonts w:hint="eastAsia" w:ascii="宋体" w:hAnsi="宋体" w:cs="宋体"/>
          <w:b/>
          <w:kern w:val="0"/>
          <w:sz w:val="32"/>
          <w:szCs w:val="32"/>
          <w:highlight w:val="none"/>
        </w:rPr>
        <w:t>附件</w:t>
      </w:r>
      <w:r>
        <w:rPr>
          <w:rFonts w:ascii="宋体" w:hAnsi="宋体" w:cs="宋体"/>
          <w:b/>
          <w:kern w:val="0"/>
          <w:sz w:val="32"/>
          <w:szCs w:val="32"/>
          <w:highlight w:val="none"/>
        </w:rPr>
        <w:t>6</w:t>
      </w:r>
      <w:r>
        <w:rPr>
          <w:rFonts w:hint="eastAsia" w:ascii="宋体" w:hAnsi="宋体" w:cs="宋体"/>
          <w:b/>
          <w:kern w:val="0"/>
          <w:sz w:val="32"/>
          <w:szCs w:val="32"/>
          <w:highlight w:val="none"/>
        </w:rPr>
        <w:t>：分包意向协议</w:t>
      </w:r>
    </w:p>
    <w:p>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sz w:val="24"/>
          <w:highlight w:val="none"/>
          <w:lang w:eastAsia="zh-CN"/>
        </w:rPr>
        <w:t>杭州市西湖区住房和城乡建设局台式计算机第二次采购项目</w:t>
      </w:r>
      <w:r>
        <w:rPr>
          <w:rFonts w:hint="eastAsia" w:ascii="宋体" w:hAnsi="宋体" w:cs="宋体"/>
          <w:sz w:val="24"/>
          <w:highlight w:val="none"/>
        </w:rPr>
        <w:t>【招标编号：</w:t>
      </w:r>
      <w:r>
        <w:rPr>
          <w:rFonts w:hint="eastAsia" w:ascii="宋体" w:hAnsi="宋体" w:cs="宋体"/>
          <w:sz w:val="24"/>
          <w:highlight w:val="none"/>
          <w:lang w:eastAsia="zh-CN"/>
        </w:rPr>
        <w:t>XHZFCG-2024-G-60</w:t>
      </w:r>
      <w:r>
        <w:rPr>
          <w:rFonts w:hint="eastAsia" w:ascii="宋体" w:hAnsi="宋体" w:cs="宋体"/>
          <w:sz w:val="24"/>
          <w:highlight w:val="none"/>
        </w:rPr>
        <w:t>】</w:t>
      </w:r>
      <w:r>
        <w:rPr>
          <w:rFonts w:hint="eastAsia" w:ascii="宋体" w:hAnsi="宋体" w:cs="宋体"/>
          <w:kern w:val="0"/>
          <w:sz w:val="24"/>
          <w:highlight w:val="none"/>
          <w:lang w:val="zh-CN"/>
        </w:rPr>
        <w:t>的中标供应商，将依法采取分包方式履行合同。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一、分包标的及数量</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pPr>
        <w:pStyle w:val="3"/>
        <w:ind w:left="664" w:leftChars="316" w:firstLine="229" w:firstLineChars="95"/>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……）提供的货物全部由小微企业制造，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542"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中中小企业、其中小微企业合同金额应当达到的比例要求填写。</w:t>
      </w:r>
      <w:r>
        <w:rPr>
          <w:rFonts w:hint="eastAsia" w:ascii="宋体" w:hAnsi="宋体" w:cs="宋体"/>
          <w:b/>
          <w:bCs/>
          <w:kern w:val="0"/>
          <w:sz w:val="24"/>
          <w:highlight w:val="none"/>
          <w:lang w:val="zh-CN"/>
        </w:rPr>
        <w:t>）</w:t>
      </w:r>
      <w:bookmarkEnd w:id="542"/>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pPr>
        <w:snapToGrid w:val="0"/>
        <w:spacing w:line="360" w:lineRule="auto"/>
        <w:ind w:left="573" w:leftChars="273"/>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3"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w:t>
      </w:r>
    </w:p>
    <w:p>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分包供应商名称(电子签名/公章)：</w:t>
      </w: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snapToGrid w:val="0"/>
        <w:spacing w:line="360" w:lineRule="auto"/>
        <w:outlineLvl w:val="0"/>
        <w:rPr>
          <w:rFonts w:ascii="宋体" w:hAnsi="宋体" w:cs="宋体"/>
          <w:b/>
          <w:kern w:val="0"/>
          <w:sz w:val="44"/>
          <w:szCs w:val="44"/>
          <w:highlight w:val="none"/>
        </w:rPr>
      </w:pPr>
      <w:r>
        <w:rPr>
          <w:rFonts w:hint="eastAsia" w:ascii="宋体" w:hAnsi="宋体" w:cs="宋体"/>
          <w:b/>
          <w:kern w:val="0"/>
          <w:sz w:val="44"/>
          <w:szCs w:val="44"/>
          <w:highlight w:val="none"/>
        </w:rPr>
        <w:t>附件</w:t>
      </w:r>
      <w:r>
        <w:rPr>
          <w:rFonts w:ascii="宋体" w:hAnsi="宋体" w:cs="宋体"/>
          <w:b/>
          <w:kern w:val="0"/>
          <w:sz w:val="44"/>
          <w:szCs w:val="44"/>
          <w:highlight w:val="none"/>
        </w:rPr>
        <w:t>7</w:t>
      </w:r>
      <w:r>
        <w:rPr>
          <w:rFonts w:hint="eastAsia" w:ascii="宋体" w:hAnsi="宋体" w:cs="宋体"/>
          <w:b/>
          <w:kern w:val="0"/>
          <w:sz w:val="44"/>
          <w:szCs w:val="44"/>
          <w:highlight w:val="none"/>
        </w:rPr>
        <w:t>：中小企业声明函</w:t>
      </w:r>
    </w:p>
    <w:p>
      <w:pPr>
        <w:spacing w:line="360" w:lineRule="auto"/>
        <w:jc w:val="center"/>
        <w:rPr>
          <w:rFonts w:ascii="宋体" w:hAnsi="宋体" w:cs="宋体"/>
          <w:sz w:val="24"/>
          <w:highlight w:val="none"/>
          <w:u w:val="singl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中小企业声明函（货物）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lang w:eastAsia="zh-CN"/>
        </w:rPr>
        <w:t>杭州市西湖区住房和城乡建设局</w:t>
      </w:r>
      <w:r>
        <w:rPr>
          <w:rFonts w:hint="eastAsia" w:ascii="宋体" w:hAnsi="宋体" w:cs="宋体"/>
          <w:sz w:val="24"/>
          <w:highlight w:val="none"/>
        </w:rPr>
        <w:t xml:space="preserve">的 </w:t>
      </w:r>
      <w:r>
        <w:rPr>
          <w:rFonts w:hint="eastAsia" w:ascii="宋体" w:hAnsi="宋体" w:cs="宋体"/>
          <w:sz w:val="24"/>
          <w:highlight w:val="none"/>
          <w:u w:val="single"/>
          <w:lang w:eastAsia="zh-CN"/>
        </w:rPr>
        <w:t>杭州市西湖区住房和城乡建设局台式计算机第二次采购项目</w:t>
      </w:r>
      <w:r>
        <w:rPr>
          <w:rFonts w:hint="eastAsia" w:ascii="宋体" w:hAnsi="宋体" w:cs="宋体"/>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napToGrid w:val="0"/>
          <w:color w:val="000000"/>
          <w:kern w:val="28"/>
          <w:sz w:val="24"/>
          <w:highlight w:val="none"/>
          <w:u w:val="single"/>
          <w:lang w:val="en-US" w:eastAsia="zh-CN"/>
        </w:rPr>
        <w:t>台式计算机</w:t>
      </w:r>
      <w:r>
        <w:rPr>
          <w:rFonts w:hint="eastAsia" w:ascii="宋体" w:hAnsi="宋体" w:cs="宋体"/>
          <w:sz w:val="24"/>
          <w:highlight w:val="none"/>
        </w:rPr>
        <w:t xml:space="preserve"> ，属于 </w:t>
      </w:r>
      <w:r>
        <w:rPr>
          <w:rFonts w:hint="eastAsia" w:ascii="宋体" w:hAnsi="宋体" w:cs="宋体"/>
          <w:sz w:val="24"/>
          <w:highlight w:val="none"/>
          <w:u w:val="single"/>
          <w:lang w:val="en-US" w:eastAsia="zh-CN"/>
        </w:rPr>
        <w:t>工业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w:t>
      </w:r>
      <w:r>
        <w:rPr>
          <w:rFonts w:hint="eastAsia" w:ascii="宋体" w:hAnsi="宋体" w:cs="宋体"/>
          <w:color w:val="auto"/>
          <w:sz w:val="24"/>
          <w:highlight w:val="none"/>
          <w:u w:val="single"/>
        </w:rPr>
        <w:t>（中型企业、小型企业、微型企业）</w:t>
      </w:r>
      <w:r>
        <w:rPr>
          <w:rFonts w:hint="eastAsia" w:ascii="宋体" w:hAnsi="宋体" w:cs="宋体"/>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kern w:val="0"/>
          <w:sz w:val="24"/>
          <w:highlight w:val="none"/>
        </w:rPr>
      </w:pPr>
      <w:r>
        <w:rPr>
          <w:rFonts w:hint="eastAsia" w:ascii="宋体" w:hAnsi="宋体" w:cs="宋体"/>
          <w:kern w:val="0"/>
          <w:sz w:val="24"/>
          <w:highlight w:val="none"/>
          <w:lang w:val="zh-CN"/>
        </w:rPr>
        <w:t>投标人名称(电子签名)：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pacing w:line="360" w:lineRule="auto"/>
        <w:jc w:val="left"/>
        <w:rPr>
          <w:rFonts w:ascii="宋体" w:hAnsi="宋体" w:cs="宋体"/>
          <w:sz w:val="18"/>
          <w:szCs w:val="18"/>
          <w:highlight w:val="none"/>
        </w:rPr>
      </w:pPr>
      <w:r>
        <w:rPr>
          <w:rFonts w:hint="eastAsia" w:ascii="宋体" w:hAnsi="宋体" w:cs="宋体"/>
          <w:sz w:val="18"/>
          <w:szCs w:val="18"/>
          <w:highlight w:val="none"/>
        </w:rPr>
        <w:t>从业人员、营业收入、资产总额填报上一年度数据，无上一年度数据的新成立企业可不填报。</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注：</w:t>
      </w:r>
    </w:p>
    <w:p>
      <w:pPr>
        <w:spacing w:line="360" w:lineRule="auto"/>
        <w:ind w:right="420" w:firstLine="480" w:firstLineChars="200"/>
        <w:rPr>
          <w:rFonts w:ascii="宋体" w:hAnsi="宋体" w:cs="宋体"/>
          <w:b/>
          <w:bCs/>
          <w:sz w:val="24"/>
          <w:highlight w:val="none"/>
        </w:rPr>
      </w:pPr>
      <w:r>
        <w:rPr>
          <w:rFonts w:hint="eastAsia" w:ascii="宋体" w:hAnsi="宋体" w:cs="宋体"/>
          <w:sz w:val="24"/>
          <w:highlight w:val="none"/>
        </w:rPr>
        <w:t>1、填写要求：①“标的名称”、“采购文件中明确的所属行业”依据招标文件第二部分投标人须知前附表中“采购标的及其对应的中小企业划分标准所属行业”的指引，</w:t>
      </w:r>
      <w:r>
        <w:rPr>
          <w:rFonts w:hint="eastAsia" w:ascii="宋体" w:hAnsi="宋体" w:cs="宋体"/>
          <w:b/>
          <w:bCs/>
          <w:sz w:val="24"/>
          <w:highlight w:val="none"/>
        </w:rPr>
        <w:t>逐一填写，不得缺漏；</w:t>
      </w:r>
      <w:r>
        <w:rPr>
          <w:rFonts w:hint="eastAsia" w:ascii="宋体" w:hAnsi="宋体" w:cs="宋体"/>
          <w:sz w:val="24"/>
          <w:highlight w:val="none"/>
        </w:rPr>
        <w:t>②从业人员、营业收入、资产总额填报上一年度数据，无上一年度数据的新成立企业可不填报；③中型企业、小型企业、微型企业等3种企业类型，结合以上数据，依据《中小企业划型标准规定》（工信部联企业〔2011〕300号）</w:t>
      </w:r>
      <w:r>
        <w:rPr>
          <w:rFonts w:hint="eastAsia" w:ascii="宋体" w:hAnsi="宋体" w:cs="宋体"/>
          <w:b/>
          <w:bCs/>
          <w:sz w:val="24"/>
          <w:highlight w:val="none"/>
        </w:rPr>
        <w:t>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bCs/>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r>
        <w:rPr>
          <w:rFonts w:hint="eastAsia" w:ascii="宋体" w:hAnsi="宋体" w:cs="宋体"/>
          <w:sz w:val="24"/>
          <w:highlight w:val="none"/>
          <w:lang w:eastAsia="zh-CN"/>
        </w:rPr>
        <w:t>。</w:t>
      </w:r>
    </w:p>
    <w:sectPr>
      <w:headerReference r:id="rId27" w:type="first"/>
      <w:footerReference r:id="rId30" w:type="first"/>
      <w:headerReference r:id="rId26" w:type="default"/>
      <w:footerReference r:id="rId28" w:type="default"/>
      <w:footerReference r:id="rId2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Futura Bk">
    <w:altName w:val="Arial"/>
    <w:panose1 w:val="00000000000000000000"/>
    <w:charset w:val="00"/>
    <w:family w:val="decorative"/>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decorative"/>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Arial Unicode MS"/>
    <w:panose1 w:val="00000000000000000000"/>
    <w:charset w:val="00"/>
    <w:family w:val="moder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decorative"/>
    <w:pitch w:val="default"/>
    <w:sig w:usb0="00000000" w:usb1="00000000" w:usb2="00000010" w:usb3="00000000" w:csb0="00040000" w:csb1="00000000"/>
  </w:font>
  <w:font w:name="Arial (W1)">
    <w:altName w:val="Arial"/>
    <w:panose1 w:val="00000000000000000000"/>
    <w:charset w:val="00"/>
    <w:family w:val="decorative"/>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Arial Unicode MS"/>
    <w:panose1 w:val="00000000000000000000"/>
    <w:charset w:val="00"/>
    <w:family w:val="swiss"/>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decorative"/>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Arial"/>
    <w:panose1 w:val="00000000000000000000"/>
    <w:charset w:val="00"/>
    <w:family w:val="modern"/>
    <w:pitch w:val="default"/>
    <w:sig w:usb0="00000000" w:usb1="00000000" w:usb2="00000000" w:usb3="00000000" w:csb0="00000011" w:csb1="00000000"/>
  </w:font>
  <w:font w:name=".PingFang SC">
    <w:altName w:val="Arial Unicode MS"/>
    <w:panose1 w:val="00000000000000000000"/>
    <w:charset w:val="00"/>
    <w:family w:val="swiss"/>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88</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88</w:t>
    </w:r>
    <w:r>
      <w:rPr>
        <w:rFonts w:hint="eastAsia" w:ascii="仿宋_GB2312" w:eastAsia="仿宋_GB2312"/>
        <w:kern w:val="0"/>
        <w:szCs w:val="21"/>
      </w:rPr>
      <w:fldChar w:fldCharType="end"/>
    </w:r>
    <w:bookmarkStart w:id="543" w:name="_Toc164085800"/>
    <w:bookmarkStart w:id="544" w:name="_Toc131845147"/>
    <w:bookmarkStart w:id="545" w:name="_Toc36110187"/>
    <w:bookmarkStart w:id="546" w:name="_Toc91899912"/>
    <w:r>
      <w:rPr>
        <w:rFonts w:hint="eastAsia" w:ascii="仿宋_GB2312" w:eastAsia="仿宋_GB2312"/>
        <w:kern w:val="0"/>
        <w:szCs w:val="21"/>
      </w:rPr>
      <w:t xml:space="preserve"> 页</w:t>
    </w:r>
    <w:bookmarkEnd w:id="543"/>
    <w:bookmarkEnd w:id="544"/>
    <w:bookmarkEnd w:id="545"/>
    <w:bookmarkEnd w:id="54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西湖区</w:t>
    </w:r>
    <w:r>
      <w:t>政府采购公开招标文件</w:t>
    </w:r>
  </w:p>
  <w:p>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西湖区</w:t>
    </w:r>
    <w:r>
      <w:t>政府采购公开招标文件</w:t>
    </w:r>
  </w:p>
  <w:p>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西湖区</w:t>
    </w:r>
    <w:r>
      <w:t>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rFonts w:hint="eastAsia"/>
      </w:rPr>
      <w:t>西湖区</w:t>
    </w:r>
    <w:r>
      <w:t>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西湖区</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西湖区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hint="eastAsia" w:ascii="仿宋_GB2312"/>
        <w:b/>
        <w:i/>
        <w:u w:val="single"/>
      </w:rPr>
    </w:pPr>
    <w:r>
      <w:t></w:t>
    </w:r>
    <w:r>
      <w:rPr>
        <w:rFonts w:hint="eastAsia"/>
      </w:rPr>
      <w:t xml:space="preserve">                                               西湖区政府采购公开招标文件</w:t>
    </w:r>
  </w:p>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r>
      <w:rPr>
        <w:rFonts w:hint="eastAsia"/>
      </w:rPr>
      <w:t xml:space="preserve">       </w:t>
    </w:r>
  </w:p>
  <w:p>
    <w:pPr>
      <w:pStyle w:val="40"/>
      <w:rPr>
        <w:rFonts w:hint="eastAsia"/>
      </w:rPr>
    </w:pPr>
    <w:r>
      <w:rPr>
        <w:rFonts w:hint="eastAsia"/>
      </w:rPr>
      <w:t xml:space="preserve">                                                                  西湖区政府采购公开招标文件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hint="eastAsia" w:ascii="仿宋_GB2312"/>
        <w:b/>
        <w:i/>
        <w:u w:val="single"/>
      </w:rPr>
    </w:pPr>
    <w:r>
      <w:t></w:t>
    </w:r>
    <w:r>
      <w:rPr>
        <w:rFonts w:hint="eastAsia"/>
      </w:rPr>
      <w:t xml:space="preserve">                                               西湖区政府采购公开招标文件</w:t>
    </w:r>
  </w:p>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西湖区</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pPr>
    <w:r>
      <w:rPr>
        <w:rFonts w:hint="eastAsia"/>
      </w:rPr>
      <w:t xml:space="preserve">                                                                 西湖区</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西湖区</w:t>
    </w:r>
    <w:r>
      <w:t>政府采购公开招标文件</w:t>
    </w:r>
  </w:p>
  <w:p>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西湖区</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2F32FB41"/>
    <w:multiLevelType w:val="singleLevel"/>
    <w:tmpl w:val="2F32FB41"/>
    <w:lvl w:ilvl="0" w:tentative="0">
      <w:start w:val="1"/>
      <w:numFmt w:val="decimal"/>
      <w:suff w:val="nothing"/>
      <w:lvlText w:val="%1、"/>
      <w:lvlJc w:val="left"/>
    </w:lvl>
  </w:abstractNum>
  <w:abstractNum w:abstractNumId="2">
    <w:nsid w:val="312F1724"/>
    <w:multiLevelType w:val="multilevel"/>
    <w:tmpl w:val="312F1724"/>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EE41A3"/>
    <w:multiLevelType w:val="singleLevel"/>
    <w:tmpl w:val="3FEE41A3"/>
    <w:lvl w:ilvl="0" w:tentative="0">
      <w:start w:val="1"/>
      <w:numFmt w:val="decimal"/>
      <w:lvlText w:val="%1"/>
      <w:lvlJc w:val="center"/>
      <w:pPr>
        <w:tabs>
          <w:tab w:val="left" w:pos="499"/>
        </w:tabs>
        <w:ind w:left="567" w:hanging="369"/>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OTNlYmFjNWEwY2VhYzNhNGMzYmMyYWI1YTRkOTc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A08"/>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6D0"/>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382"/>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56E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02F1"/>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186"/>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3DF"/>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2644"/>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5FFF"/>
    <w:rsid w:val="00FB63F6"/>
    <w:rsid w:val="00FB7823"/>
    <w:rsid w:val="00FC05B2"/>
    <w:rsid w:val="00FC08B3"/>
    <w:rsid w:val="00FC09D7"/>
    <w:rsid w:val="00FC0ABE"/>
    <w:rsid w:val="00FC1269"/>
    <w:rsid w:val="00FC22D0"/>
    <w:rsid w:val="00FC285C"/>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C32AB"/>
    <w:rsid w:val="011F6449"/>
    <w:rsid w:val="0123437B"/>
    <w:rsid w:val="01236AFB"/>
    <w:rsid w:val="01541149"/>
    <w:rsid w:val="015679D0"/>
    <w:rsid w:val="019F7441"/>
    <w:rsid w:val="01B37585"/>
    <w:rsid w:val="01C90301"/>
    <w:rsid w:val="01D55165"/>
    <w:rsid w:val="01DF6BF8"/>
    <w:rsid w:val="01EC2C57"/>
    <w:rsid w:val="01F50C0A"/>
    <w:rsid w:val="0224362A"/>
    <w:rsid w:val="02251CF9"/>
    <w:rsid w:val="025F0711"/>
    <w:rsid w:val="026B2E25"/>
    <w:rsid w:val="027240B0"/>
    <w:rsid w:val="02824D4D"/>
    <w:rsid w:val="02A55B44"/>
    <w:rsid w:val="02DC4B10"/>
    <w:rsid w:val="02DD76CE"/>
    <w:rsid w:val="02F36323"/>
    <w:rsid w:val="02F5619C"/>
    <w:rsid w:val="0326446A"/>
    <w:rsid w:val="032D5555"/>
    <w:rsid w:val="03307093"/>
    <w:rsid w:val="034A10D5"/>
    <w:rsid w:val="036634D2"/>
    <w:rsid w:val="03BE6034"/>
    <w:rsid w:val="03DD35E4"/>
    <w:rsid w:val="03FB03BA"/>
    <w:rsid w:val="04076900"/>
    <w:rsid w:val="041A5A3B"/>
    <w:rsid w:val="042311BA"/>
    <w:rsid w:val="042B157A"/>
    <w:rsid w:val="0432392B"/>
    <w:rsid w:val="044B7594"/>
    <w:rsid w:val="044D2C6F"/>
    <w:rsid w:val="048F763B"/>
    <w:rsid w:val="049F330E"/>
    <w:rsid w:val="049F63A5"/>
    <w:rsid w:val="04AA775C"/>
    <w:rsid w:val="04AF1889"/>
    <w:rsid w:val="04B9487B"/>
    <w:rsid w:val="04F33787"/>
    <w:rsid w:val="04F66F48"/>
    <w:rsid w:val="05251E14"/>
    <w:rsid w:val="05342432"/>
    <w:rsid w:val="055B6897"/>
    <w:rsid w:val="058A36E6"/>
    <w:rsid w:val="05A16594"/>
    <w:rsid w:val="05A7762D"/>
    <w:rsid w:val="05BB22D0"/>
    <w:rsid w:val="05DD4263"/>
    <w:rsid w:val="05F10B7C"/>
    <w:rsid w:val="060E5941"/>
    <w:rsid w:val="06110FAF"/>
    <w:rsid w:val="06493CA7"/>
    <w:rsid w:val="06544FE4"/>
    <w:rsid w:val="065A6178"/>
    <w:rsid w:val="066F1CF3"/>
    <w:rsid w:val="06930BB8"/>
    <w:rsid w:val="06DD48E1"/>
    <w:rsid w:val="07245D42"/>
    <w:rsid w:val="07264C62"/>
    <w:rsid w:val="072E3409"/>
    <w:rsid w:val="0779354C"/>
    <w:rsid w:val="08061376"/>
    <w:rsid w:val="08452D77"/>
    <w:rsid w:val="086401F8"/>
    <w:rsid w:val="08751CAA"/>
    <w:rsid w:val="087E4C40"/>
    <w:rsid w:val="08A871D0"/>
    <w:rsid w:val="08D66AD6"/>
    <w:rsid w:val="08DA33A3"/>
    <w:rsid w:val="08E80F13"/>
    <w:rsid w:val="09272004"/>
    <w:rsid w:val="09280C56"/>
    <w:rsid w:val="09335624"/>
    <w:rsid w:val="0944690F"/>
    <w:rsid w:val="09535675"/>
    <w:rsid w:val="095F057D"/>
    <w:rsid w:val="09642282"/>
    <w:rsid w:val="09733572"/>
    <w:rsid w:val="09772C16"/>
    <w:rsid w:val="098353B5"/>
    <w:rsid w:val="09A92330"/>
    <w:rsid w:val="09B06B87"/>
    <w:rsid w:val="09BB2363"/>
    <w:rsid w:val="09C13146"/>
    <w:rsid w:val="09D25A0C"/>
    <w:rsid w:val="09E04166"/>
    <w:rsid w:val="09EC05A4"/>
    <w:rsid w:val="0A1C0718"/>
    <w:rsid w:val="0A3E7710"/>
    <w:rsid w:val="0A4153BD"/>
    <w:rsid w:val="0A5B7E63"/>
    <w:rsid w:val="0A5D6CD6"/>
    <w:rsid w:val="0AA374A5"/>
    <w:rsid w:val="0AAB7649"/>
    <w:rsid w:val="0ABC5606"/>
    <w:rsid w:val="0B0644FD"/>
    <w:rsid w:val="0B30404E"/>
    <w:rsid w:val="0B4C5836"/>
    <w:rsid w:val="0B4C6C14"/>
    <w:rsid w:val="0B547599"/>
    <w:rsid w:val="0B631A88"/>
    <w:rsid w:val="0B683D45"/>
    <w:rsid w:val="0B7F3F11"/>
    <w:rsid w:val="0B884417"/>
    <w:rsid w:val="0BA66F6F"/>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56F6F"/>
    <w:rsid w:val="0D184CFB"/>
    <w:rsid w:val="0D1A2301"/>
    <w:rsid w:val="0D390E53"/>
    <w:rsid w:val="0D4A7419"/>
    <w:rsid w:val="0D827401"/>
    <w:rsid w:val="0D84094E"/>
    <w:rsid w:val="0D8A00E9"/>
    <w:rsid w:val="0D8D589E"/>
    <w:rsid w:val="0D957AD2"/>
    <w:rsid w:val="0DA01C73"/>
    <w:rsid w:val="0DD63300"/>
    <w:rsid w:val="0DF50604"/>
    <w:rsid w:val="0DF702FE"/>
    <w:rsid w:val="0DF84D71"/>
    <w:rsid w:val="0E060E51"/>
    <w:rsid w:val="0E5604B2"/>
    <w:rsid w:val="0E6D5D79"/>
    <w:rsid w:val="0E9D0089"/>
    <w:rsid w:val="0EB803EE"/>
    <w:rsid w:val="0EF94D4B"/>
    <w:rsid w:val="0F4958DC"/>
    <w:rsid w:val="0F515DF7"/>
    <w:rsid w:val="0F52772B"/>
    <w:rsid w:val="0F596BA8"/>
    <w:rsid w:val="0F5C1EE6"/>
    <w:rsid w:val="0F6248D2"/>
    <w:rsid w:val="0F693536"/>
    <w:rsid w:val="0F7B0511"/>
    <w:rsid w:val="0F7B76D9"/>
    <w:rsid w:val="0F816ACD"/>
    <w:rsid w:val="0F8B4F1D"/>
    <w:rsid w:val="0F9832DB"/>
    <w:rsid w:val="0FBF3FD2"/>
    <w:rsid w:val="0FBF7FF3"/>
    <w:rsid w:val="0FDC5544"/>
    <w:rsid w:val="1054157E"/>
    <w:rsid w:val="10646583"/>
    <w:rsid w:val="10750A53"/>
    <w:rsid w:val="107D4B15"/>
    <w:rsid w:val="108A3C80"/>
    <w:rsid w:val="10A654EE"/>
    <w:rsid w:val="10C26171"/>
    <w:rsid w:val="10C70674"/>
    <w:rsid w:val="10CA6F12"/>
    <w:rsid w:val="10D91757"/>
    <w:rsid w:val="10E362BD"/>
    <w:rsid w:val="10F33360"/>
    <w:rsid w:val="10FC16EA"/>
    <w:rsid w:val="11035DE8"/>
    <w:rsid w:val="110B454A"/>
    <w:rsid w:val="110F1D40"/>
    <w:rsid w:val="11266F33"/>
    <w:rsid w:val="11556EAD"/>
    <w:rsid w:val="1158509E"/>
    <w:rsid w:val="11692E07"/>
    <w:rsid w:val="118963A1"/>
    <w:rsid w:val="11C6522A"/>
    <w:rsid w:val="11E104CC"/>
    <w:rsid w:val="11E20309"/>
    <w:rsid w:val="11F178D3"/>
    <w:rsid w:val="1202500A"/>
    <w:rsid w:val="12255233"/>
    <w:rsid w:val="123D1751"/>
    <w:rsid w:val="12486119"/>
    <w:rsid w:val="12530213"/>
    <w:rsid w:val="127723A9"/>
    <w:rsid w:val="12862074"/>
    <w:rsid w:val="12875E14"/>
    <w:rsid w:val="12883966"/>
    <w:rsid w:val="129E45B4"/>
    <w:rsid w:val="12D15366"/>
    <w:rsid w:val="12D81596"/>
    <w:rsid w:val="12EF1A32"/>
    <w:rsid w:val="13072A44"/>
    <w:rsid w:val="13326359"/>
    <w:rsid w:val="133D7AFB"/>
    <w:rsid w:val="1346452F"/>
    <w:rsid w:val="135B54DB"/>
    <w:rsid w:val="135F4BE2"/>
    <w:rsid w:val="139B1A0A"/>
    <w:rsid w:val="139D25C7"/>
    <w:rsid w:val="13A10F7E"/>
    <w:rsid w:val="13BF3CE4"/>
    <w:rsid w:val="1405452A"/>
    <w:rsid w:val="141008D8"/>
    <w:rsid w:val="14125FE6"/>
    <w:rsid w:val="141A2ADF"/>
    <w:rsid w:val="146D271E"/>
    <w:rsid w:val="14982588"/>
    <w:rsid w:val="149A5AD9"/>
    <w:rsid w:val="14A7619D"/>
    <w:rsid w:val="14DB462C"/>
    <w:rsid w:val="14FB5D1B"/>
    <w:rsid w:val="150536C3"/>
    <w:rsid w:val="150C1963"/>
    <w:rsid w:val="151439D2"/>
    <w:rsid w:val="151447A0"/>
    <w:rsid w:val="154A6454"/>
    <w:rsid w:val="15555725"/>
    <w:rsid w:val="15762120"/>
    <w:rsid w:val="157624AF"/>
    <w:rsid w:val="165E7F28"/>
    <w:rsid w:val="167E718A"/>
    <w:rsid w:val="169D3398"/>
    <w:rsid w:val="16A8729C"/>
    <w:rsid w:val="16B33777"/>
    <w:rsid w:val="16BC70A7"/>
    <w:rsid w:val="16C6339E"/>
    <w:rsid w:val="16FE6D41"/>
    <w:rsid w:val="172F2D79"/>
    <w:rsid w:val="17557BEF"/>
    <w:rsid w:val="176C0058"/>
    <w:rsid w:val="17D349C1"/>
    <w:rsid w:val="17DC50A7"/>
    <w:rsid w:val="18242340"/>
    <w:rsid w:val="1830729E"/>
    <w:rsid w:val="1870062C"/>
    <w:rsid w:val="18817102"/>
    <w:rsid w:val="18830A15"/>
    <w:rsid w:val="18852B28"/>
    <w:rsid w:val="188B5321"/>
    <w:rsid w:val="189D783A"/>
    <w:rsid w:val="18F50886"/>
    <w:rsid w:val="193C7053"/>
    <w:rsid w:val="197C0F51"/>
    <w:rsid w:val="19932372"/>
    <w:rsid w:val="19A20DD5"/>
    <w:rsid w:val="19A94BA0"/>
    <w:rsid w:val="19AE03F1"/>
    <w:rsid w:val="1A071A03"/>
    <w:rsid w:val="1A1F16AE"/>
    <w:rsid w:val="1A3B5C77"/>
    <w:rsid w:val="1A5C781E"/>
    <w:rsid w:val="1A984BAD"/>
    <w:rsid w:val="1A9961E9"/>
    <w:rsid w:val="1AB549F1"/>
    <w:rsid w:val="1AB8220E"/>
    <w:rsid w:val="1AE4166C"/>
    <w:rsid w:val="1AF06CFB"/>
    <w:rsid w:val="1AF11B8D"/>
    <w:rsid w:val="1B09565B"/>
    <w:rsid w:val="1B11359C"/>
    <w:rsid w:val="1B2A271F"/>
    <w:rsid w:val="1B385835"/>
    <w:rsid w:val="1B506DE6"/>
    <w:rsid w:val="1B530544"/>
    <w:rsid w:val="1B713184"/>
    <w:rsid w:val="1B7E18ED"/>
    <w:rsid w:val="1B83082F"/>
    <w:rsid w:val="1BA209CF"/>
    <w:rsid w:val="1BB4777D"/>
    <w:rsid w:val="1BBD7862"/>
    <w:rsid w:val="1BC4480A"/>
    <w:rsid w:val="1BD75AB8"/>
    <w:rsid w:val="1C0459C2"/>
    <w:rsid w:val="1C183DA8"/>
    <w:rsid w:val="1C1B3B4A"/>
    <w:rsid w:val="1C6849E9"/>
    <w:rsid w:val="1C88086E"/>
    <w:rsid w:val="1CD852E5"/>
    <w:rsid w:val="1D266CE1"/>
    <w:rsid w:val="1D3963AF"/>
    <w:rsid w:val="1D55566A"/>
    <w:rsid w:val="1D570B7F"/>
    <w:rsid w:val="1D6372A4"/>
    <w:rsid w:val="1D6A673C"/>
    <w:rsid w:val="1D9247AE"/>
    <w:rsid w:val="1DB567EC"/>
    <w:rsid w:val="1DD27F86"/>
    <w:rsid w:val="1DEF8348"/>
    <w:rsid w:val="1DF428D0"/>
    <w:rsid w:val="1DF51A98"/>
    <w:rsid w:val="1E033075"/>
    <w:rsid w:val="1E1561BA"/>
    <w:rsid w:val="1E3D060F"/>
    <w:rsid w:val="1E3F7D2E"/>
    <w:rsid w:val="1E4134E4"/>
    <w:rsid w:val="1E5062B3"/>
    <w:rsid w:val="1E523514"/>
    <w:rsid w:val="1E714A66"/>
    <w:rsid w:val="1E802593"/>
    <w:rsid w:val="1E8B6156"/>
    <w:rsid w:val="1EA703CC"/>
    <w:rsid w:val="1EB7330C"/>
    <w:rsid w:val="1F0A0FF3"/>
    <w:rsid w:val="1F5771FF"/>
    <w:rsid w:val="1FAE13DA"/>
    <w:rsid w:val="1FDE6F42"/>
    <w:rsid w:val="1FE868A9"/>
    <w:rsid w:val="20034907"/>
    <w:rsid w:val="20123A41"/>
    <w:rsid w:val="20173E4B"/>
    <w:rsid w:val="203A3B01"/>
    <w:rsid w:val="204E48BC"/>
    <w:rsid w:val="20504742"/>
    <w:rsid w:val="20743D86"/>
    <w:rsid w:val="208921B3"/>
    <w:rsid w:val="20973DEB"/>
    <w:rsid w:val="20B26522"/>
    <w:rsid w:val="20B44310"/>
    <w:rsid w:val="20BA3D5E"/>
    <w:rsid w:val="20F12B13"/>
    <w:rsid w:val="21046E16"/>
    <w:rsid w:val="211116EB"/>
    <w:rsid w:val="2111256C"/>
    <w:rsid w:val="2159573F"/>
    <w:rsid w:val="216133FC"/>
    <w:rsid w:val="21875FBF"/>
    <w:rsid w:val="21D56769"/>
    <w:rsid w:val="21E52EF3"/>
    <w:rsid w:val="21FB5D7B"/>
    <w:rsid w:val="22015E94"/>
    <w:rsid w:val="220B1C3D"/>
    <w:rsid w:val="220C104A"/>
    <w:rsid w:val="221D1D20"/>
    <w:rsid w:val="22334A87"/>
    <w:rsid w:val="22410236"/>
    <w:rsid w:val="22A77C33"/>
    <w:rsid w:val="22B84145"/>
    <w:rsid w:val="22BE6801"/>
    <w:rsid w:val="22CD67A8"/>
    <w:rsid w:val="22E444EC"/>
    <w:rsid w:val="233500BF"/>
    <w:rsid w:val="23377FF7"/>
    <w:rsid w:val="236B425F"/>
    <w:rsid w:val="23836192"/>
    <w:rsid w:val="23901F29"/>
    <w:rsid w:val="239C0061"/>
    <w:rsid w:val="239E1C75"/>
    <w:rsid w:val="23B908A4"/>
    <w:rsid w:val="23E95BEF"/>
    <w:rsid w:val="23FD0064"/>
    <w:rsid w:val="24132770"/>
    <w:rsid w:val="244451FC"/>
    <w:rsid w:val="24476BBD"/>
    <w:rsid w:val="245375B0"/>
    <w:rsid w:val="24642C0A"/>
    <w:rsid w:val="24B22173"/>
    <w:rsid w:val="24B95AD9"/>
    <w:rsid w:val="24BE24DA"/>
    <w:rsid w:val="24CF5825"/>
    <w:rsid w:val="24D663E6"/>
    <w:rsid w:val="24D77F2B"/>
    <w:rsid w:val="256D1C89"/>
    <w:rsid w:val="258B00E2"/>
    <w:rsid w:val="25A917A6"/>
    <w:rsid w:val="25BE27CC"/>
    <w:rsid w:val="25CC175F"/>
    <w:rsid w:val="25D235A2"/>
    <w:rsid w:val="25F74A5C"/>
    <w:rsid w:val="2628662C"/>
    <w:rsid w:val="262D45DE"/>
    <w:rsid w:val="266619D9"/>
    <w:rsid w:val="26871DC8"/>
    <w:rsid w:val="269B464F"/>
    <w:rsid w:val="26A53EF9"/>
    <w:rsid w:val="26A94201"/>
    <w:rsid w:val="26AC274F"/>
    <w:rsid w:val="27044A29"/>
    <w:rsid w:val="271D34C8"/>
    <w:rsid w:val="274716AC"/>
    <w:rsid w:val="275D69B6"/>
    <w:rsid w:val="276142BF"/>
    <w:rsid w:val="27783712"/>
    <w:rsid w:val="278B7A6D"/>
    <w:rsid w:val="27907362"/>
    <w:rsid w:val="27DF39CB"/>
    <w:rsid w:val="2805783E"/>
    <w:rsid w:val="28333E1D"/>
    <w:rsid w:val="28454BD6"/>
    <w:rsid w:val="28455253"/>
    <w:rsid w:val="28551971"/>
    <w:rsid w:val="285B1C53"/>
    <w:rsid w:val="289F7086"/>
    <w:rsid w:val="28C32028"/>
    <w:rsid w:val="28CC490F"/>
    <w:rsid w:val="28DE40AA"/>
    <w:rsid w:val="28DF17A9"/>
    <w:rsid w:val="28E514B5"/>
    <w:rsid w:val="290F7686"/>
    <w:rsid w:val="29345E77"/>
    <w:rsid w:val="29363ABF"/>
    <w:rsid w:val="294C65AD"/>
    <w:rsid w:val="29806583"/>
    <w:rsid w:val="298B3C4C"/>
    <w:rsid w:val="29914557"/>
    <w:rsid w:val="29D539A8"/>
    <w:rsid w:val="29F26D24"/>
    <w:rsid w:val="2A15033F"/>
    <w:rsid w:val="2A1662C1"/>
    <w:rsid w:val="2A1C7367"/>
    <w:rsid w:val="2A21651D"/>
    <w:rsid w:val="2A2815FA"/>
    <w:rsid w:val="2A4006F6"/>
    <w:rsid w:val="2A6D6092"/>
    <w:rsid w:val="2A7D76B4"/>
    <w:rsid w:val="2A8B7165"/>
    <w:rsid w:val="2AE83D45"/>
    <w:rsid w:val="2AFD47A6"/>
    <w:rsid w:val="2B437463"/>
    <w:rsid w:val="2B4F2C16"/>
    <w:rsid w:val="2B7807EE"/>
    <w:rsid w:val="2BA50BF7"/>
    <w:rsid w:val="2BBF00EC"/>
    <w:rsid w:val="2BC37CFD"/>
    <w:rsid w:val="2BD5237F"/>
    <w:rsid w:val="2BE536CE"/>
    <w:rsid w:val="2BE758D9"/>
    <w:rsid w:val="2C09049E"/>
    <w:rsid w:val="2C0A653C"/>
    <w:rsid w:val="2C191F85"/>
    <w:rsid w:val="2CCB67BD"/>
    <w:rsid w:val="2CE82D6F"/>
    <w:rsid w:val="2D343236"/>
    <w:rsid w:val="2D3D7B03"/>
    <w:rsid w:val="2D6044C5"/>
    <w:rsid w:val="2D6E226B"/>
    <w:rsid w:val="2D973713"/>
    <w:rsid w:val="2DA8073A"/>
    <w:rsid w:val="2DD15014"/>
    <w:rsid w:val="2DE87C12"/>
    <w:rsid w:val="2DF72DE4"/>
    <w:rsid w:val="2E0220AF"/>
    <w:rsid w:val="2E0B7C6B"/>
    <w:rsid w:val="2E4B082A"/>
    <w:rsid w:val="2E5D4E86"/>
    <w:rsid w:val="2E5D790B"/>
    <w:rsid w:val="2E7A26A0"/>
    <w:rsid w:val="2E9A3C18"/>
    <w:rsid w:val="2EBB0FEE"/>
    <w:rsid w:val="2EC63002"/>
    <w:rsid w:val="2F0A6B38"/>
    <w:rsid w:val="2F3108C4"/>
    <w:rsid w:val="2F4D3B17"/>
    <w:rsid w:val="2F946CCB"/>
    <w:rsid w:val="2FB87BF6"/>
    <w:rsid w:val="2FD25781"/>
    <w:rsid w:val="2FDC745C"/>
    <w:rsid w:val="2FFD7934"/>
    <w:rsid w:val="306E3B3E"/>
    <w:rsid w:val="30733ACD"/>
    <w:rsid w:val="307A64D1"/>
    <w:rsid w:val="308C3862"/>
    <w:rsid w:val="309379D8"/>
    <w:rsid w:val="309B7F64"/>
    <w:rsid w:val="30A270F7"/>
    <w:rsid w:val="30BA3228"/>
    <w:rsid w:val="30DD3443"/>
    <w:rsid w:val="30DF1478"/>
    <w:rsid w:val="30EC586F"/>
    <w:rsid w:val="31175E86"/>
    <w:rsid w:val="319C6071"/>
    <w:rsid w:val="31A1054D"/>
    <w:rsid w:val="31AC537E"/>
    <w:rsid w:val="31D411CA"/>
    <w:rsid w:val="31E3559F"/>
    <w:rsid w:val="31E3679B"/>
    <w:rsid w:val="31E732FD"/>
    <w:rsid w:val="3248651D"/>
    <w:rsid w:val="324B0876"/>
    <w:rsid w:val="32517576"/>
    <w:rsid w:val="32BE5C2C"/>
    <w:rsid w:val="32D70846"/>
    <w:rsid w:val="32DC56D7"/>
    <w:rsid w:val="32FB6478"/>
    <w:rsid w:val="3303324A"/>
    <w:rsid w:val="33263B3F"/>
    <w:rsid w:val="332E2CA3"/>
    <w:rsid w:val="33394111"/>
    <w:rsid w:val="336963EB"/>
    <w:rsid w:val="33816EEB"/>
    <w:rsid w:val="33B027B6"/>
    <w:rsid w:val="33DC5263"/>
    <w:rsid w:val="33EB55CD"/>
    <w:rsid w:val="33EC4C02"/>
    <w:rsid w:val="340D2360"/>
    <w:rsid w:val="3410665D"/>
    <w:rsid w:val="34211214"/>
    <w:rsid w:val="342E63AB"/>
    <w:rsid w:val="34950E68"/>
    <w:rsid w:val="34986E94"/>
    <w:rsid w:val="34AF62C9"/>
    <w:rsid w:val="34CB4388"/>
    <w:rsid w:val="34FA6E12"/>
    <w:rsid w:val="352D0401"/>
    <w:rsid w:val="354D7158"/>
    <w:rsid w:val="358D5588"/>
    <w:rsid w:val="35B1059E"/>
    <w:rsid w:val="35E7FDE1"/>
    <w:rsid w:val="35EB5C31"/>
    <w:rsid w:val="35FA00EE"/>
    <w:rsid w:val="35FF57A6"/>
    <w:rsid w:val="36140A09"/>
    <w:rsid w:val="363A3B40"/>
    <w:rsid w:val="365302AE"/>
    <w:rsid w:val="365E5857"/>
    <w:rsid w:val="36607A0A"/>
    <w:rsid w:val="366E227C"/>
    <w:rsid w:val="366F2E0D"/>
    <w:rsid w:val="3672468B"/>
    <w:rsid w:val="367B6A5C"/>
    <w:rsid w:val="36806379"/>
    <w:rsid w:val="369E361B"/>
    <w:rsid w:val="36A74ADA"/>
    <w:rsid w:val="36AD60D5"/>
    <w:rsid w:val="36B224F9"/>
    <w:rsid w:val="36EC0CC9"/>
    <w:rsid w:val="37377380"/>
    <w:rsid w:val="373D4ECF"/>
    <w:rsid w:val="373F410B"/>
    <w:rsid w:val="37842308"/>
    <w:rsid w:val="37958E18"/>
    <w:rsid w:val="37C1033F"/>
    <w:rsid w:val="37DA7D0B"/>
    <w:rsid w:val="37EE7094"/>
    <w:rsid w:val="38296C89"/>
    <w:rsid w:val="383002EB"/>
    <w:rsid w:val="38366E7F"/>
    <w:rsid w:val="384A4E91"/>
    <w:rsid w:val="385407E6"/>
    <w:rsid w:val="38586797"/>
    <w:rsid w:val="38B65EC5"/>
    <w:rsid w:val="38BC0149"/>
    <w:rsid w:val="38D87D1C"/>
    <w:rsid w:val="39143840"/>
    <w:rsid w:val="39177F29"/>
    <w:rsid w:val="393C1EBB"/>
    <w:rsid w:val="395835DE"/>
    <w:rsid w:val="39636459"/>
    <w:rsid w:val="396B7F6C"/>
    <w:rsid w:val="399D6E3A"/>
    <w:rsid w:val="39B417A9"/>
    <w:rsid w:val="39BF540B"/>
    <w:rsid w:val="39FC5695"/>
    <w:rsid w:val="3A006D8E"/>
    <w:rsid w:val="3A234986"/>
    <w:rsid w:val="3A254876"/>
    <w:rsid w:val="3A3651E5"/>
    <w:rsid w:val="3A425723"/>
    <w:rsid w:val="3A544C74"/>
    <w:rsid w:val="3A744481"/>
    <w:rsid w:val="3A772A1D"/>
    <w:rsid w:val="3A8C7BEF"/>
    <w:rsid w:val="3A906246"/>
    <w:rsid w:val="3B2349B7"/>
    <w:rsid w:val="3B616CFF"/>
    <w:rsid w:val="3B6259F6"/>
    <w:rsid w:val="3B7F9741"/>
    <w:rsid w:val="3B937886"/>
    <w:rsid w:val="3B976654"/>
    <w:rsid w:val="3BC01EFC"/>
    <w:rsid w:val="3BCA786A"/>
    <w:rsid w:val="3BD157FC"/>
    <w:rsid w:val="3BD31E2F"/>
    <w:rsid w:val="3BF15831"/>
    <w:rsid w:val="3C105946"/>
    <w:rsid w:val="3C173E25"/>
    <w:rsid w:val="3C471448"/>
    <w:rsid w:val="3C5F759A"/>
    <w:rsid w:val="3C6C525A"/>
    <w:rsid w:val="3CB054DF"/>
    <w:rsid w:val="3CCE23CB"/>
    <w:rsid w:val="3CD17D17"/>
    <w:rsid w:val="3CFF4461"/>
    <w:rsid w:val="3D0E2029"/>
    <w:rsid w:val="3D3C7F39"/>
    <w:rsid w:val="3D440F09"/>
    <w:rsid w:val="3D4504A0"/>
    <w:rsid w:val="3D8734BB"/>
    <w:rsid w:val="3D9A11D4"/>
    <w:rsid w:val="3DA07CFC"/>
    <w:rsid w:val="3DA16D89"/>
    <w:rsid w:val="3DA364BE"/>
    <w:rsid w:val="3DE041CB"/>
    <w:rsid w:val="3E0D48F6"/>
    <w:rsid w:val="3E1868B4"/>
    <w:rsid w:val="3E377251"/>
    <w:rsid w:val="3E42664B"/>
    <w:rsid w:val="3E4C62AE"/>
    <w:rsid w:val="3E5A7334"/>
    <w:rsid w:val="3E73788E"/>
    <w:rsid w:val="3E7B5D6B"/>
    <w:rsid w:val="3E843E66"/>
    <w:rsid w:val="3E8B7FB1"/>
    <w:rsid w:val="3E8F51FE"/>
    <w:rsid w:val="3E926F87"/>
    <w:rsid w:val="3E9A59DE"/>
    <w:rsid w:val="3EAF4836"/>
    <w:rsid w:val="3EB648C0"/>
    <w:rsid w:val="3EC33DFA"/>
    <w:rsid w:val="3EEA117C"/>
    <w:rsid w:val="3F060E16"/>
    <w:rsid w:val="3F1D1096"/>
    <w:rsid w:val="3F2F0234"/>
    <w:rsid w:val="3F6363FE"/>
    <w:rsid w:val="3F756B8F"/>
    <w:rsid w:val="3F7E5A0A"/>
    <w:rsid w:val="3F95482B"/>
    <w:rsid w:val="3FAC2049"/>
    <w:rsid w:val="3FB12ADB"/>
    <w:rsid w:val="3FCC6CB6"/>
    <w:rsid w:val="4019356B"/>
    <w:rsid w:val="40592157"/>
    <w:rsid w:val="406E1CAE"/>
    <w:rsid w:val="407E4DEC"/>
    <w:rsid w:val="40A0133A"/>
    <w:rsid w:val="40AE2DE8"/>
    <w:rsid w:val="40C31A53"/>
    <w:rsid w:val="40FF545D"/>
    <w:rsid w:val="410067C8"/>
    <w:rsid w:val="410D171D"/>
    <w:rsid w:val="41151DB4"/>
    <w:rsid w:val="411F1390"/>
    <w:rsid w:val="4139159A"/>
    <w:rsid w:val="417506DF"/>
    <w:rsid w:val="418F0D2A"/>
    <w:rsid w:val="41D01505"/>
    <w:rsid w:val="42241E8F"/>
    <w:rsid w:val="42474939"/>
    <w:rsid w:val="424C3C57"/>
    <w:rsid w:val="42613FF3"/>
    <w:rsid w:val="42660D96"/>
    <w:rsid w:val="428667D2"/>
    <w:rsid w:val="42CD1CE0"/>
    <w:rsid w:val="42E1381E"/>
    <w:rsid w:val="42ED6459"/>
    <w:rsid w:val="42FE58DD"/>
    <w:rsid w:val="43174B3D"/>
    <w:rsid w:val="43316CF3"/>
    <w:rsid w:val="434B790E"/>
    <w:rsid w:val="4360274F"/>
    <w:rsid w:val="43977AB6"/>
    <w:rsid w:val="439A302D"/>
    <w:rsid w:val="43A3342B"/>
    <w:rsid w:val="43AC5CEE"/>
    <w:rsid w:val="43C77C27"/>
    <w:rsid w:val="43D33CD8"/>
    <w:rsid w:val="43DE09EE"/>
    <w:rsid w:val="43F1369A"/>
    <w:rsid w:val="43F565F9"/>
    <w:rsid w:val="44002FAD"/>
    <w:rsid w:val="441049FE"/>
    <w:rsid w:val="449101DD"/>
    <w:rsid w:val="44C21719"/>
    <w:rsid w:val="44DE1391"/>
    <w:rsid w:val="44E34E30"/>
    <w:rsid w:val="44F06DC0"/>
    <w:rsid w:val="4517259F"/>
    <w:rsid w:val="451B225C"/>
    <w:rsid w:val="452410C9"/>
    <w:rsid w:val="45317DFB"/>
    <w:rsid w:val="456D3CE4"/>
    <w:rsid w:val="4579042C"/>
    <w:rsid w:val="457F0571"/>
    <w:rsid w:val="45851176"/>
    <w:rsid w:val="45C10595"/>
    <w:rsid w:val="45C63B94"/>
    <w:rsid w:val="460E7DA5"/>
    <w:rsid w:val="46401937"/>
    <w:rsid w:val="46422483"/>
    <w:rsid w:val="4659254A"/>
    <w:rsid w:val="465B0637"/>
    <w:rsid w:val="465E3F0D"/>
    <w:rsid w:val="466A16E6"/>
    <w:rsid w:val="46893F2B"/>
    <w:rsid w:val="46AF61FB"/>
    <w:rsid w:val="46C4686E"/>
    <w:rsid w:val="46CB5810"/>
    <w:rsid w:val="46D31A9E"/>
    <w:rsid w:val="475C24EB"/>
    <w:rsid w:val="476475F1"/>
    <w:rsid w:val="477B778F"/>
    <w:rsid w:val="477E73BF"/>
    <w:rsid w:val="478203EC"/>
    <w:rsid w:val="47B025FA"/>
    <w:rsid w:val="47F31563"/>
    <w:rsid w:val="4809698F"/>
    <w:rsid w:val="480C7B7A"/>
    <w:rsid w:val="4811697D"/>
    <w:rsid w:val="483C3354"/>
    <w:rsid w:val="485E078C"/>
    <w:rsid w:val="487A3E25"/>
    <w:rsid w:val="488B5503"/>
    <w:rsid w:val="48937E21"/>
    <w:rsid w:val="489A0361"/>
    <w:rsid w:val="48B620CF"/>
    <w:rsid w:val="48B94FF3"/>
    <w:rsid w:val="48E37AAB"/>
    <w:rsid w:val="48FD4B4C"/>
    <w:rsid w:val="4907092E"/>
    <w:rsid w:val="490A68E0"/>
    <w:rsid w:val="491055FE"/>
    <w:rsid w:val="495F5B3E"/>
    <w:rsid w:val="496F77D7"/>
    <w:rsid w:val="497654FD"/>
    <w:rsid w:val="49A12999"/>
    <w:rsid w:val="49B64211"/>
    <w:rsid w:val="49F41101"/>
    <w:rsid w:val="49F6167F"/>
    <w:rsid w:val="4A043318"/>
    <w:rsid w:val="4A064FA0"/>
    <w:rsid w:val="4A16615C"/>
    <w:rsid w:val="4A4424D7"/>
    <w:rsid w:val="4AB82D0F"/>
    <w:rsid w:val="4ABC0DB9"/>
    <w:rsid w:val="4AEB7664"/>
    <w:rsid w:val="4AFD7C19"/>
    <w:rsid w:val="4B0567D1"/>
    <w:rsid w:val="4B236AAE"/>
    <w:rsid w:val="4B5160DF"/>
    <w:rsid w:val="4B707271"/>
    <w:rsid w:val="4B9739F7"/>
    <w:rsid w:val="4BEE2503"/>
    <w:rsid w:val="4C0253BF"/>
    <w:rsid w:val="4C245A30"/>
    <w:rsid w:val="4C2757BD"/>
    <w:rsid w:val="4C885B30"/>
    <w:rsid w:val="4C9676DB"/>
    <w:rsid w:val="4C9E35A6"/>
    <w:rsid w:val="4CB6685F"/>
    <w:rsid w:val="4CBD3199"/>
    <w:rsid w:val="4CC367FE"/>
    <w:rsid w:val="4CFC466E"/>
    <w:rsid w:val="4D077F3C"/>
    <w:rsid w:val="4D123355"/>
    <w:rsid w:val="4D2A3B31"/>
    <w:rsid w:val="4D312C52"/>
    <w:rsid w:val="4D550108"/>
    <w:rsid w:val="4D794AC2"/>
    <w:rsid w:val="4D905305"/>
    <w:rsid w:val="4D964A72"/>
    <w:rsid w:val="4D9C1254"/>
    <w:rsid w:val="4D9C6E2F"/>
    <w:rsid w:val="4DF2725F"/>
    <w:rsid w:val="4E3576E6"/>
    <w:rsid w:val="4E5054FE"/>
    <w:rsid w:val="4E54216E"/>
    <w:rsid w:val="4E693057"/>
    <w:rsid w:val="4E793892"/>
    <w:rsid w:val="4E800872"/>
    <w:rsid w:val="4E976EE4"/>
    <w:rsid w:val="4EC569ED"/>
    <w:rsid w:val="4ED355CB"/>
    <w:rsid w:val="4ED50EA1"/>
    <w:rsid w:val="4EEC050C"/>
    <w:rsid w:val="4F0E4FE6"/>
    <w:rsid w:val="4F104EC3"/>
    <w:rsid w:val="4F2F6737"/>
    <w:rsid w:val="4F47354A"/>
    <w:rsid w:val="4F82557B"/>
    <w:rsid w:val="4F911C54"/>
    <w:rsid w:val="4FE625E0"/>
    <w:rsid w:val="5021480F"/>
    <w:rsid w:val="50650093"/>
    <w:rsid w:val="50962ECB"/>
    <w:rsid w:val="50A42E38"/>
    <w:rsid w:val="50A4577F"/>
    <w:rsid w:val="50A948F7"/>
    <w:rsid w:val="50B73D1F"/>
    <w:rsid w:val="50BD5BC9"/>
    <w:rsid w:val="50C11EEE"/>
    <w:rsid w:val="50E249D7"/>
    <w:rsid w:val="50E97CFC"/>
    <w:rsid w:val="50FA4028"/>
    <w:rsid w:val="510D65B7"/>
    <w:rsid w:val="511157AB"/>
    <w:rsid w:val="512172AC"/>
    <w:rsid w:val="5142540C"/>
    <w:rsid w:val="517D7EB1"/>
    <w:rsid w:val="518832C8"/>
    <w:rsid w:val="519D3C50"/>
    <w:rsid w:val="51A0432A"/>
    <w:rsid w:val="51A86090"/>
    <w:rsid w:val="51B7396D"/>
    <w:rsid w:val="51DD00A4"/>
    <w:rsid w:val="522E4CC3"/>
    <w:rsid w:val="523A7DED"/>
    <w:rsid w:val="523E73BD"/>
    <w:rsid w:val="5244713B"/>
    <w:rsid w:val="52615633"/>
    <w:rsid w:val="526A01B2"/>
    <w:rsid w:val="526F4DE4"/>
    <w:rsid w:val="52977FD4"/>
    <w:rsid w:val="529E4679"/>
    <w:rsid w:val="52A25790"/>
    <w:rsid w:val="52A96B6F"/>
    <w:rsid w:val="52B45975"/>
    <w:rsid w:val="52D94AA4"/>
    <w:rsid w:val="52EA3A62"/>
    <w:rsid w:val="52F50BB8"/>
    <w:rsid w:val="5305459B"/>
    <w:rsid w:val="53097272"/>
    <w:rsid w:val="53472776"/>
    <w:rsid w:val="5348333F"/>
    <w:rsid w:val="53544462"/>
    <w:rsid w:val="5397158E"/>
    <w:rsid w:val="53E0189E"/>
    <w:rsid w:val="53F56B69"/>
    <w:rsid w:val="54013861"/>
    <w:rsid w:val="54486E1F"/>
    <w:rsid w:val="54487265"/>
    <w:rsid w:val="544D6070"/>
    <w:rsid w:val="54605E1E"/>
    <w:rsid w:val="546C03EF"/>
    <w:rsid w:val="54B3506A"/>
    <w:rsid w:val="54B52BAA"/>
    <w:rsid w:val="54BE2914"/>
    <w:rsid w:val="54CA0D16"/>
    <w:rsid w:val="54DD4057"/>
    <w:rsid w:val="54E7490F"/>
    <w:rsid w:val="550764A4"/>
    <w:rsid w:val="550B2BF6"/>
    <w:rsid w:val="55214EB5"/>
    <w:rsid w:val="552A2BBF"/>
    <w:rsid w:val="55364EFD"/>
    <w:rsid w:val="555D4828"/>
    <w:rsid w:val="5564512F"/>
    <w:rsid w:val="557A4C8B"/>
    <w:rsid w:val="558268B5"/>
    <w:rsid w:val="558365FF"/>
    <w:rsid w:val="558931E1"/>
    <w:rsid w:val="55923347"/>
    <w:rsid w:val="55925180"/>
    <w:rsid w:val="55983B1B"/>
    <w:rsid w:val="55A8376B"/>
    <w:rsid w:val="55C747C4"/>
    <w:rsid w:val="55DC29B6"/>
    <w:rsid w:val="55DD4241"/>
    <w:rsid w:val="55F85AD5"/>
    <w:rsid w:val="56170651"/>
    <w:rsid w:val="561804BE"/>
    <w:rsid w:val="56222F2B"/>
    <w:rsid w:val="56226FF5"/>
    <w:rsid w:val="566B6D1E"/>
    <w:rsid w:val="56764C4B"/>
    <w:rsid w:val="56A7044E"/>
    <w:rsid w:val="56C67981"/>
    <w:rsid w:val="57032A2C"/>
    <w:rsid w:val="570452C9"/>
    <w:rsid w:val="5705369A"/>
    <w:rsid w:val="570F5219"/>
    <w:rsid w:val="574E17B0"/>
    <w:rsid w:val="575D12B5"/>
    <w:rsid w:val="57610A87"/>
    <w:rsid w:val="577B1140"/>
    <w:rsid w:val="577B7F21"/>
    <w:rsid w:val="577F181B"/>
    <w:rsid w:val="57921984"/>
    <w:rsid w:val="579737F0"/>
    <w:rsid w:val="57AB7B30"/>
    <w:rsid w:val="57AF5251"/>
    <w:rsid w:val="57B26373"/>
    <w:rsid w:val="57B63F04"/>
    <w:rsid w:val="57CD20C2"/>
    <w:rsid w:val="57D675AB"/>
    <w:rsid w:val="57D95FDD"/>
    <w:rsid w:val="57E80CD6"/>
    <w:rsid w:val="58214B5B"/>
    <w:rsid w:val="585C64AD"/>
    <w:rsid w:val="58743B68"/>
    <w:rsid w:val="58917D2F"/>
    <w:rsid w:val="5894085C"/>
    <w:rsid w:val="58A13BA6"/>
    <w:rsid w:val="58AE4F0C"/>
    <w:rsid w:val="58B85899"/>
    <w:rsid w:val="58C95888"/>
    <w:rsid w:val="58DD40CC"/>
    <w:rsid w:val="58E363A9"/>
    <w:rsid w:val="58FA5A5A"/>
    <w:rsid w:val="591744C4"/>
    <w:rsid w:val="595E1678"/>
    <w:rsid w:val="596D5BD4"/>
    <w:rsid w:val="597E3DD8"/>
    <w:rsid w:val="59AA5338"/>
    <w:rsid w:val="59DD0221"/>
    <w:rsid w:val="59F80043"/>
    <w:rsid w:val="5A09252F"/>
    <w:rsid w:val="5A0B2778"/>
    <w:rsid w:val="5A0D633C"/>
    <w:rsid w:val="5A173BF5"/>
    <w:rsid w:val="5A2A7C7B"/>
    <w:rsid w:val="5A3E2560"/>
    <w:rsid w:val="5A5D3B6E"/>
    <w:rsid w:val="5A637A76"/>
    <w:rsid w:val="5A6802F5"/>
    <w:rsid w:val="5A6D33BA"/>
    <w:rsid w:val="5A792B1F"/>
    <w:rsid w:val="5A874767"/>
    <w:rsid w:val="5AA85BE2"/>
    <w:rsid w:val="5AAD6F28"/>
    <w:rsid w:val="5ABD553F"/>
    <w:rsid w:val="5AD63A24"/>
    <w:rsid w:val="5AF76FC2"/>
    <w:rsid w:val="5AFE642B"/>
    <w:rsid w:val="5B2E1A1D"/>
    <w:rsid w:val="5B345438"/>
    <w:rsid w:val="5B843A1C"/>
    <w:rsid w:val="5B873E3F"/>
    <w:rsid w:val="5BA02AEE"/>
    <w:rsid w:val="5BB36F1D"/>
    <w:rsid w:val="5BDE6C57"/>
    <w:rsid w:val="5BFB723C"/>
    <w:rsid w:val="5C02690E"/>
    <w:rsid w:val="5C196DA7"/>
    <w:rsid w:val="5C230847"/>
    <w:rsid w:val="5C2A048C"/>
    <w:rsid w:val="5C645C72"/>
    <w:rsid w:val="5C80234E"/>
    <w:rsid w:val="5C8A680C"/>
    <w:rsid w:val="5CA51F4F"/>
    <w:rsid w:val="5CDF5B56"/>
    <w:rsid w:val="5D0C4701"/>
    <w:rsid w:val="5D0F0395"/>
    <w:rsid w:val="5D145C71"/>
    <w:rsid w:val="5D221076"/>
    <w:rsid w:val="5D235B2D"/>
    <w:rsid w:val="5D397964"/>
    <w:rsid w:val="5D5A391C"/>
    <w:rsid w:val="5D5F10C0"/>
    <w:rsid w:val="5D891B7B"/>
    <w:rsid w:val="5DA034F3"/>
    <w:rsid w:val="5DAD38EE"/>
    <w:rsid w:val="5DB06C95"/>
    <w:rsid w:val="5E006862"/>
    <w:rsid w:val="5E0207B9"/>
    <w:rsid w:val="5E1834A1"/>
    <w:rsid w:val="5E261785"/>
    <w:rsid w:val="5E4A7017"/>
    <w:rsid w:val="5E552BBA"/>
    <w:rsid w:val="5E611C10"/>
    <w:rsid w:val="5E7A0F3F"/>
    <w:rsid w:val="5EFC7377"/>
    <w:rsid w:val="5F06174D"/>
    <w:rsid w:val="5F1AA099"/>
    <w:rsid w:val="5F27019F"/>
    <w:rsid w:val="5F370D45"/>
    <w:rsid w:val="5F3A3602"/>
    <w:rsid w:val="5F45733B"/>
    <w:rsid w:val="5F4916B0"/>
    <w:rsid w:val="5F6277C6"/>
    <w:rsid w:val="5F6D0B1D"/>
    <w:rsid w:val="5F7A40CD"/>
    <w:rsid w:val="5F8D0B82"/>
    <w:rsid w:val="5FCC5339"/>
    <w:rsid w:val="5FD03C7C"/>
    <w:rsid w:val="5FDF2F46"/>
    <w:rsid w:val="5FE34A5B"/>
    <w:rsid w:val="5FFE1E36"/>
    <w:rsid w:val="60130589"/>
    <w:rsid w:val="60232584"/>
    <w:rsid w:val="60273055"/>
    <w:rsid w:val="6045400C"/>
    <w:rsid w:val="605A39AF"/>
    <w:rsid w:val="607330CE"/>
    <w:rsid w:val="60825176"/>
    <w:rsid w:val="6090036C"/>
    <w:rsid w:val="609F2AC4"/>
    <w:rsid w:val="60AD7508"/>
    <w:rsid w:val="60CB259B"/>
    <w:rsid w:val="60D13B6A"/>
    <w:rsid w:val="60E455D3"/>
    <w:rsid w:val="60FA2EE8"/>
    <w:rsid w:val="61054A27"/>
    <w:rsid w:val="61063EE4"/>
    <w:rsid w:val="610A52BC"/>
    <w:rsid w:val="611D2366"/>
    <w:rsid w:val="61421856"/>
    <w:rsid w:val="6151138E"/>
    <w:rsid w:val="615227C4"/>
    <w:rsid w:val="61524EF4"/>
    <w:rsid w:val="61654E3F"/>
    <w:rsid w:val="6182292A"/>
    <w:rsid w:val="619F7F92"/>
    <w:rsid w:val="61A066BA"/>
    <w:rsid w:val="61BA4B30"/>
    <w:rsid w:val="61F94C26"/>
    <w:rsid w:val="62000E56"/>
    <w:rsid w:val="6209199E"/>
    <w:rsid w:val="624F3E49"/>
    <w:rsid w:val="62632286"/>
    <w:rsid w:val="62885958"/>
    <w:rsid w:val="62DF143B"/>
    <w:rsid w:val="62E52F22"/>
    <w:rsid w:val="62E775FD"/>
    <w:rsid w:val="62F40B65"/>
    <w:rsid w:val="62FC2CFE"/>
    <w:rsid w:val="63024505"/>
    <w:rsid w:val="63502A9B"/>
    <w:rsid w:val="635600A5"/>
    <w:rsid w:val="635B1DB5"/>
    <w:rsid w:val="63711FED"/>
    <w:rsid w:val="63880DDC"/>
    <w:rsid w:val="638D750D"/>
    <w:rsid w:val="63A31068"/>
    <w:rsid w:val="63AC6CC0"/>
    <w:rsid w:val="63BF2076"/>
    <w:rsid w:val="64055776"/>
    <w:rsid w:val="641C64BD"/>
    <w:rsid w:val="64240056"/>
    <w:rsid w:val="643318AD"/>
    <w:rsid w:val="643E143A"/>
    <w:rsid w:val="64455D50"/>
    <w:rsid w:val="64491666"/>
    <w:rsid w:val="648B6EEF"/>
    <w:rsid w:val="64C158BF"/>
    <w:rsid w:val="64CE2EAA"/>
    <w:rsid w:val="65145537"/>
    <w:rsid w:val="65362175"/>
    <w:rsid w:val="653C3090"/>
    <w:rsid w:val="655002F5"/>
    <w:rsid w:val="65854376"/>
    <w:rsid w:val="658575CF"/>
    <w:rsid w:val="658701F2"/>
    <w:rsid w:val="658767BE"/>
    <w:rsid w:val="65892531"/>
    <w:rsid w:val="6589446E"/>
    <w:rsid w:val="66195831"/>
    <w:rsid w:val="662E75B1"/>
    <w:rsid w:val="66342C2E"/>
    <w:rsid w:val="663E784C"/>
    <w:rsid w:val="668B6A45"/>
    <w:rsid w:val="66CE48A9"/>
    <w:rsid w:val="66EF082E"/>
    <w:rsid w:val="67017B81"/>
    <w:rsid w:val="672F3F24"/>
    <w:rsid w:val="6734416E"/>
    <w:rsid w:val="673E055F"/>
    <w:rsid w:val="67551CE3"/>
    <w:rsid w:val="679255E8"/>
    <w:rsid w:val="67930446"/>
    <w:rsid w:val="67982C74"/>
    <w:rsid w:val="67984C12"/>
    <w:rsid w:val="67A22552"/>
    <w:rsid w:val="67B22DCC"/>
    <w:rsid w:val="67BE71AA"/>
    <w:rsid w:val="67BFF3DE"/>
    <w:rsid w:val="67D90273"/>
    <w:rsid w:val="67DE5875"/>
    <w:rsid w:val="67E55852"/>
    <w:rsid w:val="67EB1AB4"/>
    <w:rsid w:val="67FA1285"/>
    <w:rsid w:val="683E788E"/>
    <w:rsid w:val="68551F4F"/>
    <w:rsid w:val="687C10C9"/>
    <w:rsid w:val="68840C16"/>
    <w:rsid w:val="68876EFB"/>
    <w:rsid w:val="68884654"/>
    <w:rsid w:val="689F444F"/>
    <w:rsid w:val="68B96DBB"/>
    <w:rsid w:val="68CA2805"/>
    <w:rsid w:val="68E937A3"/>
    <w:rsid w:val="68F71C1C"/>
    <w:rsid w:val="69101CA8"/>
    <w:rsid w:val="693E15D3"/>
    <w:rsid w:val="6956111F"/>
    <w:rsid w:val="69627681"/>
    <w:rsid w:val="6977531D"/>
    <w:rsid w:val="699B1743"/>
    <w:rsid w:val="69CC2BFF"/>
    <w:rsid w:val="69FD55B8"/>
    <w:rsid w:val="6A0B1C62"/>
    <w:rsid w:val="6A0E1913"/>
    <w:rsid w:val="6A2406C8"/>
    <w:rsid w:val="6ADE0BD1"/>
    <w:rsid w:val="6AE96859"/>
    <w:rsid w:val="6B147746"/>
    <w:rsid w:val="6B24787C"/>
    <w:rsid w:val="6B43066B"/>
    <w:rsid w:val="6B573233"/>
    <w:rsid w:val="6B5B6274"/>
    <w:rsid w:val="6B935D53"/>
    <w:rsid w:val="6BD81954"/>
    <w:rsid w:val="6C196F71"/>
    <w:rsid w:val="6C226FCB"/>
    <w:rsid w:val="6C31226F"/>
    <w:rsid w:val="6C4A1790"/>
    <w:rsid w:val="6C552F0B"/>
    <w:rsid w:val="6C6F43FA"/>
    <w:rsid w:val="6C7D602C"/>
    <w:rsid w:val="6C8C67B7"/>
    <w:rsid w:val="6C97174C"/>
    <w:rsid w:val="6C9C3206"/>
    <w:rsid w:val="6C9D744C"/>
    <w:rsid w:val="6D0B6BF8"/>
    <w:rsid w:val="6D167928"/>
    <w:rsid w:val="6D26299B"/>
    <w:rsid w:val="6D4772EC"/>
    <w:rsid w:val="6D4819D7"/>
    <w:rsid w:val="6D9078AF"/>
    <w:rsid w:val="6DAA3FEF"/>
    <w:rsid w:val="6DBE0F5A"/>
    <w:rsid w:val="6DC0172B"/>
    <w:rsid w:val="6DCB690C"/>
    <w:rsid w:val="6DD41A5B"/>
    <w:rsid w:val="6DE56916"/>
    <w:rsid w:val="6DF43C2E"/>
    <w:rsid w:val="6DF51CA3"/>
    <w:rsid w:val="6DFB3F5C"/>
    <w:rsid w:val="6E4B0C97"/>
    <w:rsid w:val="6E8335BD"/>
    <w:rsid w:val="6E8E12EF"/>
    <w:rsid w:val="6E972936"/>
    <w:rsid w:val="6ED446C5"/>
    <w:rsid w:val="6F2A7D94"/>
    <w:rsid w:val="6F2B261F"/>
    <w:rsid w:val="6F8331F1"/>
    <w:rsid w:val="6FAA5C3A"/>
    <w:rsid w:val="6FAE1A09"/>
    <w:rsid w:val="6FCF56A0"/>
    <w:rsid w:val="6FD75BF8"/>
    <w:rsid w:val="6FFF1196"/>
    <w:rsid w:val="705B7651"/>
    <w:rsid w:val="707723D0"/>
    <w:rsid w:val="70784068"/>
    <w:rsid w:val="70C0418A"/>
    <w:rsid w:val="70F5661B"/>
    <w:rsid w:val="71360107"/>
    <w:rsid w:val="713B688E"/>
    <w:rsid w:val="714958E3"/>
    <w:rsid w:val="71500A63"/>
    <w:rsid w:val="71B1620F"/>
    <w:rsid w:val="71B33E83"/>
    <w:rsid w:val="71CD79BE"/>
    <w:rsid w:val="71D129F4"/>
    <w:rsid w:val="71D43752"/>
    <w:rsid w:val="71F1796A"/>
    <w:rsid w:val="72154626"/>
    <w:rsid w:val="72262B5D"/>
    <w:rsid w:val="72283FF7"/>
    <w:rsid w:val="722E7212"/>
    <w:rsid w:val="723A0474"/>
    <w:rsid w:val="725923E4"/>
    <w:rsid w:val="72864BF7"/>
    <w:rsid w:val="729023FC"/>
    <w:rsid w:val="736616A6"/>
    <w:rsid w:val="7372383F"/>
    <w:rsid w:val="73AF4B09"/>
    <w:rsid w:val="73C0646E"/>
    <w:rsid w:val="742003C3"/>
    <w:rsid w:val="742222F5"/>
    <w:rsid w:val="74476126"/>
    <w:rsid w:val="74706664"/>
    <w:rsid w:val="747F3682"/>
    <w:rsid w:val="748950CE"/>
    <w:rsid w:val="749C4185"/>
    <w:rsid w:val="74D3135E"/>
    <w:rsid w:val="74DBC603"/>
    <w:rsid w:val="74F94121"/>
    <w:rsid w:val="75067759"/>
    <w:rsid w:val="752E6DCD"/>
    <w:rsid w:val="75457CE2"/>
    <w:rsid w:val="754F6D66"/>
    <w:rsid w:val="7551380D"/>
    <w:rsid w:val="75600BE5"/>
    <w:rsid w:val="7564475C"/>
    <w:rsid w:val="758355F3"/>
    <w:rsid w:val="7583797F"/>
    <w:rsid w:val="758B5587"/>
    <w:rsid w:val="75C62101"/>
    <w:rsid w:val="75D20F1D"/>
    <w:rsid w:val="75DA2C18"/>
    <w:rsid w:val="75F54412"/>
    <w:rsid w:val="761D08E0"/>
    <w:rsid w:val="765D347C"/>
    <w:rsid w:val="76826699"/>
    <w:rsid w:val="76BAA027"/>
    <w:rsid w:val="76C87133"/>
    <w:rsid w:val="76CD08D5"/>
    <w:rsid w:val="76DB4B92"/>
    <w:rsid w:val="77052AA4"/>
    <w:rsid w:val="77136511"/>
    <w:rsid w:val="772A6DB7"/>
    <w:rsid w:val="77340A39"/>
    <w:rsid w:val="77351FD0"/>
    <w:rsid w:val="77472422"/>
    <w:rsid w:val="77730E2B"/>
    <w:rsid w:val="777F31F2"/>
    <w:rsid w:val="77B70EF4"/>
    <w:rsid w:val="77BB4637"/>
    <w:rsid w:val="77BE4DB2"/>
    <w:rsid w:val="77D1700D"/>
    <w:rsid w:val="77E44502"/>
    <w:rsid w:val="77EB37B4"/>
    <w:rsid w:val="77EC04CC"/>
    <w:rsid w:val="78775729"/>
    <w:rsid w:val="78A42DB0"/>
    <w:rsid w:val="78A656AB"/>
    <w:rsid w:val="78B00032"/>
    <w:rsid w:val="78B2245C"/>
    <w:rsid w:val="78CB6D45"/>
    <w:rsid w:val="78E172CC"/>
    <w:rsid w:val="78EA1D1F"/>
    <w:rsid w:val="7904172F"/>
    <w:rsid w:val="790F7E27"/>
    <w:rsid w:val="79273E57"/>
    <w:rsid w:val="792A231A"/>
    <w:rsid w:val="79316829"/>
    <w:rsid w:val="793EFFAF"/>
    <w:rsid w:val="795D6A82"/>
    <w:rsid w:val="79672622"/>
    <w:rsid w:val="797C6774"/>
    <w:rsid w:val="797E66A9"/>
    <w:rsid w:val="7984057E"/>
    <w:rsid w:val="798518A4"/>
    <w:rsid w:val="79A97383"/>
    <w:rsid w:val="79BD70A9"/>
    <w:rsid w:val="79BFB689"/>
    <w:rsid w:val="79E27E8B"/>
    <w:rsid w:val="79F850CE"/>
    <w:rsid w:val="79FD443C"/>
    <w:rsid w:val="7A1D1975"/>
    <w:rsid w:val="7A3E5150"/>
    <w:rsid w:val="7A4670D6"/>
    <w:rsid w:val="7A534B63"/>
    <w:rsid w:val="7A615382"/>
    <w:rsid w:val="7A67303B"/>
    <w:rsid w:val="7A747128"/>
    <w:rsid w:val="7A993E97"/>
    <w:rsid w:val="7AAB1D04"/>
    <w:rsid w:val="7ABA4368"/>
    <w:rsid w:val="7AD05746"/>
    <w:rsid w:val="7AF14A3A"/>
    <w:rsid w:val="7B257FFD"/>
    <w:rsid w:val="7B343476"/>
    <w:rsid w:val="7B5A2978"/>
    <w:rsid w:val="7B5A7E4C"/>
    <w:rsid w:val="7B667AF9"/>
    <w:rsid w:val="7B7468F8"/>
    <w:rsid w:val="7BBA87F6"/>
    <w:rsid w:val="7BEB2BB9"/>
    <w:rsid w:val="7BEE0103"/>
    <w:rsid w:val="7BFB6C41"/>
    <w:rsid w:val="7C0A0FE4"/>
    <w:rsid w:val="7C254906"/>
    <w:rsid w:val="7C590818"/>
    <w:rsid w:val="7C6876A9"/>
    <w:rsid w:val="7C7C10F6"/>
    <w:rsid w:val="7C853BEA"/>
    <w:rsid w:val="7C881368"/>
    <w:rsid w:val="7CE27788"/>
    <w:rsid w:val="7CF7BDC9"/>
    <w:rsid w:val="7D0C32F1"/>
    <w:rsid w:val="7D0F408D"/>
    <w:rsid w:val="7D4635D3"/>
    <w:rsid w:val="7D491C6C"/>
    <w:rsid w:val="7D5429C0"/>
    <w:rsid w:val="7D6E6D43"/>
    <w:rsid w:val="7D6F6A8D"/>
    <w:rsid w:val="7DB57A34"/>
    <w:rsid w:val="7DE60973"/>
    <w:rsid w:val="7DE93453"/>
    <w:rsid w:val="7DEF0916"/>
    <w:rsid w:val="7DF63252"/>
    <w:rsid w:val="7E0929FF"/>
    <w:rsid w:val="7E1E5218"/>
    <w:rsid w:val="7E3231B3"/>
    <w:rsid w:val="7E6B5D53"/>
    <w:rsid w:val="7E780A30"/>
    <w:rsid w:val="7E9A4E1F"/>
    <w:rsid w:val="7EA7723A"/>
    <w:rsid w:val="7ECF4278"/>
    <w:rsid w:val="7EF56FBB"/>
    <w:rsid w:val="7F0768EB"/>
    <w:rsid w:val="7F0B7BF0"/>
    <w:rsid w:val="7F107071"/>
    <w:rsid w:val="7F143BEC"/>
    <w:rsid w:val="7F3F0FC6"/>
    <w:rsid w:val="7F5A16D1"/>
    <w:rsid w:val="7F6F0C68"/>
    <w:rsid w:val="7F715AF2"/>
    <w:rsid w:val="7F886E69"/>
    <w:rsid w:val="7FD9D0F6"/>
    <w:rsid w:val="7FFC5A2C"/>
    <w:rsid w:val="A19576DE"/>
    <w:rsid w:val="AEDF83FA"/>
    <w:rsid w:val="B3FD34BC"/>
    <w:rsid w:val="B477A030"/>
    <w:rsid w:val="B7A316D7"/>
    <w:rsid w:val="BB7FA927"/>
    <w:rsid w:val="BCC71B08"/>
    <w:rsid w:val="BD5FC027"/>
    <w:rsid w:val="D5BF5D97"/>
    <w:rsid w:val="DE1B5D03"/>
    <w:rsid w:val="DEFB8CB3"/>
    <w:rsid w:val="E3DB0BCF"/>
    <w:rsid w:val="E7F4AF74"/>
    <w:rsid w:val="EBFEEE13"/>
    <w:rsid w:val="EF7F430E"/>
    <w:rsid w:val="F21F2428"/>
    <w:rsid w:val="F45F229D"/>
    <w:rsid w:val="F5FFD31F"/>
    <w:rsid w:val="F7FDA3C4"/>
    <w:rsid w:val="FDF5D28E"/>
    <w:rsid w:val="FDFF2D7A"/>
    <w:rsid w:val="FEFB504B"/>
    <w:rsid w:val="FF37C64B"/>
    <w:rsid w:val="FFAF5F49"/>
    <w:rsid w:val="FFBE5417"/>
    <w:rsid w:val="FFEF10BD"/>
    <w:rsid w:val="FFF770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next w:val="1"/>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paragraph" w:customStyle="1" w:styleId="81">
    <w:name w:val="标准正文"/>
    <w:basedOn w:val="1"/>
    <w:qFormat/>
    <w:uiPriority w:val="0"/>
    <w:pPr>
      <w:tabs>
        <w:tab w:val="left" w:pos="780"/>
      </w:tabs>
      <w:adjustRightInd/>
      <w:spacing w:line="360" w:lineRule="auto"/>
      <w:ind w:left="200" w:leftChars="200" w:firstLine="200" w:firstLineChars="200"/>
    </w:pPr>
    <w:rPr>
      <w:sz w:val="24"/>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字符"/>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字符"/>
    <w:link w:val="7"/>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5"/>
    <w:qFormat/>
    <w:uiPriority w:val="0"/>
    <w:rPr>
      <w:rFonts w:ascii="宋体"/>
      <w:kern w:val="2"/>
      <w:sz w:val="24"/>
      <w:szCs w:val="21"/>
      <w:lang w:val="zh-CN"/>
    </w:rPr>
  </w:style>
  <w:style w:type="character" w:customStyle="1" w:styleId="182">
    <w:name w:val="标题 9 字符"/>
    <w:link w:val="10"/>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字符1"/>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字符1"/>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字符"/>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字符"/>
    <w:link w:val="6"/>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字符"/>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字符"/>
    <w:link w:val="56"/>
    <w:qFormat/>
    <w:uiPriority w:val="0"/>
    <w:rPr>
      <w:rFonts w:ascii="黑体" w:hAnsi="Courier New" w:eastAsia="黑体"/>
    </w:rPr>
  </w:style>
  <w:style w:type="character" w:customStyle="1" w:styleId="302">
    <w:name w:val="正文文本 2 字符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5"/>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字符"/>
    <w:link w:val="8"/>
    <w:qFormat/>
    <w:uiPriority w:val="0"/>
    <w:rPr>
      <w:b/>
      <w:bCs/>
      <w:kern w:val="2"/>
      <w:sz w:val="24"/>
      <w:szCs w:val="24"/>
    </w:rPr>
  </w:style>
  <w:style w:type="character" w:customStyle="1" w:styleId="308">
    <w:name w:val="正文文本缩进 2 字符"/>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字符"/>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字符"/>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字符1"/>
    <w:link w:val="5"/>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字符"/>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字符1"/>
    <w:link w:val="19"/>
    <w:qFormat/>
    <w:uiPriority w:val="0"/>
    <w:rPr>
      <w:kern w:val="2"/>
      <w:sz w:val="21"/>
      <w:szCs w:val="24"/>
    </w:rPr>
  </w:style>
  <w:style w:type="character" w:customStyle="1" w:styleId="345">
    <w:name w:val="签名 字符"/>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9"/>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字符"/>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字符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字符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7"/>
    <w:qFormat/>
    <w:uiPriority w:val="0"/>
    <w:rPr>
      <w:kern w:val="2"/>
      <w:sz w:val="21"/>
      <w:szCs w:val="24"/>
      <w:lang w:val="zh-CN"/>
    </w:rPr>
  </w:style>
  <w:style w:type="character" w:customStyle="1" w:styleId="932">
    <w:name w:val="无间隔 字符"/>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91</Pages>
  <Words>8345</Words>
  <Characters>47569</Characters>
  <Lines>1</Lines>
  <Paragraphs>1</Paragraphs>
  <TotalTime>0</TotalTime>
  <ScaleCrop>false</ScaleCrop>
  <LinksUpToDate>false</LinksUpToDate>
  <CharactersWithSpaces>55803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邵一成</cp:lastModifiedBy>
  <cp:lastPrinted>2024-08-07T01:22:00Z</cp:lastPrinted>
  <dcterms:modified xsi:type="dcterms:W3CDTF">2024-09-20T07:59:24Z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F80F32C8A4A2448AA39A8FF35F1E4FB4_13</vt:lpwstr>
  </property>
</Properties>
</file>