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sz w:val="24"/>
        </w:rPr>
      </w:pPr>
    </w:p>
    <w:p>
      <w:pPr>
        <w:spacing w:line="360" w:lineRule="auto"/>
        <w:jc w:val="center"/>
        <w:rPr>
          <w:rFonts w:ascii="宋体" w:hAnsi="宋体" w:cs="宋体"/>
          <w:b/>
          <w:sz w:val="24"/>
        </w:rPr>
      </w:pPr>
    </w:p>
    <w:p>
      <w:pPr>
        <w:adjustRightInd/>
        <w:spacing w:line="360" w:lineRule="auto"/>
        <w:jc w:val="center"/>
        <w:rPr>
          <w:rFonts w:ascii="宋体" w:hAnsi="宋体" w:cs="宋体"/>
          <w:b/>
          <w:sz w:val="44"/>
          <w:szCs w:val="44"/>
        </w:rPr>
      </w:pPr>
    </w:p>
    <w:p>
      <w:pPr>
        <w:spacing w:line="360" w:lineRule="auto"/>
        <w:jc w:val="center"/>
        <w:rPr>
          <w:rFonts w:ascii="宋体" w:hAnsi="宋体" w:cs="宋体"/>
          <w:b/>
          <w:sz w:val="44"/>
          <w:szCs w:val="44"/>
        </w:rPr>
      </w:pPr>
    </w:p>
    <w:p>
      <w:pPr>
        <w:adjustRightInd/>
        <w:spacing w:line="360" w:lineRule="auto"/>
        <w:jc w:val="center"/>
        <w:rPr>
          <w:rFonts w:ascii="宋体" w:hAnsi="宋体" w:cs="宋体"/>
          <w:b/>
          <w:sz w:val="48"/>
          <w:szCs w:val="48"/>
        </w:rPr>
      </w:pPr>
    </w:p>
    <w:p>
      <w:pPr>
        <w:adjustRightInd/>
        <w:spacing w:line="360" w:lineRule="auto"/>
        <w:jc w:val="center"/>
        <w:rPr>
          <w:rFonts w:hint="eastAsia" w:ascii="宋体" w:hAnsi="宋体" w:cs="宋体"/>
          <w:b/>
          <w:bCs/>
          <w:sz w:val="48"/>
          <w:szCs w:val="48"/>
          <w:lang w:eastAsia="zh-CN"/>
        </w:rPr>
      </w:pPr>
      <w:r>
        <w:rPr>
          <w:rFonts w:hint="eastAsia" w:ascii="宋体" w:hAnsi="宋体" w:cs="宋体"/>
          <w:b/>
          <w:bCs/>
          <w:sz w:val="48"/>
          <w:szCs w:val="48"/>
          <w:lang w:eastAsia="zh-CN"/>
        </w:rPr>
        <w:t>杭州市转塘小学（浮山新建校）电子显示屏采购项目</w:t>
      </w:r>
    </w:p>
    <w:p>
      <w:pPr>
        <w:adjustRightInd/>
        <w:spacing w:line="360" w:lineRule="auto"/>
        <w:jc w:val="center"/>
        <w:rPr>
          <w:rFonts w:ascii="宋体" w:hAnsi="宋体" w:cs="宋体"/>
          <w:sz w:val="48"/>
          <w:szCs w:val="48"/>
        </w:rPr>
      </w:pPr>
      <w:r>
        <w:rPr>
          <w:rFonts w:hint="eastAsia" w:ascii="宋体" w:hAnsi="宋体" w:cs="宋体"/>
          <w:sz w:val="48"/>
          <w:szCs w:val="48"/>
        </w:rPr>
        <w:t xml:space="preserve">招标文件 </w:t>
      </w:r>
    </w:p>
    <w:p>
      <w:pPr>
        <w:adjustRightInd/>
        <w:spacing w:line="360" w:lineRule="auto"/>
        <w:jc w:val="center"/>
        <w:rPr>
          <w:rFonts w:ascii="宋体" w:hAnsi="宋体" w:cs="宋体"/>
          <w:b/>
          <w:sz w:val="44"/>
          <w:szCs w:val="44"/>
        </w:rPr>
      </w:pPr>
      <w:r>
        <w:rPr>
          <w:rFonts w:hint="eastAsia" w:ascii="宋体" w:hAnsi="宋体" w:cs="宋体"/>
          <w:b/>
          <w:sz w:val="44"/>
          <w:szCs w:val="44"/>
        </w:rPr>
        <w:t xml:space="preserve"> （电子招投标）</w:t>
      </w:r>
    </w:p>
    <w:p>
      <w:pPr>
        <w:snapToGrid w:val="0"/>
        <w:spacing w:line="360" w:lineRule="auto"/>
        <w:jc w:val="center"/>
        <w:rPr>
          <w:rFonts w:hint="eastAsia" w:ascii="宋体" w:hAnsi="宋体" w:eastAsia="宋体" w:cs="宋体"/>
          <w:color w:val="FF0000"/>
          <w:sz w:val="30"/>
          <w:szCs w:val="30"/>
          <w:lang w:eastAsia="zh-CN"/>
        </w:rPr>
      </w:pPr>
      <w:r>
        <w:rPr>
          <w:rFonts w:hint="eastAsia" w:ascii="宋体" w:hAnsi="宋体" w:cs="宋体"/>
          <w:sz w:val="30"/>
          <w:szCs w:val="30"/>
        </w:rPr>
        <w:t>编号:</w:t>
      </w:r>
      <w:r>
        <w:rPr>
          <w:rFonts w:hint="eastAsia" w:ascii="宋体" w:hAnsi="宋体" w:cs="宋体"/>
          <w:sz w:val="30"/>
          <w:szCs w:val="30"/>
          <w:lang w:eastAsia="zh-CN"/>
        </w:rPr>
        <w:t>XHZFCG-2024-G-31</w:t>
      </w:r>
    </w:p>
    <w:p>
      <w:pPr>
        <w:adjustRightInd/>
        <w:spacing w:line="360" w:lineRule="auto"/>
        <w:rPr>
          <w:rFonts w:ascii="宋体" w:hAnsi="宋体" w:cs="宋体"/>
          <w:sz w:val="28"/>
          <w:szCs w:val="20"/>
        </w:rPr>
      </w:pPr>
    </w:p>
    <w:p>
      <w:pPr>
        <w:spacing w:line="360" w:lineRule="auto"/>
        <w:jc w:val="center"/>
        <w:rPr>
          <w:rFonts w:ascii="宋体" w:hAnsi="宋体" w:cs="宋体"/>
          <w:b/>
          <w:sz w:val="44"/>
          <w:szCs w:val="44"/>
        </w:rPr>
      </w:pPr>
      <w:r>
        <w:rPr>
          <w:rFonts w:hint="eastAsia" w:ascii="宋体" w:hAnsi="宋体" w:cs="宋体"/>
          <w:b/>
          <w:sz w:val="44"/>
          <w:szCs w:val="44"/>
        </w:rPr>
        <w:t xml:space="preserve"> </w:t>
      </w:r>
    </w:p>
    <w:p>
      <w:pPr>
        <w:spacing w:line="360" w:lineRule="auto"/>
        <w:jc w:val="center"/>
        <w:rPr>
          <w:rFonts w:ascii="宋体" w:hAnsi="宋体" w:cs="宋体"/>
          <w:b/>
          <w:sz w:val="44"/>
          <w:szCs w:val="4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rPr>
          <w:rFonts w:ascii="宋体" w:hAnsi="宋体" w:cs="宋体"/>
          <w:sz w:val="32"/>
          <w:szCs w:val="32"/>
        </w:rPr>
      </w:pPr>
    </w:p>
    <w:p>
      <w:pPr>
        <w:spacing w:line="360" w:lineRule="auto"/>
        <w:jc w:val="center"/>
        <w:rPr>
          <w:rFonts w:hint="eastAsia" w:ascii="宋体" w:hAnsi="宋体" w:eastAsia="宋体" w:cs="宋体"/>
          <w:sz w:val="32"/>
          <w:szCs w:val="32"/>
          <w:lang w:eastAsia="zh-CN"/>
        </w:rPr>
      </w:pPr>
      <w:r>
        <w:rPr>
          <w:rFonts w:hint="eastAsia" w:ascii="宋体" w:hAnsi="宋体" w:cs="宋体"/>
          <w:sz w:val="32"/>
          <w:szCs w:val="32"/>
          <w:lang w:eastAsia="zh-CN"/>
        </w:rPr>
        <w:t>杭州市转塘小学</w:t>
      </w:r>
    </w:p>
    <w:p>
      <w:pPr>
        <w:spacing w:line="360" w:lineRule="auto"/>
        <w:jc w:val="center"/>
      </w:pPr>
      <w:r>
        <w:rPr>
          <w:rFonts w:hint="eastAsia" w:cs="宋体" w:asciiTheme="minorEastAsia" w:hAnsiTheme="minorEastAsia" w:eastAsiaTheme="minorEastAsia"/>
          <w:bCs/>
          <w:sz w:val="32"/>
          <w:szCs w:val="32"/>
        </w:rPr>
        <w:t>杭州市西湖区政府采购中心</w:t>
      </w:r>
    </w:p>
    <w:p>
      <w:pPr>
        <w:spacing w:line="360" w:lineRule="auto"/>
        <w:jc w:val="center"/>
        <w:rPr>
          <w:rFonts w:hint="eastAsia" w:cs="宋体" w:asciiTheme="minorEastAsia" w:hAnsiTheme="minorEastAsia" w:eastAsiaTheme="minorEastAsia"/>
          <w:bCs/>
          <w:sz w:val="32"/>
          <w:szCs w:val="32"/>
        </w:rPr>
      </w:pPr>
      <w:r>
        <w:rPr>
          <w:rFonts w:hint="eastAsia" w:cs="宋体" w:asciiTheme="minorEastAsia" w:hAnsiTheme="minorEastAsia" w:eastAsiaTheme="minorEastAsia"/>
          <w:bCs/>
          <w:sz w:val="32"/>
          <w:szCs w:val="32"/>
        </w:rPr>
        <w:t>二〇二</w:t>
      </w:r>
      <w:r>
        <w:rPr>
          <w:rFonts w:hint="eastAsia" w:cs="宋体" w:asciiTheme="minorEastAsia" w:hAnsiTheme="minorEastAsia" w:eastAsiaTheme="minorEastAsia"/>
          <w:bCs/>
          <w:sz w:val="32"/>
          <w:szCs w:val="32"/>
          <w:lang w:val="en-US" w:eastAsia="zh-CN"/>
        </w:rPr>
        <w:t>四</w:t>
      </w:r>
      <w:r>
        <w:rPr>
          <w:rFonts w:hint="eastAsia" w:cs="宋体" w:asciiTheme="minorEastAsia" w:hAnsiTheme="minorEastAsia" w:eastAsiaTheme="minorEastAsia"/>
          <w:bCs/>
          <w:sz w:val="32"/>
          <w:szCs w:val="32"/>
        </w:rPr>
        <w:t>年</w:t>
      </w:r>
      <w:r>
        <w:rPr>
          <w:rFonts w:hint="eastAsia" w:cs="宋体" w:asciiTheme="minorEastAsia" w:hAnsiTheme="minorEastAsia" w:eastAsiaTheme="minorEastAsia"/>
          <w:bCs/>
          <w:sz w:val="32"/>
          <w:szCs w:val="32"/>
          <w:lang w:val="en-US" w:eastAsia="zh-CN"/>
        </w:rPr>
        <w:t>六</w:t>
      </w:r>
      <w:r>
        <w:rPr>
          <w:rFonts w:hint="eastAsia" w:cs="宋体" w:asciiTheme="minorEastAsia" w:hAnsiTheme="minorEastAsia" w:eastAsiaTheme="minorEastAsia"/>
          <w:bCs/>
          <w:sz w:val="32"/>
          <w:szCs w:val="32"/>
        </w:rPr>
        <w:t>月</w:t>
      </w:r>
      <w:r>
        <w:rPr>
          <w:rFonts w:hint="eastAsia" w:cs="宋体" w:asciiTheme="minorEastAsia" w:hAnsiTheme="minorEastAsia" w:eastAsiaTheme="minorEastAsia"/>
          <w:bCs/>
          <w:sz w:val="32"/>
          <w:szCs w:val="32"/>
          <w:lang w:val="en-US" w:eastAsia="zh-CN"/>
        </w:rPr>
        <w:t>二十一</w:t>
      </w:r>
      <w:r>
        <w:rPr>
          <w:rFonts w:hint="eastAsia" w:cs="宋体" w:asciiTheme="minorEastAsia" w:hAnsiTheme="minorEastAsia" w:eastAsiaTheme="minorEastAsia"/>
          <w:bCs/>
          <w:sz w:val="32"/>
          <w:szCs w:val="32"/>
        </w:rPr>
        <w:t>日</w:t>
      </w:r>
    </w:p>
    <w:p>
      <w:pPr>
        <w:spacing w:line="360" w:lineRule="auto"/>
        <w:jc w:val="center"/>
        <w:rPr>
          <w:rFonts w:ascii="宋体" w:hAnsi="宋体" w:cs="宋体"/>
          <w:sz w:val="24"/>
        </w:rPr>
      </w:pPr>
      <w:r>
        <w:rPr>
          <w:rFonts w:hint="eastAsia" w:ascii="宋体" w:hAnsi="宋体" w:cs="宋体"/>
          <w:sz w:val="24"/>
        </w:rPr>
        <w:br w:type="page"/>
      </w:r>
      <w:bookmarkStart w:id="0" w:name="_Hlt67893495"/>
      <w:bookmarkEnd w:id="0"/>
    </w:p>
    <w:p>
      <w:pPr>
        <w:spacing w:line="360" w:lineRule="auto"/>
        <w:jc w:val="center"/>
        <w:rPr>
          <w:rFonts w:ascii="宋体" w:hAnsi="宋体" w:cs="宋体"/>
          <w:sz w:val="24"/>
        </w:rPr>
      </w:pPr>
    </w:p>
    <w:p>
      <w:pPr>
        <w:spacing w:line="360" w:lineRule="auto"/>
        <w:jc w:val="center"/>
        <w:rPr>
          <w:rFonts w:ascii="宋体" w:hAnsi="宋体" w:cs="宋体"/>
          <w:b/>
          <w:sz w:val="48"/>
          <w:szCs w:val="48"/>
        </w:rPr>
      </w:pPr>
      <w:r>
        <w:rPr>
          <w:rFonts w:hint="eastAsia" w:ascii="宋体" w:hAnsi="宋体" w:cs="宋体"/>
          <w:b/>
          <w:sz w:val="48"/>
          <w:szCs w:val="48"/>
        </w:rPr>
        <w:t>目  录</w:t>
      </w:r>
    </w:p>
    <w:p>
      <w:pPr>
        <w:spacing w:line="360" w:lineRule="auto"/>
        <w:rPr>
          <w:rFonts w:ascii="宋体" w:hAnsi="宋体" w:cs="宋体"/>
          <w:sz w:val="32"/>
          <w:szCs w:val="32"/>
        </w:rPr>
      </w:pPr>
    </w:p>
    <w:p>
      <w:pPr>
        <w:spacing w:line="360" w:lineRule="auto"/>
        <w:rPr>
          <w:rFonts w:ascii="宋体" w:hAnsi="宋体" w:cs="宋体"/>
          <w:sz w:val="32"/>
          <w:szCs w:val="32"/>
        </w:rPr>
      </w:pPr>
    </w:p>
    <w:p>
      <w:pPr>
        <w:spacing w:line="360" w:lineRule="auto"/>
        <w:ind w:firstLine="1280" w:firstLineChars="400"/>
        <w:rPr>
          <w:rFonts w:ascii="宋体" w:hAnsi="宋体" w:cs="宋体"/>
          <w:sz w:val="32"/>
          <w:szCs w:val="32"/>
        </w:rPr>
      </w:pPr>
      <w:r>
        <w:rPr>
          <w:rFonts w:hint="eastAsia" w:ascii="宋体" w:hAnsi="宋体" w:cs="宋体"/>
          <w:sz w:val="32"/>
          <w:szCs w:val="32"/>
        </w:rPr>
        <w:t>第一部分      招标公告</w:t>
      </w:r>
    </w:p>
    <w:p>
      <w:pPr>
        <w:spacing w:line="360" w:lineRule="auto"/>
        <w:ind w:firstLine="1280" w:firstLineChars="400"/>
        <w:rPr>
          <w:rFonts w:ascii="宋体" w:hAnsi="宋体" w:cs="宋体"/>
          <w:sz w:val="32"/>
          <w:szCs w:val="32"/>
        </w:rPr>
      </w:pPr>
      <w:r>
        <w:rPr>
          <w:rFonts w:hint="eastAsia" w:ascii="宋体" w:hAnsi="宋体" w:cs="宋体"/>
          <w:sz w:val="32"/>
          <w:szCs w:val="32"/>
        </w:rPr>
        <w:t>第二部分      投标人须知</w:t>
      </w:r>
    </w:p>
    <w:p>
      <w:pPr>
        <w:spacing w:line="360" w:lineRule="auto"/>
        <w:ind w:firstLine="1280" w:firstLineChars="400"/>
        <w:rPr>
          <w:rFonts w:ascii="宋体" w:hAnsi="宋体" w:cs="宋体"/>
          <w:sz w:val="32"/>
          <w:szCs w:val="32"/>
        </w:rPr>
      </w:pPr>
      <w:r>
        <w:rPr>
          <w:rFonts w:hint="eastAsia" w:ascii="宋体" w:hAnsi="宋体" w:cs="宋体"/>
          <w:sz w:val="32"/>
          <w:szCs w:val="32"/>
        </w:rPr>
        <w:t>第三部分      采购需求</w:t>
      </w:r>
    </w:p>
    <w:p>
      <w:pPr>
        <w:spacing w:line="360" w:lineRule="auto"/>
        <w:ind w:firstLine="1280" w:firstLineChars="400"/>
        <w:rPr>
          <w:rFonts w:ascii="宋体" w:hAnsi="宋体" w:cs="宋体"/>
          <w:sz w:val="32"/>
          <w:szCs w:val="32"/>
        </w:rPr>
      </w:pPr>
      <w:r>
        <w:rPr>
          <w:rFonts w:hint="eastAsia" w:ascii="宋体" w:hAnsi="宋体" w:cs="宋体"/>
          <w:sz w:val="32"/>
          <w:szCs w:val="32"/>
        </w:rPr>
        <w:t>第四部分      评标办法</w:t>
      </w:r>
    </w:p>
    <w:p>
      <w:pPr>
        <w:spacing w:line="360" w:lineRule="auto"/>
        <w:ind w:firstLine="1280" w:firstLineChars="400"/>
        <w:rPr>
          <w:rFonts w:ascii="宋体" w:hAnsi="宋体" w:cs="宋体"/>
          <w:sz w:val="32"/>
          <w:szCs w:val="32"/>
        </w:rPr>
      </w:pPr>
      <w:r>
        <w:rPr>
          <w:rFonts w:hint="eastAsia" w:ascii="宋体" w:hAnsi="宋体" w:cs="宋体"/>
          <w:sz w:val="32"/>
          <w:szCs w:val="32"/>
        </w:rPr>
        <w:t>第五部分      拟签订的合同文本</w:t>
      </w:r>
    </w:p>
    <w:p>
      <w:pPr>
        <w:spacing w:line="360" w:lineRule="auto"/>
        <w:ind w:firstLine="1280" w:firstLineChars="400"/>
        <w:rPr>
          <w:rFonts w:ascii="宋体" w:hAnsi="宋体" w:cs="宋体"/>
          <w:sz w:val="32"/>
          <w:szCs w:val="32"/>
        </w:rPr>
      </w:pPr>
      <w:r>
        <w:rPr>
          <w:rFonts w:hint="eastAsia" w:ascii="宋体" w:hAnsi="宋体" w:cs="宋体"/>
          <w:sz w:val="32"/>
          <w:szCs w:val="32"/>
        </w:rPr>
        <w:t>第六部分      应提交的有关格式范例</w:t>
      </w:r>
    </w:p>
    <w:p>
      <w:pPr>
        <w:spacing w:line="360" w:lineRule="auto"/>
        <w:ind w:firstLine="549" w:firstLineChars="229"/>
        <w:rPr>
          <w:rFonts w:ascii="宋体" w:hAnsi="宋体" w:cs="宋体"/>
          <w:sz w:val="24"/>
        </w:rPr>
      </w:pPr>
      <w:bookmarkStart w:id="1" w:name="_Hlt91233176"/>
      <w:bookmarkEnd w:id="1"/>
      <w:bookmarkStart w:id="2" w:name="_Toc91899869"/>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rPr>
          <w:rFonts w:ascii="宋体" w:hAnsi="宋体" w:cs="宋体"/>
          <w:sz w:val="24"/>
        </w:rPr>
      </w:pPr>
    </w:p>
    <w:p>
      <w:pPr>
        <w:adjustRightInd/>
        <w:spacing w:line="360" w:lineRule="auto"/>
        <w:jc w:val="center"/>
        <w:outlineLvl w:val="0"/>
        <w:rPr>
          <w:rFonts w:ascii="宋体" w:hAnsi="宋体" w:cs="宋体"/>
          <w:b/>
          <w:sz w:val="36"/>
          <w:szCs w:val="20"/>
        </w:rPr>
      </w:pPr>
      <w:bookmarkStart w:id="3" w:name="第一部分"/>
      <w:r>
        <w:rPr>
          <w:rFonts w:hint="eastAsia" w:ascii="宋体" w:hAnsi="宋体" w:cs="宋体"/>
          <w:b/>
          <w:sz w:val="36"/>
          <w:szCs w:val="36"/>
        </w:rPr>
        <w:br w:type="page"/>
      </w:r>
      <w:bookmarkEnd w:id="2"/>
      <w:bookmarkEnd w:id="3"/>
      <w:bookmarkStart w:id="4" w:name="_Hlt74728647"/>
      <w:bookmarkEnd w:id="4"/>
      <w:bookmarkStart w:id="5" w:name="_Hlt74649545"/>
      <w:bookmarkEnd w:id="5"/>
      <w:bookmarkStart w:id="6" w:name="_Hlt74707423"/>
      <w:bookmarkEnd w:id="6"/>
      <w:bookmarkStart w:id="7" w:name="_Hlt74729822"/>
      <w:bookmarkEnd w:id="7"/>
      <w:bookmarkStart w:id="8" w:name="第二部分"/>
      <w:bookmarkStart w:id="9" w:name="_Toc91899870"/>
      <w:bookmarkStart w:id="10" w:name="_Toc91899871"/>
      <w:r>
        <w:rPr>
          <w:rFonts w:hint="eastAsia" w:ascii="宋体" w:hAnsi="宋体" w:cs="宋体"/>
          <w:b/>
          <w:sz w:val="36"/>
          <w:szCs w:val="20"/>
        </w:rPr>
        <w:t>第一部分 招标公告</w:t>
      </w:r>
    </w:p>
    <w:p>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项目概况</w:t>
      </w:r>
    </w:p>
    <w:p>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sz w:val="24"/>
          <w:u w:val="single"/>
        </w:rPr>
      </w:pPr>
      <w:r>
        <w:rPr>
          <w:rFonts w:hint="eastAsia" w:cs="仿宋_GB2312" w:asciiTheme="minorEastAsia" w:hAnsiTheme="minorEastAsia" w:eastAsiaTheme="minorEastAsia"/>
          <w:sz w:val="24"/>
          <w:u w:val="single"/>
          <w:lang w:eastAsia="zh-CN"/>
        </w:rPr>
        <w:t>杭州市转塘小学（浮山新建校）电子显示屏采购项目</w:t>
      </w:r>
      <w:r>
        <w:rPr>
          <w:rFonts w:hint="eastAsia" w:asciiTheme="minorEastAsia" w:hAnsiTheme="minorEastAsia" w:eastAsiaTheme="minorEastAsia"/>
          <w:sz w:val="24"/>
        </w:rPr>
        <w:t>招标项目的潜在投标人应在政采云平台（</w:t>
      </w:r>
      <w:r>
        <w:fldChar w:fldCharType="begin"/>
      </w:r>
      <w:r>
        <w:instrText xml:space="preserve"> HYPERLINK "https://www.zcygov.cn/）获取（下载）招标文件，并于2023年%20月%20日%20点%20分00秒" </w:instrText>
      </w:r>
      <w:r>
        <w:fldChar w:fldCharType="separate"/>
      </w:r>
      <w:r>
        <w:rPr>
          <w:rStyle w:val="76"/>
          <w:rFonts w:cs="Times New Roman" w:asciiTheme="minorEastAsia" w:hAnsiTheme="minorEastAsia" w:eastAsiaTheme="minorEastAsia"/>
          <w:snapToGrid/>
          <w:kern w:val="2"/>
          <w:sz w:val="24"/>
          <w:szCs w:val="24"/>
        </w:rPr>
        <w:t>https://www.zcygov.cn/）获取（下载）招标文件，并于</w:t>
      </w:r>
      <w:r>
        <w:rPr>
          <w:rStyle w:val="76"/>
          <w:rFonts w:hint="eastAsia" w:cs="Times New Roman" w:asciiTheme="minorEastAsia" w:hAnsiTheme="minorEastAsia" w:eastAsiaTheme="minorEastAsia"/>
          <w:snapToGrid/>
          <w:color w:val="auto"/>
          <w:kern w:val="2"/>
          <w:sz w:val="24"/>
          <w:szCs w:val="24"/>
          <w:highlight w:val="none"/>
          <w:u w:val="single"/>
          <w:lang w:eastAsia="zh-CN"/>
        </w:rPr>
        <w:t>2024</w:t>
      </w:r>
      <w:r>
        <w:rPr>
          <w:rStyle w:val="76"/>
          <w:rFonts w:cs="Times New Roman" w:asciiTheme="minorEastAsia" w:hAnsiTheme="minorEastAsia" w:eastAsiaTheme="minorEastAsia"/>
          <w:snapToGrid/>
          <w:color w:val="auto"/>
          <w:kern w:val="2"/>
          <w:sz w:val="24"/>
          <w:szCs w:val="24"/>
          <w:highlight w:val="none"/>
          <w:u w:val="single"/>
        </w:rPr>
        <w:t>年</w:t>
      </w:r>
      <w:r>
        <w:rPr>
          <w:rStyle w:val="76"/>
          <w:rFonts w:hint="eastAsia" w:cs="Times New Roman" w:asciiTheme="minorEastAsia" w:hAnsiTheme="minorEastAsia" w:eastAsiaTheme="minorEastAsia"/>
          <w:snapToGrid/>
          <w:color w:val="auto"/>
          <w:kern w:val="2"/>
          <w:sz w:val="24"/>
          <w:szCs w:val="24"/>
          <w:highlight w:val="none"/>
          <w:u w:val="single"/>
          <w:lang w:val="en-US" w:eastAsia="zh-CN"/>
        </w:rPr>
        <w:t>7</w:t>
      </w:r>
      <w:r>
        <w:rPr>
          <w:rStyle w:val="76"/>
          <w:rFonts w:hint="eastAsia" w:cs="Times New Roman" w:asciiTheme="minorEastAsia" w:hAnsiTheme="minorEastAsia" w:eastAsiaTheme="minorEastAsia"/>
          <w:snapToGrid/>
          <w:color w:val="auto"/>
          <w:kern w:val="2"/>
          <w:sz w:val="24"/>
          <w:szCs w:val="24"/>
          <w:highlight w:val="none"/>
          <w:u w:val="single"/>
        </w:rPr>
        <w:t>月</w:t>
      </w:r>
      <w:r>
        <w:rPr>
          <w:rStyle w:val="76"/>
          <w:rFonts w:hint="eastAsia" w:cs="Times New Roman" w:asciiTheme="minorEastAsia" w:hAnsiTheme="minorEastAsia" w:eastAsiaTheme="minorEastAsia"/>
          <w:snapToGrid/>
          <w:color w:val="auto"/>
          <w:kern w:val="2"/>
          <w:sz w:val="24"/>
          <w:szCs w:val="24"/>
          <w:highlight w:val="none"/>
          <w:u w:val="single"/>
          <w:lang w:val="en-US" w:eastAsia="zh-CN"/>
        </w:rPr>
        <w:t>12</w:t>
      </w:r>
      <w:r>
        <w:rPr>
          <w:rStyle w:val="76"/>
          <w:rFonts w:hint="eastAsia" w:cs="Times New Roman" w:asciiTheme="minorEastAsia" w:hAnsiTheme="minorEastAsia" w:eastAsiaTheme="minorEastAsia"/>
          <w:snapToGrid/>
          <w:color w:val="auto"/>
          <w:kern w:val="2"/>
          <w:sz w:val="24"/>
          <w:szCs w:val="24"/>
          <w:highlight w:val="none"/>
          <w:u w:val="single"/>
        </w:rPr>
        <w:t>日</w:t>
      </w:r>
      <w:r>
        <w:rPr>
          <w:rStyle w:val="76"/>
          <w:rFonts w:hint="eastAsia" w:cs="Times New Roman" w:asciiTheme="minorEastAsia" w:hAnsiTheme="minorEastAsia" w:eastAsiaTheme="minorEastAsia"/>
          <w:snapToGrid/>
          <w:color w:val="auto"/>
          <w:kern w:val="2"/>
          <w:sz w:val="24"/>
          <w:szCs w:val="24"/>
          <w:highlight w:val="none"/>
          <w:u w:val="single"/>
          <w:lang w:val="en-US" w:eastAsia="zh-CN"/>
        </w:rPr>
        <w:t>10</w:t>
      </w:r>
      <w:r>
        <w:rPr>
          <w:rStyle w:val="76"/>
          <w:rFonts w:hint="eastAsia" w:cs="Times New Roman" w:asciiTheme="minorEastAsia" w:hAnsiTheme="minorEastAsia" w:eastAsiaTheme="minorEastAsia"/>
          <w:snapToGrid/>
          <w:color w:val="auto"/>
          <w:kern w:val="2"/>
          <w:sz w:val="24"/>
          <w:szCs w:val="24"/>
          <w:u w:val="single"/>
        </w:rPr>
        <w:t>点</w:t>
      </w:r>
      <w:r>
        <w:rPr>
          <w:rStyle w:val="76"/>
          <w:rFonts w:hint="eastAsia" w:cs="Times New Roman" w:asciiTheme="minorEastAsia" w:hAnsiTheme="minorEastAsia" w:eastAsiaTheme="minorEastAsia"/>
          <w:snapToGrid/>
          <w:color w:val="auto"/>
          <w:kern w:val="2"/>
          <w:sz w:val="24"/>
          <w:szCs w:val="24"/>
          <w:u w:val="single"/>
          <w:lang w:val="en-US" w:eastAsia="zh-CN"/>
        </w:rPr>
        <w:t>00</w:t>
      </w:r>
      <w:r>
        <w:rPr>
          <w:rStyle w:val="76"/>
          <w:rFonts w:hint="eastAsia" w:cs="Times New Roman" w:asciiTheme="minorEastAsia" w:hAnsiTheme="minorEastAsia" w:eastAsiaTheme="minorEastAsia"/>
          <w:snapToGrid/>
          <w:color w:val="auto"/>
          <w:kern w:val="2"/>
          <w:sz w:val="24"/>
          <w:szCs w:val="24"/>
          <w:u w:val="single"/>
        </w:rPr>
        <w:t>分</w:t>
      </w:r>
      <w:r>
        <w:rPr>
          <w:rStyle w:val="76"/>
          <w:rFonts w:hint="eastAsia" w:cs="Times New Roman" w:asciiTheme="minorEastAsia" w:hAnsiTheme="minorEastAsia" w:eastAsiaTheme="minorEastAsia"/>
          <w:bCs/>
          <w:snapToGrid/>
          <w:color w:val="auto"/>
          <w:kern w:val="2"/>
          <w:sz w:val="24"/>
          <w:szCs w:val="24"/>
          <w:u w:val="single"/>
        </w:rPr>
        <w:t>00秒</w:t>
      </w:r>
      <w:r>
        <w:rPr>
          <w:rStyle w:val="76"/>
          <w:rFonts w:hint="eastAsia" w:cs="Times New Roman" w:asciiTheme="minorEastAsia" w:hAnsiTheme="minorEastAsia" w:eastAsiaTheme="minorEastAsia"/>
          <w:bCs/>
          <w:snapToGrid/>
          <w:color w:val="auto"/>
          <w:kern w:val="2"/>
          <w:sz w:val="24"/>
          <w:szCs w:val="24"/>
          <w:u w:val="single"/>
        </w:rPr>
        <w:fldChar w:fldCharType="end"/>
      </w:r>
      <w:r>
        <w:rPr>
          <w:rFonts w:hint="eastAsia" w:asciiTheme="minorEastAsia" w:hAnsiTheme="minorEastAsia" w:eastAsiaTheme="minorEastAsia"/>
          <w:bCs/>
          <w:sz w:val="24"/>
        </w:rPr>
        <w:t>（北京时间）前</w:t>
      </w:r>
      <w:r>
        <w:rPr>
          <w:rFonts w:hint="eastAsia" w:asciiTheme="minorEastAsia" w:hAnsiTheme="minorEastAsia" w:eastAsiaTheme="minorEastAsia"/>
          <w:sz w:val="24"/>
        </w:rPr>
        <w:t>递交（上传）投标文件。</w:t>
      </w:r>
    </w:p>
    <w:p>
      <w:pPr>
        <w:spacing w:line="360" w:lineRule="auto"/>
        <w:rPr>
          <w:rFonts w:ascii="宋体" w:hAnsi="宋体" w:cs="宋体"/>
          <w:b/>
          <w:sz w:val="24"/>
        </w:rPr>
      </w:pPr>
      <w:r>
        <w:rPr>
          <w:rFonts w:hint="eastAsia" w:ascii="宋体" w:hAnsi="宋体" w:cs="宋体"/>
          <w:b/>
          <w:sz w:val="24"/>
        </w:rPr>
        <w:t xml:space="preserve">一、项目基本情况                                            </w:t>
      </w:r>
    </w:p>
    <w:p>
      <w:pPr>
        <w:spacing w:line="360" w:lineRule="auto"/>
        <w:rPr>
          <w:rFonts w:hint="eastAsia" w:ascii="宋体" w:hAnsi="宋体" w:eastAsia="宋体" w:cs="宋体"/>
          <w:sz w:val="24"/>
          <w:lang w:eastAsia="zh-CN"/>
        </w:rPr>
      </w:pPr>
      <w:r>
        <w:rPr>
          <w:rFonts w:hint="eastAsia" w:ascii="宋体" w:hAnsi="宋体" w:cs="宋体"/>
          <w:sz w:val="24"/>
        </w:rPr>
        <w:t xml:space="preserve">    </w:t>
      </w:r>
      <w:r>
        <w:rPr>
          <w:rFonts w:hint="eastAsia" w:ascii="宋体" w:hAnsi="宋体" w:cs="宋体"/>
          <w:b/>
          <w:sz w:val="24"/>
        </w:rPr>
        <w:t>项目编号：</w:t>
      </w:r>
      <w:r>
        <w:rPr>
          <w:rFonts w:hint="eastAsia" w:ascii="宋体" w:hAnsi="宋体" w:cs="宋体"/>
          <w:sz w:val="24"/>
          <w:lang w:eastAsia="zh-CN"/>
        </w:rPr>
        <w:t>XHZFCG-2024-G-31</w:t>
      </w:r>
    </w:p>
    <w:p>
      <w:pPr>
        <w:spacing w:line="360" w:lineRule="auto"/>
        <w:rPr>
          <w:rFonts w:hint="eastAsia" w:ascii="宋体" w:hAnsi="宋体" w:eastAsia="宋体" w:cs="宋体"/>
          <w:sz w:val="24"/>
          <w:lang w:eastAsia="zh-CN"/>
        </w:rPr>
      </w:pPr>
      <w:r>
        <w:rPr>
          <w:rFonts w:hint="eastAsia" w:ascii="宋体" w:hAnsi="宋体" w:cs="宋体"/>
          <w:sz w:val="24"/>
        </w:rPr>
        <w:t xml:space="preserve">   </w:t>
      </w:r>
      <w:r>
        <w:rPr>
          <w:rFonts w:hint="eastAsia" w:ascii="宋体" w:hAnsi="宋体" w:cs="宋体"/>
          <w:b/>
          <w:sz w:val="24"/>
        </w:rPr>
        <w:t xml:space="preserve"> 项目名称：</w:t>
      </w:r>
      <w:r>
        <w:rPr>
          <w:rFonts w:hint="eastAsia" w:ascii="宋体" w:hAnsi="宋体" w:cs="宋体"/>
          <w:sz w:val="24"/>
          <w:lang w:eastAsia="zh-CN"/>
        </w:rPr>
        <w:t>杭州市转塘小学（浮山新建校）电子显示屏采购项目</w:t>
      </w:r>
    </w:p>
    <w:p>
      <w:pPr>
        <w:spacing w:line="360" w:lineRule="auto"/>
        <w:rPr>
          <w:rFonts w:hint="default" w:ascii="宋体" w:hAnsi="宋体" w:cs="宋体"/>
          <w:sz w:val="24"/>
          <w:highlight w:val="none"/>
          <w:lang w:val="en-US"/>
        </w:rPr>
      </w:pPr>
      <w:r>
        <w:rPr>
          <w:rFonts w:hint="eastAsia" w:ascii="宋体" w:hAnsi="宋体" w:cs="宋体"/>
          <w:sz w:val="24"/>
          <w:highlight w:val="none"/>
        </w:rPr>
        <w:t xml:space="preserve"> </w:t>
      </w:r>
      <w:r>
        <w:rPr>
          <w:rFonts w:hint="eastAsia" w:ascii="宋体" w:hAnsi="宋体" w:cs="宋体"/>
          <w:b/>
          <w:bCs/>
          <w:sz w:val="24"/>
          <w:highlight w:val="none"/>
        </w:rPr>
        <w:t xml:space="preserve">   预算金额（元）：</w:t>
      </w:r>
      <w:r>
        <w:rPr>
          <w:rFonts w:hint="eastAsia" w:ascii="宋体" w:hAnsi="宋体" w:cs="宋体"/>
          <w:b/>
          <w:bCs/>
          <w:sz w:val="24"/>
          <w:highlight w:val="none"/>
          <w:lang w:val="en-US" w:eastAsia="zh-CN"/>
        </w:rPr>
        <w:t>1140000.00</w:t>
      </w:r>
    </w:p>
    <w:p>
      <w:pPr>
        <w:spacing w:line="360" w:lineRule="auto"/>
        <w:ind w:firstLine="482" w:firstLineChars="200"/>
        <w:rPr>
          <w:highlight w:val="none"/>
          <w:lang w:val="en-US"/>
        </w:rPr>
      </w:pPr>
      <w:r>
        <w:rPr>
          <w:rFonts w:hint="eastAsia" w:ascii="宋体" w:hAnsi="宋体" w:cs="宋体"/>
          <w:b/>
          <w:sz w:val="24"/>
          <w:highlight w:val="none"/>
        </w:rPr>
        <w:t>最高限价（元）：</w:t>
      </w:r>
      <w:r>
        <w:rPr>
          <w:rFonts w:hint="eastAsia" w:ascii="宋体" w:hAnsi="宋体" w:cs="宋体"/>
          <w:b/>
          <w:bCs/>
          <w:sz w:val="24"/>
          <w:highlight w:val="none"/>
          <w:lang w:val="en-US" w:eastAsia="zh-CN"/>
        </w:rPr>
        <w:t>1140000.00</w:t>
      </w:r>
      <w:r>
        <w:rPr>
          <w:rFonts w:ascii="宋体" w:hAnsi="宋体" w:cs="宋体"/>
          <w:sz w:val="24"/>
          <w:highlight w:val="none"/>
          <w:lang w:val="en-US"/>
        </w:rPr>
        <w:t xml:space="preserve">              </w:t>
      </w:r>
    </w:p>
    <w:p>
      <w:pPr>
        <w:pStyle w:val="15"/>
        <w:spacing w:line="360" w:lineRule="auto"/>
        <w:ind w:firstLine="480"/>
        <w:rPr>
          <w:rFonts w:asciiTheme="minorEastAsia" w:hAnsiTheme="minorEastAsia" w:eastAsiaTheme="minorEastAsia"/>
          <w:snapToGrid/>
          <w:color w:val="auto"/>
          <w:kern w:val="2"/>
          <w:sz w:val="24"/>
          <w:szCs w:val="24"/>
          <w:highlight w:val="none"/>
        </w:rPr>
      </w:pPr>
      <w:r>
        <w:rPr>
          <w:rFonts w:hint="eastAsia" w:hAnsi="宋体" w:cs="宋体"/>
          <w:b/>
          <w:color w:val="auto"/>
          <w:sz w:val="24"/>
          <w:highlight w:val="none"/>
        </w:rPr>
        <w:t>采购需求：</w:t>
      </w:r>
      <w:r>
        <w:rPr>
          <w:rFonts w:hint="eastAsia" w:hAnsi="宋体" w:cs="宋体"/>
          <w:bCs/>
          <w:snapToGrid/>
          <w:color w:val="auto"/>
          <w:kern w:val="2"/>
          <w:sz w:val="24"/>
          <w:szCs w:val="24"/>
          <w:highlight w:val="none"/>
          <w:lang w:eastAsia="zh-CN"/>
        </w:rPr>
        <w:t>杭州市转塘小学（浮山新建校）电子显示屏采购项目</w:t>
      </w:r>
      <w:r>
        <w:rPr>
          <w:rFonts w:hint="eastAsia" w:hAnsi="宋体" w:cs="宋体"/>
          <w:bCs/>
          <w:snapToGrid/>
          <w:color w:val="auto"/>
          <w:kern w:val="2"/>
          <w:sz w:val="24"/>
          <w:szCs w:val="24"/>
          <w:highlight w:val="none"/>
        </w:rPr>
        <w:t>，</w:t>
      </w:r>
      <w:r>
        <w:rPr>
          <w:rFonts w:hint="eastAsia" w:hAnsi="宋体"/>
          <w:sz w:val="24"/>
          <w:highlight w:val="none"/>
        </w:rPr>
        <w:t>主要内容包括</w:t>
      </w:r>
      <w:r>
        <w:rPr>
          <w:rFonts w:hint="eastAsia" w:hAnsi="宋体"/>
          <w:sz w:val="24"/>
          <w:highlight w:val="none"/>
          <w:lang w:eastAsia="zh-CN"/>
        </w:rPr>
        <w:t>：</w:t>
      </w:r>
      <w:r>
        <w:rPr>
          <w:rFonts w:hint="eastAsia" w:ascii="宋体" w:hAnsi="宋体" w:cs="宋体"/>
          <w:snapToGrid w:val="0"/>
          <w:color w:val="000000"/>
          <w:kern w:val="28"/>
          <w:sz w:val="24"/>
        </w:rPr>
        <w:t>校门口增加一块户外P3全彩色显示</w:t>
      </w:r>
      <w:r>
        <w:rPr>
          <w:rFonts w:hint="eastAsia" w:hAnsi="宋体" w:cs="宋体"/>
          <w:sz w:val="24"/>
        </w:rPr>
        <w:t>屏</w:t>
      </w:r>
      <w:r>
        <w:rPr>
          <w:rFonts w:hint="eastAsia" w:ascii="宋体" w:hAnsi="宋体" w:cs="宋体"/>
          <w:snapToGrid w:val="0"/>
          <w:color w:val="000000"/>
          <w:kern w:val="28"/>
          <w:sz w:val="24"/>
        </w:rPr>
        <w:t>：宽6.4m*高3.68m=23.55平方米；体育</w:t>
      </w:r>
      <w:r>
        <w:rPr>
          <w:rFonts w:hint="eastAsia" w:hAnsi="宋体" w:cs="宋体"/>
          <w:sz w:val="24"/>
        </w:rPr>
        <w:t>活动场所</w:t>
      </w:r>
      <w:r>
        <w:rPr>
          <w:rFonts w:hint="eastAsia" w:ascii="宋体" w:hAnsi="宋体" w:cs="宋体"/>
          <w:snapToGrid w:val="0"/>
          <w:color w:val="000000"/>
          <w:kern w:val="28"/>
          <w:sz w:val="24"/>
        </w:rPr>
        <w:t>增加1块室内P2.5全彩色显示</w:t>
      </w:r>
      <w:r>
        <w:rPr>
          <w:rFonts w:hint="eastAsia" w:hAnsi="宋体" w:cs="宋体"/>
          <w:sz w:val="24"/>
        </w:rPr>
        <w:t>屏</w:t>
      </w:r>
      <w:r>
        <w:rPr>
          <w:rFonts w:hint="eastAsia" w:hAnsi="宋体" w:cs="宋体"/>
          <w:sz w:val="24"/>
          <w:lang w:eastAsia="zh-CN"/>
        </w:rPr>
        <w:t>：</w:t>
      </w:r>
      <w:r>
        <w:rPr>
          <w:rFonts w:hint="eastAsia" w:ascii="宋体" w:hAnsi="宋体" w:cs="宋体"/>
          <w:snapToGrid w:val="0"/>
          <w:color w:val="000000"/>
          <w:kern w:val="28"/>
          <w:sz w:val="24"/>
        </w:rPr>
        <w:t>宽8m*高4.32m=34.5平方米</w:t>
      </w:r>
      <w:r>
        <w:rPr>
          <w:rFonts w:hint="eastAsia" w:hAnsi="宋体" w:cs="宋体"/>
          <w:snapToGrid w:val="0"/>
          <w:color w:val="000000"/>
          <w:kern w:val="28"/>
          <w:sz w:val="24"/>
          <w:lang w:eastAsia="zh-CN"/>
        </w:rPr>
        <w:t>；</w:t>
      </w:r>
      <w:r>
        <w:rPr>
          <w:rFonts w:hint="eastAsia" w:ascii="宋体" w:hAnsi="宋体" w:cs="宋体"/>
          <w:snapToGrid w:val="0"/>
          <w:color w:val="000000"/>
          <w:kern w:val="28"/>
          <w:sz w:val="24"/>
        </w:rPr>
        <w:t>报告厅增加1块室内P1.8全彩色显示</w:t>
      </w:r>
      <w:r>
        <w:rPr>
          <w:rFonts w:hint="eastAsia" w:hAnsi="宋体" w:cs="宋体"/>
          <w:sz w:val="24"/>
        </w:rPr>
        <w:t>屏</w:t>
      </w:r>
      <w:r>
        <w:rPr>
          <w:rFonts w:hint="eastAsia" w:hAnsi="宋体" w:cs="宋体"/>
          <w:sz w:val="24"/>
          <w:lang w:eastAsia="zh-CN"/>
        </w:rPr>
        <w:t>：</w:t>
      </w:r>
      <w:r>
        <w:rPr>
          <w:rFonts w:hint="eastAsia" w:ascii="宋体" w:hAnsi="宋体" w:cs="宋体"/>
          <w:snapToGrid w:val="0"/>
          <w:color w:val="000000"/>
          <w:kern w:val="28"/>
          <w:sz w:val="24"/>
        </w:rPr>
        <w:t>宽9.6m*高5.76m=55.3平方米</w:t>
      </w:r>
      <w:r>
        <w:rPr>
          <w:rFonts w:hint="eastAsia" w:hAnsi="宋体" w:cs="宋体"/>
          <w:sz w:val="24"/>
          <w:lang w:val="en-US" w:eastAsia="zh-CN"/>
        </w:rPr>
        <w:t>好和</w:t>
      </w:r>
      <w:r>
        <w:rPr>
          <w:rFonts w:hint="eastAsia" w:hAnsi="宋体" w:cs="宋体"/>
          <w:sz w:val="24"/>
        </w:rPr>
        <w:t>横幅屏</w:t>
      </w:r>
      <w:r>
        <w:rPr>
          <w:rFonts w:hint="eastAsia" w:hAnsi="宋体" w:cs="宋体"/>
          <w:sz w:val="24"/>
          <w:lang w:eastAsia="zh-CN"/>
        </w:rPr>
        <w:t>：</w:t>
      </w:r>
      <w:r>
        <w:rPr>
          <w:rFonts w:hint="eastAsia" w:hAnsi="宋体" w:cs="宋体"/>
          <w:sz w:val="24"/>
        </w:rPr>
        <w:t>宽14.08m*高0.8m=11.26平方米</w:t>
      </w:r>
      <w:r>
        <w:rPr>
          <w:rFonts w:hint="eastAsia" w:hAnsi="宋体" w:cs="宋体"/>
          <w:snapToGrid w:val="0"/>
          <w:color w:val="000000"/>
          <w:kern w:val="28"/>
          <w:sz w:val="24"/>
          <w:lang w:eastAsia="zh-CN"/>
        </w:rPr>
        <w:t>；</w:t>
      </w:r>
      <w:r>
        <w:rPr>
          <w:rFonts w:hint="eastAsia" w:ascii="宋体" w:hAnsi="宋体" w:cs="宋体"/>
          <w:snapToGrid w:val="0"/>
          <w:color w:val="000000"/>
          <w:kern w:val="28"/>
          <w:sz w:val="24"/>
        </w:rPr>
        <w:t>家长接送区增加一块户外P3全彩色显示</w:t>
      </w:r>
      <w:r>
        <w:rPr>
          <w:rFonts w:hint="eastAsia" w:hAnsi="宋体" w:cs="宋体"/>
          <w:sz w:val="24"/>
        </w:rPr>
        <w:t>屏</w:t>
      </w:r>
      <w:r>
        <w:rPr>
          <w:rFonts w:hint="eastAsia" w:hAnsi="宋体" w:cs="宋体"/>
          <w:snapToGrid w:val="0"/>
          <w:color w:val="000000"/>
          <w:kern w:val="28"/>
          <w:sz w:val="24"/>
          <w:lang w:eastAsia="zh-CN"/>
        </w:rPr>
        <w:t>：</w:t>
      </w:r>
      <w:r>
        <w:rPr>
          <w:rFonts w:hint="eastAsia" w:ascii="宋体" w:hAnsi="宋体" w:cs="宋体"/>
          <w:snapToGrid w:val="0"/>
          <w:color w:val="000000"/>
          <w:kern w:val="28"/>
          <w:sz w:val="24"/>
        </w:rPr>
        <w:t>宽2.88m*高1.6m=4.6平方米</w:t>
      </w:r>
      <w:r>
        <w:rPr>
          <w:rFonts w:hint="eastAsia"/>
          <w:snapToGrid w:val="0"/>
          <w:sz w:val="24"/>
          <w:lang w:val="en-US" w:eastAsia="zh-CN"/>
        </w:rPr>
        <w:t>等</w:t>
      </w:r>
      <w:r>
        <w:rPr>
          <w:rFonts w:hint="eastAsia" w:ascii="宋体" w:hAnsi="宋体" w:cs="宋体"/>
          <w:snapToGrid w:val="0"/>
          <w:color w:val="000000"/>
          <w:kern w:val="28"/>
          <w:sz w:val="24"/>
        </w:rPr>
        <w:t>。</w:t>
      </w:r>
      <w:r>
        <w:rPr>
          <w:rFonts w:hint="eastAsia" w:ascii="宋体" w:hAnsi="宋体" w:cs="宋体"/>
          <w:bCs/>
          <w:sz w:val="24"/>
        </w:rPr>
        <w:t>具体包括安装、产品调试、试运行、验收与相关的操作培训及不少于3年（含）7×24小时免费设备保修和售后现场技术服务等内容。</w:t>
      </w:r>
      <w:r>
        <w:rPr>
          <w:rFonts w:hint="eastAsia" w:asciiTheme="minorEastAsia" w:hAnsiTheme="minorEastAsia" w:eastAsiaTheme="minorEastAsia"/>
          <w:snapToGrid/>
          <w:color w:val="auto"/>
          <w:kern w:val="2"/>
          <w:sz w:val="24"/>
          <w:szCs w:val="24"/>
          <w:highlight w:val="none"/>
        </w:rPr>
        <w:t>供应商可点击本公告下方“浏览采购文件”查看采购需求。</w:t>
      </w:r>
    </w:p>
    <w:p>
      <w:pPr>
        <w:pStyle w:val="2"/>
        <w:ind w:left="433" w:leftChars="202" w:hanging="9" w:hangingChars="4"/>
        <w:rPr>
          <w:rFonts w:ascii="宋体" w:hAnsi="宋体" w:eastAsia="宋体" w:cs="宋体"/>
          <w:b w:val="0"/>
          <w:bCs w:val="0"/>
          <w:sz w:val="24"/>
          <w:szCs w:val="24"/>
          <w:lang w:val="en-US"/>
        </w:rPr>
      </w:pPr>
      <w:r>
        <w:rPr>
          <w:rFonts w:hint="eastAsia" w:ascii="宋体" w:hAnsi="宋体" w:eastAsia="宋体" w:cs="宋体"/>
          <w:b w:val="0"/>
          <w:bCs w:val="0"/>
          <w:sz w:val="24"/>
          <w:szCs w:val="24"/>
          <w:lang w:val="en-US"/>
        </w:rPr>
        <w:t xml:space="preserve">标项名称： </w:t>
      </w:r>
      <w:r>
        <w:rPr>
          <w:rFonts w:hint="eastAsia" w:ascii="宋体" w:hAnsi="宋体" w:eastAsia="宋体" w:cs="宋体"/>
          <w:b w:val="0"/>
          <w:bCs w:val="0"/>
          <w:sz w:val="24"/>
          <w:lang w:eastAsia="zh-CN"/>
        </w:rPr>
        <w:t>杭州市转塘小学（浮山新建校）电子显示屏采购项目</w:t>
      </w:r>
      <w:r>
        <w:rPr>
          <w:rFonts w:hint="eastAsia" w:ascii="宋体" w:hAnsi="宋体" w:eastAsia="宋体" w:cs="宋体"/>
          <w:b w:val="0"/>
          <w:bCs w:val="0"/>
          <w:sz w:val="24"/>
        </w:rPr>
        <w:t>（</w:t>
      </w:r>
      <w:r>
        <w:rPr>
          <w:rFonts w:hint="eastAsia" w:ascii="宋体" w:hAnsi="宋体" w:eastAsia="宋体" w:cs="宋体"/>
          <w:b w:val="0"/>
          <w:bCs w:val="0"/>
          <w:sz w:val="24"/>
          <w:lang w:val="en-US"/>
        </w:rPr>
        <w:t>一</w:t>
      </w:r>
      <w:r>
        <w:rPr>
          <w:rFonts w:hint="eastAsia" w:ascii="宋体" w:hAnsi="宋体" w:eastAsia="宋体" w:cs="宋体"/>
          <w:b w:val="0"/>
          <w:bCs w:val="0"/>
          <w:sz w:val="24"/>
        </w:rPr>
        <w:t>）</w:t>
      </w:r>
    </w:p>
    <w:p>
      <w:pPr>
        <w:pStyle w:val="2"/>
        <w:ind w:left="433" w:leftChars="202" w:hanging="9" w:hangingChars="4"/>
        <w:rPr>
          <w:rFonts w:ascii="宋体" w:hAnsi="宋体" w:eastAsia="宋体" w:cs="宋体"/>
          <w:b w:val="0"/>
          <w:bCs w:val="0"/>
          <w:sz w:val="24"/>
          <w:szCs w:val="24"/>
          <w:lang w:val="en-US"/>
        </w:rPr>
      </w:pPr>
      <w:r>
        <w:rPr>
          <w:rFonts w:hint="eastAsia" w:ascii="宋体" w:hAnsi="宋体" w:eastAsia="宋体" w:cs="宋体"/>
          <w:b w:val="0"/>
          <w:bCs w:val="0"/>
          <w:sz w:val="24"/>
          <w:szCs w:val="24"/>
          <w:lang w:val="en-US"/>
        </w:rPr>
        <w:t>数量：1批</w:t>
      </w:r>
    </w:p>
    <w:p>
      <w:pPr>
        <w:pStyle w:val="2"/>
        <w:ind w:left="433" w:leftChars="202" w:hanging="9" w:hangingChars="4"/>
        <w:rPr>
          <w:rFonts w:hint="default" w:ascii="宋体" w:hAnsi="宋体" w:eastAsia="宋体" w:cs="宋体"/>
          <w:b w:val="0"/>
          <w:bCs w:val="0"/>
          <w:sz w:val="24"/>
          <w:highlight w:val="cyan"/>
          <w:lang w:val="en-US"/>
        </w:rPr>
      </w:pPr>
      <w:r>
        <w:rPr>
          <w:rFonts w:hint="eastAsia" w:ascii="宋体" w:hAnsi="宋体" w:eastAsia="宋体" w:cs="宋体"/>
          <w:b w:val="0"/>
          <w:bCs w:val="0"/>
          <w:sz w:val="24"/>
          <w:szCs w:val="24"/>
          <w:highlight w:val="none"/>
          <w:lang w:val="en-US"/>
        </w:rPr>
        <w:t>预算金额（元）：</w:t>
      </w:r>
      <w:r>
        <w:rPr>
          <w:rFonts w:hint="eastAsia" w:ascii="宋体" w:hAnsi="宋体" w:eastAsia="宋体" w:cs="宋体"/>
          <w:b w:val="0"/>
          <w:bCs w:val="0"/>
          <w:sz w:val="24"/>
          <w:szCs w:val="24"/>
          <w:highlight w:val="none"/>
          <w:lang w:val="en-US" w:eastAsia="zh-CN"/>
        </w:rPr>
        <w:t>1140000.00</w:t>
      </w:r>
      <w:r>
        <w:rPr>
          <w:rFonts w:hint="eastAsia" w:ascii="宋体" w:hAnsi="宋体" w:eastAsia="宋体" w:cs="宋体"/>
          <w:b w:val="0"/>
          <w:bCs w:val="0"/>
          <w:sz w:val="24"/>
          <w:highlight w:val="none"/>
          <w:lang w:val="en-US" w:eastAsia="zh-CN"/>
        </w:rPr>
        <w:t xml:space="preserve"> </w:t>
      </w:r>
    </w:p>
    <w:p>
      <w:pPr>
        <w:pStyle w:val="15"/>
        <w:spacing w:line="360" w:lineRule="auto"/>
        <w:ind w:left="0" w:leftChars="0" w:firstLine="480" w:firstLineChars="200"/>
        <w:rPr>
          <w:rFonts w:hAnsi="宋体" w:cs="宋体"/>
          <w:bCs/>
          <w:snapToGrid/>
          <w:color w:val="auto"/>
          <w:kern w:val="2"/>
          <w:sz w:val="24"/>
          <w:szCs w:val="24"/>
          <w:highlight w:val="none"/>
        </w:rPr>
      </w:pPr>
      <w:r>
        <w:rPr>
          <w:rFonts w:hint="eastAsia" w:hAnsi="宋体" w:cs="宋体"/>
          <w:bCs/>
          <w:snapToGrid/>
          <w:color w:val="auto"/>
          <w:kern w:val="2"/>
          <w:sz w:val="24"/>
          <w:szCs w:val="24"/>
          <w:highlight w:val="none"/>
        </w:rPr>
        <w:t>简要规格描述或项目基本概况介绍、用途：</w:t>
      </w:r>
      <w:r>
        <w:rPr>
          <w:rFonts w:hint="eastAsia" w:ascii="宋体" w:hAnsi="宋体" w:cs="宋体"/>
          <w:snapToGrid w:val="0"/>
          <w:color w:val="000000"/>
          <w:kern w:val="28"/>
          <w:sz w:val="24"/>
        </w:rPr>
        <w:t>校门口增加一块户外P3全彩色显示</w:t>
      </w:r>
      <w:r>
        <w:rPr>
          <w:rFonts w:hint="eastAsia" w:hAnsi="宋体" w:cs="宋体"/>
          <w:sz w:val="24"/>
        </w:rPr>
        <w:t>屏</w:t>
      </w:r>
      <w:r>
        <w:rPr>
          <w:rFonts w:hint="eastAsia" w:ascii="宋体" w:hAnsi="宋体" w:cs="宋体"/>
          <w:snapToGrid w:val="0"/>
          <w:color w:val="000000"/>
          <w:kern w:val="28"/>
          <w:sz w:val="24"/>
        </w:rPr>
        <w:t>：宽6.4m*高3.68m=23.55平方米；体育</w:t>
      </w:r>
      <w:r>
        <w:rPr>
          <w:rFonts w:hint="eastAsia" w:hAnsi="宋体" w:cs="宋体"/>
          <w:sz w:val="24"/>
        </w:rPr>
        <w:t>活动场所</w:t>
      </w:r>
      <w:r>
        <w:rPr>
          <w:rFonts w:hint="eastAsia" w:ascii="宋体" w:hAnsi="宋体" w:cs="宋体"/>
          <w:snapToGrid w:val="0"/>
          <w:color w:val="000000"/>
          <w:kern w:val="28"/>
          <w:sz w:val="24"/>
        </w:rPr>
        <w:t>增加1块室内P2.5全彩色显示</w:t>
      </w:r>
      <w:r>
        <w:rPr>
          <w:rFonts w:hint="eastAsia" w:hAnsi="宋体" w:cs="宋体"/>
          <w:sz w:val="24"/>
        </w:rPr>
        <w:t>屏</w:t>
      </w:r>
      <w:r>
        <w:rPr>
          <w:rFonts w:hint="eastAsia" w:hAnsi="宋体" w:cs="宋体"/>
          <w:sz w:val="24"/>
          <w:lang w:eastAsia="zh-CN"/>
        </w:rPr>
        <w:t>：</w:t>
      </w:r>
      <w:r>
        <w:rPr>
          <w:rFonts w:hint="eastAsia" w:ascii="宋体" w:hAnsi="宋体" w:cs="宋体"/>
          <w:snapToGrid w:val="0"/>
          <w:color w:val="000000"/>
          <w:kern w:val="28"/>
          <w:sz w:val="24"/>
        </w:rPr>
        <w:t>宽8m*高4.32m=34.5平方米</w:t>
      </w:r>
      <w:r>
        <w:rPr>
          <w:rFonts w:hint="eastAsia" w:hAnsi="宋体" w:cs="宋体"/>
          <w:snapToGrid w:val="0"/>
          <w:color w:val="000000"/>
          <w:kern w:val="28"/>
          <w:sz w:val="24"/>
          <w:lang w:eastAsia="zh-CN"/>
        </w:rPr>
        <w:t>；</w:t>
      </w:r>
      <w:r>
        <w:rPr>
          <w:rFonts w:hint="eastAsia" w:ascii="宋体" w:hAnsi="宋体" w:cs="宋体"/>
          <w:snapToGrid w:val="0"/>
          <w:color w:val="000000"/>
          <w:kern w:val="28"/>
          <w:sz w:val="24"/>
        </w:rPr>
        <w:t>报告厅增加1块室内P1.8全彩色显示</w:t>
      </w:r>
      <w:r>
        <w:rPr>
          <w:rFonts w:hint="eastAsia" w:hAnsi="宋体" w:cs="宋体"/>
          <w:sz w:val="24"/>
        </w:rPr>
        <w:t>屏</w:t>
      </w:r>
      <w:r>
        <w:rPr>
          <w:rFonts w:hint="eastAsia" w:hAnsi="宋体" w:cs="宋体"/>
          <w:sz w:val="24"/>
          <w:lang w:eastAsia="zh-CN"/>
        </w:rPr>
        <w:t>：</w:t>
      </w:r>
      <w:r>
        <w:rPr>
          <w:rFonts w:hint="eastAsia" w:ascii="宋体" w:hAnsi="宋体" w:cs="宋体"/>
          <w:snapToGrid w:val="0"/>
          <w:color w:val="000000"/>
          <w:kern w:val="28"/>
          <w:sz w:val="24"/>
        </w:rPr>
        <w:t>宽9.6m*高5.76m=55.3平方米</w:t>
      </w:r>
      <w:r>
        <w:rPr>
          <w:rFonts w:hint="eastAsia" w:hAnsi="宋体" w:cs="宋体"/>
          <w:sz w:val="24"/>
          <w:lang w:val="en-US" w:eastAsia="zh-CN"/>
        </w:rPr>
        <w:t>好和</w:t>
      </w:r>
      <w:r>
        <w:rPr>
          <w:rFonts w:hint="eastAsia" w:hAnsi="宋体" w:cs="宋体"/>
          <w:sz w:val="24"/>
        </w:rPr>
        <w:t>横幅屏</w:t>
      </w:r>
      <w:r>
        <w:rPr>
          <w:rFonts w:hint="eastAsia" w:hAnsi="宋体" w:cs="宋体"/>
          <w:sz w:val="24"/>
          <w:lang w:eastAsia="zh-CN"/>
        </w:rPr>
        <w:t>：</w:t>
      </w:r>
      <w:r>
        <w:rPr>
          <w:rFonts w:hint="eastAsia" w:hAnsi="宋体" w:cs="宋体"/>
          <w:sz w:val="24"/>
        </w:rPr>
        <w:t>宽14.08m*高0.8m=11.26平方米</w:t>
      </w:r>
      <w:r>
        <w:rPr>
          <w:rFonts w:hint="eastAsia" w:hAnsi="宋体" w:cs="宋体"/>
          <w:snapToGrid w:val="0"/>
          <w:color w:val="000000"/>
          <w:kern w:val="28"/>
          <w:sz w:val="24"/>
          <w:lang w:eastAsia="zh-CN"/>
        </w:rPr>
        <w:t>；</w:t>
      </w:r>
      <w:r>
        <w:rPr>
          <w:rFonts w:hint="eastAsia" w:ascii="宋体" w:hAnsi="宋体" w:cs="宋体"/>
          <w:snapToGrid w:val="0"/>
          <w:color w:val="000000"/>
          <w:kern w:val="28"/>
          <w:sz w:val="24"/>
        </w:rPr>
        <w:t>家长接送区增加一块户外P3全彩色显示</w:t>
      </w:r>
      <w:r>
        <w:rPr>
          <w:rFonts w:hint="eastAsia" w:hAnsi="宋体" w:cs="宋体"/>
          <w:sz w:val="24"/>
        </w:rPr>
        <w:t>屏</w:t>
      </w:r>
      <w:r>
        <w:rPr>
          <w:rFonts w:hint="eastAsia" w:hAnsi="宋体" w:cs="宋体"/>
          <w:snapToGrid w:val="0"/>
          <w:color w:val="000000"/>
          <w:kern w:val="28"/>
          <w:sz w:val="24"/>
          <w:lang w:eastAsia="zh-CN"/>
        </w:rPr>
        <w:t>：</w:t>
      </w:r>
      <w:r>
        <w:rPr>
          <w:rFonts w:hint="eastAsia" w:ascii="宋体" w:hAnsi="宋体" w:cs="宋体"/>
          <w:snapToGrid w:val="0"/>
          <w:color w:val="000000"/>
          <w:kern w:val="28"/>
          <w:sz w:val="24"/>
        </w:rPr>
        <w:t>宽2.88m*高1.6m=4.6平方米</w:t>
      </w:r>
      <w:r>
        <w:rPr>
          <w:rFonts w:hint="eastAsia"/>
          <w:snapToGrid w:val="0"/>
          <w:sz w:val="24"/>
          <w:lang w:val="en-US" w:eastAsia="zh-CN"/>
        </w:rPr>
        <w:t>等</w:t>
      </w:r>
      <w:r>
        <w:rPr>
          <w:rFonts w:hint="eastAsia" w:ascii="宋体" w:hAnsi="宋体" w:cs="宋体"/>
          <w:snapToGrid w:val="0"/>
          <w:color w:val="000000"/>
          <w:kern w:val="28"/>
          <w:sz w:val="24"/>
        </w:rPr>
        <w:t>。</w:t>
      </w:r>
      <w:r>
        <w:rPr>
          <w:rFonts w:hint="eastAsia" w:ascii="宋体" w:hAnsi="宋体" w:cs="宋体"/>
          <w:bCs/>
          <w:sz w:val="24"/>
        </w:rPr>
        <w:t>具体包括安装、产品调试、试运行、验收与相关的操作培训及不少于3年（含）7×24小时免费设备保修和售后现场技术服务等内容。</w:t>
      </w:r>
    </w:p>
    <w:p>
      <w:pPr>
        <w:spacing w:line="360" w:lineRule="auto"/>
        <w:ind w:firstLine="482" w:firstLineChars="200"/>
        <w:rPr>
          <w:bCs/>
        </w:rPr>
      </w:pPr>
      <w:r>
        <w:rPr>
          <w:rFonts w:hint="eastAsia" w:ascii="宋体" w:hAnsi="宋体" w:cs="宋体"/>
          <w:b/>
          <w:snapToGrid w:val="0"/>
          <w:kern w:val="28"/>
          <w:sz w:val="24"/>
          <w:szCs w:val="20"/>
        </w:rPr>
        <w:t>合同履约期限：</w:t>
      </w:r>
      <w:r>
        <w:rPr>
          <w:rFonts w:hint="eastAsia" w:ascii="宋体" w:hAnsi="宋体" w:cs="宋体"/>
          <w:snapToGrid w:val="0"/>
          <w:kern w:val="28"/>
          <w:sz w:val="24"/>
          <w:szCs w:val="20"/>
        </w:rPr>
        <w:t>在合同生效后</w:t>
      </w:r>
      <w:r>
        <w:rPr>
          <w:rFonts w:hint="eastAsia" w:ascii="宋体" w:hAnsi="宋体" w:cs="宋体"/>
          <w:b/>
          <w:bCs/>
          <w:snapToGrid w:val="0"/>
          <w:kern w:val="28"/>
          <w:sz w:val="24"/>
          <w:szCs w:val="20"/>
        </w:rPr>
        <w:t>20天</w:t>
      </w:r>
      <w:r>
        <w:rPr>
          <w:rFonts w:hint="eastAsia" w:ascii="宋体" w:hAnsi="宋体" w:cs="宋体"/>
          <w:snapToGrid w:val="0"/>
          <w:kern w:val="28"/>
          <w:sz w:val="24"/>
          <w:szCs w:val="20"/>
        </w:rPr>
        <w:t>内，供应商需将所供产品（出厂原包装）按合同清单所列的采购单位、地址以及货物品种、数量等，运至指定地点拆箱，并负责安装、调试，由采购单位负责验收，在产品试运行1个月后交付使用。</w:t>
      </w:r>
      <w:r>
        <w:rPr>
          <w:rFonts w:hint="eastAsia" w:ascii="宋体" w:hAnsi="宋体" w:cs="宋体"/>
          <w:snapToGrid w:val="0"/>
          <w:kern w:val="28"/>
          <w:sz w:val="24"/>
          <w:szCs w:val="20"/>
          <w:lang w:val="en-US" w:eastAsia="zh-CN"/>
        </w:rPr>
        <w:t xml:space="preserve"> </w:t>
      </w:r>
    </w:p>
    <w:p>
      <w:pPr>
        <w:pStyle w:val="15"/>
        <w:spacing w:line="360" w:lineRule="auto"/>
        <w:ind w:firstLine="480"/>
        <w:rPr>
          <w:rFonts w:hAnsi="宋体" w:cs="宋体"/>
          <w:color w:val="auto"/>
          <w:kern w:val="0"/>
          <w:sz w:val="24"/>
        </w:rPr>
      </w:pPr>
      <w:r>
        <w:rPr>
          <w:rFonts w:hint="eastAsia" w:hAnsi="宋体" w:cs="宋体"/>
          <w:b/>
          <w:color w:val="auto"/>
          <w:sz w:val="24"/>
        </w:rPr>
        <w:t>本项目接受联合体投标：</w:t>
      </w:r>
      <w:sdt>
        <w:sdtPr>
          <w:rPr>
            <w:rFonts w:hint="eastAsia" w:hAnsi="宋体" w:cs="宋体"/>
            <w:color w:val="auto"/>
            <w:kern w:val="0"/>
            <w:sz w:val="24"/>
          </w:rPr>
          <w:id w:val="2035453831"/>
          <w14:checkbox>
            <w14:checked w14:val="1"/>
            <w14:checkedState w14:val="00FE" w14:font="Wingdings"/>
            <w14:uncheckedState w14:val="2610" w14:font="MS Gothic"/>
          </w14:checkbox>
        </w:sdtPr>
        <w:sdtEndPr>
          <w:rPr>
            <w:rFonts w:hint="eastAsia" w:hAnsi="宋体" w:cs="宋体"/>
            <w:color w:val="auto"/>
            <w:kern w:val="0"/>
            <w:sz w:val="24"/>
          </w:rPr>
        </w:sdtEndPr>
        <w:sdtContent>
          <w:r>
            <w:rPr>
              <w:rFonts w:hint="eastAsia" w:hAnsi="宋体" w:cs="宋体"/>
              <w:color w:val="auto"/>
              <w:kern w:val="0"/>
              <w:sz w:val="24"/>
            </w:rPr>
            <w:sym w:font="Wingdings" w:char="F0FE"/>
          </w:r>
        </w:sdtContent>
      </w:sdt>
      <w:r>
        <w:rPr>
          <w:rFonts w:hint="eastAsia" w:hAnsi="宋体" w:cs="宋体"/>
          <w:b/>
          <w:color w:val="auto"/>
          <w:sz w:val="24"/>
        </w:rPr>
        <w:t>是</w:t>
      </w:r>
      <w:r>
        <w:rPr>
          <w:rFonts w:hint="eastAsia" w:hAnsi="宋体" w:cs="宋体"/>
          <w:b/>
          <w:snapToGrid/>
          <w:color w:val="auto"/>
          <w:kern w:val="2"/>
          <w:sz w:val="24"/>
        </w:rPr>
        <w:t>；</w:t>
      </w:r>
      <w:sdt>
        <w:sdtPr>
          <w:rPr>
            <w:rFonts w:hint="eastAsia" w:hAnsi="宋体" w:cs="宋体"/>
            <w:color w:val="auto"/>
            <w:kern w:val="0"/>
            <w:sz w:val="24"/>
          </w:rPr>
          <w:id w:val="-1765526721"/>
          <w14:checkbox>
            <w14:checked w14:val="0"/>
            <w14:checkedState w14:val="00FE" w14:font="Wingdings"/>
            <w14:uncheckedState w14:val="2610" w14:font="MS Gothic"/>
          </w14:checkbox>
        </w:sdtPr>
        <w:sdtEndPr>
          <w:rPr>
            <w:rFonts w:hint="eastAsia" w:hAnsi="宋体" w:cs="宋体"/>
            <w:color w:val="auto"/>
            <w:kern w:val="0"/>
            <w:sz w:val="24"/>
          </w:rPr>
        </w:sdtEndPr>
        <w:sdtContent>
          <w:r>
            <w:rPr>
              <w:rFonts w:hint="eastAsia" w:hAnsi="宋体" w:cs="宋体"/>
              <w:color w:val="auto"/>
              <w:kern w:val="0"/>
              <w:sz w:val="24"/>
            </w:rPr>
            <w:t>☐</w:t>
          </w:r>
        </w:sdtContent>
      </w:sdt>
      <w:r>
        <w:rPr>
          <w:rFonts w:hint="eastAsia" w:hAnsi="宋体" w:cs="宋体"/>
          <w:b/>
          <w:color w:val="auto"/>
          <w:sz w:val="24"/>
        </w:rPr>
        <w:t>否</w:t>
      </w:r>
      <w:r>
        <w:rPr>
          <w:rFonts w:hint="eastAsia" w:hAnsi="宋体" w:cs="宋体"/>
          <w:color w:val="auto"/>
          <w:kern w:val="0"/>
          <w:sz w:val="24"/>
        </w:rPr>
        <w:t>。</w:t>
      </w:r>
    </w:p>
    <w:p>
      <w:pPr>
        <w:spacing w:line="360" w:lineRule="auto"/>
        <w:rPr>
          <w:rFonts w:ascii="宋体" w:hAnsi="宋体" w:cs="宋体"/>
          <w:b/>
          <w:sz w:val="24"/>
        </w:rPr>
      </w:pPr>
      <w:r>
        <w:rPr>
          <w:rFonts w:hint="eastAsia" w:ascii="宋体" w:hAnsi="宋体" w:cs="宋体"/>
          <w:b/>
          <w:sz w:val="24"/>
        </w:rPr>
        <w:t>二、</w:t>
      </w:r>
      <w:bookmarkStart w:id="11" w:name="_Hlk101132948"/>
      <w:r>
        <w:rPr>
          <w:rFonts w:hint="eastAsia" w:ascii="宋体" w:hAnsi="宋体" w:cs="宋体"/>
          <w:b/>
          <w:sz w:val="24"/>
        </w:rPr>
        <w:t>申请人的资格要求</w:t>
      </w:r>
      <w:bookmarkEnd w:id="11"/>
      <w:r>
        <w:rPr>
          <w:rFonts w:hint="eastAsia" w:ascii="宋体" w:hAnsi="宋体" w:cs="宋体"/>
          <w:b/>
          <w:sz w:val="24"/>
        </w:rPr>
        <w:t>：</w:t>
      </w:r>
    </w:p>
    <w:p>
      <w:pPr>
        <w:spacing w:line="360" w:lineRule="auto"/>
        <w:ind w:firstLine="480"/>
        <w:rPr>
          <w:rFonts w:ascii="宋体" w:hAnsi="宋体" w:cs="宋体"/>
          <w:snapToGrid w:val="0"/>
          <w:kern w:val="28"/>
          <w:sz w:val="24"/>
          <w:szCs w:val="20"/>
        </w:rPr>
      </w:pPr>
      <w:r>
        <w:rPr>
          <w:rFonts w:hint="eastAsia" w:ascii="宋体" w:hAnsi="宋体" w:cs="宋体"/>
          <w:snapToGrid w:val="0"/>
          <w:kern w:val="28"/>
          <w:sz w:val="24"/>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pPr>
        <w:spacing w:line="360" w:lineRule="auto"/>
        <w:rPr>
          <w:rFonts w:ascii="宋体" w:hAnsi="宋体" w:cs="宋体"/>
          <w:snapToGrid w:val="0"/>
          <w:kern w:val="28"/>
          <w:sz w:val="24"/>
          <w:szCs w:val="20"/>
        </w:rPr>
      </w:pPr>
      <w:r>
        <w:rPr>
          <w:rFonts w:hint="eastAsia" w:ascii="宋体" w:hAnsi="宋体" w:cs="宋体"/>
          <w:snapToGrid w:val="0"/>
          <w:kern w:val="28"/>
          <w:sz w:val="24"/>
          <w:szCs w:val="20"/>
        </w:rPr>
        <w:t xml:space="preserve">    </w:t>
      </w:r>
      <w:r>
        <w:rPr>
          <w:rFonts w:ascii="宋体" w:hAnsi="宋体" w:cs="宋体"/>
          <w:snapToGrid w:val="0"/>
          <w:kern w:val="28"/>
          <w:sz w:val="24"/>
          <w:szCs w:val="20"/>
        </w:rPr>
        <w:t>2</w:t>
      </w:r>
      <w:r>
        <w:rPr>
          <w:rFonts w:hint="eastAsia" w:ascii="宋体" w:hAnsi="宋体" w:cs="宋体"/>
          <w:snapToGrid w:val="0"/>
          <w:kern w:val="28"/>
          <w:sz w:val="24"/>
          <w:szCs w:val="20"/>
        </w:rPr>
        <w:t>.</w:t>
      </w:r>
      <w:r>
        <w:rPr>
          <w:rFonts w:hint="eastAsia"/>
        </w:rPr>
        <w:t xml:space="preserve"> </w:t>
      </w:r>
      <w:r>
        <w:rPr>
          <w:rFonts w:hint="eastAsia" w:ascii="宋体" w:hAnsi="宋体" w:cs="宋体"/>
          <w:snapToGrid w:val="0"/>
          <w:kern w:val="28"/>
          <w:sz w:val="24"/>
          <w:szCs w:val="20"/>
        </w:rPr>
        <w:t>以联合体形式投标的，提供联合协议(本项目不接受联合体投标或者投标人不以联合体形式投标的，则不需要提供) ；</w:t>
      </w:r>
    </w:p>
    <w:p>
      <w:pPr>
        <w:spacing w:line="360" w:lineRule="auto"/>
        <w:ind w:firstLine="480" w:firstLineChars="200"/>
        <w:rPr>
          <w:rFonts w:ascii="宋体" w:hAnsi="宋体" w:cs="宋体"/>
          <w:snapToGrid w:val="0"/>
          <w:kern w:val="28"/>
          <w:sz w:val="24"/>
          <w:szCs w:val="20"/>
          <w:highlight w:val="none"/>
        </w:rPr>
      </w:pPr>
      <w:r>
        <w:rPr>
          <w:rFonts w:ascii="宋体" w:hAnsi="宋体" w:cs="宋体"/>
          <w:snapToGrid w:val="0"/>
          <w:kern w:val="28"/>
          <w:sz w:val="24"/>
          <w:szCs w:val="20"/>
          <w:highlight w:val="none"/>
        </w:rPr>
        <w:t>3</w:t>
      </w:r>
      <w:r>
        <w:rPr>
          <w:rFonts w:hint="eastAsia" w:ascii="宋体" w:hAnsi="宋体" w:cs="宋体"/>
          <w:snapToGrid w:val="0"/>
          <w:kern w:val="28"/>
          <w:sz w:val="24"/>
          <w:szCs w:val="20"/>
          <w:highlight w:val="none"/>
        </w:rPr>
        <w:t>.落实政府采购政策需满足的资格要求：</w:t>
      </w:r>
    </w:p>
    <w:p>
      <w:pPr>
        <w:spacing w:line="360" w:lineRule="auto"/>
        <w:ind w:firstLine="480" w:firstLineChars="200"/>
        <w:rPr>
          <w:rFonts w:ascii="宋体" w:hAnsi="宋体" w:cs="宋体"/>
          <w:sz w:val="24"/>
        </w:rPr>
      </w:pPr>
      <w:sdt>
        <w:sdtPr>
          <w:rPr>
            <w:rFonts w:hint="eastAsia" w:ascii="宋体" w:hAnsi="宋体" w:cs="宋体"/>
            <w:color w:val="0000FF"/>
            <w:kern w:val="0"/>
            <w:sz w:val="24"/>
          </w:rPr>
          <w:id w:val="1928616923"/>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Wingdings" w:hAnsi="Wingdings" w:eastAsia="宋体" w:cs="宋体"/>
              <w:kern w:val="0"/>
              <w:sz w:val="24"/>
              <w:szCs w:val="24"/>
              <w:lang w:val="en-US" w:eastAsia="zh-CN" w:bidi="ar-SA"/>
            </w:rPr>
            <w:t>þ</w:t>
          </w:r>
        </w:sdtContent>
      </w:sdt>
      <w:r>
        <w:rPr>
          <w:rFonts w:hint="eastAsia" w:ascii="宋体" w:hAnsi="宋体" w:cs="宋体"/>
          <w:sz w:val="24"/>
        </w:rPr>
        <w:t>无</w:t>
      </w:r>
      <w:r>
        <w:rPr>
          <w:rFonts w:hint="eastAsia" w:ascii="宋体" w:hAnsi="宋体" w:cs="宋体"/>
          <w:snapToGrid w:val="0"/>
          <w:kern w:val="28"/>
          <w:sz w:val="24"/>
          <w:szCs w:val="20"/>
        </w:rPr>
        <w:t>（注：不得限制大中型企业与小微企业组成联合体参与投标）</w:t>
      </w:r>
      <w:r>
        <w:rPr>
          <w:rFonts w:hint="eastAsia" w:ascii="宋体" w:hAnsi="宋体" w:cs="宋体"/>
          <w:sz w:val="24"/>
        </w:rPr>
        <w:t>；</w:t>
      </w:r>
    </w:p>
    <w:p>
      <w:pPr>
        <w:spacing w:line="360" w:lineRule="auto"/>
        <w:ind w:firstLine="480" w:firstLineChars="200"/>
        <w:rPr>
          <w:rFonts w:ascii="宋体" w:hAnsi="宋体" w:cs="宋体"/>
          <w:sz w:val="24"/>
        </w:rPr>
      </w:pPr>
      <w:sdt>
        <w:sdtPr>
          <w:rPr>
            <w:rFonts w:hint="eastAsia" w:ascii="宋体" w:hAnsi="宋体" w:cs="宋体"/>
            <w:kern w:val="0"/>
            <w:sz w:val="24"/>
          </w:rPr>
          <w:id w:val="-102470430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ascii="MS Gothic" w:hAnsi="MS Gothic" w:eastAsia="MS Gothic" w:cs="宋体"/>
              <w:kern w:val="0"/>
              <w:sz w:val="24"/>
              <w:szCs w:val="24"/>
              <w:lang w:val="en-US" w:eastAsia="zh-CN" w:bidi="ar-SA"/>
            </w:rPr>
            <w:t>☐</w:t>
          </w:r>
        </w:sdtContent>
      </w:sdt>
      <w:r>
        <w:rPr>
          <w:rFonts w:hint="eastAsia" w:ascii="宋体" w:hAnsi="宋体" w:cs="宋体"/>
          <w:kern w:val="0"/>
          <w:sz w:val="24"/>
        </w:rPr>
        <w:t>专</w:t>
      </w:r>
      <w:r>
        <w:rPr>
          <w:rFonts w:hint="eastAsia" w:ascii="宋体" w:hAnsi="宋体" w:cs="宋体"/>
          <w:sz w:val="24"/>
        </w:rPr>
        <w:t>门面向中小企业</w:t>
      </w:r>
    </w:p>
    <w:p>
      <w:pPr>
        <w:spacing w:line="360" w:lineRule="auto"/>
        <w:ind w:firstLine="897" w:firstLineChars="374"/>
        <w:rPr>
          <w:rFonts w:ascii="宋体" w:hAnsi="宋体" w:cs="宋体"/>
          <w:sz w:val="24"/>
          <w:u w:val="single"/>
        </w:rPr>
      </w:pPr>
      <w:sdt>
        <w:sdtPr>
          <w:rPr>
            <w:rFonts w:hint="eastAsia" w:ascii="宋体" w:hAnsi="宋体" w:cs="宋体"/>
            <w:kern w:val="0"/>
            <w:sz w:val="24"/>
          </w:rPr>
          <w:id w:val="-924730588"/>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ascii="MS Gothic" w:hAnsi="MS Gothic" w:eastAsia="MS Gothic" w:cs="宋体"/>
              <w:kern w:val="0"/>
              <w:sz w:val="24"/>
              <w:szCs w:val="24"/>
              <w:lang w:val="en-US" w:eastAsia="zh-CN" w:bidi="ar-SA"/>
            </w:rPr>
            <w:t>☐</w:t>
          </w:r>
        </w:sdtContent>
      </w:sdt>
      <w:r>
        <w:rPr>
          <w:rFonts w:hint="eastAsia" w:ascii="宋体" w:hAnsi="宋体" w:cs="宋体"/>
          <w:sz w:val="24"/>
        </w:rPr>
        <w:t>货物全部由符合政策要求的中小微企业制造，提供中小企业声明函；</w:t>
      </w:r>
    </w:p>
    <w:p>
      <w:pPr>
        <w:spacing w:line="360" w:lineRule="auto"/>
        <w:ind w:firstLine="897" w:firstLineChars="374"/>
        <w:rPr>
          <w:rFonts w:ascii="宋体" w:hAnsi="宋体" w:cs="宋体"/>
          <w:sz w:val="24"/>
        </w:rPr>
      </w:pPr>
      <w:sdt>
        <w:sdtPr>
          <w:rPr>
            <w:rFonts w:hint="eastAsia" w:ascii="宋体" w:hAnsi="宋体" w:cs="宋体"/>
            <w:kern w:val="0"/>
            <w:sz w:val="24"/>
          </w:rPr>
          <w:id w:val="-1152604937"/>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货物全部由符合政策要求的小微企业制造，提供中小企业声明函；</w:t>
      </w:r>
    </w:p>
    <w:p>
      <w:pPr>
        <w:spacing w:line="360" w:lineRule="auto"/>
        <w:ind w:firstLine="480" w:firstLineChars="200"/>
        <w:rPr>
          <w:rFonts w:ascii="宋体" w:hAnsi="宋体" w:cs="宋体"/>
          <w:sz w:val="24"/>
        </w:rPr>
      </w:pPr>
      <w:sdt>
        <w:sdtPr>
          <w:rPr>
            <w:rFonts w:hint="eastAsia" w:ascii="宋体" w:hAnsi="宋体" w:cs="宋体"/>
            <w:kern w:val="0"/>
            <w:sz w:val="24"/>
          </w:rPr>
          <w:id w:val="-198560779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bookmarkStart w:id="12" w:name="_Hlk101132524"/>
        </w:sdtContent>
      </w:sdt>
      <w:r>
        <w:rPr>
          <w:rFonts w:hint="eastAsia" w:ascii="宋体" w:hAnsi="宋体" w:cs="宋体"/>
          <w:sz w:val="24"/>
        </w:rPr>
        <w:t>要求以联合体形式参加，提供联合协议和中小企业声明函，联合协议中中小企业合同金额应当达到</w:t>
      </w:r>
      <w:r>
        <w:rPr>
          <w:rFonts w:hint="eastAsia" w:ascii="宋体" w:hAnsi="宋体" w:cs="宋体"/>
          <w:sz w:val="24"/>
          <w:u w:val="single"/>
        </w:rPr>
        <w:t xml:space="preserve">  </w:t>
      </w:r>
      <w:r>
        <w:rPr>
          <w:rFonts w:hint="eastAsia" w:ascii="宋体" w:hAnsi="宋体" w:cs="宋体"/>
          <w:sz w:val="24"/>
        </w:rPr>
        <w:t>%，其中小微企业合同金额应当达到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pacing w:val="8"/>
          <w:kern w:val="0"/>
          <w:sz w:val="24"/>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sz w:val="24"/>
        </w:rPr>
        <w:t>；</w:t>
      </w:r>
    </w:p>
    <w:bookmarkEnd w:id="12"/>
    <w:p>
      <w:pPr>
        <w:spacing w:line="360" w:lineRule="auto"/>
        <w:ind w:firstLine="480" w:firstLineChars="200"/>
        <w:rPr>
          <w:rFonts w:ascii="宋体" w:hAnsi="宋体" w:cs="宋体"/>
          <w:sz w:val="24"/>
        </w:rPr>
      </w:pPr>
      <w:sdt>
        <w:sdtPr>
          <w:rPr>
            <w:rFonts w:hint="eastAsia" w:ascii="宋体" w:hAnsi="宋体" w:cs="宋体"/>
            <w:kern w:val="0"/>
            <w:sz w:val="24"/>
          </w:rPr>
          <w:id w:val="3463064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要求合同分包，提供分包意向协议和中小企业声明函，分包意向协议中中小企业合同金额应当达到达到</w:t>
      </w:r>
      <w:r>
        <w:rPr>
          <w:rFonts w:hint="eastAsia" w:ascii="宋体" w:hAnsi="宋体" w:cs="宋体"/>
          <w:sz w:val="24"/>
          <w:u w:val="single"/>
        </w:rPr>
        <w:t xml:space="preserve">  </w:t>
      </w:r>
      <w:r>
        <w:rPr>
          <w:rFonts w:hint="eastAsia" w:ascii="宋体" w:hAnsi="宋体" w:cs="宋体"/>
          <w:sz w:val="24"/>
        </w:rPr>
        <w:t>% ，其中小微企业合同金额应当达到</w:t>
      </w:r>
      <w:r>
        <w:rPr>
          <w:rFonts w:hint="eastAsia" w:ascii="宋体" w:hAnsi="宋体" w:cs="宋体"/>
          <w:sz w:val="24"/>
          <w:u w:val="single"/>
        </w:rPr>
        <w:t xml:space="preserve"> </w:t>
      </w:r>
      <w:r>
        <w:rPr>
          <w:rFonts w:hint="eastAsia" w:ascii="宋体" w:hAnsi="宋体" w:cs="宋体"/>
          <w:sz w:val="24"/>
        </w:rPr>
        <w:t>% ;</w:t>
      </w:r>
      <w:r>
        <w:rPr>
          <w:rFonts w:hint="eastAsia" w:ascii="宋体" w:hAnsi="宋体" w:cs="宋体"/>
          <w:spacing w:val="8"/>
          <w:kern w:val="0"/>
          <w:sz w:val="24"/>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sz w:val="24"/>
        </w:rPr>
        <w:t>；</w:t>
      </w:r>
    </w:p>
    <w:p>
      <w:pPr>
        <w:snapToGrid w:val="0"/>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.本项目的特定资格要求：</w:t>
      </w:r>
    </w:p>
    <w:p>
      <w:pPr>
        <w:snapToGrid w:val="0"/>
        <w:spacing w:line="360" w:lineRule="auto"/>
        <w:ind w:firstLine="480" w:firstLineChars="200"/>
        <w:rPr>
          <w:rFonts w:ascii="宋体" w:hAnsi="宋体" w:cs="宋体"/>
          <w:sz w:val="24"/>
        </w:rPr>
      </w:pPr>
      <w:sdt>
        <w:sdtPr>
          <w:rPr>
            <w:rFonts w:hint="eastAsia" w:ascii="宋体" w:hAnsi="宋体" w:cs="宋体"/>
            <w:kern w:val="0"/>
            <w:sz w:val="24"/>
          </w:rPr>
          <w:id w:val="-150898254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eastAsia="MS Gothic" w:cs="宋体"/>
              <w:kern w:val="0"/>
              <w:sz w:val="24"/>
              <w:szCs w:val="24"/>
              <w:lang w:val="en-US" w:eastAsia="zh-CN" w:bidi="ar-SA"/>
            </w:rPr>
            <w:t>þ</w:t>
          </w:r>
        </w:sdtContent>
      </w:sdt>
      <w:r>
        <w:rPr>
          <w:rFonts w:hint="eastAsia" w:ascii="宋体" w:hAnsi="宋体" w:cs="宋体"/>
          <w:sz w:val="24"/>
        </w:rPr>
        <w:t>无</w:t>
      </w:r>
    </w:p>
    <w:p>
      <w:pPr>
        <w:snapToGrid w:val="0"/>
        <w:spacing w:line="360" w:lineRule="auto"/>
        <w:ind w:firstLine="480" w:firstLineChars="200"/>
        <w:rPr>
          <w:rFonts w:ascii="宋体" w:hAnsi="宋体" w:cs="宋体"/>
          <w:sz w:val="24"/>
          <w:u w:val="single"/>
        </w:rPr>
      </w:pPr>
      <w:sdt>
        <w:sdtPr>
          <w:rPr>
            <w:rFonts w:hint="eastAsia" w:ascii="宋体" w:hAnsi="宋体" w:cs="宋体"/>
            <w:kern w:val="0"/>
            <w:sz w:val="24"/>
          </w:rPr>
          <w:id w:val="-1607112291"/>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sz w:val="24"/>
        </w:rPr>
        <w:t>有特定资格要求：</w:t>
      </w:r>
      <w:r>
        <w:rPr>
          <w:rFonts w:hint="eastAsia" w:ascii="宋体" w:hAnsi="宋体" w:cs="宋体"/>
          <w:sz w:val="24"/>
          <w:u w:val="single"/>
        </w:rPr>
        <w:t xml:space="preserve">                    </w:t>
      </w:r>
      <w:r>
        <w:rPr>
          <w:rFonts w:hint="eastAsia" w:ascii="宋体" w:hAnsi="宋体" w:cs="宋体"/>
          <w:sz w:val="24"/>
        </w:rPr>
        <w:t>，该特定条件的法律法规依据：</w:t>
      </w:r>
      <w:r>
        <w:rPr>
          <w:rFonts w:hint="eastAsia" w:ascii="宋体" w:hAnsi="宋体" w:cs="宋体"/>
          <w:sz w:val="24"/>
          <w:u w:val="single"/>
        </w:rPr>
        <w:t xml:space="preserve">                                                                      </w:t>
      </w:r>
      <w:r>
        <w:rPr>
          <w:rFonts w:hint="eastAsia" w:ascii="宋体" w:hAnsi="宋体" w:cs="宋体"/>
          <w:sz w:val="24"/>
        </w:rPr>
        <w:t>。</w:t>
      </w:r>
    </w:p>
    <w:p>
      <w:pPr>
        <w:snapToGrid w:val="0"/>
        <w:spacing w:line="360" w:lineRule="auto"/>
        <w:ind w:firstLine="480" w:firstLineChars="200"/>
        <w:rPr>
          <w:rFonts w:ascii="宋体" w:hAnsi="宋体" w:cs="宋体"/>
          <w:sz w:val="24"/>
        </w:rPr>
      </w:pPr>
      <w:r>
        <w:rPr>
          <w:rFonts w:ascii="宋体" w:hAnsi="宋体" w:cs="宋体"/>
          <w:sz w:val="24"/>
        </w:rPr>
        <w:t>5</w:t>
      </w:r>
      <w:r>
        <w:rPr>
          <w:rFonts w:hint="eastAsia" w:ascii="宋体" w:hAnsi="宋体" w:cs="宋体"/>
          <w:sz w:val="24"/>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pPr>
        <w:spacing w:line="360" w:lineRule="auto"/>
        <w:rPr>
          <w:rFonts w:ascii="宋体" w:hAnsi="宋体" w:cs="宋体"/>
          <w:b/>
          <w:sz w:val="24"/>
        </w:rPr>
      </w:pPr>
      <w:r>
        <w:rPr>
          <w:rFonts w:hint="eastAsia" w:ascii="宋体" w:hAnsi="宋体" w:cs="宋体"/>
          <w:b/>
          <w:sz w:val="24"/>
        </w:rPr>
        <w:t xml:space="preserve">三、获取招标文件 </w:t>
      </w:r>
    </w:p>
    <w:p>
      <w:pPr>
        <w:spacing w:line="360" w:lineRule="auto"/>
        <w:ind w:firstLine="482" w:firstLineChars="200"/>
        <w:rPr>
          <w:rFonts w:ascii="宋体" w:hAnsi="宋体" w:cs="宋体"/>
          <w:sz w:val="24"/>
        </w:rPr>
      </w:pPr>
      <w:r>
        <w:rPr>
          <w:rFonts w:hint="eastAsia" w:ascii="宋体" w:hAnsi="宋体" w:cs="宋体"/>
          <w:b/>
          <w:sz w:val="24"/>
        </w:rPr>
        <w:t>时间：</w:t>
      </w:r>
      <w:r>
        <w:rPr>
          <w:rFonts w:hint="eastAsia" w:ascii="宋体" w:hAnsi="宋体" w:cs="宋体"/>
          <w:sz w:val="24"/>
        </w:rPr>
        <w:t>/至</w:t>
      </w:r>
      <w:r>
        <w:rPr>
          <w:rFonts w:hint="eastAsia" w:ascii="宋体" w:hAnsi="宋体" w:cs="宋体"/>
          <w:sz w:val="24"/>
          <w:highlight w:val="none"/>
          <w:u w:val="single"/>
          <w:lang w:eastAsia="zh-CN"/>
        </w:rPr>
        <w:t>2024</w:t>
      </w:r>
      <w:r>
        <w:rPr>
          <w:rFonts w:hint="eastAsia" w:ascii="宋体" w:hAnsi="宋体" w:cs="宋体"/>
          <w:sz w:val="24"/>
          <w:highlight w:val="none"/>
          <w:u w:val="single"/>
        </w:rPr>
        <w:t>年</w:t>
      </w:r>
      <w:r>
        <w:rPr>
          <w:rFonts w:hint="eastAsia" w:ascii="宋体" w:hAnsi="宋体" w:cs="宋体"/>
          <w:sz w:val="24"/>
          <w:highlight w:val="none"/>
          <w:u w:val="single"/>
          <w:lang w:val="en-US" w:eastAsia="zh-CN"/>
        </w:rPr>
        <w:t xml:space="preserve"> 7</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12</w:t>
      </w:r>
      <w:r>
        <w:rPr>
          <w:rFonts w:hint="eastAsia" w:ascii="宋体" w:hAnsi="宋体" w:cs="宋体"/>
          <w:sz w:val="24"/>
          <w:highlight w:val="none"/>
          <w:u w:val="single"/>
        </w:rPr>
        <w:t>日</w:t>
      </w:r>
      <w:r>
        <w:rPr>
          <w:rFonts w:hint="eastAsia" w:ascii="宋体" w:hAnsi="宋体" w:cs="宋体"/>
          <w:sz w:val="24"/>
        </w:rPr>
        <w:t>，每天上午00:00至12:00 ，下午12:00至23:59（北京时间，线上获取法定节假日均可，线下获取文件法定节假日除外）</w:t>
      </w:r>
    </w:p>
    <w:p>
      <w:pPr>
        <w:spacing w:line="360" w:lineRule="auto"/>
        <w:ind w:firstLine="482" w:firstLineChars="200"/>
        <w:rPr>
          <w:rFonts w:ascii="宋体" w:hAnsi="宋体" w:cs="宋体"/>
          <w:sz w:val="24"/>
        </w:rPr>
      </w:pPr>
      <w:r>
        <w:rPr>
          <w:rFonts w:hint="eastAsia" w:ascii="宋体" w:hAnsi="宋体" w:cs="宋体"/>
          <w:b/>
          <w:sz w:val="24"/>
        </w:rPr>
        <w:t>地点（网址）：</w:t>
      </w:r>
      <w:r>
        <w:rPr>
          <w:rFonts w:hint="eastAsia" w:ascii="宋体" w:hAnsi="宋体" w:cs="宋体"/>
          <w:sz w:val="24"/>
        </w:rPr>
        <w:t xml:space="preserve">政采云平台（https://www.zcygov.cn/） </w:t>
      </w:r>
    </w:p>
    <w:p>
      <w:pPr>
        <w:spacing w:line="360" w:lineRule="auto"/>
        <w:ind w:firstLine="482" w:firstLineChars="200"/>
        <w:rPr>
          <w:rFonts w:ascii="宋体" w:hAnsi="宋体" w:cs="宋体"/>
          <w:sz w:val="24"/>
        </w:rPr>
      </w:pPr>
      <w:r>
        <w:rPr>
          <w:rFonts w:hint="eastAsia" w:ascii="宋体" w:hAnsi="宋体" w:cs="宋体"/>
          <w:b/>
          <w:sz w:val="24"/>
        </w:rPr>
        <w:t>方式：</w:t>
      </w:r>
      <w:r>
        <w:rPr>
          <w:rFonts w:hint="eastAsia" w:ascii="宋体" w:hAnsi="宋体" w:cs="宋体"/>
          <w:sz w:val="24"/>
        </w:rPr>
        <w:t xml:space="preserve">供应商登录政采云平台https://www.zcygov.cn/在线申请获取采购文件（进入“项目采购”应用，在获取采购文件菜单中选择项目，申请获取采购文件）。 </w:t>
      </w:r>
    </w:p>
    <w:p>
      <w:pPr>
        <w:spacing w:line="360" w:lineRule="auto"/>
        <w:ind w:firstLine="482" w:firstLineChars="200"/>
        <w:rPr>
          <w:rFonts w:ascii="宋体" w:hAnsi="宋体" w:cs="宋体"/>
          <w:sz w:val="24"/>
        </w:rPr>
      </w:pPr>
      <w:r>
        <w:rPr>
          <w:rFonts w:hint="eastAsia" w:ascii="宋体" w:hAnsi="宋体" w:cs="宋体"/>
          <w:b/>
          <w:sz w:val="24"/>
        </w:rPr>
        <w:t>售价（元）：</w:t>
      </w:r>
      <w:r>
        <w:rPr>
          <w:rFonts w:hint="eastAsia" w:ascii="宋体" w:hAnsi="宋体" w:cs="宋体"/>
          <w:sz w:val="24"/>
        </w:rPr>
        <w:t xml:space="preserve">0 </w:t>
      </w:r>
      <w:r>
        <w:rPr>
          <w:rFonts w:hint="eastAsia" w:ascii="宋体" w:hAnsi="宋体" w:cs="宋体"/>
          <w:sz w:val="24"/>
        </w:rPr>
        <w:tab/>
      </w:r>
    </w:p>
    <w:p>
      <w:pPr>
        <w:spacing w:line="360" w:lineRule="auto"/>
        <w:rPr>
          <w:rFonts w:ascii="宋体" w:hAnsi="宋体" w:cs="宋体"/>
          <w:b/>
          <w:sz w:val="24"/>
        </w:rPr>
      </w:pPr>
      <w:r>
        <w:rPr>
          <w:rFonts w:hint="eastAsia" w:ascii="宋体" w:hAnsi="宋体" w:cs="宋体"/>
          <w:b/>
          <w:sz w:val="24"/>
        </w:rPr>
        <w:t>四、提交投标文件截止时间、开标时间和地点</w:t>
      </w:r>
    </w:p>
    <w:p>
      <w:pPr>
        <w:spacing w:line="360" w:lineRule="auto"/>
        <w:ind w:firstLine="482" w:firstLineChars="200"/>
        <w:rPr>
          <w:rFonts w:ascii="宋体" w:hAnsi="宋体" w:cs="宋体"/>
          <w:sz w:val="24"/>
        </w:rPr>
      </w:pPr>
      <w:r>
        <w:rPr>
          <w:rFonts w:hint="eastAsia" w:ascii="宋体" w:hAnsi="宋体" w:cs="宋体"/>
          <w:b/>
          <w:sz w:val="24"/>
        </w:rPr>
        <w:t>提交投标文件截止时间：</w:t>
      </w:r>
      <w:r>
        <w:rPr>
          <w:rFonts w:hint="eastAsia" w:ascii="宋体" w:hAnsi="宋体" w:cs="宋体"/>
          <w:sz w:val="24"/>
          <w:u w:val="single"/>
        </w:rPr>
        <w:t xml:space="preserve"> </w:t>
      </w:r>
      <w:r>
        <w:rPr>
          <w:rFonts w:hint="eastAsia" w:ascii="宋体" w:hAnsi="宋体" w:cs="宋体"/>
          <w:sz w:val="24"/>
          <w:highlight w:val="none"/>
          <w:u w:val="single"/>
          <w:lang w:eastAsia="zh-CN"/>
        </w:rPr>
        <w:t>2024</w:t>
      </w:r>
      <w:r>
        <w:rPr>
          <w:rFonts w:hint="eastAsia" w:ascii="宋体" w:hAnsi="宋体" w:cs="宋体"/>
          <w:sz w:val="24"/>
          <w:highlight w:val="none"/>
          <w:u w:val="single"/>
        </w:rPr>
        <w:t>年</w:t>
      </w:r>
      <w:r>
        <w:rPr>
          <w:rFonts w:hint="eastAsia" w:ascii="宋体" w:hAnsi="宋体" w:cs="宋体"/>
          <w:sz w:val="24"/>
          <w:highlight w:val="none"/>
          <w:u w:val="single"/>
          <w:lang w:val="en-US" w:eastAsia="zh-CN"/>
        </w:rPr>
        <w:t>7</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12</w:t>
      </w:r>
      <w:r>
        <w:rPr>
          <w:rFonts w:hint="eastAsia" w:ascii="宋体" w:hAnsi="宋体" w:cs="宋体"/>
          <w:sz w:val="24"/>
          <w:highlight w:val="none"/>
          <w:u w:val="single"/>
        </w:rPr>
        <w:t>日</w:t>
      </w:r>
      <w:r>
        <w:rPr>
          <w:rFonts w:hint="eastAsia" w:ascii="宋体" w:hAnsi="宋体" w:cs="宋体"/>
          <w:sz w:val="24"/>
          <w:highlight w:val="none"/>
          <w:u w:val="single"/>
          <w:lang w:val="en-US" w:eastAsia="zh-CN"/>
        </w:rPr>
        <w:t>10</w:t>
      </w:r>
      <w:r>
        <w:rPr>
          <w:rFonts w:hint="eastAsia" w:ascii="宋体" w:hAnsi="宋体" w:cs="宋体"/>
          <w:sz w:val="24"/>
          <w:highlight w:val="none"/>
          <w:u w:val="single"/>
        </w:rPr>
        <w:t>点</w:t>
      </w:r>
      <w:r>
        <w:rPr>
          <w:rFonts w:hint="eastAsia" w:ascii="宋体" w:hAnsi="宋体" w:cs="宋体"/>
          <w:sz w:val="24"/>
          <w:highlight w:val="none"/>
          <w:u w:val="single"/>
          <w:lang w:val="en-US" w:eastAsia="zh-CN"/>
        </w:rPr>
        <w:t>0</w:t>
      </w:r>
      <w:r>
        <w:rPr>
          <w:rFonts w:ascii="宋体" w:hAnsi="宋体" w:cs="宋体"/>
          <w:sz w:val="24"/>
          <w:highlight w:val="none"/>
          <w:u w:val="single"/>
        </w:rPr>
        <w:t>0</w:t>
      </w:r>
      <w:r>
        <w:rPr>
          <w:rFonts w:hint="eastAsia" w:ascii="宋体" w:hAnsi="宋体" w:cs="宋体"/>
          <w:sz w:val="24"/>
          <w:highlight w:val="none"/>
          <w:u w:val="single"/>
        </w:rPr>
        <w:t>分00秒</w:t>
      </w:r>
      <w:r>
        <w:rPr>
          <w:rFonts w:hint="eastAsia" w:ascii="宋体" w:hAnsi="宋体" w:cs="宋体"/>
          <w:sz w:val="24"/>
        </w:rPr>
        <w:t>（北京时间）</w:t>
      </w:r>
    </w:p>
    <w:p>
      <w:pPr>
        <w:spacing w:line="360" w:lineRule="auto"/>
        <w:ind w:firstLine="482" w:firstLineChars="200"/>
        <w:rPr>
          <w:rFonts w:ascii="宋体" w:hAnsi="宋体" w:cs="宋体"/>
          <w:b/>
          <w:sz w:val="24"/>
        </w:rPr>
      </w:pPr>
      <w:r>
        <w:rPr>
          <w:rFonts w:hint="eastAsia" w:ascii="宋体" w:hAnsi="宋体" w:cs="宋体"/>
          <w:b/>
          <w:sz w:val="24"/>
        </w:rPr>
        <w:t>投标地点（网址）：</w:t>
      </w:r>
      <w:r>
        <w:rPr>
          <w:rFonts w:hint="eastAsia" w:ascii="宋体" w:hAnsi="宋体" w:cs="宋体"/>
          <w:sz w:val="24"/>
        </w:rPr>
        <w:t xml:space="preserve">政采云平台（https://www.zcygov.cn/） </w:t>
      </w:r>
    </w:p>
    <w:p>
      <w:pPr>
        <w:spacing w:line="360" w:lineRule="auto"/>
        <w:ind w:firstLine="482" w:firstLineChars="200"/>
        <w:rPr>
          <w:rFonts w:ascii="宋体" w:hAnsi="宋体" w:cs="宋体"/>
          <w:bCs/>
          <w:sz w:val="24"/>
          <w:highlight w:val="yellow"/>
          <w:u w:val="single"/>
        </w:rPr>
      </w:pPr>
      <w:r>
        <w:rPr>
          <w:rFonts w:hint="eastAsia" w:ascii="宋体" w:hAnsi="宋体" w:cs="宋体"/>
          <w:b/>
          <w:sz w:val="24"/>
        </w:rPr>
        <w:t>开标时间：</w:t>
      </w:r>
      <w:r>
        <w:rPr>
          <w:rFonts w:hint="eastAsia" w:ascii="宋体" w:hAnsi="宋体" w:cs="宋体"/>
          <w:sz w:val="24"/>
          <w:highlight w:val="none"/>
          <w:u w:val="single"/>
          <w:lang w:eastAsia="zh-CN"/>
        </w:rPr>
        <w:t>2024</w:t>
      </w:r>
      <w:r>
        <w:rPr>
          <w:rFonts w:hint="eastAsia" w:ascii="宋体" w:hAnsi="宋体" w:cs="宋体"/>
          <w:sz w:val="24"/>
          <w:highlight w:val="none"/>
          <w:u w:val="single"/>
        </w:rPr>
        <w:t>年</w:t>
      </w:r>
      <w:r>
        <w:rPr>
          <w:rFonts w:hint="eastAsia" w:ascii="宋体" w:hAnsi="宋体" w:cs="宋体"/>
          <w:sz w:val="24"/>
          <w:highlight w:val="none"/>
          <w:u w:val="single"/>
          <w:lang w:val="en-US" w:eastAsia="zh-CN"/>
        </w:rPr>
        <w:t xml:space="preserve">7 </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12</w:t>
      </w:r>
      <w:r>
        <w:rPr>
          <w:rFonts w:hint="eastAsia" w:ascii="宋体" w:hAnsi="宋体" w:cs="宋体"/>
          <w:sz w:val="24"/>
          <w:highlight w:val="none"/>
          <w:u w:val="single"/>
        </w:rPr>
        <w:t>日</w:t>
      </w:r>
      <w:r>
        <w:rPr>
          <w:rFonts w:hint="eastAsia" w:ascii="宋体" w:hAnsi="宋体" w:cs="宋体"/>
          <w:sz w:val="24"/>
          <w:highlight w:val="none"/>
          <w:u w:val="single"/>
          <w:lang w:val="en-US" w:eastAsia="zh-CN"/>
        </w:rPr>
        <w:t>10</w:t>
      </w:r>
      <w:r>
        <w:rPr>
          <w:rFonts w:hint="eastAsia" w:ascii="宋体" w:hAnsi="宋体" w:cs="宋体"/>
          <w:sz w:val="24"/>
          <w:highlight w:val="none"/>
          <w:u w:val="single"/>
        </w:rPr>
        <w:t>点</w:t>
      </w:r>
      <w:r>
        <w:rPr>
          <w:rFonts w:hint="eastAsia" w:ascii="宋体" w:hAnsi="宋体" w:cs="宋体"/>
          <w:sz w:val="24"/>
          <w:highlight w:val="none"/>
          <w:u w:val="single"/>
          <w:lang w:val="en-US" w:eastAsia="zh-CN"/>
        </w:rPr>
        <w:t>0</w:t>
      </w:r>
      <w:r>
        <w:rPr>
          <w:rFonts w:ascii="宋体" w:hAnsi="宋体" w:cs="宋体"/>
          <w:sz w:val="24"/>
          <w:highlight w:val="none"/>
          <w:u w:val="single"/>
        </w:rPr>
        <w:t>0</w:t>
      </w:r>
      <w:r>
        <w:rPr>
          <w:rFonts w:hint="eastAsia" w:ascii="宋体" w:hAnsi="宋体" w:cs="宋体"/>
          <w:sz w:val="24"/>
          <w:highlight w:val="none"/>
          <w:u w:val="single"/>
        </w:rPr>
        <w:t>分00秒</w:t>
      </w:r>
    </w:p>
    <w:p>
      <w:pPr>
        <w:spacing w:line="360" w:lineRule="auto"/>
        <w:ind w:firstLine="482" w:firstLineChars="200"/>
        <w:rPr>
          <w:rFonts w:ascii="宋体" w:hAnsi="宋体" w:cs="宋体"/>
          <w:sz w:val="24"/>
        </w:rPr>
      </w:pPr>
      <w:r>
        <w:rPr>
          <w:rFonts w:hint="eastAsia" w:ascii="宋体" w:hAnsi="宋体" w:cs="宋体"/>
          <w:b/>
          <w:sz w:val="24"/>
        </w:rPr>
        <w:t>开标地点（网址）：</w:t>
      </w:r>
      <w:r>
        <w:rPr>
          <w:rFonts w:hint="eastAsia" w:ascii="宋体" w:hAnsi="宋体" w:cs="宋体"/>
          <w:sz w:val="24"/>
        </w:rPr>
        <w:t>政采云平台（https://www.zcygov.cn/）</w:t>
      </w:r>
    </w:p>
    <w:p>
      <w:pPr>
        <w:spacing w:line="360" w:lineRule="auto"/>
        <w:rPr>
          <w:rFonts w:ascii="宋体" w:hAnsi="宋体" w:cs="宋体"/>
          <w:sz w:val="24"/>
        </w:rPr>
      </w:pPr>
      <w:r>
        <w:rPr>
          <w:rFonts w:hint="eastAsia" w:ascii="宋体" w:hAnsi="宋体" w:cs="宋体"/>
          <w:b/>
          <w:sz w:val="24"/>
        </w:rPr>
        <w:t xml:space="preserve">五、公告期限 </w:t>
      </w:r>
    </w:p>
    <w:p>
      <w:pPr>
        <w:spacing w:line="360" w:lineRule="auto"/>
        <w:ind w:firstLine="480" w:firstLineChars="200"/>
        <w:rPr>
          <w:rFonts w:ascii="宋体" w:hAnsi="宋体" w:cs="宋体"/>
          <w:sz w:val="24"/>
        </w:rPr>
      </w:pPr>
      <w:r>
        <w:rPr>
          <w:rFonts w:hint="eastAsia" w:ascii="宋体" w:hAnsi="宋体" w:cs="宋体"/>
          <w:sz w:val="24"/>
        </w:rPr>
        <w:t>自本公告发布之日起5个工作日。</w:t>
      </w:r>
    </w:p>
    <w:p>
      <w:pPr>
        <w:spacing w:line="360" w:lineRule="auto"/>
        <w:rPr>
          <w:rFonts w:ascii="宋体" w:hAnsi="宋体" w:cs="宋体"/>
          <w:b/>
          <w:sz w:val="24"/>
        </w:rPr>
      </w:pPr>
      <w:r>
        <w:rPr>
          <w:rFonts w:hint="eastAsia" w:ascii="宋体" w:hAnsi="宋体" w:cs="宋体"/>
          <w:b/>
          <w:sz w:val="24"/>
        </w:rPr>
        <w:t>六、其他补充事宜</w:t>
      </w:r>
    </w:p>
    <w:p>
      <w:pPr>
        <w:spacing w:line="360" w:lineRule="auto"/>
        <w:ind w:firstLine="480" w:firstLineChars="200"/>
        <w:rPr>
          <w:rFonts w:ascii="宋体" w:hAnsi="宋体" w:cs="宋体"/>
          <w:sz w:val="24"/>
        </w:rPr>
      </w:pPr>
      <w:r>
        <w:rPr>
          <w:rFonts w:hint="eastAsia" w:ascii="宋体" w:hAnsi="宋体" w:cs="宋体"/>
          <w:sz w:val="24"/>
        </w:rPr>
        <w:t xml:space="preserve"> 1. </w:t>
      </w:r>
      <w:r>
        <w:rPr>
          <w:rFonts w:ascii="宋体" w:hAnsi="宋体" w:cs="宋体"/>
          <w:sz w:val="24"/>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spacing w:line="360" w:lineRule="auto"/>
        <w:ind w:firstLine="480" w:firstLineChars="200"/>
        <w:rPr>
          <w:rFonts w:ascii="宋体" w:hAnsi="宋体" w:cs="宋体"/>
          <w:sz w:val="24"/>
        </w:rPr>
      </w:pPr>
      <w:r>
        <w:rPr>
          <w:rFonts w:hint="eastAsia" w:ascii="宋体" w:hAnsi="宋体" w:cs="宋体"/>
          <w:sz w:val="24"/>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spacing w:line="360" w:lineRule="auto"/>
        <w:ind w:firstLine="480" w:firstLineChars="200"/>
        <w:rPr>
          <w:rFonts w:ascii="宋体" w:hAnsi="宋体" w:cs="宋体"/>
          <w:sz w:val="24"/>
        </w:rPr>
      </w:pPr>
      <w:r>
        <w:rPr>
          <w:rFonts w:hint="eastAsia" w:ascii="宋体" w:hAnsi="宋体" w:cs="宋体"/>
          <w:sz w:val="24"/>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pPr>
        <w:spacing w:line="360" w:lineRule="auto"/>
        <w:rPr>
          <w:rFonts w:ascii="宋体" w:hAnsi="宋体" w:cs="宋体"/>
          <w:b/>
          <w:sz w:val="24"/>
        </w:rPr>
      </w:pPr>
      <w:r>
        <w:rPr>
          <w:rFonts w:hint="eastAsia" w:ascii="宋体" w:hAnsi="宋体" w:cs="宋体"/>
          <w:b/>
          <w:sz w:val="24"/>
        </w:rPr>
        <w:t>七、对本次采购提出询问、质疑、投诉，请按以下方式联系</w:t>
      </w:r>
    </w:p>
    <w:p>
      <w:pPr>
        <w:spacing w:line="360" w:lineRule="auto"/>
        <w:rPr>
          <w:rFonts w:ascii="宋体" w:hAnsi="宋体" w:cs="宋体"/>
          <w:sz w:val="24"/>
        </w:rPr>
      </w:pPr>
      <w:r>
        <w:rPr>
          <w:rFonts w:hint="eastAsia" w:ascii="宋体" w:hAnsi="宋体" w:cs="宋体"/>
          <w:sz w:val="24"/>
        </w:rPr>
        <w:t xml:space="preserve">    1.采购人信息</w:t>
      </w:r>
    </w:p>
    <w:p>
      <w:pPr>
        <w:spacing w:line="360" w:lineRule="auto"/>
        <w:rPr>
          <w:rFonts w:hint="eastAsia" w:ascii="宋体" w:hAnsi="宋体" w:eastAsia="宋体" w:cs="宋体"/>
          <w:sz w:val="24"/>
          <w:lang w:eastAsia="zh-CN"/>
        </w:rPr>
      </w:pPr>
      <w:r>
        <w:rPr>
          <w:rFonts w:hint="eastAsia" w:ascii="宋体" w:hAnsi="宋体" w:cs="宋体"/>
          <w:sz w:val="24"/>
        </w:rPr>
        <w:t xml:space="preserve">   </w:t>
      </w:r>
      <w:r>
        <w:rPr>
          <w:rFonts w:hint="eastAsia" w:ascii="宋体" w:hAnsi="宋体" w:cs="宋体"/>
          <w:color w:val="0000FF"/>
          <w:sz w:val="24"/>
        </w:rPr>
        <w:t xml:space="preserve"> </w:t>
      </w:r>
      <w:r>
        <w:rPr>
          <w:rFonts w:hint="eastAsia" w:ascii="宋体" w:hAnsi="宋体" w:cs="宋体"/>
          <w:sz w:val="24"/>
        </w:rPr>
        <w:t>名    称：</w:t>
      </w:r>
      <w:r>
        <w:rPr>
          <w:rFonts w:hint="eastAsia" w:ascii="宋体" w:hAnsi="宋体" w:cs="宋体"/>
          <w:sz w:val="24"/>
          <w:lang w:eastAsia="zh-CN"/>
        </w:rPr>
        <w:t>杭州市转塘小学</w:t>
      </w:r>
    </w:p>
    <w:p>
      <w:pPr>
        <w:spacing w:line="360" w:lineRule="auto"/>
        <w:rPr>
          <w:rFonts w:ascii="宋体" w:hAnsi="宋体" w:cs="宋体"/>
          <w:sz w:val="24"/>
        </w:rPr>
      </w:pPr>
      <w:r>
        <w:rPr>
          <w:rFonts w:hint="eastAsia" w:ascii="宋体" w:hAnsi="宋体" w:cs="宋体"/>
          <w:sz w:val="24"/>
        </w:rPr>
        <w:t xml:space="preserve">    地    址：杭州市西湖区转塘街道河山街和四何路交叉口</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 xml:space="preserve">    </w:t>
      </w:r>
    </w:p>
    <w:p>
      <w:pPr>
        <w:spacing w:line="360" w:lineRule="auto"/>
        <w:ind w:firstLine="480"/>
        <w:rPr>
          <w:rFonts w:hint="default" w:ascii="宋体" w:hAnsi="宋体" w:eastAsia="宋体" w:cs="宋体"/>
          <w:sz w:val="24"/>
          <w:lang w:val="en-US" w:eastAsia="zh-CN"/>
        </w:rPr>
      </w:pPr>
      <w:r>
        <w:rPr>
          <w:rFonts w:hint="eastAsia" w:ascii="宋体" w:hAnsi="宋体" w:cs="宋体"/>
          <w:sz w:val="24"/>
        </w:rPr>
        <w:t>传    真：</w:t>
      </w:r>
      <w:r>
        <w:rPr>
          <w:rFonts w:hint="eastAsia" w:ascii="宋体" w:hAnsi="宋体" w:cs="宋体"/>
          <w:sz w:val="24"/>
          <w:lang w:val="en-US" w:eastAsia="zh-CN"/>
        </w:rPr>
        <w:t xml:space="preserve"> /</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项目联系人（询问）：</w:t>
      </w:r>
      <w:r>
        <w:rPr>
          <w:rFonts w:hint="eastAsia" w:ascii="宋体" w:hAnsi="宋体" w:cs="宋体"/>
          <w:color w:val="auto"/>
          <w:sz w:val="24"/>
          <w:lang w:val="en-US" w:eastAsia="zh-CN"/>
        </w:rPr>
        <w:t>金忆</w:t>
      </w:r>
    </w:p>
    <w:p>
      <w:pPr>
        <w:spacing w:line="360" w:lineRule="auto"/>
        <w:rPr>
          <w:rFonts w:hint="default" w:ascii="宋体" w:hAnsi="宋体" w:eastAsia="宋体" w:cs="宋体"/>
          <w:color w:val="auto"/>
          <w:sz w:val="24"/>
          <w:lang w:val="en-US" w:eastAsia="zh-CN"/>
        </w:rPr>
      </w:pPr>
      <w:r>
        <w:rPr>
          <w:rFonts w:hint="eastAsia" w:ascii="宋体" w:hAnsi="宋体" w:cs="宋体"/>
          <w:color w:val="auto"/>
          <w:sz w:val="24"/>
        </w:rPr>
        <w:t xml:space="preserve">    项目联系方式（询问）：</w:t>
      </w:r>
      <w:r>
        <w:rPr>
          <w:rFonts w:hint="eastAsia" w:ascii="宋体" w:hAnsi="宋体" w:cs="宋体"/>
          <w:color w:val="auto"/>
          <w:sz w:val="24"/>
          <w:lang w:val="en-US" w:eastAsia="zh-CN"/>
        </w:rPr>
        <w:t>0571-56202905</w:t>
      </w:r>
    </w:p>
    <w:p>
      <w:pPr>
        <w:spacing w:line="360" w:lineRule="auto"/>
        <w:rPr>
          <w:rFonts w:hint="eastAsia" w:ascii="宋体" w:hAnsi="宋体" w:eastAsia="宋体" w:cs="宋体"/>
          <w:color w:val="auto"/>
          <w:sz w:val="24"/>
          <w:lang w:eastAsia="zh-CN"/>
        </w:rPr>
      </w:pPr>
      <w:r>
        <w:rPr>
          <w:rFonts w:hint="eastAsia" w:ascii="宋体" w:hAnsi="宋体" w:cs="宋体"/>
          <w:color w:val="auto"/>
          <w:sz w:val="24"/>
        </w:rPr>
        <w:t xml:space="preserve">    质疑联系人：</w:t>
      </w:r>
      <w:r>
        <w:rPr>
          <w:rFonts w:hint="eastAsia" w:ascii="宋体" w:hAnsi="宋体" w:cs="宋体"/>
          <w:color w:val="auto"/>
          <w:sz w:val="24"/>
          <w:lang w:val="en-US" w:eastAsia="zh-CN"/>
        </w:rPr>
        <w:t>金更福</w:t>
      </w:r>
    </w:p>
    <w:p>
      <w:pPr>
        <w:spacing w:line="360" w:lineRule="auto"/>
        <w:ind w:firstLine="480"/>
        <w:rPr>
          <w:rFonts w:hint="default" w:ascii="宋体" w:hAnsi="宋体" w:eastAsia="宋体" w:cs="宋体"/>
          <w:color w:val="auto"/>
          <w:sz w:val="24"/>
          <w:lang w:val="en-US" w:eastAsia="zh-CN"/>
        </w:rPr>
      </w:pPr>
      <w:r>
        <w:rPr>
          <w:rFonts w:hint="eastAsia" w:ascii="宋体" w:hAnsi="宋体" w:cs="宋体"/>
          <w:color w:val="auto"/>
          <w:sz w:val="24"/>
        </w:rPr>
        <w:t>质疑联系方式：</w:t>
      </w:r>
      <w:r>
        <w:rPr>
          <w:rFonts w:hint="eastAsia" w:ascii="宋体" w:hAnsi="宋体" w:cs="宋体"/>
          <w:color w:val="auto"/>
          <w:sz w:val="24"/>
          <w:lang w:val="en-US" w:eastAsia="zh-CN"/>
        </w:rPr>
        <w:t>0571-56202903</w:t>
      </w:r>
    </w:p>
    <w:p>
      <w:pPr>
        <w:spacing w:line="360" w:lineRule="auto"/>
        <w:rPr>
          <w:rFonts w:ascii="宋体" w:hAnsi="宋体" w:cs="宋体"/>
          <w:sz w:val="24"/>
        </w:rPr>
      </w:pPr>
      <w:r>
        <w:rPr>
          <w:rFonts w:hint="eastAsia" w:ascii="宋体" w:hAnsi="宋体" w:cs="宋体"/>
          <w:sz w:val="24"/>
        </w:rPr>
        <w:t xml:space="preserve">    2.采购代理机构信息            </w:t>
      </w:r>
    </w:p>
    <w:p>
      <w:pPr>
        <w:spacing w:line="360" w:lineRule="auto"/>
        <w:ind w:firstLine="480"/>
        <w:rPr>
          <w:rFonts w:ascii="宋体" w:hAnsi="宋体" w:cs="宋体"/>
          <w:sz w:val="24"/>
        </w:rPr>
      </w:pPr>
      <w:r>
        <w:rPr>
          <w:rFonts w:hint="eastAsia" w:ascii="宋体" w:hAnsi="宋体" w:cs="宋体"/>
          <w:sz w:val="24"/>
        </w:rPr>
        <w:t>名    称：杭州市西湖区政府采购中心</w:t>
      </w:r>
    </w:p>
    <w:p>
      <w:pPr>
        <w:spacing w:line="360" w:lineRule="auto"/>
        <w:ind w:firstLine="480"/>
        <w:rPr>
          <w:rFonts w:ascii="宋体" w:hAnsi="宋体" w:cs="宋体"/>
          <w:sz w:val="24"/>
        </w:rPr>
      </w:pPr>
      <w:r>
        <w:rPr>
          <w:rFonts w:hint="eastAsia" w:ascii="宋体" w:hAnsi="宋体" w:cs="宋体"/>
          <w:sz w:val="24"/>
        </w:rPr>
        <w:t>地    址：杭州市文一西路858号</w:t>
      </w:r>
    </w:p>
    <w:p>
      <w:pPr>
        <w:spacing w:line="360" w:lineRule="auto"/>
        <w:rPr>
          <w:rFonts w:ascii="宋体" w:hAnsi="宋体" w:cs="宋体"/>
          <w:sz w:val="24"/>
        </w:rPr>
      </w:pPr>
      <w:r>
        <w:rPr>
          <w:rFonts w:hint="eastAsia" w:ascii="宋体" w:hAnsi="宋体" w:cs="宋体"/>
          <w:sz w:val="24"/>
        </w:rPr>
        <w:t xml:space="preserve">    传    真： 0571-89511006</w:t>
      </w:r>
    </w:p>
    <w:p>
      <w:pPr>
        <w:spacing w:line="360" w:lineRule="auto"/>
        <w:rPr>
          <w:rFonts w:ascii="宋体" w:hAnsi="宋体" w:cs="宋体"/>
          <w:sz w:val="24"/>
        </w:rPr>
      </w:pPr>
      <w:r>
        <w:rPr>
          <w:rFonts w:hint="eastAsia" w:ascii="宋体" w:hAnsi="宋体" w:cs="宋体"/>
          <w:sz w:val="24"/>
        </w:rPr>
        <w:t xml:space="preserve">    项目联系人（询问）： 蒋晓峥</w:t>
      </w:r>
    </w:p>
    <w:p>
      <w:pPr>
        <w:spacing w:line="360" w:lineRule="auto"/>
        <w:rPr>
          <w:rFonts w:ascii="宋体" w:hAnsi="宋体" w:cs="宋体"/>
          <w:sz w:val="24"/>
        </w:rPr>
      </w:pPr>
      <w:r>
        <w:rPr>
          <w:rFonts w:hint="eastAsia" w:ascii="宋体" w:hAnsi="宋体" w:cs="宋体"/>
          <w:sz w:val="24"/>
        </w:rPr>
        <w:t xml:space="preserve">    项目联系方式（询问）：0571-</w:t>
      </w:r>
      <w:r>
        <w:rPr>
          <w:rFonts w:ascii="宋体" w:hAnsi="宋体" w:cs="宋体"/>
          <w:sz w:val="24"/>
        </w:rPr>
        <w:t>89511448</w:t>
      </w:r>
    </w:p>
    <w:p>
      <w:pPr>
        <w:spacing w:line="360" w:lineRule="auto"/>
        <w:rPr>
          <w:rFonts w:ascii="宋体" w:hAnsi="宋体" w:cs="宋体"/>
          <w:sz w:val="24"/>
        </w:rPr>
      </w:pPr>
      <w:r>
        <w:rPr>
          <w:rFonts w:hint="eastAsia" w:ascii="宋体" w:hAnsi="宋体" w:cs="宋体"/>
          <w:sz w:val="24"/>
        </w:rPr>
        <w:t xml:space="preserve">    质疑联系人： 缪新新</w:t>
      </w:r>
    </w:p>
    <w:p>
      <w:pPr>
        <w:spacing w:line="360" w:lineRule="auto"/>
        <w:rPr>
          <w:rFonts w:ascii="宋体" w:hAnsi="宋体" w:cs="宋体"/>
          <w:sz w:val="24"/>
        </w:rPr>
      </w:pPr>
      <w:r>
        <w:rPr>
          <w:rFonts w:hint="eastAsia" w:ascii="宋体" w:hAnsi="宋体" w:cs="宋体"/>
          <w:sz w:val="24"/>
        </w:rPr>
        <w:t xml:space="preserve">    质疑联系方式：0571-</w:t>
      </w:r>
      <w:r>
        <w:rPr>
          <w:rFonts w:ascii="宋体" w:hAnsi="宋体" w:cs="宋体"/>
          <w:sz w:val="24"/>
        </w:rPr>
        <w:t>89511561</w:t>
      </w:r>
    </w:p>
    <w:p>
      <w:pPr>
        <w:spacing w:line="360" w:lineRule="auto"/>
        <w:rPr>
          <w:rFonts w:ascii="宋体" w:hAnsi="宋体" w:cs="宋体"/>
          <w:sz w:val="24"/>
        </w:rPr>
      </w:pPr>
      <w:r>
        <w:rPr>
          <w:rFonts w:hint="eastAsia" w:ascii="宋体" w:hAnsi="宋体" w:cs="宋体"/>
          <w:sz w:val="24"/>
        </w:rPr>
        <w:t xml:space="preserve">    3.</w:t>
      </w:r>
      <w:r>
        <w:rPr>
          <w:rFonts w:hint="eastAsia"/>
        </w:rPr>
        <w:t xml:space="preserve"> </w:t>
      </w:r>
      <w:r>
        <w:rPr>
          <w:rFonts w:hint="eastAsia" w:ascii="宋体" w:hAnsi="宋体" w:cs="宋体"/>
          <w:sz w:val="24"/>
        </w:rPr>
        <w:t xml:space="preserve">同级政府采购监督管理部门            </w:t>
      </w:r>
    </w:p>
    <w:p>
      <w:pPr>
        <w:spacing w:line="360" w:lineRule="auto"/>
        <w:ind w:left="479" w:leftChars="228" w:firstLine="0" w:firstLineChars="0"/>
        <w:rPr>
          <w:rFonts w:hint="eastAsia" w:ascii="宋体" w:hAnsi="宋体" w:eastAsia="宋体" w:cs="宋体"/>
          <w:sz w:val="24"/>
          <w:lang w:eastAsia="zh-CN"/>
        </w:rPr>
      </w:pPr>
      <w:r>
        <w:rPr>
          <w:rFonts w:hint="eastAsia" w:ascii="宋体" w:hAnsi="宋体" w:eastAsia="宋体" w:cs="宋体"/>
          <w:sz w:val="24"/>
        </w:rPr>
        <w:t>名 称：杭州市西湖区财政局、浙江省政府采购行政裁决服务中心（杭州）</w:t>
      </w:r>
    </w:p>
    <w:p>
      <w:pPr>
        <w:spacing w:line="360" w:lineRule="auto"/>
        <w:ind w:left="479" w:leftChars="228" w:firstLine="0" w:firstLineChars="0"/>
        <w:rPr>
          <w:rFonts w:hint="eastAsia" w:ascii="宋体" w:hAnsi="宋体" w:eastAsia="宋体" w:cs="宋体"/>
          <w:sz w:val="24"/>
          <w:lang w:eastAsia="zh-CN"/>
        </w:rPr>
      </w:pPr>
      <w:r>
        <w:rPr>
          <w:rFonts w:hint="eastAsia" w:ascii="宋体" w:hAnsi="宋体" w:eastAsia="宋体" w:cs="宋体"/>
          <w:sz w:val="24"/>
        </w:rPr>
        <w:t xml:space="preserve">地 址：杭州市上城区四季青街道新业路市民之家G03办公室（快递仅限ems或顺丰） </w:t>
      </w:r>
    </w:p>
    <w:p>
      <w:pPr>
        <w:spacing w:line="360" w:lineRule="auto"/>
        <w:ind w:left="479" w:leftChars="228" w:firstLine="0" w:firstLineChars="0"/>
        <w:rPr>
          <w:rFonts w:hint="eastAsia" w:ascii="宋体" w:hAnsi="宋体" w:eastAsia="宋体" w:cs="宋体"/>
          <w:sz w:val="24"/>
          <w:lang w:eastAsia="zh-CN"/>
        </w:rPr>
      </w:pPr>
      <w:r>
        <w:rPr>
          <w:rFonts w:hint="eastAsia" w:ascii="宋体" w:hAnsi="宋体" w:eastAsia="宋体" w:cs="宋体"/>
          <w:sz w:val="24"/>
        </w:rPr>
        <w:t>传 真： /</w:t>
      </w:r>
    </w:p>
    <w:p>
      <w:pPr>
        <w:spacing w:line="360" w:lineRule="auto"/>
        <w:ind w:left="479" w:leftChars="228" w:firstLine="0" w:firstLineChars="0"/>
        <w:rPr>
          <w:rFonts w:hint="eastAsia" w:ascii="宋体" w:hAnsi="宋体" w:eastAsia="宋体" w:cs="宋体"/>
          <w:sz w:val="24"/>
          <w:lang w:eastAsia="zh-CN"/>
        </w:rPr>
      </w:pPr>
      <w:r>
        <w:rPr>
          <w:rFonts w:hint="eastAsia" w:ascii="宋体" w:hAnsi="宋体" w:eastAsia="宋体" w:cs="宋体"/>
          <w:sz w:val="24"/>
        </w:rPr>
        <w:t>联系人 ：朱女士、王女士</w:t>
      </w:r>
    </w:p>
    <w:p>
      <w:pPr>
        <w:spacing w:line="360" w:lineRule="auto"/>
        <w:ind w:left="479" w:leftChars="228" w:firstLine="0" w:firstLineChars="0"/>
        <w:rPr>
          <w:rFonts w:hint="eastAsia" w:ascii="宋体" w:hAnsi="宋体" w:eastAsia="宋体" w:cs="宋体"/>
          <w:sz w:val="24"/>
        </w:rPr>
      </w:pPr>
      <w:r>
        <w:rPr>
          <w:rFonts w:hint="eastAsia" w:ascii="宋体" w:hAnsi="宋体" w:eastAsia="宋体" w:cs="宋体"/>
          <w:sz w:val="24"/>
        </w:rPr>
        <w:t xml:space="preserve">监督投诉电话：0571-85252453    </w:t>
      </w:r>
    </w:p>
    <w:p>
      <w:pPr>
        <w:spacing w:line="360" w:lineRule="auto"/>
        <w:ind w:firstLine="480" w:firstLineChars="200"/>
        <w:rPr>
          <w:rFonts w:ascii="宋体" w:hAnsi="宋体" w:cs="宋体"/>
          <w:sz w:val="24"/>
        </w:rPr>
      </w:pPr>
      <w:r>
        <w:rPr>
          <w:rFonts w:hint="eastAsia" w:ascii="宋体" w:hAnsi="宋体" w:cs="宋体"/>
          <w:sz w:val="24"/>
        </w:rPr>
        <w:t>若对项目采购电子交易系统操作有疑问，可登录政采云（https://www.zcygov.cn/），点击右侧咨询小采，获取采小蜜智能服务管家帮助，或拨打政采云服务热线</w:t>
      </w:r>
      <w:r>
        <w:rPr>
          <w:rFonts w:hint="eastAsia" w:ascii="微软雅黑" w:hAnsi="微软雅黑" w:eastAsia="微软雅黑"/>
          <w:color w:val="333333"/>
          <w:szCs w:val="21"/>
          <w:shd w:val="clear" w:color="auto" w:fill="FFFFFF"/>
        </w:rPr>
        <w:t>95763</w:t>
      </w:r>
      <w:r>
        <w:rPr>
          <w:rFonts w:hint="eastAsia" w:ascii="宋体" w:hAnsi="宋体" w:cs="宋体"/>
          <w:sz w:val="24"/>
        </w:rPr>
        <w:t>获取热线服务帮助。</w:t>
      </w:r>
    </w:p>
    <w:p>
      <w:pPr>
        <w:spacing w:line="360" w:lineRule="auto"/>
        <w:ind w:firstLine="480" w:firstLineChars="200"/>
        <w:rPr>
          <w:rFonts w:ascii="宋体" w:hAnsi="宋体" w:cs="宋体"/>
          <w:sz w:val="24"/>
        </w:rPr>
      </w:pPr>
      <w:r>
        <w:rPr>
          <w:rFonts w:hint="eastAsia" w:ascii="宋体" w:hAnsi="宋体" w:cs="宋体"/>
          <w:sz w:val="24"/>
        </w:rPr>
        <w:t>CA问题联系电话（人工）：汇信CA 400-888-4636；天谷CA 400-087-8198。</w:t>
      </w:r>
    </w:p>
    <w:p>
      <w:pPr>
        <w:pStyle w:val="33"/>
        <w:spacing w:line="360" w:lineRule="auto"/>
        <w:rPr>
          <w:rFonts w:hAnsi="宋体" w:cs="宋体"/>
          <w:b/>
          <w:sz w:val="36"/>
          <w:szCs w:val="20"/>
        </w:rPr>
      </w:pPr>
      <w:r>
        <w:rPr>
          <w:rFonts w:hint="eastAsia" w:hAnsi="宋体" w:cs="宋体"/>
          <w:sz w:val="24"/>
        </w:rPr>
        <w:t xml:space="preserve">                        </w:t>
      </w:r>
      <w:r>
        <w:rPr>
          <w:rFonts w:hAnsi="宋体" w:cs="宋体"/>
          <w:b/>
          <w:sz w:val="36"/>
          <w:szCs w:val="20"/>
        </w:rPr>
        <w:t xml:space="preserve"> </w:t>
      </w:r>
    </w:p>
    <w:p>
      <w:pPr>
        <w:pStyle w:val="2"/>
        <w:rPr>
          <w:rFonts w:ascii="宋体"/>
          <w:snapToGrid w:val="0"/>
        </w:rPr>
      </w:pPr>
      <w:r>
        <w:br w:type="page"/>
      </w:r>
    </w:p>
    <w:p>
      <w:pPr>
        <w:adjustRightInd/>
        <w:spacing w:line="360" w:lineRule="auto"/>
        <w:jc w:val="center"/>
        <w:outlineLvl w:val="0"/>
        <w:rPr>
          <w:rFonts w:ascii="宋体" w:hAnsi="宋体" w:cs="宋体"/>
          <w:b/>
          <w:sz w:val="36"/>
          <w:szCs w:val="20"/>
        </w:rPr>
      </w:pPr>
      <w:r>
        <w:rPr>
          <w:rFonts w:hint="eastAsia" w:ascii="宋体" w:hAnsi="宋体" w:cs="宋体"/>
          <w:b/>
          <w:sz w:val="36"/>
          <w:szCs w:val="20"/>
        </w:rPr>
        <w:t>第二部分</w:t>
      </w:r>
      <w:bookmarkEnd w:id="8"/>
      <w:r>
        <w:rPr>
          <w:rFonts w:hint="eastAsia" w:ascii="宋体" w:hAnsi="宋体" w:cs="宋体"/>
          <w:b/>
          <w:sz w:val="36"/>
          <w:szCs w:val="20"/>
        </w:rPr>
        <w:t xml:space="preserve"> 投标人须知</w:t>
      </w:r>
      <w:bookmarkEnd w:id="9"/>
    </w:p>
    <w:p>
      <w:pPr>
        <w:adjustRightInd/>
        <w:spacing w:line="360" w:lineRule="auto"/>
        <w:ind w:firstLine="3845" w:firstLineChars="1197"/>
        <w:outlineLvl w:val="0"/>
        <w:rPr>
          <w:rFonts w:ascii="宋体" w:hAnsi="宋体" w:cs="宋体"/>
          <w:b/>
          <w:sz w:val="32"/>
          <w:szCs w:val="20"/>
        </w:rPr>
      </w:pPr>
      <w:r>
        <w:rPr>
          <w:rFonts w:hint="eastAsia" w:ascii="宋体" w:hAnsi="宋体" w:cs="宋体"/>
          <w:b/>
          <w:sz w:val="32"/>
          <w:szCs w:val="20"/>
        </w:rPr>
        <w:t>前附表</w:t>
      </w:r>
    </w:p>
    <w:tbl>
      <w:tblPr>
        <w:tblStyle w:val="6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28" w:type="dxa"/>
          <w:bottom w:w="0" w:type="dxa"/>
          <w:right w:w="28" w:type="dxa"/>
        </w:tblCellMar>
      </w:tblPr>
      <w:tblGrid>
        <w:gridCol w:w="629"/>
        <w:gridCol w:w="1904"/>
        <w:gridCol w:w="60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sz w:val="24"/>
              </w:rPr>
            </w:pPr>
            <w:r>
              <w:rPr>
                <w:rFonts w:hint="eastAsia" w:ascii="宋体" w:hAnsi="宋体" w:cs="宋体"/>
                <w:b/>
                <w:sz w:val="24"/>
              </w:rPr>
              <w:t>序号</w:t>
            </w:r>
          </w:p>
        </w:tc>
        <w:tc>
          <w:tcPr>
            <w:tcW w:w="190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事项</w:t>
            </w:r>
          </w:p>
        </w:tc>
        <w:tc>
          <w:tcPr>
            <w:tcW w:w="60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8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1</w:t>
            </w:r>
          </w:p>
        </w:tc>
        <w:tc>
          <w:tcPr>
            <w:tcW w:w="190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项目属性与核心产品</w:t>
            </w:r>
          </w:p>
        </w:tc>
        <w:tc>
          <w:tcPr>
            <w:tcW w:w="6034"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rPr>
            </w:pPr>
            <w:r>
              <w:rPr>
                <w:rFonts w:hint="eastAsia" w:ascii="宋体" w:hAnsi="宋体" w:cs="宋体"/>
                <w:sz w:val="24"/>
              </w:rPr>
              <w:t>货物类，</w:t>
            </w:r>
          </w:p>
          <w:p>
            <w:pPr>
              <w:spacing w:line="360" w:lineRule="auto"/>
              <w:rPr>
                <w:rFonts w:ascii="宋体" w:hAnsi="宋体" w:cs="宋体"/>
                <w:sz w:val="24"/>
              </w:rPr>
            </w:pPr>
            <w:r>
              <w:rPr>
                <w:rFonts w:hint="eastAsia" w:ascii="宋体" w:hAnsi="宋体" w:cs="宋体"/>
                <w:sz w:val="24"/>
              </w:rPr>
              <w:t>单一产品或</w:t>
            </w:r>
            <w:r>
              <w:rPr>
                <w:rFonts w:hint="eastAsia" w:ascii="宋体" w:hAnsi="宋体" w:cs="宋体"/>
                <w:kern w:val="0"/>
                <w:sz w:val="24"/>
              </w:rPr>
              <w:t>核心产品为：</w:t>
            </w:r>
            <w:r>
              <w:rPr>
                <w:rFonts w:hint="eastAsia" w:ascii="宋体" w:hAnsi="宋体" w:cs="宋体"/>
                <w:sz w:val="24"/>
                <w:u w:val="single"/>
              </w:rPr>
              <w:t xml:space="preserve"> </w:t>
            </w:r>
            <w:r>
              <w:rPr>
                <w:rFonts w:hint="eastAsia" w:ascii="宋体" w:hAnsi="宋体" w:cs="宋体"/>
                <w:kern w:val="0"/>
                <w:sz w:val="24"/>
                <w:u w:val="single"/>
              </w:rPr>
              <w:t>LED</w:t>
            </w:r>
            <w:r>
              <w:rPr>
                <w:rFonts w:hint="eastAsia" w:ascii="宋体" w:hAnsi="宋体" w:cs="宋体"/>
                <w:color w:val="000000"/>
                <w:sz w:val="24"/>
                <w:u w:val="single"/>
              </w:rPr>
              <w:t>显示屏室外P3，</w:t>
            </w:r>
            <w:r>
              <w:rPr>
                <w:rFonts w:hint="eastAsia" w:ascii="宋体" w:hAnsi="宋体" w:cs="宋体"/>
                <w:kern w:val="0"/>
                <w:sz w:val="24"/>
                <w:u w:val="single"/>
              </w:rPr>
              <w:t>LED</w:t>
            </w:r>
            <w:r>
              <w:rPr>
                <w:rFonts w:hint="eastAsia" w:ascii="宋体" w:hAnsi="宋体" w:cs="宋体"/>
                <w:color w:val="000000"/>
                <w:sz w:val="24"/>
                <w:u w:val="single"/>
              </w:rPr>
              <w:t>显示屏室内P1.8，</w:t>
            </w:r>
            <w:r>
              <w:rPr>
                <w:rFonts w:hint="eastAsia" w:ascii="宋体" w:hAnsi="宋体" w:cs="宋体"/>
                <w:kern w:val="0"/>
                <w:sz w:val="24"/>
                <w:u w:val="single"/>
              </w:rPr>
              <w:t>LED</w:t>
            </w:r>
            <w:r>
              <w:rPr>
                <w:rFonts w:hint="eastAsia" w:ascii="宋体" w:hAnsi="宋体" w:cs="宋体"/>
                <w:color w:val="000000"/>
                <w:sz w:val="24"/>
                <w:u w:val="single"/>
              </w:rPr>
              <w:t>显示屏室内P2.5</w:t>
            </w:r>
            <w:r>
              <w:rPr>
                <w:rFonts w:hint="eastAsia" w:ascii="宋体" w:hAnsi="宋体" w:cs="宋体"/>
                <w:sz w:val="24"/>
                <w:u w:val="single"/>
                <w:lang w:val="en-US" w:eastAsia="zh-CN"/>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2</w:t>
            </w:r>
          </w:p>
        </w:tc>
        <w:tc>
          <w:tcPr>
            <w:tcW w:w="190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采购标的及其对应的中小企业划分标准所属行业</w:t>
            </w:r>
          </w:p>
        </w:tc>
        <w:tc>
          <w:tcPr>
            <w:tcW w:w="6034" w:type="dxa"/>
            <w:tcBorders>
              <w:top w:val="single" w:color="000000" w:sz="8" w:space="0"/>
              <w:left w:val="single" w:color="000000" w:sz="2" w:space="0"/>
              <w:bottom w:val="single" w:color="000000" w:sz="8" w:space="0"/>
              <w:right w:val="single" w:color="000000" w:sz="8" w:space="0"/>
            </w:tcBorders>
            <w:vAlign w:val="center"/>
          </w:tcPr>
          <w:p>
            <w:pPr>
              <w:spacing w:line="360" w:lineRule="auto"/>
              <w:jc w:val="center"/>
              <w:rPr>
                <w:rFonts w:hint="eastAsia" w:ascii="宋体" w:hAnsi="宋体" w:eastAsia="宋体" w:cs="宋体"/>
                <w:b w:val="0"/>
                <w:bCs w:val="0"/>
                <w:kern w:val="0"/>
                <w:sz w:val="24"/>
                <w:szCs w:val="24"/>
                <w:highlight w:val="yellow"/>
                <w:lang w:val="en-US" w:eastAsia="zh-CN"/>
              </w:rPr>
            </w:pPr>
            <w:r>
              <w:rPr>
                <w:rFonts w:hint="eastAsia" w:ascii="宋体" w:hAnsi="宋体" w:cs="宋体"/>
                <w:b/>
                <w:bCs/>
                <w:kern w:val="0"/>
                <w:sz w:val="24"/>
                <w:highlight w:val="none"/>
                <w:lang w:val="en-US" w:eastAsia="zh-CN"/>
              </w:rPr>
              <w:t xml:space="preserve"> </w:t>
            </w: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rPr>
              <w:t>标的：</w:t>
            </w:r>
            <w:r>
              <w:rPr>
                <w:rFonts w:hint="eastAsia" w:ascii="宋体" w:hAnsi="宋体" w:cs="宋体"/>
                <w:snapToGrid w:val="0"/>
                <w:color w:val="000000"/>
                <w:kern w:val="28"/>
                <w:sz w:val="24"/>
                <w:highlight w:val="none"/>
                <w:u w:val="single"/>
              </w:rPr>
              <w:t>Led显示屏</w:t>
            </w:r>
            <w:r>
              <w:rPr>
                <w:rFonts w:hint="eastAsia" w:ascii="宋体" w:hAnsi="宋体" w:cs="宋体"/>
                <w:snapToGrid w:val="0"/>
                <w:color w:val="000000"/>
                <w:kern w:val="28"/>
                <w:sz w:val="24"/>
                <w:highlight w:val="none"/>
                <w:u w:val="single"/>
                <w:lang w:eastAsia="zh-CN"/>
              </w:rPr>
              <w:t>、</w:t>
            </w:r>
            <w:r>
              <w:rPr>
                <w:rFonts w:hint="eastAsia" w:ascii="宋体" w:hAnsi="宋体" w:cs="宋体"/>
                <w:snapToGrid w:val="0"/>
                <w:color w:val="000000"/>
                <w:kern w:val="28"/>
                <w:sz w:val="24"/>
                <w:highlight w:val="none"/>
                <w:u w:val="single"/>
              </w:rPr>
              <w:t>控制系统</w:t>
            </w:r>
            <w:r>
              <w:rPr>
                <w:rFonts w:hint="eastAsia" w:ascii="宋体" w:hAnsi="宋体" w:cs="宋体"/>
                <w:snapToGrid w:val="0"/>
                <w:color w:val="000000"/>
                <w:kern w:val="28"/>
                <w:sz w:val="24"/>
                <w:highlight w:val="none"/>
                <w:u w:val="single"/>
                <w:lang w:eastAsia="zh-CN"/>
              </w:rPr>
              <w:t>、</w:t>
            </w:r>
            <w:r>
              <w:rPr>
                <w:rFonts w:hint="eastAsia" w:ascii="宋体" w:hAnsi="宋体" w:cs="宋体"/>
                <w:snapToGrid w:val="0"/>
                <w:color w:val="000000"/>
                <w:kern w:val="28"/>
                <w:sz w:val="24"/>
                <w:highlight w:val="none"/>
                <w:u w:val="single"/>
              </w:rPr>
              <w:t>终端控制器</w:t>
            </w:r>
            <w:r>
              <w:rPr>
                <w:rFonts w:hint="eastAsia" w:ascii="宋体" w:hAnsi="宋体" w:cs="宋体"/>
                <w:snapToGrid w:val="0"/>
                <w:color w:val="000000"/>
                <w:kern w:val="28"/>
                <w:sz w:val="24"/>
                <w:highlight w:val="none"/>
                <w:u w:val="single"/>
                <w:lang w:eastAsia="zh-CN"/>
              </w:rPr>
              <w:t>、</w:t>
            </w:r>
            <w:r>
              <w:rPr>
                <w:rFonts w:hint="eastAsia" w:ascii="宋体" w:hAnsi="宋体" w:cs="宋体"/>
                <w:snapToGrid w:val="0"/>
                <w:color w:val="000000"/>
                <w:kern w:val="28"/>
                <w:sz w:val="24"/>
                <w:highlight w:val="none"/>
                <w:u w:val="single"/>
              </w:rPr>
              <w:t>视频拼接器</w:t>
            </w:r>
            <w:r>
              <w:rPr>
                <w:rFonts w:hint="eastAsia" w:ascii="宋体" w:hAnsi="宋体" w:cs="宋体"/>
                <w:snapToGrid w:val="0"/>
                <w:color w:val="000000"/>
                <w:kern w:val="28"/>
                <w:sz w:val="24"/>
                <w:highlight w:val="none"/>
                <w:u w:val="single"/>
                <w:lang w:eastAsia="zh-CN"/>
              </w:rPr>
              <w:t>、</w:t>
            </w:r>
            <w:r>
              <w:rPr>
                <w:rFonts w:hint="eastAsia" w:ascii="宋体" w:hAnsi="宋体" w:cs="宋体"/>
                <w:snapToGrid w:val="0"/>
                <w:color w:val="000000"/>
                <w:kern w:val="28"/>
                <w:sz w:val="24"/>
                <w:highlight w:val="none"/>
                <w:u w:val="single"/>
              </w:rPr>
              <w:t>无线同屏器</w:t>
            </w:r>
            <w:r>
              <w:rPr>
                <w:rFonts w:hint="eastAsia" w:ascii="宋体" w:hAnsi="宋体" w:cs="宋体"/>
                <w:snapToGrid w:val="0"/>
                <w:color w:val="000000"/>
                <w:kern w:val="28"/>
                <w:sz w:val="24"/>
                <w:highlight w:val="none"/>
                <w:u w:val="single"/>
                <w:lang w:eastAsia="zh-CN"/>
              </w:rPr>
              <w:t>、</w:t>
            </w:r>
            <w:r>
              <w:rPr>
                <w:rFonts w:hint="eastAsia" w:ascii="宋体" w:hAnsi="宋体" w:cs="宋体"/>
                <w:snapToGrid w:val="0"/>
                <w:color w:val="000000"/>
                <w:kern w:val="28"/>
                <w:sz w:val="24"/>
                <w:highlight w:val="none"/>
                <w:u w:val="single"/>
              </w:rPr>
              <w:t>家长接送区显示屏配套辅件</w:t>
            </w:r>
            <w:r>
              <w:rPr>
                <w:rFonts w:hint="eastAsia" w:ascii="宋体" w:hAnsi="宋体" w:cs="宋体"/>
                <w:kern w:val="0"/>
                <w:sz w:val="24"/>
                <w:highlight w:val="none"/>
              </w:rPr>
              <w:t>，属于</w:t>
            </w:r>
            <w:r>
              <w:rPr>
                <w:rFonts w:hint="eastAsia" w:ascii="宋体" w:hAnsi="宋体" w:cs="宋体"/>
                <w:kern w:val="0"/>
                <w:sz w:val="24"/>
                <w:highlight w:val="none"/>
                <w:u w:val="single"/>
              </w:rPr>
              <w:t xml:space="preserve"> 工业</w:t>
            </w:r>
            <w:r>
              <w:rPr>
                <w:rFonts w:hint="eastAsia" w:ascii="宋体" w:hAnsi="宋体" w:cs="宋体"/>
                <w:kern w:val="0"/>
                <w:sz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3</w:t>
            </w:r>
          </w:p>
        </w:tc>
        <w:tc>
          <w:tcPr>
            <w:tcW w:w="190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是否允许采购进口产品</w:t>
            </w:r>
          </w:p>
        </w:tc>
        <w:tc>
          <w:tcPr>
            <w:tcW w:w="6034"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kern w:val="0"/>
                <w:sz w:val="24"/>
              </w:rPr>
            </w:pPr>
            <w:sdt>
              <w:sdtPr>
                <w:rPr>
                  <w:rFonts w:hint="eastAsia" w:ascii="宋体" w:hAnsi="宋体" w:cs="宋体"/>
                  <w:kern w:val="0"/>
                  <w:sz w:val="24"/>
                </w:rPr>
                <w:id w:val="-182842570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本项目不允许采购进口产品。</w:t>
            </w:r>
          </w:p>
          <w:p>
            <w:pPr>
              <w:spacing w:line="360" w:lineRule="auto"/>
              <w:rPr>
                <w:rFonts w:ascii="宋体" w:hAnsi="宋体" w:cs="宋体"/>
              </w:rPr>
            </w:pPr>
            <w:sdt>
              <w:sdtPr>
                <w:rPr>
                  <w:rFonts w:hint="eastAsia" w:ascii="宋体" w:hAnsi="宋体" w:cs="宋体"/>
                  <w:kern w:val="0"/>
                  <w:sz w:val="24"/>
                </w:rPr>
                <w:id w:val="-5285282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Mincho" w:cs="MS Mincho"/>
                    <w:kern w:val="0"/>
                    <w:sz w:val="24"/>
                  </w:rPr>
                  <w:t>☐</w:t>
                </w:r>
              </w:sdtContent>
            </w:sdt>
            <w:r>
              <w:rPr>
                <w:rFonts w:hint="eastAsia" w:ascii="宋体" w:hAnsi="宋体" w:cs="宋体"/>
                <w:kern w:val="0"/>
                <w:sz w:val="24"/>
              </w:rPr>
              <w:t>可以就</w:t>
            </w:r>
            <w:r>
              <w:rPr>
                <w:rFonts w:hint="eastAsia" w:ascii="宋体" w:hAnsi="宋体" w:cs="宋体"/>
                <w:sz w:val="24"/>
                <w:u w:val="single"/>
              </w:rPr>
              <w:t xml:space="preserve">    </w:t>
            </w:r>
            <w:r>
              <w:rPr>
                <w:rFonts w:hint="eastAsia" w:ascii="宋体" w:hAnsi="宋体" w:cs="宋体"/>
                <w:kern w:val="0"/>
                <w:sz w:val="24"/>
              </w:rPr>
              <w:t>采购进口产品。优先采购向我国企业转让技术、与我国企业签订消化吸收再创新方案的供应商的进口产品，详见</w:t>
            </w:r>
            <w:r>
              <w:rPr>
                <w:rFonts w:hint="eastAsia" w:ascii="宋体" w:hAnsi="宋体" w:cs="宋体"/>
                <w:kern w:val="0"/>
                <w:sz w:val="24"/>
                <w:u w:val="single"/>
              </w:rPr>
              <w:t>评分标准</w:t>
            </w: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4</w:t>
            </w:r>
          </w:p>
        </w:tc>
        <w:tc>
          <w:tcPr>
            <w:tcW w:w="190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ind w:firstLine="482" w:firstLineChars="200"/>
              <w:rPr>
                <w:rFonts w:ascii="宋体" w:hAnsi="宋体" w:cs="宋体"/>
                <w:b/>
                <w:sz w:val="24"/>
              </w:rPr>
            </w:pPr>
            <w:r>
              <w:rPr>
                <w:rFonts w:hint="eastAsia" w:ascii="宋体" w:hAnsi="宋体" w:cs="宋体"/>
                <w:b/>
                <w:sz w:val="24"/>
              </w:rPr>
              <w:t>分包</w:t>
            </w:r>
          </w:p>
        </w:tc>
        <w:tc>
          <w:tcPr>
            <w:tcW w:w="6034"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rPr>
            </w:pPr>
            <w:sdt>
              <w:sdtPr>
                <w:rPr>
                  <w:rFonts w:hint="eastAsia" w:ascii="宋体" w:hAnsi="宋体" w:cs="宋体"/>
                  <w:kern w:val="0"/>
                  <w:sz w:val="24"/>
                </w:rPr>
                <w:id w:val="-147728692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kern w:val="0"/>
                <w:sz w:val="24"/>
              </w:rPr>
              <w:t xml:space="preserve"> A</w:t>
            </w:r>
            <w:r>
              <w:rPr>
                <w:rFonts w:hint="eastAsia" w:ascii="宋体" w:hAnsi="宋体" w:cs="宋体"/>
                <w:sz w:val="24"/>
              </w:rPr>
              <w:t>同意将非主体、非关键性的</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运输</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工作分包。</w:t>
            </w:r>
            <w:sdt>
              <w:sdtPr>
                <w:rPr>
                  <w:rFonts w:hint="eastAsia" w:ascii="宋体" w:hAnsi="宋体" w:cs="宋体"/>
                  <w:kern w:val="0"/>
                  <w:sz w:val="24"/>
                </w:rPr>
                <w:id w:val="-1276331357"/>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cs="宋体"/>
                    <w:kern w:val="0"/>
                    <w:sz w:val="24"/>
                  </w:rPr>
                  <w:t>☐</w:t>
                </w:r>
              </w:sdtContent>
            </w:sdt>
            <w:r>
              <w:rPr>
                <w:rFonts w:hint="eastAsia" w:ascii="宋体" w:hAnsi="宋体" w:cs="宋体"/>
                <w:kern w:val="0"/>
                <w:sz w:val="24"/>
              </w:rPr>
              <w:t xml:space="preserve"> B</w:t>
            </w:r>
            <w:r>
              <w:rPr>
                <w:rFonts w:hint="eastAsia" w:ascii="宋体" w:hAnsi="宋体" w:cs="宋体"/>
                <w:sz w:val="24"/>
              </w:rPr>
              <w:t>不同意分包。</w:t>
            </w:r>
          </w:p>
          <w:p>
            <w:pPr>
              <w:spacing w:line="360" w:lineRule="auto"/>
              <w:rPr>
                <w:rFonts w:ascii="宋体" w:hAnsi="宋体" w:cs="宋体"/>
                <w:sz w:val="24"/>
              </w:rPr>
            </w:pPr>
            <w:r>
              <w:rPr>
                <w:rFonts w:hint="eastAsia" w:ascii="宋体" w:hAnsi="宋体" w:cs="宋体"/>
                <w:sz w:val="24"/>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5</w:t>
            </w:r>
          </w:p>
        </w:tc>
        <w:tc>
          <w:tcPr>
            <w:tcW w:w="190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开标前答疑会或现场考察</w:t>
            </w:r>
          </w:p>
        </w:tc>
        <w:tc>
          <w:tcPr>
            <w:tcW w:w="6034"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rPr>
            </w:pPr>
            <w:sdt>
              <w:sdtPr>
                <w:rPr>
                  <w:rFonts w:hint="eastAsia" w:ascii="宋体" w:hAnsi="宋体" w:cs="宋体"/>
                  <w:kern w:val="0"/>
                  <w:sz w:val="24"/>
                </w:rPr>
                <w:id w:val="-21296641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eastAsia="MS Gothic" w:cs="宋体"/>
                    <w:kern w:val="0"/>
                    <w:sz w:val="24"/>
                  </w:rPr>
                  <w:t></w:t>
                </w:r>
              </w:sdtContent>
            </w:sdt>
            <w:r>
              <w:rPr>
                <w:rFonts w:hint="eastAsia" w:ascii="宋体" w:hAnsi="宋体" w:cs="宋体"/>
                <w:kern w:val="0"/>
                <w:sz w:val="24"/>
              </w:rPr>
              <w:t>A</w:t>
            </w:r>
            <w:r>
              <w:rPr>
                <w:rFonts w:hint="eastAsia" w:ascii="宋体" w:hAnsi="宋体" w:cs="宋体"/>
                <w:sz w:val="24"/>
              </w:rPr>
              <w:t>不组织。</w:t>
            </w:r>
          </w:p>
          <w:p>
            <w:pPr>
              <w:spacing w:line="360" w:lineRule="auto"/>
              <w:rPr>
                <w:rFonts w:ascii="宋体" w:hAnsi="宋体" w:cs="宋体"/>
                <w:sz w:val="24"/>
                <w:szCs w:val="20"/>
              </w:rPr>
            </w:pPr>
            <w:sdt>
              <w:sdtPr>
                <w:rPr>
                  <w:rFonts w:hint="eastAsia" w:ascii="宋体" w:hAnsi="宋体" w:cs="宋体"/>
                  <w:kern w:val="0"/>
                  <w:sz w:val="24"/>
                </w:rPr>
                <w:id w:val="-99980297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r>
              <w:rPr>
                <w:rFonts w:hint="eastAsia" w:ascii="宋体" w:hAnsi="宋体" w:cs="宋体"/>
                <w:sz w:val="24"/>
              </w:rPr>
              <w:t>时间：</w:t>
            </w:r>
            <w:r>
              <w:rPr>
                <w:rFonts w:hint="eastAsia" w:ascii="宋体" w:hAnsi="宋体" w:cs="宋体"/>
                <w:sz w:val="24"/>
                <w:u w:val="single"/>
              </w:rPr>
              <w:t xml:space="preserve">      </w:t>
            </w:r>
            <w:r>
              <w:rPr>
                <w:rFonts w:hint="eastAsia" w:ascii="宋体" w:hAnsi="宋体" w:cs="宋体"/>
                <w:sz w:val="24"/>
              </w:rPr>
              <w:t>,地点：</w:t>
            </w:r>
            <w:r>
              <w:rPr>
                <w:rFonts w:hint="eastAsia" w:ascii="宋体" w:hAnsi="宋体" w:cs="宋体"/>
                <w:sz w:val="24"/>
                <w:u w:val="single"/>
              </w:rPr>
              <w:t xml:space="preserve">      </w:t>
            </w:r>
            <w:r>
              <w:rPr>
                <w:rFonts w:hint="eastAsia" w:ascii="宋体" w:hAnsi="宋体" w:cs="宋体"/>
                <w:sz w:val="24"/>
              </w:rPr>
              <w:t>，联系人：</w:t>
            </w:r>
            <w:r>
              <w:rPr>
                <w:rFonts w:hint="eastAsia" w:ascii="宋体" w:hAnsi="宋体" w:cs="宋体"/>
                <w:sz w:val="24"/>
                <w:u w:val="single"/>
              </w:rPr>
              <w:t xml:space="preserve">      </w:t>
            </w:r>
            <w:r>
              <w:rPr>
                <w:rFonts w:hint="eastAsia" w:ascii="宋体" w:hAnsi="宋体" w:cs="宋体"/>
                <w:sz w:val="24"/>
              </w:rPr>
              <w:t>，联系方式：</w:t>
            </w:r>
            <w:r>
              <w:rPr>
                <w:rFonts w:hint="eastAsia" w:ascii="宋体" w:hAnsi="宋体" w:cs="宋体"/>
                <w:sz w:val="24"/>
                <w:u w:val="single"/>
              </w:rPr>
              <w:t xml:space="preserve">      </w:t>
            </w:r>
            <w:r>
              <w:rPr>
                <w:rFonts w:hint="eastAsia" w:ascii="宋体" w:hAnsi="宋体" w:cs="宋体"/>
                <w:sz w:val="24"/>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6</w:t>
            </w:r>
          </w:p>
        </w:tc>
        <w:tc>
          <w:tcPr>
            <w:tcW w:w="190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样品提供</w:t>
            </w:r>
          </w:p>
        </w:tc>
        <w:tc>
          <w:tcPr>
            <w:tcW w:w="6034"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rPr>
            </w:pPr>
            <w:sdt>
              <w:sdtPr>
                <w:rPr>
                  <w:rFonts w:hint="eastAsia" w:ascii="宋体" w:hAnsi="宋体" w:cs="宋体"/>
                  <w:kern w:val="0"/>
                  <w:sz w:val="24"/>
                </w:rPr>
                <w:id w:val="-163994648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eastAsia="宋体" w:cs="宋体"/>
                    <w:kern w:val="0"/>
                    <w:sz w:val="24"/>
                    <w:szCs w:val="24"/>
                    <w:lang w:val="en-US" w:eastAsia="zh-CN" w:bidi="ar-SA"/>
                  </w:rPr>
                  <w:t>þ</w:t>
                </w:r>
              </w:sdtContent>
            </w:sdt>
            <w:r>
              <w:rPr>
                <w:rFonts w:hint="eastAsia" w:ascii="宋体" w:hAnsi="宋体" w:cs="宋体"/>
                <w:kern w:val="0"/>
                <w:sz w:val="24"/>
              </w:rPr>
              <w:t>A</w:t>
            </w:r>
            <w:r>
              <w:rPr>
                <w:rFonts w:hint="eastAsia" w:ascii="宋体" w:hAnsi="宋体" w:cs="宋体"/>
                <w:sz w:val="24"/>
              </w:rPr>
              <w:t>不要求提供。</w:t>
            </w:r>
          </w:p>
          <w:p>
            <w:pPr>
              <w:spacing w:line="360" w:lineRule="auto"/>
              <w:rPr>
                <w:rFonts w:ascii="宋体" w:hAnsi="宋体" w:cs="宋体"/>
                <w:kern w:val="0"/>
                <w:sz w:val="24"/>
              </w:rPr>
            </w:pPr>
            <w:sdt>
              <w:sdtPr>
                <w:rPr>
                  <w:rFonts w:hint="eastAsia" w:ascii="宋体" w:hAnsi="宋体" w:cs="宋体"/>
                  <w:kern w:val="0"/>
                  <w:sz w:val="24"/>
                </w:rPr>
                <w:id w:val="1026831988"/>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ascii="MS Gothic" w:hAnsi="MS Gothic" w:eastAsia="MS Gothic" w:cs="宋体"/>
                    <w:kern w:val="0"/>
                    <w:sz w:val="24"/>
                    <w:szCs w:val="24"/>
                    <w:lang w:val="en-US" w:eastAsia="zh-CN" w:bidi="ar-SA"/>
                  </w:rPr>
                  <w:t>☐</w:t>
                </w:r>
              </w:sdtContent>
            </w:sdt>
            <w:r>
              <w:rPr>
                <w:rFonts w:hint="eastAsia" w:ascii="宋体" w:hAnsi="宋体" w:cs="宋体"/>
                <w:kern w:val="0"/>
                <w:sz w:val="24"/>
              </w:rPr>
              <w:t>B要求提供（</w:t>
            </w:r>
            <w:r>
              <w:rPr>
                <w:rFonts w:hint="eastAsia" w:ascii="宋体" w:hAnsi="宋体" w:cs="宋体"/>
                <w:b/>
                <w:bCs/>
                <w:kern w:val="0"/>
                <w:sz w:val="24"/>
              </w:rPr>
              <w:t>未提供样品或提供样品不满足采购需求实质性条件的供应商，投标无效</w:t>
            </w:r>
            <w:r>
              <w:rPr>
                <w:rFonts w:hint="eastAsia" w:ascii="宋体" w:hAnsi="宋体" w:cs="宋体"/>
                <w:kern w:val="0"/>
                <w:sz w:val="24"/>
              </w:rPr>
              <w:t>）：</w:t>
            </w:r>
          </w:p>
          <w:p>
            <w:pPr>
              <w:spacing w:line="360" w:lineRule="auto"/>
              <w:rPr>
                <w:rFonts w:ascii="宋体" w:hAnsi="宋体" w:cs="宋体"/>
                <w:kern w:val="0"/>
                <w:sz w:val="24"/>
              </w:rPr>
            </w:pPr>
            <w:r>
              <w:rPr>
                <w:rFonts w:hint="eastAsia" w:ascii="宋体" w:hAnsi="宋体" w:cs="宋体"/>
                <w:kern w:val="0"/>
                <w:sz w:val="24"/>
              </w:rPr>
              <w:t>（1）</w:t>
            </w:r>
            <w:r>
              <w:rPr>
                <w:rFonts w:hint="eastAsia" w:ascii="宋体" w:hAnsi="宋体" w:cs="宋体"/>
                <w:snapToGrid w:val="0"/>
                <w:kern w:val="28"/>
                <w:sz w:val="24"/>
              </w:rPr>
              <w:t>样品：</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kern w:val="0"/>
                <w:sz w:val="24"/>
                <w:highlight w:val="none"/>
              </w:rPr>
              <w:t>；</w:t>
            </w:r>
            <w:r>
              <w:rPr>
                <w:rFonts w:ascii="宋体" w:hAnsi="宋体" w:cs="宋体"/>
                <w:kern w:val="0"/>
                <w:sz w:val="24"/>
                <w:highlight w:val="none"/>
              </w:rPr>
              <w:t xml:space="preserve"> </w:t>
            </w:r>
          </w:p>
          <w:p>
            <w:pPr>
              <w:spacing w:line="360" w:lineRule="auto"/>
              <w:rPr>
                <w:rFonts w:ascii="宋体" w:hAnsi="宋体" w:cs="宋体"/>
                <w:kern w:val="0"/>
                <w:sz w:val="24"/>
              </w:rPr>
            </w:pPr>
            <w:r>
              <w:rPr>
                <w:rFonts w:hint="eastAsia" w:ascii="宋体" w:hAnsi="宋体" w:cs="宋体"/>
                <w:kern w:val="0"/>
                <w:sz w:val="24"/>
              </w:rPr>
              <w:t>（2）</w:t>
            </w:r>
            <w:r>
              <w:rPr>
                <w:rFonts w:hint="eastAsia" w:ascii="宋体" w:hAnsi="宋体" w:cs="宋体"/>
                <w:snapToGrid w:val="0"/>
                <w:kern w:val="28"/>
                <w:sz w:val="24"/>
              </w:rPr>
              <w:t>样品制作的标准和要求：</w:t>
            </w:r>
            <w:r>
              <w:rPr>
                <w:rFonts w:hint="eastAsia" w:ascii="宋体" w:hAnsi="宋体" w:cs="宋体"/>
                <w:sz w:val="24"/>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sz w:val="24"/>
                <w:u w:val="single"/>
              </w:rPr>
              <w:t xml:space="preserve"> </w:t>
            </w:r>
            <w:r>
              <w:rPr>
                <w:rFonts w:hint="eastAsia" w:ascii="宋体" w:hAnsi="宋体" w:cs="宋体"/>
                <w:kern w:val="0"/>
                <w:sz w:val="24"/>
              </w:rPr>
              <w:t>；</w:t>
            </w:r>
          </w:p>
          <w:p>
            <w:pPr>
              <w:spacing w:line="360" w:lineRule="auto"/>
              <w:rPr>
                <w:rFonts w:ascii="宋体" w:hAnsi="宋体" w:cs="宋体"/>
                <w:kern w:val="0"/>
                <w:sz w:val="24"/>
              </w:rPr>
            </w:pPr>
            <w:r>
              <w:rPr>
                <w:rFonts w:hint="eastAsia" w:ascii="宋体" w:hAnsi="宋体" w:cs="宋体"/>
                <w:kern w:val="0"/>
                <w:sz w:val="24"/>
              </w:rPr>
              <w:t>（3）样品的评审方法以及评审标准：</w:t>
            </w:r>
          </w:p>
          <w:p>
            <w:pPr>
              <w:spacing w:line="360" w:lineRule="auto"/>
              <w:ind w:firstLine="240" w:firstLineChars="100"/>
              <w:rPr>
                <w:rFonts w:ascii="宋体" w:hAnsi="宋体" w:cs="宋体"/>
                <w:sz w:val="24"/>
              </w:rPr>
            </w:pPr>
            <w:sdt>
              <w:sdtPr>
                <w:rPr>
                  <w:rFonts w:hint="eastAsia" w:ascii="宋体" w:hAnsi="宋体" w:cs="宋体"/>
                  <w:kern w:val="0"/>
                  <w:sz w:val="24"/>
                </w:rPr>
                <w:id w:val="-1350092240"/>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样品分未超过价格分的50%；</w:t>
            </w:r>
          </w:p>
          <w:p>
            <w:pPr>
              <w:spacing w:line="360" w:lineRule="auto"/>
              <w:ind w:firstLine="240" w:firstLineChars="100"/>
              <w:rPr>
                <w:rFonts w:ascii="宋体" w:hAnsi="宋体" w:cs="宋体"/>
                <w:kern w:val="0"/>
                <w:sz w:val="24"/>
              </w:rPr>
            </w:pPr>
            <w:sdt>
              <w:sdtPr>
                <w:rPr>
                  <w:rFonts w:hint="eastAsia" w:ascii="宋体" w:hAnsi="宋体" w:cs="宋体"/>
                  <w:kern w:val="0"/>
                  <w:sz w:val="24"/>
                </w:rPr>
                <w:id w:val="-148554041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样品分超过价格分的50%，理由</w:t>
            </w:r>
            <w:r>
              <w:rPr>
                <w:rFonts w:hint="eastAsia" w:ascii="宋体" w:hAnsi="宋体" w:cs="宋体"/>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w:t>
            </w:r>
          </w:p>
          <w:p>
            <w:pPr>
              <w:spacing w:line="360" w:lineRule="auto"/>
              <w:ind w:firstLine="240" w:firstLineChars="100"/>
              <w:rPr>
                <w:rFonts w:ascii="宋体" w:hAnsi="宋体" w:cs="宋体"/>
                <w:kern w:val="0"/>
                <w:sz w:val="24"/>
              </w:rPr>
            </w:pPr>
            <w:r>
              <w:rPr>
                <w:rFonts w:hint="eastAsia" w:ascii="宋体" w:hAnsi="宋体" w:cs="宋体"/>
                <w:snapToGrid w:val="0"/>
                <w:kern w:val="28"/>
                <w:sz w:val="24"/>
              </w:rPr>
              <w:t>详见招标文件第四部分</w:t>
            </w:r>
            <w:r>
              <w:rPr>
                <w:rFonts w:hint="eastAsia" w:ascii="宋体" w:hAnsi="宋体" w:cs="宋体"/>
                <w:sz w:val="24"/>
                <w:u w:val="single"/>
              </w:rPr>
              <w:t>评标办分法</w:t>
            </w:r>
            <w:r>
              <w:rPr>
                <w:rFonts w:hint="eastAsia" w:ascii="宋体" w:hAnsi="宋体" w:cs="宋体"/>
                <w:kern w:val="0"/>
                <w:sz w:val="24"/>
              </w:rPr>
              <w:t xml:space="preserve">。 </w:t>
            </w:r>
          </w:p>
          <w:p>
            <w:pPr>
              <w:spacing w:line="360" w:lineRule="auto"/>
              <w:rPr>
                <w:rFonts w:ascii="宋体" w:hAnsi="宋体" w:cs="宋体"/>
                <w:kern w:val="0"/>
                <w:sz w:val="24"/>
              </w:rPr>
            </w:pPr>
            <w:r>
              <w:rPr>
                <w:rFonts w:hint="eastAsia" w:ascii="宋体" w:hAnsi="宋体" w:cs="宋体"/>
                <w:kern w:val="0"/>
                <w:sz w:val="24"/>
              </w:rPr>
              <w:t>（4）是否需要随样品提交检测报告：</w:t>
            </w:r>
            <w:sdt>
              <w:sdtPr>
                <w:rPr>
                  <w:rFonts w:hint="eastAsia" w:ascii="宋体" w:hAnsi="宋体" w:cs="宋体"/>
                  <w:kern w:val="0"/>
                  <w:sz w:val="24"/>
                </w:rPr>
                <w:id w:val="1303421454"/>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否；</w:t>
            </w:r>
            <w:sdt>
              <w:sdtPr>
                <w:rPr>
                  <w:rFonts w:hint="eastAsia" w:ascii="宋体" w:hAnsi="宋体" w:cs="宋体"/>
                  <w:kern w:val="0"/>
                  <w:sz w:val="24"/>
                </w:rPr>
                <w:id w:val="1621728433"/>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是，检测机构的要求</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；检测内容</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w:t>
            </w:r>
          </w:p>
          <w:p>
            <w:pPr>
              <w:spacing w:line="360" w:lineRule="auto"/>
              <w:rPr>
                <w:rFonts w:ascii="宋体" w:hAnsi="宋体" w:cs="宋体"/>
                <w:sz w:val="24"/>
              </w:rPr>
            </w:pPr>
            <w:r>
              <w:rPr>
                <w:rFonts w:hint="eastAsia" w:ascii="宋体" w:hAnsi="宋体" w:cs="宋体"/>
                <w:sz w:val="24"/>
              </w:rPr>
              <w:t>（</w:t>
            </w:r>
            <w:r>
              <w:rPr>
                <w:rFonts w:hint="eastAsia" w:ascii="宋体" w:hAnsi="宋体" w:cs="宋体"/>
                <w:sz w:val="24"/>
                <w:highlight w:val="none"/>
              </w:rPr>
              <w:t>5）提供样品的时间：</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single"/>
                <w:lang w:val="en-US" w:eastAsia="zh-CN"/>
              </w:rPr>
              <w:t xml:space="preserve"> </w:t>
            </w:r>
            <w:r>
              <w:rPr>
                <w:rFonts w:hint="eastAsia" w:ascii="宋体" w:hAnsi="宋体" w:cs="宋体"/>
                <w:b/>
                <w:bCs/>
                <w:kern w:val="0"/>
                <w:sz w:val="24"/>
                <w:highlight w:val="none"/>
              </w:rPr>
              <w:t>；联系人：</w:t>
            </w:r>
            <w:r>
              <w:rPr>
                <w:rFonts w:hint="eastAsia" w:ascii="宋体" w:hAnsi="宋体" w:cs="宋体"/>
                <w:b/>
                <w:bCs/>
                <w:sz w:val="24"/>
                <w:szCs w:val="24"/>
                <w:highlight w:val="none"/>
                <w:u w:val="single"/>
                <w:lang w:val="en-US" w:eastAsia="zh-CN"/>
              </w:rPr>
              <w:t xml:space="preserve">   </w:t>
            </w:r>
            <w:r>
              <w:rPr>
                <w:rFonts w:hint="eastAsia" w:ascii="宋体" w:hAnsi="宋体" w:cs="宋体"/>
                <w:b/>
                <w:bCs/>
                <w:kern w:val="0"/>
                <w:sz w:val="24"/>
                <w:highlight w:val="none"/>
              </w:rPr>
              <w:t>，联系电话：</w:t>
            </w:r>
            <w:r>
              <w:rPr>
                <w:rFonts w:hint="eastAsia" w:ascii="宋体" w:hAnsi="宋体" w:cs="宋体"/>
                <w:b/>
                <w:bCs/>
                <w:kern w:val="0"/>
                <w:sz w:val="24"/>
                <w:highlight w:val="none"/>
                <w:u w:val="single"/>
                <w:lang w:val="en-US" w:eastAsia="zh-CN"/>
              </w:rPr>
              <w:t xml:space="preserve">       </w:t>
            </w:r>
            <w:r>
              <w:rPr>
                <w:rFonts w:hint="eastAsia" w:ascii="宋体" w:hAnsi="宋体" w:cs="宋体"/>
                <w:b/>
                <w:bCs/>
                <w:kern w:val="0"/>
                <w:sz w:val="24"/>
                <w:highlight w:val="none"/>
              </w:rPr>
              <w:t>。</w:t>
            </w:r>
            <w:r>
              <w:rPr>
                <w:rFonts w:hint="eastAsia" w:ascii="宋体" w:hAnsi="宋体" w:cs="宋体"/>
                <w:sz w:val="24"/>
              </w:rPr>
              <w:t>请投标人在上述时间内提供样品并按规定位置安装完毕。超过截止时间的，采购人或采购代理机构将不予接收，并将清场并封闭样品现场。</w:t>
            </w:r>
          </w:p>
          <w:p>
            <w:pPr>
              <w:spacing w:line="360" w:lineRule="auto"/>
              <w:rPr>
                <w:rFonts w:ascii="宋体" w:hAnsi="宋体" w:cs="宋体"/>
                <w:sz w:val="24"/>
              </w:rPr>
            </w:pPr>
            <w:r>
              <w:rPr>
                <w:rFonts w:hint="eastAsia" w:ascii="宋体" w:hAnsi="宋体" w:cs="宋体"/>
                <w:sz w:val="24"/>
              </w:rPr>
              <w:t xml:space="preserve"> (6)采购活动结束后，对于未中标人提供的样品，采购人、采购机构将通知未中标人在规定的时间内取回，逾期未取回的，采购人、采购机构不负保管义务；对于中标人提供的样品，采购人将进行保管、封存，并作为履约验收的参考。</w:t>
            </w:r>
          </w:p>
          <w:p>
            <w:pPr>
              <w:spacing w:line="360" w:lineRule="auto"/>
              <w:rPr>
                <w:rFonts w:ascii="宋体" w:hAnsi="宋体" w:cs="宋体"/>
                <w:b/>
                <w:sz w:val="24"/>
              </w:rPr>
            </w:pPr>
            <w:r>
              <w:rPr>
                <w:rFonts w:hint="eastAsia" w:ascii="宋体" w:hAnsi="宋体" w:cs="宋体"/>
                <w:sz w:val="24"/>
              </w:rPr>
              <w:t>（7）制作、运输、安装和保管样品所发生的一切费用由投标人自理。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7</w:t>
            </w:r>
          </w:p>
        </w:tc>
        <w:tc>
          <w:tcPr>
            <w:tcW w:w="190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Cs/>
                <w:sz w:val="24"/>
              </w:rPr>
            </w:pPr>
            <w:r>
              <w:rPr>
                <w:rFonts w:hint="eastAsia" w:ascii="宋体" w:hAnsi="宋体" w:cs="宋体"/>
                <w:b/>
                <w:sz w:val="24"/>
              </w:rPr>
              <w:t>方案讲解演示</w:t>
            </w:r>
          </w:p>
        </w:tc>
        <w:tc>
          <w:tcPr>
            <w:tcW w:w="6034"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rPr>
            </w:pPr>
            <w:sdt>
              <w:sdtPr>
                <w:rPr>
                  <w:rFonts w:hint="eastAsia" w:ascii="宋体" w:hAnsi="宋体" w:cs="宋体"/>
                  <w:kern w:val="0"/>
                  <w:sz w:val="24"/>
                </w:rPr>
                <w:id w:val="-1859348549"/>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A</w:t>
            </w:r>
            <w:r>
              <w:rPr>
                <w:rFonts w:hint="eastAsia" w:ascii="宋体" w:hAnsi="宋体" w:cs="宋体"/>
                <w:sz w:val="24"/>
              </w:rPr>
              <w:t>不组织。</w:t>
            </w:r>
          </w:p>
          <w:p>
            <w:pPr>
              <w:spacing w:line="360" w:lineRule="auto"/>
              <w:rPr>
                <w:rFonts w:ascii="宋体" w:hAnsi="宋体" w:cs="宋体"/>
                <w:kern w:val="0"/>
                <w:sz w:val="24"/>
              </w:rPr>
            </w:pPr>
            <w:sdt>
              <w:sdtPr>
                <w:rPr>
                  <w:rFonts w:hint="eastAsia" w:ascii="宋体" w:hAnsi="宋体" w:cs="宋体"/>
                  <w:kern w:val="0"/>
                  <w:sz w:val="24"/>
                </w:rPr>
                <w:id w:val="117407171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kern w:val="0"/>
                <w:sz w:val="24"/>
              </w:rPr>
              <w:t>B组织。</w:t>
            </w:r>
          </w:p>
          <w:p>
            <w:pPr>
              <w:snapToGrid w:val="0"/>
              <w:spacing w:line="360" w:lineRule="auto"/>
              <w:rPr>
                <w:rFonts w:ascii="宋体" w:hAnsi="宋体" w:cs="宋体"/>
                <w:kern w:val="0"/>
                <w:sz w:val="24"/>
              </w:rPr>
            </w:pPr>
            <w:r>
              <w:rPr>
                <w:rFonts w:hint="eastAsia" w:ascii="宋体" w:hAnsi="宋体" w:cs="宋体"/>
                <w:kern w:val="0"/>
                <w:sz w:val="24"/>
              </w:rPr>
              <w:t>产品演示注意事项：</w:t>
            </w:r>
          </w:p>
          <w:p>
            <w:pPr>
              <w:snapToGrid w:val="0"/>
              <w:spacing w:line="360" w:lineRule="auto"/>
              <w:rPr>
                <w:rFonts w:ascii="宋体" w:hAnsi="宋体" w:cs="宋体"/>
                <w:kern w:val="0"/>
                <w:sz w:val="24"/>
              </w:rPr>
            </w:pPr>
            <w:r>
              <w:rPr>
                <w:rFonts w:hint="eastAsia" w:ascii="宋体" w:hAnsi="宋体" w:cs="宋体"/>
                <w:kern w:val="0"/>
                <w:sz w:val="24"/>
              </w:rPr>
              <w:t>演示产品为</w:t>
            </w:r>
            <w:r>
              <w:rPr>
                <w:rFonts w:hint="eastAsia" w:ascii="宋体" w:hAnsi="宋体" w:cs="宋体"/>
                <w:kern w:val="0"/>
                <w:sz w:val="24"/>
                <w:highlight w:val="none"/>
                <w:u w:val="none"/>
                <w:lang w:val="en-US" w:eastAsia="zh-CN"/>
              </w:rPr>
              <w:t>①室</w:t>
            </w:r>
            <w:r>
              <w:rPr>
                <w:rFonts w:hint="eastAsia" w:ascii="宋体" w:hAnsi="宋体" w:cs="宋体"/>
                <w:kern w:val="0"/>
                <w:sz w:val="24"/>
                <w:highlight w:val="none"/>
                <w:u w:val="none"/>
              </w:rPr>
              <w:t>内P2.5全彩色显示箱体</w:t>
            </w:r>
            <w:r>
              <w:rPr>
                <w:rFonts w:hint="eastAsia" w:ascii="宋体" w:hAnsi="宋体" w:cs="宋体"/>
                <w:kern w:val="0"/>
                <w:sz w:val="24"/>
                <w:highlight w:val="none"/>
                <w:u w:val="none"/>
                <w:lang w:eastAsia="zh-CN"/>
              </w:rPr>
              <w:t>，</w:t>
            </w:r>
            <w:r>
              <w:rPr>
                <w:rFonts w:hint="eastAsia" w:ascii="宋体" w:hAnsi="宋体" w:cs="宋体"/>
                <w:kern w:val="0"/>
                <w:sz w:val="24"/>
                <w:highlight w:val="none"/>
                <w:u w:val="none"/>
                <w:lang w:val="en-US" w:eastAsia="zh-CN"/>
              </w:rPr>
              <w:t>数量：1</w:t>
            </w:r>
            <w:r>
              <w:rPr>
                <w:rFonts w:hint="eastAsia" w:ascii="宋体" w:hAnsi="宋体" w:cs="宋体"/>
                <w:kern w:val="0"/>
                <w:sz w:val="24"/>
                <w:highlight w:val="none"/>
                <w:u w:val="none"/>
              </w:rPr>
              <w:t>个</w:t>
            </w:r>
            <w:r>
              <w:rPr>
                <w:rFonts w:hint="eastAsia" w:ascii="宋体" w:hAnsi="宋体" w:cs="宋体"/>
                <w:kern w:val="0"/>
                <w:sz w:val="24"/>
                <w:highlight w:val="none"/>
                <w:u w:val="none"/>
                <w:lang w:eastAsia="zh-CN"/>
              </w:rPr>
              <w:t>；</w:t>
            </w:r>
            <w:r>
              <w:rPr>
                <w:rFonts w:hint="eastAsia" w:ascii="宋体" w:hAnsi="宋体" w:cs="宋体"/>
                <w:kern w:val="0"/>
                <w:sz w:val="24"/>
                <w:highlight w:val="none"/>
                <w:u w:val="none"/>
                <w:lang w:val="en-US" w:eastAsia="zh-CN"/>
              </w:rPr>
              <w:t>②</w:t>
            </w:r>
            <w:r>
              <w:rPr>
                <w:rFonts w:hint="eastAsia" w:ascii="宋体" w:hAnsi="宋体" w:cs="宋体"/>
                <w:kern w:val="0"/>
                <w:sz w:val="24"/>
                <w:highlight w:val="none"/>
                <w:u w:val="none"/>
              </w:rPr>
              <w:t>室内P1.8全彩色显示箱体</w:t>
            </w:r>
            <w:r>
              <w:rPr>
                <w:rFonts w:hint="eastAsia" w:ascii="宋体" w:hAnsi="宋体" w:cs="宋体"/>
                <w:kern w:val="0"/>
                <w:sz w:val="24"/>
                <w:highlight w:val="none"/>
                <w:u w:val="none"/>
                <w:lang w:eastAsia="zh-CN"/>
              </w:rPr>
              <w:t>，</w:t>
            </w:r>
            <w:r>
              <w:rPr>
                <w:rFonts w:hint="eastAsia" w:ascii="宋体" w:hAnsi="宋体" w:cs="宋体"/>
                <w:kern w:val="0"/>
                <w:sz w:val="24"/>
                <w:highlight w:val="none"/>
                <w:u w:val="none"/>
                <w:lang w:val="en-US" w:eastAsia="zh-CN"/>
              </w:rPr>
              <w:t>数量：1</w:t>
            </w:r>
            <w:r>
              <w:rPr>
                <w:rFonts w:hint="eastAsia" w:ascii="宋体" w:hAnsi="宋体" w:cs="宋体"/>
                <w:kern w:val="0"/>
                <w:sz w:val="24"/>
                <w:highlight w:val="none"/>
                <w:u w:val="none"/>
              </w:rPr>
              <w:t>个</w:t>
            </w:r>
            <w:r>
              <w:rPr>
                <w:rFonts w:hint="eastAsia" w:ascii="宋体" w:hAnsi="宋体" w:cs="宋体"/>
                <w:kern w:val="0"/>
                <w:sz w:val="24"/>
                <w:highlight w:val="none"/>
              </w:rPr>
              <w:t>。</w:t>
            </w:r>
          </w:p>
          <w:p>
            <w:pPr>
              <w:snapToGrid w:val="0"/>
              <w:spacing w:line="360" w:lineRule="auto"/>
              <w:rPr>
                <w:rFonts w:ascii="宋体" w:hAnsi="宋体" w:cs="宋体"/>
                <w:kern w:val="0"/>
                <w:sz w:val="24"/>
              </w:rPr>
            </w:pPr>
            <w:r>
              <w:rPr>
                <w:rFonts w:hint="eastAsia" w:ascii="宋体" w:hAnsi="宋体" w:cs="宋体"/>
                <w:kern w:val="0"/>
                <w:sz w:val="24"/>
              </w:rPr>
              <w:t>1）本项目</w:t>
            </w:r>
            <w:r>
              <w:rPr>
                <w:rFonts w:hint="eastAsia" w:ascii="宋体" w:hAnsi="宋体" w:cs="宋体"/>
                <w:kern w:val="0"/>
                <w:sz w:val="24"/>
                <w:lang w:val="en-US" w:eastAsia="zh-CN"/>
              </w:rPr>
              <w:t>需</w:t>
            </w:r>
            <w:r>
              <w:rPr>
                <w:rFonts w:hint="eastAsia" w:ascii="宋体" w:hAnsi="宋体" w:cs="宋体"/>
                <w:kern w:val="0"/>
                <w:sz w:val="24"/>
              </w:rPr>
              <w:t xml:space="preserve">进行产品演示，具体要求见招标文件“评标办法”中评标标准相关内容。 </w:t>
            </w:r>
          </w:p>
          <w:p>
            <w:pPr>
              <w:snapToGrid w:val="0"/>
              <w:spacing w:line="360" w:lineRule="auto"/>
              <w:rPr>
                <w:rFonts w:ascii="宋体" w:hAnsi="宋体" w:cs="宋体"/>
                <w:kern w:val="0"/>
                <w:sz w:val="24"/>
              </w:rPr>
            </w:pPr>
            <w:r>
              <w:rPr>
                <w:rFonts w:hint="eastAsia" w:ascii="宋体" w:hAnsi="宋体" w:cs="宋体"/>
                <w:kern w:val="0"/>
                <w:sz w:val="24"/>
              </w:rPr>
              <w:t>2）演示顺序按投标文件解密先后次序进行，投标单位于开标当天按演示顺序进行产品演示，演示内容须根据评标标准顺序逐一演示，总时间不超过</w:t>
            </w:r>
            <w:r>
              <w:rPr>
                <w:rFonts w:hint="default" w:ascii="宋体" w:hAnsi="宋体" w:cs="宋体"/>
                <w:kern w:val="0"/>
                <w:sz w:val="24"/>
                <w:lang w:val="en-US"/>
              </w:rPr>
              <w:t>20</w:t>
            </w:r>
            <w:r>
              <w:rPr>
                <w:rFonts w:hint="eastAsia" w:ascii="宋体" w:hAnsi="宋体" w:cs="宋体"/>
                <w:kern w:val="0"/>
                <w:sz w:val="24"/>
              </w:rPr>
              <w:t>分钟，演示参与人员不超过3人。</w:t>
            </w:r>
          </w:p>
          <w:p>
            <w:pPr>
              <w:snapToGrid w:val="0"/>
              <w:spacing w:line="360" w:lineRule="auto"/>
              <w:rPr>
                <w:rFonts w:ascii="宋体" w:hAnsi="宋体" w:cs="宋体"/>
                <w:kern w:val="0"/>
                <w:sz w:val="24"/>
              </w:rPr>
            </w:pPr>
            <w:r>
              <w:rPr>
                <w:rFonts w:hint="eastAsia" w:ascii="宋体" w:hAnsi="宋体" w:cs="宋体"/>
                <w:kern w:val="0"/>
                <w:sz w:val="24"/>
              </w:rPr>
              <w:t>3）投标人未提供产品演示的或提供演示的产品不全的，所有演示分得0分。</w:t>
            </w:r>
          </w:p>
          <w:p>
            <w:pPr>
              <w:snapToGrid w:val="0"/>
              <w:spacing w:line="360" w:lineRule="auto"/>
              <w:rPr>
                <w:rFonts w:ascii="宋体" w:hAnsi="宋体" w:cs="宋体"/>
                <w:kern w:val="0"/>
                <w:sz w:val="24"/>
              </w:rPr>
            </w:pPr>
            <w:r>
              <w:rPr>
                <w:rFonts w:hint="eastAsia" w:ascii="宋体" w:hAnsi="宋体" w:cs="宋体"/>
                <w:kern w:val="0"/>
                <w:sz w:val="24"/>
              </w:rPr>
              <w:t>4）演示前专家将核对所演示产品与投标文件所投产品品牌型号是否一致，不一致的所有演示分得0分。</w:t>
            </w:r>
          </w:p>
          <w:p>
            <w:pPr>
              <w:snapToGrid w:val="0"/>
              <w:spacing w:line="360" w:lineRule="auto"/>
              <w:rPr>
                <w:rFonts w:ascii="宋体" w:hAnsi="宋体" w:cs="宋体"/>
                <w:b/>
                <w:bCs/>
                <w:kern w:val="0"/>
                <w:sz w:val="24"/>
                <w:highlight w:val="yellow"/>
              </w:rPr>
            </w:pPr>
            <w:r>
              <w:rPr>
                <w:rFonts w:hint="eastAsia" w:ascii="宋体" w:hAnsi="宋体" w:cs="宋体"/>
                <w:kern w:val="0"/>
                <w:sz w:val="24"/>
              </w:rPr>
              <w:t>5)</w:t>
            </w:r>
            <w:r>
              <w:rPr>
                <w:rFonts w:hint="eastAsia" w:ascii="宋体" w:hAnsi="宋体" w:cs="宋体"/>
                <w:b/>
                <w:kern w:val="0"/>
                <w:sz w:val="24"/>
              </w:rPr>
              <w:t>演示产品请于</w:t>
            </w:r>
            <w:r>
              <w:rPr>
                <w:rFonts w:hint="eastAsia" w:ascii="宋体" w:hAnsi="宋体" w:cs="宋体"/>
                <w:b/>
                <w:sz w:val="24"/>
                <w:highlight w:val="none"/>
                <w:u w:val="single"/>
                <w:lang w:eastAsia="zh-CN"/>
              </w:rPr>
              <w:t>2024</w:t>
            </w:r>
            <w:r>
              <w:rPr>
                <w:rFonts w:hint="eastAsia" w:ascii="宋体" w:hAnsi="宋体" w:cs="宋体"/>
                <w:b/>
                <w:sz w:val="24"/>
                <w:highlight w:val="none"/>
                <w:u w:val="single"/>
              </w:rPr>
              <w:t>年</w:t>
            </w:r>
            <w:r>
              <w:rPr>
                <w:rFonts w:hint="eastAsia" w:ascii="宋体" w:hAnsi="宋体" w:cs="宋体"/>
                <w:b/>
                <w:sz w:val="24"/>
                <w:highlight w:val="none"/>
                <w:u w:val="single"/>
                <w:lang w:val="en-US" w:eastAsia="zh-CN"/>
              </w:rPr>
              <w:t xml:space="preserve">7 </w:t>
            </w:r>
            <w:r>
              <w:rPr>
                <w:rFonts w:hint="eastAsia" w:ascii="宋体" w:hAnsi="宋体" w:cs="宋体"/>
                <w:b/>
                <w:sz w:val="24"/>
                <w:highlight w:val="none"/>
                <w:u w:val="single"/>
              </w:rPr>
              <w:t>月</w:t>
            </w:r>
            <w:r>
              <w:rPr>
                <w:rFonts w:hint="eastAsia" w:ascii="宋体" w:hAnsi="宋体" w:cs="宋体"/>
                <w:b/>
                <w:sz w:val="24"/>
                <w:highlight w:val="none"/>
                <w:u w:val="single"/>
                <w:lang w:val="en-US" w:eastAsia="zh-CN"/>
              </w:rPr>
              <w:t xml:space="preserve">12 </w:t>
            </w:r>
            <w:r>
              <w:rPr>
                <w:rFonts w:hint="eastAsia" w:ascii="宋体" w:hAnsi="宋体" w:cs="宋体"/>
                <w:b/>
                <w:sz w:val="24"/>
                <w:highlight w:val="none"/>
                <w:u w:val="single"/>
              </w:rPr>
              <w:t>日</w:t>
            </w:r>
            <w:r>
              <w:rPr>
                <w:rFonts w:hint="default" w:ascii="宋体" w:hAnsi="宋体" w:cs="宋体"/>
                <w:b/>
                <w:sz w:val="24"/>
                <w:highlight w:val="none"/>
                <w:u w:val="single"/>
                <w:lang w:val="en-US"/>
              </w:rPr>
              <w:t>09:00-10:00</w:t>
            </w:r>
            <w:r>
              <w:rPr>
                <w:rFonts w:hint="eastAsia" w:ascii="宋体" w:hAnsi="宋体" w:cs="宋体"/>
                <w:b/>
                <w:kern w:val="0"/>
                <w:sz w:val="24"/>
                <w:highlight w:val="none"/>
              </w:rPr>
              <w:t>；</w:t>
            </w:r>
            <w:r>
              <w:rPr>
                <w:rFonts w:hint="eastAsia" w:ascii="宋体" w:hAnsi="宋体" w:cs="宋体"/>
                <w:b/>
                <w:bCs w:val="0"/>
                <w:kern w:val="0"/>
                <w:sz w:val="24"/>
                <w:highlight w:val="none"/>
              </w:rPr>
              <w:t>地点：</w:t>
            </w:r>
            <w:r>
              <w:rPr>
                <w:rFonts w:hint="eastAsia" w:ascii="宋体" w:hAnsi="宋体" w:cs="宋体"/>
                <w:b/>
                <w:bCs w:val="0"/>
                <w:kern w:val="0"/>
                <w:sz w:val="24"/>
                <w:highlight w:val="none"/>
                <w:u w:val="single"/>
                <w:lang w:val="en-US" w:eastAsia="zh-CN"/>
              </w:rPr>
              <w:t xml:space="preserve"> 杭州市西湖区</w:t>
            </w:r>
            <w:r>
              <w:rPr>
                <w:rFonts w:hint="eastAsia" w:ascii="宋体" w:hAnsi="宋体" w:cs="宋体"/>
                <w:b/>
                <w:bCs w:val="0"/>
                <w:color w:val="auto"/>
                <w:kern w:val="0"/>
                <w:sz w:val="24"/>
                <w:highlight w:val="none"/>
                <w:u w:val="single"/>
                <w:lang w:val="en-US" w:eastAsia="zh-CN"/>
              </w:rPr>
              <w:t>文一西路858号东楼313样品间</w:t>
            </w:r>
            <w:r>
              <w:rPr>
                <w:rFonts w:hint="eastAsia" w:ascii="宋体" w:hAnsi="宋体" w:cs="宋体"/>
                <w:b/>
                <w:bCs w:val="0"/>
                <w:kern w:val="0"/>
                <w:sz w:val="24"/>
                <w:highlight w:val="none"/>
                <w:u w:val="single"/>
                <w:lang w:val="en-US" w:eastAsia="zh-CN"/>
              </w:rPr>
              <w:t xml:space="preserve"> </w:t>
            </w:r>
            <w:r>
              <w:rPr>
                <w:rFonts w:hint="eastAsia" w:ascii="宋体" w:hAnsi="宋体" w:cs="宋体"/>
                <w:b/>
                <w:bCs w:val="0"/>
                <w:kern w:val="0"/>
                <w:sz w:val="24"/>
                <w:highlight w:val="none"/>
              </w:rPr>
              <w:t>；联系人：</w:t>
            </w:r>
            <w:r>
              <w:rPr>
                <w:rFonts w:hint="eastAsia" w:ascii="宋体" w:hAnsi="宋体" w:cs="宋体"/>
                <w:b/>
                <w:bCs w:val="0"/>
                <w:sz w:val="24"/>
                <w:szCs w:val="24"/>
                <w:highlight w:val="none"/>
                <w:u w:val="single"/>
                <w:lang w:val="en-US" w:eastAsia="zh-CN"/>
              </w:rPr>
              <w:t xml:space="preserve">  </w:t>
            </w:r>
            <w:r>
              <w:rPr>
                <w:rFonts w:hint="eastAsia"/>
                <w:b/>
                <w:bCs w:val="0"/>
                <w:u w:val="single"/>
                <w:lang w:val="en-US" w:eastAsia="zh-CN"/>
              </w:rPr>
              <w:t>金忆</w:t>
            </w:r>
            <w:r>
              <w:rPr>
                <w:rFonts w:hint="eastAsia" w:ascii="宋体" w:hAnsi="宋体" w:cs="宋体"/>
                <w:b/>
                <w:bCs w:val="0"/>
                <w:sz w:val="24"/>
                <w:szCs w:val="24"/>
                <w:highlight w:val="none"/>
                <w:u w:val="single"/>
                <w:lang w:val="en-US" w:eastAsia="zh-CN"/>
              </w:rPr>
              <w:t xml:space="preserve"> </w:t>
            </w:r>
            <w:r>
              <w:rPr>
                <w:rFonts w:hint="eastAsia" w:ascii="宋体" w:hAnsi="宋体" w:cs="宋体"/>
                <w:b/>
                <w:bCs/>
                <w:kern w:val="0"/>
                <w:sz w:val="24"/>
                <w:highlight w:val="none"/>
              </w:rPr>
              <w:t>，联系电话：</w:t>
            </w:r>
            <w:r>
              <w:rPr>
                <w:rFonts w:hint="eastAsia" w:ascii="宋体" w:hAnsi="宋体" w:cs="宋体"/>
                <w:b/>
                <w:bCs/>
                <w:color w:val="auto"/>
                <w:sz w:val="24"/>
                <w:highlight w:val="none"/>
                <w:u w:val="single"/>
                <w:lang w:val="en-US" w:eastAsia="zh-CN"/>
              </w:rPr>
              <w:t xml:space="preserve"> </w:t>
            </w:r>
            <w:r>
              <w:rPr>
                <w:rFonts w:hint="eastAsia" w:ascii="宋体" w:hAnsi="宋体" w:cs="宋体"/>
                <w:sz w:val="24"/>
                <w:u w:val="single"/>
              </w:rPr>
              <w:t xml:space="preserve">15868496568 </w:t>
            </w:r>
            <w:r>
              <w:rPr>
                <w:rFonts w:hint="eastAsia" w:ascii="宋体" w:hAnsi="宋体" w:cs="宋体"/>
                <w:b/>
                <w:bCs/>
                <w:kern w:val="0"/>
                <w:sz w:val="24"/>
                <w:highlight w:val="none"/>
              </w:rPr>
              <w:t>。</w:t>
            </w:r>
            <w:r>
              <w:rPr>
                <w:rFonts w:hint="eastAsia" w:ascii="宋体" w:hAnsi="宋体" w:cs="宋体"/>
                <w:sz w:val="24"/>
                <w:highlight w:val="none"/>
              </w:rPr>
              <w:t>请</w:t>
            </w:r>
            <w:r>
              <w:rPr>
                <w:rFonts w:hint="eastAsia" w:ascii="宋体" w:hAnsi="宋体" w:cs="宋体"/>
                <w:sz w:val="24"/>
              </w:rPr>
              <w:t>投标人在上述时间内提供演示设备，按规定位置安装完毕</w:t>
            </w:r>
            <w:r>
              <w:rPr>
                <w:rFonts w:hint="eastAsia" w:ascii="宋体" w:hAnsi="宋体" w:cs="宋体"/>
                <w:b/>
                <w:bCs/>
                <w:kern w:val="0"/>
                <w:sz w:val="24"/>
              </w:rPr>
              <w:t>并自行调制至可演示状态</w:t>
            </w:r>
            <w:r>
              <w:rPr>
                <w:rFonts w:hint="eastAsia" w:ascii="宋体" w:hAnsi="宋体" w:cs="宋体"/>
                <w:sz w:val="24"/>
              </w:rPr>
              <w:t>。超过截止时间的，采购人将不予接收。</w:t>
            </w:r>
            <w:r>
              <w:rPr>
                <w:rFonts w:hint="eastAsia" w:ascii="宋体" w:hAnsi="宋体" w:cs="宋体"/>
                <w:b/>
                <w:bCs/>
                <w:kern w:val="0"/>
                <w:sz w:val="24"/>
              </w:rPr>
              <w:t>现场讲解演示所用设备（包含电脑、插线板、无线网络接入等）由投标人自备，演示所需环境由投标人自行搭建，采购人只提供电源接口。</w:t>
            </w:r>
          </w:p>
          <w:p>
            <w:pPr>
              <w:snapToGrid w:val="0"/>
              <w:spacing w:line="360" w:lineRule="auto"/>
              <w:rPr>
                <w:rFonts w:ascii="宋体" w:hAnsi="宋体" w:cs="宋体"/>
                <w:b/>
                <w:sz w:val="24"/>
              </w:rPr>
            </w:pPr>
            <w:r>
              <w:rPr>
                <w:rFonts w:hint="eastAsia" w:ascii="宋体" w:hAnsi="宋体" w:cs="宋体"/>
                <w:b/>
                <w:kern w:val="0"/>
                <w:sz w:val="24"/>
              </w:rPr>
              <w:t>现场讲解演示人员进场时提供讲解人员名单（加盖公章或授权代表签名）及身份证明，否则不得讲解演示。</w:t>
            </w:r>
          </w:p>
          <w:p>
            <w:pPr>
              <w:spacing w:line="360" w:lineRule="auto"/>
              <w:rPr>
                <w:rFonts w:ascii="宋体" w:hAnsi="宋体" w:cs="宋体"/>
                <w:sz w:val="24"/>
              </w:rPr>
            </w:pPr>
            <w:r>
              <w:rPr>
                <w:rFonts w:hint="eastAsia" w:ascii="宋体" w:hAnsi="宋体" w:cs="宋体"/>
                <w:sz w:val="24"/>
              </w:rPr>
              <w:t>6)现场演示的产</w:t>
            </w:r>
            <w:r>
              <w:rPr>
                <w:rFonts w:hint="eastAsia" w:ascii="宋体" w:hAnsi="宋体" w:cs="宋体"/>
                <w:sz w:val="24"/>
                <w:highlight w:val="none"/>
              </w:rPr>
              <w:t>品,</w:t>
            </w:r>
            <w:r>
              <w:rPr>
                <w:rFonts w:hint="eastAsia" w:ascii="宋体" w:hAnsi="宋体" w:cs="宋体"/>
                <w:kern w:val="0"/>
                <w:sz w:val="24"/>
                <w:highlight w:val="none"/>
                <w:u w:val="none"/>
                <w:lang w:val="en-US" w:eastAsia="zh-CN"/>
              </w:rPr>
              <w:t>①室</w:t>
            </w:r>
            <w:r>
              <w:rPr>
                <w:rFonts w:hint="eastAsia" w:ascii="宋体" w:hAnsi="宋体" w:cs="宋体"/>
                <w:kern w:val="0"/>
                <w:sz w:val="24"/>
                <w:highlight w:val="none"/>
                <w:u w:val="none"/>
              </w:rPr>
              <w:t>内P2.5全彩色显示箱体</w:t>
            </w:r>
            <w:r>
              <w:rPr>
                <w:rFonts w:hint="eastAsia" w:ascii="宋体" w:hAnsi="宋体" w:cs="宋体"/>
                <w:kern w:val="0"/>
                <w:sz w:val="24"/>
                <w:highlight w:val="none"/>
                <w:u w:val="none"/>
                <w:lang w:eastAsia="zh-CN"/>
              </w:rPr>
              <w:t>，</w:t>
            </w:r>
            <w:r>
              <w:rPr>
                <w:rFonts w:hint="eastAsia" w:ascii="宋体" w:hAnsi="宋体" w:cs="宋体"/>
                <w:kern w:val="0"/>
                <w:sz w:val="24"/>
                <w:highlight w:val="none"/>
                <w:u w:val="none"/>
                <w:lang w:val="en-US" w:eastAsia="zh-CN"/>
              </w:rPr>
              <w:t>数量：1</w:t>
            </w:r>
            <w:r>
              <w:rPr>
                <w:rFonts w:hint="eastAsia" w:ascii="宋体" w:hAnsi="宋体" w:cs="宋体"/>
                <w:kern w:val="0"/>
                <w:sz w:val="24"/>
                <w:highlight w:val="none"/>
                <w:u w:val="none"/>
              </w:rPr>
              <w:t>个</w:t>
            </w:r>
            <w:r>
              <w:rPr>
                <w:rFonts w:hint="eastAsia" w:ascii="宋体" w:hAnsi="宋体" w:cs="宋体"/>
                <w:kern w:val="0"/>
                <w:sz w:val="24"/>
                <w:highlight w:val="none"/>
                <w:u w:val="none"/>
                <w:lang w:eastAsia="zh-CN"/>
              </w:rPr>
              <w:t>；</w:t>
            </w:r>
            <w:r>
              <w:rPr>
                <w:rFonts w:hint="eastAsia" w:ascii="宋体" w:hAnsi="宋体" w:cs="宋体"/>
                <w:kern w:val="0"/>
                <w:sz w:val="24"/>
                <w:highlight w:val="none"/>
                <w:u w:val="none"/>
                <w:lang w:val="en-US" w:eastAsia="zh-CN"/>
              </w:rPr>
              <w:t>②</w:t>
            </w:r>
            <w:r>
              <w:rPr>
                <w:rFonts w:hint="eastAsia" w:ascii="宋体" w:hAnsi="宋体" w:cs="宋体"/>
                <w:kern w:val="0"/>
                <w:sz w:val="24"/>
                <w:highlight w:val="none"/>
                <w:u w:val="none"/>
              </w:rPr>
              <w:t>室内P1.8全彩色显示箱体</w:t>
            </w:r>
            <w:r>
              <w:rPr>
                <w:rFonts w:hint="eastAsia" w:ascii="宋体" w:hAnsi="宋体" w:cs="宋体"/>
                <w:kern w:val="0"/>
                <w:sz w:val="24"/>
                <w:highlight w:val="none"/>
                <w:u w:val="none"/>
                <w:lang w:eastAsia="zh-CN"/>
              </w:rPr>
              <w:t>，</w:t>
            </w:r>
            <w:r>
              <w:rPr>
                <w:rFonts w:hint="eastAsia" w:ascii="宋体" w:hAnsi="宋体" w:cs="宋体"/>
                <w:kern w:val="0"/>
                <w:sz w:val="24"/>
                <w:highlight w:val="none"/>
                <w:u w:val="none"/>
                <w:lang w:val="en-US" w:eastAsia="zh-CN"/>
              </w:rPr>
              <w:t>数量：1</w:t>
            </w:r>
            <w:r>
              <w:rPr>
                <w:rFonts w:hint="eastAsia" w:ascii="宋体" w:hAnsi="宋体" w:cs="宋体"/>
                <w:kern w:val="0"/>
                <w:sz w:val="24"/>
                <w:highlight w:val="none"/>
                <w:u w:val="none"/>
              </w:rPr>
              <w:t>个</w:t>
            </w:r>
            <w:r>
              <w:rPr>
                <w:rFonts w:hint="eastAsia" w:ascii="宋体" w:hAnsi="宋体" w:cs="宋体"/>
                <w:sz w:val="24"/>
                <w:highlight w:val="none"/>
              </w:rPr>
              <w:t>。评</w:t>
            </w:r>
            <w:r>
              <w:rPr>
                <w:rFonts w:hint="eastAsia" w:ascii="宋体" w:hAnsi="宋体" w:cs="宋体"/>
                <w:sz w:val="24"/>
              </w:rPr>
              <w:t>审完成后中标单位的产品封存于采购人处。其他演示产品评审完成后当天自行领回，逾期采购人将不予保管。</w:t>
            </w:r>
          </w:p>
          <w:p>
            <w:pPr>
              <w:spacing w:line="360" w:lineRule="auto"/>
              <w:rPr>
                <w:rFonts w:ascii="宋体" w:hAnsi="宋体" w:cs="宋体"/>
                <w:b/>
                <w:kern w:val="0"/>
                <w:sz w:val="24"/>
                <w:lang w:val="zh-CN"/>
              </w:rPr>
            </w:pPr>
            <w:r>
              <w:rPr>
                <w:rFonts w:hint="eastAsia" w:ascii="宋体" w:hAnsi="宋体" w:cs="宋体"/>
                <w:kern w:val="0"/>
                <w:sz w:val="24"/>
              </w:rPr>
              <w:t>注：因投标人自身原因导致</w:t>
            </w:r>
            <w:r>
              <w:rPr>
                <w:rFonts w:hint="eastAsia" w:ascii="宋体" w:hAnsi="宋体" w:cs="宋体"/>
                <w:sz w:val="24"/>
              </w:rPr>
              <w:t>无法演示或者演示效果不理想的，责任自负。因平台原因导致本项目方案讲解演示环节无法顺利开展，按照《浙江省政府采购项目电子交易管理暂行办法》相关规定执行。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685" w:hRule="atLeast"/>
        </w:trPr>
        <w:tc>
          <w:tcPr>
            <w:tcW w:w="629"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8</w:t>
            </w:r>
          </w:p>
        </w:tc>
        <w:tc>
          <w:tcPr>
            <w:tcW w:w="1904" w:type="dxa"/>
            <w:vMerge w:val="restart"/>
            <w:tcBorders>
              <w:top w:val="single" w:color="000000" w:sz="8" w:space="0"/>
              <w:left w:val="single" w:color="auto" w:sz="4"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投标人应当提供的资格、资信证明文件</w:t>
            </w:r>
          </w:p>
        </w:tc>
        <w:tc>
          <w:tcPr>
            <w:tcW w:w="6034"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sz w:val="24"/>
              </w:rPr>
            </w:pPr>
            <w:r>
              <w:rPr>
                <w:rFonts w:hint="eastAsia" w:ascii="宋体" w:hAnsi="宋体" w:cs="宋体"/>
                <w:sz w:val="24"/>
              </w:rPr>
              <w:t>（1）资格证明文件：见招标文件第二部分11.1。</w:t>
            </w:r>
          </w:p>
          <w:p>
            <w:pPr>
              <w:spacing w:line="360" w:lineRule="auto"/>
              <w:rPr>
                <w:rFonts w:ascii="宋体" w:hAnsi="宋体" w:cs="宋体"/>
                <w:snapToGrid w:val="0"/>
                <w:kern w:val="0"/>
                <w:szCs w:val="21"/>
              </w:rPr>
            </w:pPr>
            <w:r>
              <w:rPr>
                <w:rFonts w:hint="eastAsia" w:ascii="宋体" w:hAnsi="宋体" w:cs="宋体"/>
                <w:kern w:val="0"/>
                <w:sz w:val="24"/>
                <w:lang w:val="zh-CN"/>
              </w:rPr>
              <w:t>投标人未提供有效的资格证明文件的，视为投标人不具备招标文件中规定的资格要求，投标无效。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rPr>
        <w:tc>
          <w:tcPr>
            <w:tcW w:w="629" w:type="dxa"/>
            <w:vMerge w:val="continue"/>
            <w:tcBorders>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1904" w:type="dxa"/>
            <w:vMerge w:val="continue"/>
            <w:tcBorders>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p>
        </w:tc>
        <w:tc>
          <w:tcPr>
            <w:tcW w:w="6034" w:type="dxa"/>
            <w:tcBorders>
              <w:top w:val="single" w:color="auto" w:sz="4" w:space="0"/>
              <w:left w:val="single" w:color="000000" w:sz="2" w:space="0"/>
              <w:bottom w:val="single" w:color="000000" w:sz="8" w:space="0"/>
              <w:right w:val="single" w:color="000000" w:sz="8" w:space="0"/>
            </w:tcBorders>
            <w:vAlign w:val="center"/>
          </w:tcPr>
          <w:p>
            <w:pPr>
              <w:spacing w:line="360" w:lineRule="auto"/>
              <w:rPr>
                <w:rFonts w:ascii="宋体" w:hAnsi="宋体" w:cs="宋体"/>
                <w:sz w:val="24"/>
              </w:rPr>
            </w:pPr>
            <w:r>
              <w:rPr>
                <w:rFonts w:hint="eastAsia" w:ascii="宋体" w:hAnsi="宋体" w:cs="宋体"/>
                <w:sz w:val="24"/>
              </w:rPr>
              <w:t>（2）资信证明文件：根据招标文件第四部分评标标准提供。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062"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sz w:val="24"/>
              </w:rPr>
            </w:pPr>
            <w:r>
              <w:rPr>
                <w:rFonts w:hint="eastAsia" w:ascii="宋体" w:hAnsi="宋体" w:cs="宋体"/>
                <w:sz w:val="24"/>
              </w:rPr>
              <w:t>9</w:t>
            </w:r>
          </w:p>
        </w:tc>
        <w:tc>
          <w:tcPr>
            <w:tcW w:w="190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节能产品、环境标志产品</w:t>
            </w:r>
          </w:p>
        </w:tc>
        <w:tc>
          <w:tcPr>
            <w:tcW w:w="6034"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cs="宋体"/>
                <w:color w:val="auto"/>
                <w:kern w:val="0"/>
                <w:sz w:val="24"/>
                <w:highlight w:val="none"/>
                <w:lang w:val="zh-CN"/>
              </w:rPr>
            </w:pPr>
            <w:r>
              <w:rPr>
                <w:rFonts w:ascii="Wingdings" w:hAnsi="Wingdings" w:cs="宋体"/>
                <w:color w:val="auto"/>
                <w:kern w:val="0"/>
                <w:sz w:val="24"/>
                <w:highlight w:val="none"/>
              </w:rPr>
              <w:sym w:font="Wingdings" w:char="00FE"/>
            </w:r>
            <w:r>
              <w:rPr>
                <w:rFonts w:hint="eastAsia" w:ascii="宋体" w:hAnsi="宋体" w:cs="宋体"/>
                <w:color w:val="auto"/>
                <w:kern w:val="0"/>
                <w:sz w:val="24"/>
                <w:highlight w:val="none"/>
                <w:lang w:val="zh-CN"/>
              </w:rPr>
              <w:t>依据国家确定的认证机构出具的、处于有效期之内的节能产品认证证书，对获得证书的产品实施政府优先采购或强制采购；其中，</w:t>
            </w:r>
            <w:r>
              <w:rPr>
                <w:rFonts w:hint="eastAsia" w:ascii="宋体" w:hAnsi="宋体" w:eastAsia="宋体" w:cs="宋体"/>
                <w:color w:val="auto"/>
                <w:kern w:val="0"/>
                <w:sz w:val="24"/>
                <w:highlight w:val="none"/>
                <w:lang w:val="zh-CN"/>
              </w:rPr>
              <w:t>对</w:t>
            </w:r>
            <w:r>
              <w:rPr>
                <w:rFonts w:hint="eastAsia" w:ascii="宋体" w:hAnsi="宋体" w:cs="宋体"/>
                <w:b/>
                <w:bCs/>
                <w:color w:val="auto"/>
                <w:sz w:val="24"/>
                <w:u w:val="single"/>
                <w:lang w:val="en-US" w:eastAsia="zh-CN"/>
              </w:rPr>
              <w:t xml:space="preserve"> </w:t>
            </w:r>
            <w:r>
              <w:rPr>
                <w:rFonts w:hint="eastAsia" w:ascii="宋体" w:hAnsi="宋体" w:cs="宋体"/>
                <w:b w:val="0"/>
                <w:bCs w:val="0"/>
                <w:color w:val="auto"/>
                <w:sz w:val="24"/>
                <w:u w:val="single"/>
                <w:lang w:val="en-US" w:eastAsia="zh-CN"/>
              </w:rPr>
              <w:t xml:space="preserve">本项目设备清单内的所有产品 </w:t>
            </w:r>
            <w:r>
              <w:rPr>
                <w:rFonts w:hint="eastAsia" w:ascii="宋体" w:hAnsi="宋体" w:cs="宋体"/>
                <w:b/>
                <w:bCs/>
                <w:color w:val="auto"/>
                <w:sz w:val="24"/>
                <w:u w:val="single"/>
                <w:lang w:val="en-US" w:eastAsia="zh-CN"/>
              </w:rPr>
              <w:t xml:space="preserve"> </w:t>
            </w:r>
            <w:r>
              <w:rPr>
                <w:rFonts w:hint="eastAsia" w:ascii="宋体" w:hAnsi="宋体" w:eastAsia="宋体" w:cs="宋体"/>
                <w:color w:val="auto"/>
                <w:kern w:val="0"/>
                <w:sz w:val="24"/>
                <w:highlight w:val="none"/>
                <w:lang w:val="zh-CN"/>
              </w:rPr>
              <w:t>实施</w:t>
            </w:r>
            <w:r>
              <w:rPr>
                <w:rFonts w:hint="eastAsia" w:ascii="宋体" w:hAnsi="宋体" w:cs="宋体"/>
                <w:color w:val="auto"/>
                <w:kern w:val="0"/>
                <w:sz w:val="24"/>
                <w:highlight w:val="none"/>
                <w:lang w:val="zh-CN"/>
              </w:rPr>
              <w:t>政府优先采购，</w:t>
            </w:r>
            <w:r>
              <w:rPr>
                <w:rFonts w:hint="eastAsia" w:ascii="宋体" w:hAnsi="宋体" w:cs="宋体"/>
                <w:color w:val="auto"/>
                <w:kern w:val="0"/>
                <w:sz w:val="24"/>
                <w:highlight w:val="none"/>
              </w:rPr>
              <w:t>详</w:t>
            </w:r>
            <w:r>
              <w:rPr>
                <w:rFonts w:hint="eastAsia" w:ascii="宋体" w:hAnsi="宋体" w:cs="宋体"/>
                <w:color w:val="auto"/>
                <w:kern w:val="0"/>
                <w:sz w:val="24"/>
                <w:highlight w:val="none"/>
                <w:lang w:val="zh-CN"/>
              </w:rPr>
              <w:t>见</w:t>
            </w:r>
            <w:r>
              <w:rPr>
                <w:rFonts w:hint="eastAsia" w:ascii="宋体" w:hAnsi="宋体" w:cs="宋体"/>
                <w:color w:val="auto"/>
                <w:kern w:val="0"/>
                <w:sz w:val="24"/>
                <w:highlight w:val="none"/>
                <w:u w:val="single"/>
                <w:lang w:val="zh-CN"/>
              </w:rPr>
              <w:t>评分标准</w:t>
            </w:r>
            <w:r>
              <w:rPr>
                <w:rFonts w:hint="eastAsia" w:ascii="宋体" w:hAnsi="宋体" w:cs="宋体"/>
                <w:color w:val="auto"/>
                <w:kern w:val="0"/>
                <w:sz w:val="24"/>
                <w:highlight w:val="none"/>
                <w:lang w:val="zh-CN"/>
              </w:rPr>
              <w:t>；</w:t>
            </w:r>
          </w:p>
          <w:p>
            <w:pPr>
              <w:spacing w:line="360" w:lineRule="auto"/>
              <w:rPr>
                <w:rFonts w:ascii="宋体" w:hAnsi="宋体" w:cs="宋体"/>
                <w:color w:val="auto"/>
                <w:kern w:val="0"/>
                <w:sz w:val="24"/>
                <w:highlight w:val="none"/>
                <w:lang w:val="zh-CN"/>
              </w:rPr>
            </w:pPr>
            <w:r>
              <w:rPr>
                <w:rFonts w:hint="eastAsia" w:ascii="宋体" w:hAnsi="宋体" w:cs="宋体"/>
                <w:color w:val="auto"/>
                <w:sz w:val="24"/>
                <w:highlight w:val="none"/>
              </w:rPr>
              <w:t>▲</w:t>
            </w:r>
            <w:r>
              <w:rPr>
                <w:rFonts w:hint="eastAsia" w:ascii="宋体" w:hAnsi="宋体" w:cs="宋体"/>
                <w:color w:val="auto"/>
                <w:kern w:val="0"/>
                <w:sz w:val="24"/>
                <w:highlight w:val="none"/>
                <w:lang w:val="zh-CN"/>
              </w:rPr>
              <w:t>对</w:t>
            </w:r>
            <w:r>
              <w:rPr>
                <w:rFonts w:hint="eastAsia" w:asciiTheme="minorEastAsia" w:hAnsiTheme="minorEastAsia" w:eastAsiaTheme="minorEastAsia" w:cstheme="minorEastAsia"/>
                <w:i w:val="0"/>
                <w:iCs w:val="0"/>
                <w:color w:val="auto"/>
                <w:kern w:val="0"/>
                <w:sz w:val="24"/>
                <w:szCs w:val="24"/>
                <w:highlight w:val="none"/>
                <w:u w:val="single"/>
                <w:lang w:val="en-US" w:eastAsia="zh-CN" w:bidi="ar"/>
              </w:rPr>
              <w:t>/</w:t>
            </w:r>
            <w:r>
              <w:rPr>
                <w:rFonts w:hint="eastAsia" w:ascii="宋体" w:hAnsi="宋体" w:cs="宋体"/>
                <w:color w:val="auto"/>
                <w:kern w:val="0"/>
                <w:sz w:val="24"/>
                <w:highlight w:val="none"/>
                <w:lang w:val="zh-CN"/>
              </w:rPr>
              <w:t>实施政府强制采购，</w:t>
            </w:r>
            <w:r>
              <w:rPr>
                <w:rFonts w:hint="eastAsia" w:ascii="宋体" w:hAnsi="宋体" w:cs="宋体"/>
                <w:b/>
                <w:bCs/>
                <w:color w:val="auto"/>
                <w:kern w:val="0"/>
                <w:sz w:val="24"/>
                <w:highlight w:val="none"/>
                <w:lang w:val="zh-CN"/>
              </w:rPr>
              <w:t>投标人</w:t>
            </w:r>
            <w:r>
              <w:rPr>
                <w:rFonts w:hint="eastAsia" w:ascii="宋体" w:hAnsi="宋体" w:cs="宋体"/>
                <w:b/>
                <w:bCs/>
                <w:color w:val="auto"/>
                <w:kern w:val="0"/>
                <w:sz w:val="24"/>
                <w:highlight w:val="none"/>
              </w:rPr>
              <w:t>就</w:t>
            </w:r>
            <w:r>
              <w:rPr>
                <w:rFonts w:hint="eastAsia" w:ascii="宋体" w:hAnsi="宋体" w:cs="宋体"/>
                <w:b/>
                <w:bCs/>
                <w:color w:val="auto"/>
                <w:kern w:val="0"/>
                <w:sz w:val="24"/>
                <w:highlight w:val="none"/>
                <w:lang w:val="zh-CN"/>
              </w:rPr>
              <w:t>相应的投标产品未</w:t>
            </w:r>
            <w:r>
              <w:rPr>
                <w:rFonts w:hint="eastAsia" w:ascii="宋体" w:hAnsi="宋体" w:cs="宋体"/>
                <w:b/>
                <w:bCs/>
                <w:color w:val="auto"/>
                <w:kern w:val="0"/>
                <w:sz w:val="24"/>
                <w:highlight w:val="none"/>
              </w:rPr>
              <w:t>提供</w:t>
            </w:r>
            <w:r>
              <w:rPr>
                <w:rFonts w:hint="eastAsia" w:ascii="宋体" w:hAnsi="宋体" w:cs="宋体"/>
                <w:b/>
                <w:bCs/>
                <w:color w:val="auto"/>
                <w:kern w:val="0"/>
                <w:sz w:val="24"/>
                <w:highlight w:val="none"/>
                <w:lang w:val="zh-CN"/>
              </w:rPr>
              <w:t>国家确定的认证机构出具的、处于有效期之内的节能产品认证证书的，投标无效</w:t>
            </w:r>
            <w:r>
              <w:rPr>
                <w:rFonts w:hint="eastAsia" w:ascii="宋体" w:hAnsi="宋体" w:cs="宋体"/>
                <w:color w:val="auto"/>
                <w:kern w:val="0"/>
                <w:sz w:val="24"/>
                <w:highlight w:val="none"/>
                <w:lang w:val="zh-CN"/>
              </w:rPr>
              <w:t>。</w:t>
            </w:r>
          </w:p>
          <w:p>
            <w:pPr>
              <w:spacing w:line="360" w:lineRule="auto"/>
              <w:rPr>
                <w:rFonts w:ascii="宋体" w:hAnsi="宋体" w:cs="宋体"/>
                <w:color w:val="auto"/>
                <w:kern w:val="0"/>
                <w:sz w:val="24"/>
                <w:highlight w:val="none"/>
                <w:lang w:val="zh-CN"/>
              </w:rPr>
            </w:pPr>
            <w:r>
              <w:rPr>
                <w:rFonts w:ascii="Wingdings" w:hAnsi="Wingdings" w:cs="宋体"/>
                <w:color w:val="auto"/>
                <w:kern w:val="0"/>
                <w:sz w:val="24"/>
                <w:highlight w:val="none"/>
              </w:rPr>
              <w:sym w:font="Wingdings" w:char="00FE"/>
            </w:r>
            <w:r>
              <w:rPr>
                <w:rFonts w:hint="eastAsia" w:ascii="宋体" w:hAnsi="宋体" w:cs="宋体"/>
                <w:color w:val="auto"/>
                <w:kern w:val="0"/>
                <w:sz w:val="24"/>
                <w:highlight w:val="none"/>
                <w:lang w:val="zh-CN"/>
              </w:rPr>
              <w:t>依据国家确定的认证机构出具的、处于有效期之内的环境标志产品认证证书，对获得证书的</w:t>
            </w:r>
            <w:r>
              <w:rPr>
                <w:rFonts w:hint="eastAsia" w:ascii="宋体" w:hAnsi="宋体" w:cs="宋体"/>
                <w:b/>
                <w:bCs/>
                <w:color w:val="auto"/>
                <w:sz w:val="24"/>
                <w:u w:val="single"/>
                <w:lang w:val="en-US" w:eastAsia="zh-CN"/>
              </w:rPr>
              <w:t xml:space="preserve"> </w:t>
            </w:r>
            <w:r>
              <w:rPr>
                <w:rFonts w:hint="eastAsia" w:ascii="宋体" w:hAnsi="宋体" w:cs="宋体"/>
                <w:b w:val="0"/>
                <w:bCs w:val="0"/>
                <w:color w:val="auto"/>
                <w:sz w:val="24"/>
                <w:u w:val="single"/>
                <w:lang w:val="en-US" w:eastAsia="zh-CN"/>
              </w:rPr>
              <w:t>本项目设备清单内的所有产品</w:t>
            </w:r>
            <w:r>
              <w:rPr>
                <w:rFonts w:hint="eastAsia" w:ascii="宋体" w:hAnsi="宋体" w:cs="宋体"/>
                <w:b/>
                <w:bCs/>
                <w:color w:val="auto"/>
                <w:sz w:val="24"/>
                <w:u w:val="single"/>
                <w:lang w:val="en-US" w:eastAsia="zh-CN"/>
              </w:rPr>
              <w:t xml:space="preserve">  </w:t>
            </w:r>
            <w:r>
              <w:rPr>
                <w:rFonts w:hint="eastAsia" w:ascii="宋体" w:hAnsi="宋体" w:cs="宋体"/>
                <w:color w:val="auto"/>
                <w:kern w:val="0"/>
                <w:sz w:val="24"/>
                <w:highlight w:val="none"/>
                <w:lang w:val="zh-CN"/>
              </w:rPr>
              <w:t>实施政府优先采购，</w:t>
            </w:r>
            <w:r>
              <w:rPr>
                <w:rFonts w:hint="eastAsia" w:ascii="宋体" w:hAnsi="宋体" w:cs="宋体"/>
                <w:color w:val="auto"/>
                <w:kern w:val="0"/>
                <w:sz w:val="24"/>
                <w:highlight w:val="none"/>
              </w:rPr>
              <w:t>详</w:t>
            </w:r>
            <w:r>
              <w:rPr>
                <w:rFonts w:hint="eastAsia" w:ascii="宋体" w:hAnsi="宋体" w:cs="宋体"/>
                <w:color w:val="auto"/>
                <w:kern w:val="0"/>
                <w:sz w:val="24"/>
                <w:highlight w:val="none"/>
                <w:lang w:val="zh-CN"/>
              </w:rPr>
              <w:t>见</w:t>
            </w:r>
            <w:r>
              <w:rPr>
                <w:rFonts w:hint="eastAsia" w:ascii="宋体" w:hAnsi="宋体" w:cs="宋体"/>
                <w:color w:val="auto"/>
                <w:kern w:val="0"/>
                <w:sz w:val="24"/>
                <w:highlight w:val="none"/>
                <w:u w:val="single"/>
                <w:lang w:val="zh-CN"/>
              </w:rPr>
              <w:t>评分标准</w:t>
            </w:r>
            <w:r>
              <w:rPr>
                <w:rFonts w:hint="eastAsia" w:ascii="宋体" w:hAnsi="宋体" w:cs="宋体"/>
                <w:color w:val="auto"/>
                <w:kern w:val="0"/>
                <w:sz w:val="24"/>
                <w:highlight w:val="none"/>
                <w:lang w:val="zh-CN"/>
              </w:rPr>
              <w:t>。</w:t>
            </w:r>
          </w:p>
          <w:p>
            <w:pPr>
              <w:spacing w:line="360" w:lineRule="auto"/>
            </w:pPr>
            <w:r>
              <w:rPr>
                <w:rFonts w:ascii="Wingdings" w:hAnsi="Wingdings" w:cs="宋体"/>
                <w:color w:val="auto"/>
                <w:kern w:val="0"/>
                <w:sz w:val="24"/>
                <w:highlight w:val="none"/>
              </w:rPr>
              <w:sym w:font="Wingdings" w:char="00A8"/>
            </w:r>
            <w:r>
              <w:rPr>
                <w:rFonts w:hint="eastAsia" w:ascii="宋体" w:hAnsi="宋体" w:cs="宋体"/>
                <w:color w:val="auto"/>
                <w:kern w:val="0"/>
                <w:sz w:val="24"/>
                <w:highlight w:val="none"/>
              </w:rPr>
              <w:t xml:space="preserve"> 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sz w:val="24"/>
              </w:rPr>
            </w:pPr>
            <w:r>
              <w:rPr>
                <w:rFonts w:hint="eastAsia" w:ascii="宋体" w:hAnsi="宋体" w:cs="宋体"/>
                <w:sz w:val="24"/>
              </w:rPr>
              <w:t>10</w:t>
            </w:r>
          </w:p>
        </w:tc>
        <w:tc>
          <w:tcPr>
            <w:tcW w:w="190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报价要求</w:t>
            </w:r>
          </w:p>
        </w:tc>
        <w:tc>
          <w:tcPr>
            <w:tcW w:w="60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left"/>
              <w:rPr>
                <w:rFonts w:ascii="宋体" w:hAnsi="宋体" w:cs="宋体"/>
                <w:b/>
                <w:kern w:val="0"/>
                <w:sz w:val="24"/>
                <w:lang w:val="zh-CN"/>
              </w:rPr>
            </w:pPr>
            <w:r>
              <w:rPr>
                <w:rFonts w:hint="eastAsia" w:ascii="宋体" w:hAnsi="宋体" w:cs="宋体"/>
                <w:kern w:val="0"/>
                <w:sz w:val="24"/>
                <w:lang w:val="zh-CN"/>
              </w:rPr>
              <w:t>有关本项目实施所需的所有费用（含税费）均计入报价。</w:t>
            </w:r>
            <w:r>
              <w:rPr>
                <w:rFonts w:hint="eastAsia" w:ascii="宋体" w:hAnsi="宋体" w:cs="宋体"/>
                <w:b/>
                <w:bCs/>
                <w:kern w:val="0"/>
                <w:sz w:val="24"/>
                <w:lang w:val="zh-CN"/>
              </w:rPr>
              <w:t>投标文件</w:t>
            </w:r>
            <w:r>
              <w:rPr>
                <w:rFonts w:hint="eastAsia" w:ascii="宋体" w:hAnsi="宋体" w:cs="宋体"/>
                <w:b/>
                <w:bCs/>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kern w:val="0"/>
                <w:sz w:val="24"/>
                <w:lang w:val="zh-CN"/>
              </w:rPr>
              <w:t>投标文件中价格全部采用人民币报价。招标文件未列明，而投标人认为必需的费用也需列入报价。</w:t>
            </w:r>
            <w:r>
              <w:rPr>
                <w:rFonts w:hint="eastAsia" w:ascii="宋体" w:hAnsi="宋体" w:cs="宋体"/>
                <w:b/>
                <w:kern w:val="0"/>
                <w:sz w:val="24"/>
                <w:lang w:val="zh-CN"/>
              </w:rPr>
              <w:t>提醒：验收时检测费用由采购人承担，不包含在投标总价中。</w:t>
            </w:r>
          </w:p>
          <w:p>
            <w:pPr>
              <w:snapToGrid w:val="0"/>
              <w:spacing w:line="360" w:lineRule="auto"/>
              <w:jc w:val="left"/>
              <w:rPr>
                <w:rFonts w:ascii="宋体" w:hAnsi="宋体" w:cs="宋体"/>
                <w:b/>
                <w:kern w:val="0"/>
                <w:sz w:val="24"/>
                <w:lang w:val="zh-CN"/>
              </w:rPr>
            </w:pPr>
            <w:r>
              <w:rPr>
                <w:rFonts w:hint="eastAsia" w:ascii="宋体" w:hAnsi="宋体" w:cs="宋体"/>
                <w:b/>
                <w:kern w:val="0"/>
                <w:sz w:val="24"/>
                <w:lang w:val="zh-CN"/>
              </w:rPr>
              <w:t>投标报价出现下列情形的，投标无效：</w:t>
            </w:r>
          </w:p>
          <w:p>
            <w:pPr>
              <w:snapToGrid w:val="0"/>
              <w:spacing w:line="360" w:lineRule="auto"/>
              <w:ind w:firstLine="241" w:firstLineChars="100"/>
              <w:jc w:val="left"/>
              <w:rPr>
                <w:rFonts w:ascii="宋体" w:hAnsi="宋体" w:cs="宋体"/>
                <w:b/>
                <w:kern w:val="0"/>
                <w:sz w:val="24"/>
                <w:lang w:val="zh-CN"/>
              </w:rPr>
            </w:pPr>
            <w:r>
              <w:rPr>
                <w:rFonts w:hint="eastAsia" w:ascii="宋体" w:hAnsi="宋体" w:cs="宋体"/>
                <w:b/>
                <w:kern w:val="0"/>
                <w:sz w:val="24"/>
                <w:lang w:val="zh-CN"/>
              </w:rPr>
              <w:t>投标文件出现不是唯一的、有选择性投标报价的；</w:t>
            </w:r>
          </w:p>
          <w:p>
            <w:pPr>
              <w:snapToGrid w:val="0"/>
              <w:spacing w:line="360" w:lineRule="auto"/>
              <w:ind w:firstLine="241" w:firstLineChars="100"/>
              <w:jc w:val="left"/>
              <w:rPr>
                <w:rFonts w:ascii="宋体" w:hAnsi="宋体" w:cs="宋体"/>
                <w:kern w:val="0"/>
                <w:sz w:val="24"/>
                <w:lang w:val="zh-CN"/>
              </w:rPr>
            </w:pPr>
            <w:r>
              <w:rPr>
                <w:rFonts w:hint="eastAsia" w:ascii="宋体" w:hAnsi="宋体" w:cs="宋体"/>
                <w:b/>
                <w:kern w:val="0"/>
                <w:sz w:val="24"/>
                <w:lang w:val="zh-CN"/>
              </w:rPr>
              <w:t>投标报价超过招标文件中规定的预算金额或者最高限价的;</w:t>
            </w:r>
          </w:p>
          <w:p>
            <w:pPr>
              <w:spacing w:line="360" w:lineRule="auto"/>
              <w:ind w:firstLine="241" w:firstLineChars="100"/>
              <w:rPr>
                <w:rFonts w:ascii="宋体" w:hAnsi="宋体" w:cs="宋体"/>
                <w:b/>
                <w:sz w:val="24"/>
              </w:rPr>
            </w:pPr>
            <w:r>
              <w:rPr>
                <w:rFonts w:hint="eastAsia" w:ascii="宋体" w:hAnsi="宋体" w:cs="宋体"/>
                <w:b/>
                <w:kern w:val="0"/>
                <w:sz w:val="24"/>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sz w:val="24"/>
                <w:szCs w:val="21"/>
              </w:rPr>
              <w:t>;</w:t>
            </w:r>
          </w:p>
          <w:p>
            <w:pPr>
              <w:spacing w:line="360" w:lineRule="auto"/>
              <w:ind w:firstLine="241" w:firstLineChars="100"/>
              <w:rPr>
                <w:rFonts w:ascii="宋体" w:hAnsi="宋体" w:cs="宋体"/>
                <w:sz w:val="24"/>
              </w:rPr>
            </w:pPr>
            <w:r>
              <w:rPr>
                <w:rFonts w:hint="eastAsia" w:ascii="宋体" w:hAnsi="宋体" w:cs="宋体"/>
                <w:b/>
                <w:kern w:val="0"/>
                <w:sz w:val="24"/>
              </w:rPr>
              <w:t>投标人对根据修正原则修正后的报价不确认的</w:t>
            </w:r>
            <w:r>
              <w:rPr>
                <w:rFonts w:hint="eastAsia" w:ascii="宋体" w:hAnsi="宋体" w:cs="宋体"/>
                <w:b/>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85" w:hRule="atLeast"/>
        </w:trPr>
        <w:tc>
          <w:tcPr>
            <w:tcW w:w="629" w:type="dxa"/>
            <w:tcBorders>
              <w:top w:val="single" w:color="auto" w:sz="4" w:space="0"/>
              <w:left w:val="single" w:color="000000" w:sz="8" w:space="0"/>
              <w:right w:val="single" w:color="000000" w:sz="2" w:space="0"/>
            </w:tcBorders>
            <w:vAlign w:val="center"/>
          </w:tcPr>
          <w:p>
            <w:pPr>
              <w:snapToGrid w:val="0"/>
              <w:spacing w:line="360" w:lineRule="auto"/>
              <w:jc w:val="center"/>
              <w:rPr>
                <w:rFonts w:ascii="宋体" w:hAnsi="宋体" w:cs="宋体"/>
                <w:sz w:val="24"/>
              </w:rPr>
            </w:pPr>
            <w:r>
              <w:rPr>
                <w:rFonts w:hint="eastAsia" w:ascii="宋体" w:hAnsi="宋体" w:cs="宋体"/>
                <w:sz w:val="24"/>
              </w:rPr>
              <w:t>11</w:t>
            </w:r>
          </w:p>
        </w:tc>
        <w:tc>
          <w:tcPr>
            <w:tcW w:w="1904" w:type="dxa"/>
            <w:tcBorders>
              <w:top w:val="single" w:color="000000" w:sz="8" w:space="0"/>
              <w:left w:val="single" w:color="000000" w:sz="2"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中小企业信用融资</w:t>
            </w:r>
          </w:p>
        </w:tc>
        <w:tc>
          <w:tcPr>
            <w:tcW w:w="6034" w:type="dxa"/>
            <w:tcBorders>
              <w:top w:val="single" w:color="000000" w:sz="8" w:space="0"/>
              <w:left w:val="single" w:color="000000" w:sz="2" w:space="0"/>
              <w:right w:val="single" w:color="000000" w:sz="8" w:space="0"/>
            </w:tcBorders>
            <w:vAlign w:val="center"/>
          </w:tcPr>
          <w:p>
            <w:pPr>
              <w:spacing w:line="360" w:lineRule="auto"/>
              <w:ind w:firstLine="480" w:firstLineChars="200"/>
              <w:rPr>
                <w:rFonts w:ascii="宋体" w:hAnsi="宋体" w:cs="宋体"/>
                <w:sz w:val="24"/>
              </w:rPr>
            </w:pPr>
            <w:r>
              <w:rPr>
                <w:rFonts w:hint="eastAsia" w:ascii="宋体" w:hAnsi="宋体" w:cs="宋体"/>
                <w:snapToGrid w:val="0"/>
                <w:kern w:val="28"/>
                <w:sz w:val="24"/>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02"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sz w:val="24"/>
              </w:rPr>
            </w:pPr>
            <w:r>
              <w:rPr>
                <w:rFonts w:hint="eastAsia" w:ascii="宋体" w:hAnsi="宋体" w:cs="宋体"/>
                <w:sz w:val="24"/>
              </w:rPr>
              <w:t>12</w:t>
            </w:r>
          </w:p>
        </w:tc>
        <w:tc>
          <w:tcPr>
            <w:tcW w:w="190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 xml:space="preserve">备份投标文件送达地点和签收人员 </w:t>
            </w:r>
          </w:p>
        </w:tc>
        <w:tc>
          <w:tcPr>
            <w:tcW w:w="6034" w:type="dxa"/>
            <w:tcBorders>
              <w:top w:val="single" w:color="000000" w:sz="8" w:space="0"/>
              <w:left w:val="single" w:color="000000" w:sz="2" w:space="0"/>
              <w:bottom w:val="single" w:color="000000" w:sz="8" w:space="0"/>
              <w:right w:val="single" w:color="000000" w:sz="8" w:space="0"/>
            </w:tcBorders>
            <w:vAlign w:val="center"/>
          </w:tcPr>
          <w:p>
            <w:pPr>
              <w:pStyle w:val="33"/>
              <w:spacing w:line="360" w:lineRule="auto"/>
              <w:rPr>
                <w:rFonts w:hAnsi="宋体" w:cs="宋体"/>
                <w:kern w:val="28"/>
                <w:sz w:val="24"/>
              </w:rPr>
            </w:pPr>
            <w:r>
              <w:rPr>
                <w:rFonts w:hint="eastAsia" w:hAnsi="宋体" w:cs="宋体"/>
                <w:kern w:val="28"/>
                <w:sz w:val="24"/>
                <w:szCs w:val="24"/>
              </w:rPr>
              <w:t>备份投标文件送达地点：</w:t>
            </w:r>
            <w:r>
              <w:rPr>
                <w:rFonts w:hint="eastAsia" w:hAnsi="宋体" w:cs="宋体"/>
                <w:sz w:val="24"/>
                <w:highlight w:val="none"/>
                <w:u w:val="single"/>
              </w:rPr>
              <w:t>杭州市西湖区文一西路858号（</w:t>
            </w:r>
            <w:r>
              <w:rPr>
                <w:rFonts w:hint="eastAsia" w:hAnsi="宋体" w:cs="宋体"/>
                <w:sz w:val="24"/>
                <w:highlight w:val="none"/>
                <w:u w:val="single"/>
                <w:lang w:eastAsia="zh-CN"/>
              </w:rPr>
              <w:t>杭州市西湖区政府采购中心</w:t>
            </w:r>
            <w:r>
              <w:rPr>
                <w:rFonts w:hint="eastAsia" w:hAnsi="宋体" w:cs="宋体"/>
                <w:sz w:val="24"/>
                <w:highlight w:val="none"/>
                <w:u w:val="single"/>
              </w:rPr>
              <w:t>西湖分中心东三楼</w:t>
            </w:r>
            <w:r>
              <w:rPr>
                <w:rFonts w:hint="eastAsia" w:hAnsi="宋体" w:cs="宋体"/>
                <w:sz w:val="24"/>
                <w:highlight w:val="none"/>
                <w:u w:val="single"/>
                <w:lang w:val="en-US" w:eastAsia="zh-CN"/>
              </w:rPr>
              <w:t>329办公室）</w:t>
            </w:r>
            <w:r>
              <w:rPr>
                <w:rFonts w:hint="eastAsia" w:hAnsi="宋体" w:cs="宋体"/>
                <w:kern w:val="28"/>
                <w:sz w:val="24"/>
                <w:szCs w:val="24"/>
              </w:rPr>
              <w:t>；备份投标文件签收人员联系电话：</w:t>
            </w:r>
            <w:r>
              <w:rPr>
                <w:rFonts w:hint="eastAsia" w:hAnsi="宋体" w:cs="宋体"/>
                <w:sz w:val="24"/>
                <w:u w:val="single"/>
              </w:rPr>
              <w:t xml:space="preserve"> 0571-</w:t>
            </w:r>
            <w:r>
              <w:rPr>
                <w:rFonts w:hAnsi="宋体" w:cs="宋体"/>
                <w:sz w:val="24"/>
                <w:u w:val="single"/>
              </w:rPr>
              <w:t>89511448</w:t>
            </w:r>
            <w:r>
              <w:rPr>
                <w:rFonts w:hint="eastAsia" w:hAnsi="宋体" w:cs="宋体"/>
                <w:sz w:val="24"/>
                <w:u w:val="single"/>
                <w:lang w:val="en-US" w:eastAsia="zh-CN"/>
              </w:rPr>
              <w:t xml:space="preserve"> </w:t>
            </w:r>
            <w:r>
              <w:rPr>
                <w:rFonts w:hint="eastAsia" w:hAnsi="宋体" w:cs="宋体"/>
                <w:sz w:val="24"/>
                <w:szCs w:val="24"/>
              </w:rPr>
              <w:t>。</w:t>
            </w:r>
            <w:r>
              <w:rPr>
                <w:rFonts w:hint="eastAsia" w:hAnsi="宋体" w:cs="宋体"/>
                <w:b/>
                <w:sz w:val="24"/>
                <w:szCs w:val="24"/>
              </w:rPr>
              <w:t>采购人、采购机构不强制或变相强制投标人提交备份投标文件。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restart"/>
            <w:tcBorders>
              <w:top w:val="single" w:color="auto" w:sz="4" w:space="0"/>
              <w:left w:val="single" w:color="000000" w:sz="8" w:space="0"/>
              <w:right w:val="single" w:color="000000" w:sz="2" w:space="0"/>
            </w:tcBorders>
            <w:vAlign w:val="center"/>
          </w:tcPr>
          <w:p>
            <w:pPr>
              <w:snapToGrid w:val="0"/>
              <w:spacing w:line="360" w:lineRule="auto"/>
              <w:jc w:val="center"/>
              <w:rPr>
                <w:rFonts w:ascii="宋体" w:hAnsi="宋体" w:cs="宋体"/>
                <w:sz w:val="24"/>
              </w:rPr>
            </w:pPr>
            <w:r>
              <w:rPr>
                <w:rFonts w:hint="eastAsia" w:ascii="宋体" w:hAnsi="宋体" w:cs="宋体"/>
                <w:sz w:val="24"/>
              </w:rPr>
              <w:t>13</w:t>
            </w:r>
          </w:p>
        </w:tc>
        <w:tc>
          <w:tcPr>
            <w:tcW w:w="1904" w:type="dxa"/>
            <w:vMerge w:val="restart"/>
            <w:tcBorders>
              <w:top w:val="single" w:color="000000" w:sz="8" w:space="0"/>
              <w:left w:val="single" w:color="000000" w:sz="2" w:space="0"/>
              <w:right w:val="single" w:color="000000" w:sz="8" w:space="0"/>
            </w:tcBorders>
            <w:vAlign w:val="center"/>
          </w:tcPr>
          <w:p>
            <w:pPr>
              <w:snapToGrid w:val="0"/>
              <w:spacing w:line="360" w:lineRule="auto"/>
              <w:jc w:val="center"/>
              <w:rPr>
                <w:rFonts w:ascii="宋体" w:hAnsi="宋体" w:cs="宋体"/>
                <w:b/>
                <w:sz w:val="24"/>
              </w:rPr>
            </w:pPr>
            <w:r>
              <w:rPr>
                <w:rFonts w:hint="eastAsia" w:cs="仿宋_GB2312" w:asciiTheme="minorEastAsia" w:hAnsiTheme="minorEastAsia" w:eastAsiaTheme="minorEastAsia"/>
                <w:b/>
                <w:sz w:val="24"/>
              </w:rPr>
              <w:t>特别说明</w:t>
            </w:r>
          </w:p>
        </w:tc>
        <w:tc>
          <w:tcPr>
            <w:tcW w:w="6034"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napToGrid w:val="0"/>
                <w:kern w:val="28"/>
                <w:sz w:val="24"/>
              </w:rPr>
            </w:pPr>
            <w:r>
              <w:rPr>
                <w:rFonts w:hint="eastAsia" w:ascii="宋体" w:hAnsi="宋体" w:cs="宋体"/>
                <w:snapToGrid w:val="0"/>
                <w:kern w:val="28"/>
                <w:sz w:val="24"/>
              </w:rPr>
              <w:t>联合体投标的，联合体各方分别提供与联合体协议中规定的分工内容相应的业绩证明材料，业绩数量以提供材料较少的一方为准。招标文件第四部分评分标准有其他规定的，从其规定。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continue"/>
            <w:tcBorders>
              <w:left w:val="single" w:color="000000" w:sz="8" w:space="0"/>
              <w:right w:val="single" w:color="000000" w:sz="2" w:space="0"/>
            </w:tcBorders>
            <w:vAlign w:val="center"/>
          </w:tcPr>
          <w:p>
            <w:pPr>
              <w:snapToGrid w:val="0"/>
              <w:spacing w:line="360" w:lineRule="auto"/>
              <w:jc w:val="center"/>
              <w:rPr>
                <w:rFonts w:ascii="宋体" w:hAnsi="宋体" w:cs="宋体"/>
                <w:sz w:val="24"/>
              </w:rPr>
            </w:pPr>
          </w:p>
        </w:tc>
        <w:tc>
          <w:tcPr>
            <w:tcW w:w="1904" w:type="dxa"/>
            <w:vMerge w:val="continue"/>
            <w:tcBorders>
              <w:left w:val="single" w:color="000000" w:sz="2" w:space="0"/>
              <w:right w:val="single" w:color="000000" w:sz="8" w:space="0"/>
            </w:tcBorders>
            <w:vAlign w:val="center"/>
          </w:tcPr>
          <w:p>
            <w:pPr>
              <w:snapToGrid w:val="0"/>
              <w:spacing w:line="360" w:lineRule="auto"/>
              <w:jc w:val="center"/>
              <w:rPr>
                <w:rFonts w:ascii="宋体" w:hAnsi="宋体" w:cs="宋体"/>
                <w:b/>
                <w:sz w:val="24"/>
              </w:rPr>
            </w:pPr>
          </w:p>
        </w:tc>
        <w:tc>
          <w:tcPr>
            <w:tcW w:w="6034"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369766551"/>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ascii="宋体" w:hAnsi="宋体" w:cs="宋体"/>
                <w:snapToGrid w:val="0"/>
                <w:kern w:val="28"/>
                <w:sz w:val="24"/>
              </w:rPr>
              <w:t>联合体投标的，联合体各方均需按招标文件第四部分评标标准要求提供资信证明文件，否则视为不符合相关要求。招标文件第四部分评分标准有其他规定的，从其规定。</w:t>
            </w:r>
          </w:p>
          <w:p>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1052570136"/>
                <w14:checkbox>
                  <w14:checked w14:val="1"/>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cs="Arial" w:asciiTheme="minorEastAsia" w:hAnsiTheme="minorEastAsia" w:eastAsiaTheme="minorEastAsia"/>
                    <w:kern w:val="0"/>
                    <w:sz w:val="24"/>
                  </w:rPr>
                  <w:sym w:font="Wingdings" w:char="F0FE"/>
                </w:r>
              </w:sdtContent>
            </w:sdt>
            <w:r>
              <w:rPr>
                <w:rFonts w:hint="eastAsia" w:ascii="宋体" w:hAnsi="宋体" w:cs="宋体"/>
                <w:snapToGrid w:val="0"/>
                <w:kern w:val="28"/>
                <w:sz w:val="24"/>
              </w:rPr>
              <w:t>联合体投标的，联合体中有一方或者联合体成员根据分工按招标文件第四部分评标标准要求提供资信证明文件的，视为符合了相关要求。招标文件第四部分评分标准有其他规定的，从其规定。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25" w:hRule="atLeast"/>
        </w:trPr>
        <w:tc>
          <w:tcPr>
            <w:tcW w:w="629" w:type="dxa"/>
            <w:vMerge w:val="continue"/>
            <w:tcBorders>
              <w:left w:val="single" w:color="000000" w:sz="8" w:space="0"/>
              <w:right w:val="single" w:color="000000" w:sz="2" w:space="0"/>
            </w:tcBorders>
            <w:vAlign w:val="center"/>
          </w:tcPr>
          <w:p>
            <w:pPr>
              <w:snapToGrid w:val="0"/>
              <w:spacing w:line="360" w:lineRule="auto"/>
              <w:jc w:val="center"/>
              <w:rPr>
                <w:rFonts w:ascii="宋体" w:hAnsi="宋体" w:cs="宋体"/>
                <w:sz w:val="24"/>
              </w:rPr>
            </w:pPr>
          </w:p>
        </w:tc>
        <w:tc>
          <w:tcPr>
            <w:tcW w:w="1904" w:type="dxa"/>
            <w:vMerge w:val="continue"/>
            <w:tcBorders>
              <w:left w:val="single" w:color="000000" w:sz="2" w:space="0"/>
              <w:right w:val="single" w:color="000000" w:sz="8" w:space="0"/>
            </w:tcBorders>
            <w:vAlign w:val="center"/>
          </w:tcPr>
          <w:p>
            <w:pPr>
              <w:snapToGrid w:val="0"/>
              <w:spacing w:line="360" w:lineRule="auto"/>
              <w:jc w:val="center"/>
              <w:rPr>
                <w:rFonts w:ascii="宋体" w:hAnsi="宋体" w:cs="宋体"/>
                <w:b/>
                <w:sz w:val="24"/>
              </w:rPr>
            </w:pPr>
          </w:p>
        </w:tc>
        <w:tc>
          <w:tcPr>
            <w:tcW w:w="6034"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评审因素对应的要求视为采购需求的一部分。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25" w:hRule="atLeast"/>
        </w:trPr>
        <w:tc>
          <w:tcPr>
            <w:tcW w:w="629" w:type="dxa"/>
            <w:vMerge w:val="continue"/>
            <w:tcBorders>
              <w:left w:val="single" w:color="000000" w:sz="8" w:space="0"/>
              <w:right w:val="single" w:color="000000" w:sz="2" w:space="0"/>
            </w:tcBorders>
            <w:vAlign w:val="center"/>
          </w:tcPr>
          <w:p>
            <w:pPr>
              <w:snapToGrid w:val="0"/>
              <w:spacing w:line="360" w:lineRule="auto"/>
              <w:jc w:val="center"/>
              <w:rPr>
                <w:rFonts w:ascii="宋体" w:hAnsi="宋体" w:cs="宋体"/>
                <w:sz w:val="24"/>
              </w:rPr>
            </w:pPr>
          </w:p>
        </w:tc>
        <w:tc>
          <w:tcPr>
            <w:tcW w:w="1904" w:type="dxa"/>
            <w:vMerge w:val="continue"/>
            <w:tcBorders>
              <w:left w:val="single" w:color="000000" w:sz="2" w:space="0"/>
              <w:right w:val="single" w:color="000000" w:sz="8" w:space="0"/>
            </w:tcBorders>
            <w:vAlign w:val="center"/>
          </w:tcPr>
          <w:p>
            <w:pPr>
              <w:snapToGrid w:val="0"/>
              <w:spacing w:line="360" w:lineRule="auto"/>
              <w:jc w:val="center"/>
              <w:rPr>
                <w:rFonts w:ascii="宋体" w:hAnsi="宋体" w:cs="宋体"/>
                <w:b/>
                <w:sz w:val="24"/>
              </w:rPr>
            </w:pPr>
          </w:p>
        </w:tc>
        <w:tc>
          <w:tcPr>
            <w:tcW w:w="6034"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cs="Arial" w:asciiTheme="minorEastAsia" w:hAnsiTheme="minorEastAsia" w:eastAsiaTheme="minorEastAsia"/>
                <w:kern w:val="0"/>
                <w:sz w:val="24"/>
              </w:rPr>
            </w:pPr>
            <w:r>
              <w:rPr>
                <w:rFonts w:hint="eastAsia" w:cs="Arial" w:asciiTheme="minorEastAsia" w:hAnsiTheme="minorEastAsia" w:eastAsiaTheme="minorEastAsia"/>
                <w:kern w:val="0"/>
                <w:sz w:val="24"/>
                <w:lang w:val="en-US" w:eastAsia="zh-CN"/>
              </w:rPr>
              <w:t>本项目评审报告推荐的中标候选人数量：</w:t>
            </w:r>
            <w:r>
              <w:rPr>
                <w:rFonts w:hint="default" w:cs="Arial" w:asciiTheme="minorEastAsia" w:hAnsiTheme="minorEastAsia" w:eastAsiaTheme="minorEastAsia"/>
                <w:kern w:val="0"/>
                <w:sz w:val="24"/>
                <w:u w:val="single"/>
                <w:lang w:val="en-US" w:eastAsia="zh-CN"/>
              </w:rPr>
              <w:t xml:space="preserve">  1  </w:t>
            </w:r>
            <w:r>
              <w:rPr>
                <w:rFonts w:hint="eastAsia" w:cs="Arial" w:asciiTheme="minorEastAsia" w:hAnsiTheme="minorEastAsia" w:eastAsiaTheme="minorEastAsia"/>
                <w:kern w:val="0"/>
                <w:sz w:val="24"/>
                <w:u w:val="none"/>
                <w:lang w:val="en-US" w:eastAsia="zh-CN"/>
              </w:rPr>
              <w:t>。</w:t>
            </w:r>
          </w:p>
        </w:tc>
      </w:tr>
    </w:tbl>
    <w:p>
      <w:pPr>
        <w:snapToGrid w:val="0"/>
        <w:spacing w:line="360" w:lineRule="auto"/>
        <w:jc w:val="center"/>
        <w:rPr>
          <w:rFonts w:ascii="宋体" w:hAnsi="宋体" w:cs="宋体"/>
          <w:b/>
          <w:sz w:val="32"/>
          <w:szCs w:val="20"/>
        </w:rPr>
      </w:pPr>
    </w:p>
    <w:bookmarkEnd w:id="10"/>
    <w:p>
      <w:pPr>
        <w:adjustRightInd/>
        <w:spacing w:line="360" w:lineRule="auto"/>
        <w:ind w:firstLine="3845" w:firstLineChars="1197"/>
        <w:outlineLvl w:val="0"/>
        <w:rPr>
          <w:rFonts w:ascii="宋体" w:hAnsi="宋体" w:cs="宋体"/>
          <w:b/>
          <w:sz w:val="32"/>
          <w:szCs w:val="20"/>
        </w:rPr>
      </w:pPr>
      <w:bookmarkStart w:id="13" w:name="第三部分"/>
      <w:bookmarkStart w:id="14" w:name="_Toc164416483"/>
      <w:r>
        <w:rPr>
          <w:rFonts w:hint="eastAsia" w:ascii="宋体" w:hAnsi="宋体" w:cs="宋体"/>
          <w:b/>
          <w:sz w:val="32"/>
          <w:szCs w:val="20"/>
        </w:rPr>
        <w:t>一、总则</w:t>
      </w:r>
    </w:p>
    <w:p>
      <w:pPr>
        <w:snapToGrid w:val="0"/>
        <w:spacing w:line="360" w:lineRule="auto"/>
        <w:ind w:firstLine="361" w:firstLineChars="150"/>
        <w:jc w:val="left"/>
        <w:outlineLvl w:val="1"/>
        <w:rPr>
          <w:rFonts w:ascii="宋体" w:hAnsi="宋体" w:cs="宋体"/>
          <w:b/>
          <w:sz w:val="24"/>
        </w:rPr>
      </w:pPr>
      <w:r>
        <w:rPr>
          <w:rFonts w:hint="eastAsia" w:ascii="宋体" w:hAnsi="宋体" w:cs="宋体"/>
          <w:b/>
          <w:sz w:val="24"/>
        </w:rPr>
        <w:t>1. 适用范围</w:t>
      </w:r>
    </w:p>
    <w:p>
      <w:pPr>
        <w:snapToGrid w:val="0"/>
        <w:spacing w:line="360" w:lineRule="auto"/>
        <w:ind w:firstLine="480" w:firstLineChars="200"/>
        <w:jc w:val="left"/>
        <w:rPr>
          <w:rFonts w:ascii="宋体" w:hAnsi="宋体" w:cs="宋体"/>
          <w:sz w:val="24"/>
        </w:rPr>
      </w:pPr>
      <w:r>
        <w:rPr>
          <w:rFonts w:hint="eastAsia" w:ascii="宋体" w:hAnsi="宋体" w:cs="宋体"/>
          <w:sz w:val="24"/>
        </w:rPr>
        <w:t>本招标文件适用于该项目的招标、投标、开标、资格审查及信用信息查询、评标、定标、合同、验收等行为（法律、法规另有规定的，从其规定）。</w:t>
      </w:r>
    </w:p>
    <w:p>
      <w:pPr>
        <w:adjustRightInd/>
        <w:spacing w:line="360" w:lineRule="auto"/>
        <w:outlineLvl w:val="0"/>
        <w:rPr>
          <w:rFonts w:ascii="宋体" w:hAnsi="宋体" w:cs="宋体"/>
          <w:b/>
          <w:sz w:val="24"/>
        </w:rPr>
      </w:pPr>
      <w:r>
        <w:rPr>
          <w:rFonts w:hint="eastAsia" w:ascii="宋体" w:hAnsi="宋体" w:cs="宋体"/>
          <w:b/>
          <w:sz w:val="24"/>
        </w:rPr>
        <w:t xml:space="preserve">   2.定义</w:t>
      </w:r>
    </w:p>
    <w:p>
      <w:pPr>
        <w:spacing w:line="360" w:lineRule="auto"/>
        <w:ind w:firstLine="480" w:firstLineChars="200"/>
        <w:rPr>
          <w:rFonts w:ascii="宋体" w:hAnsi="宋体" w:cs="宋体"/>
          <w:sz w:val="24"/>
        </w:rPr>
      </w:pPr>
      <w:r>
        <w:rPr>
          <w:rFonts w:hint="eastAsia" w:ascii="宋体" w:hAnsi="宋体" w:cs="宋体"/>
          <w:sz w:val="24"/>
        </w:rPr>
        <w:t>2.1 “采购人”系指招标公告中载明的本项目的采购人。</w:t>
      </w:r>
    </w:p>
    <w:p>
      <w:pPr>
        <w:spacing w:line="360" w:lineRule="auto"/>
        <w:ind w:firstLine="480" w:firstLineChars="200"/>
        <w:rPr>
          <w:rFonts w:ascii="宋体" w:hAnsi="宋体" w:cs="宋体"/>
          <w:sz w:val="24"/>
        </w:rPr>
      </w:pPr>
      <w:r>
        <w:rPr>
          <w:rFonts w:hint="eastAsia" w:ascii="宋体" w:hAnsi="宋体" w:cs="宋体"/>
          <w:sz w:val="24"/>
        </w:rPr>
        <w:t>2.2 “采购机构”系指招标公告中载明的本项目的采购机构。</w:t>
      </w:r>
    </w:p>
    <w:p>
      <w:pPr>
        <w:spacing w:line="360" w:lineRule="auto"/>
        <w:ind w:firstLine="480" w:firstLineChars="200"/>
        <w:rPr>
          <w:rFonts w:ascii="宋体" w:hAnsi="宋体" w:cs="宋体"/>
          <w:sz w:val="24"/>
        </w:rPr>
      </w:pPr>
      <w:r>
        <w:rPr>
          <w:rFonts w:hint="eastAsia" w:ascii="宋体" w:hAnsi="宋体" w:cs="宋体"/>
          <w:sz w:val="24"/>
        </w:rPr>
        <w:t>2.3 “投标人”系指是指响应招标、参加投标竞争的法人、其他组织或者自然人。</w:t>
      </w:r>
    </w:p>
    <w:p>
      <w:pPr>
        <w:spacing w:line="360" w:lineRule="auto"/>
        <w:ind w:firstLine="480" w:firstLineChars="200"/>
        <w:rPr>
          <w:rFonts w:ascii="宋体" w:hAnsi="宋体" w:cs="宋体"/>
          <w:sz w:val="24"/>
        </w:rPr>
      </w:pPr>
      <w:r>
        <w:rPr>
          <w:rFonts w:hint="eastAsia" w:ascii="宋体" w:hAnsi="宋体" w:cs="宋体"/>
          <w:sz w:val="24"/>
        </w:rPr>
        <w:t>2.4 “负责人”系指法人企业的法定负责人，或其他组织为法律、行政法规规定代表单位行使职权的主要负责人，或自然人本人。</w:t>
      </w:r>
    </w:p>
    <w:p>
      <w:pPr>
        <w:spacing w:line="360" w:lineRule="auto"/>
        <w:ind w:firstLine="480" w:firstLineChars="200"/>
        <w:rPr>
          <w:rFonts w:ascii="宋体" w:hAnsi="宋体" w:cs="宋体"/>
          <w:sz w:val="24"/>
        </w:rPr>
      </w:pPr>
      <w:r>
        <w:rPr>
          <w:rFonts w:hint="eastAsia" w:ascii="宋体" w:hAnsi="宋体" w:cs="宋体"/>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pPr>
        <w:spacing w:line="360" w:lineRule="auto"/>
        <w:ind w:firstLine="480" w:firstLineChars="200"/>
        <w:rPr>
          <w:rFonts w:ascii="宋体" w:hAnsi="宋体" w:cs="宋体"/>
          <w:sz w:val="24"/>
        </w:rPr>
      </w:pPr>
      <w:r>
        <w:rPr>
          <w:rFonts w:hint="eastAsia" w:ascii="宋体" w:hAnsi="宋体" w:cs="宋体"/>
          <w:sz w:val="24"/>
        </w:rPr>
        <w:t>2.6“电子交易平台”是指本项目政府采购活动所依托的政府采购云平台（https://www.zcygov.cn/）。</w:t>
      </w:r>
    </w:p>
    <w:p>
      <w:pPr>
        <w:spacing w:line="360" w:lineRule="auto"/>
        <w:ind w:firstLine="480" w:firstLineChars="200"/>
        <w:rPr>
          <w:rFonts w:ascii="宋体" w:hAnsi="宋体" w:cs="宋体"/>
          <w:sz w:val="24"/>
        </w:rPr>
      </w:pPr>
      <w:r>
        <w:rPr>
          <w:rFonts w:hint="eastAsia" w:ascii="宋体" w:hAnsi="宋体" w:cs="宋体"/>
          <w:sz w:val="24"/>
        </w:rPr>
        <w:t>2.7 “▲” 系指实质性要求条款，“</w:t>
      </w:r>
      <w:sdt>
        <w:sdtPr>
          <w:rPr>
            <w:rFonts w:hint="eastAsia" w:ascii="宋体" w:hAnsi="宋体" w:cs="宋体"/>
            <w:kern w:val="0"/>
            <w:sz w:val="24"/>
          </w:rPr>
          <w:id w:val="51297023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 系指适用本项目的要求，“</w:t>
      </w:r>
      <w:sdt>
        <w:sdtPr>
          <w:rPr>
            <w:rFonts w:hint="eastAsia" w:ascii="宋体" w:hAnsi="宋体" w:cs="宋体"/>
            <w:kern w:val="0"/>
            <w:sz w:val="24"/>
          </w:rPr>
          <w:id w:val="40488885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 系指不适用本项目的要求。</w:t>
      </w:r>
    </w:p>
    <w:p>
      <w:pPr>
        <w:spacing w:line="360" w:lineRule="auto"/>
        <w:ind w:firstLine="241" w:firstLineChars="100"/>
        <w:rPr>
          <w:rFonts w:ascii="宋体" w:hAnsi="宋体" w:cs="宋体"/>
          <w:b/>
          <w:sz w:val="24"/>
        </w:rPr>
      </w:pPr>
      <w:r>
        <w:rPr>
          <w:rFonts w:hint="eastAsia" w:ascii="宋体" w:hAnsi="宋体" w:cs="宋体"/>
          <w:b/>
          <w:sz w:val="24"/>
        </w:rPr>
        <w:t>3.</w:t>
      </w:r>
      <w:r>
        <w:rPr>
          <w:rFonts w:hint="eastAsia" w:ascii="宋体" w:hAnsi="宋体" w:cs="宋体"/>
        </w:rPr>
        <w:t xml:space="preserve"> </w:t>
      </w:r>
      <w:r>
        <w:rPr>
          <w:rFonts w:hint="eastAsia" w:ascii="宋体" w:hAnsi="宋体" w:cs="宋体"/>
          <w:b/>
          <w:sz w:val="24"/>
        </w:rPr>
        <w:t>采购项目需要落实的政府采购政策</w:t>
      </w:r>
    </w:p>
    <w:p>
      <w:pPr>
        <w:spacing w:line="360" w:lineRule="auto"/>
        <w:ind w:firstLine="240" w:firstLineChars="100"/>
        <w:rPr>
          <w:rFonts w:ascii="宋体" w:hAnsi="宋体" w:cs="宋体"/>
          <w:sz w:val="24"/>
        </w:rPr>
      </w:pPr>
      <w:r>
        <w:rPr>
          <w:rFonts w:hint="eastAsia" w:ascii="宋体" w:hAnsi="宋体" w:cs="宋体"/>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r>
        <w:rPr>
          <w:rFonts w:hint="eastAsia" w:ascii="宋体" w:hAnsi="宋体" w:cs="宋体"/>
          <w:kern w:val="0"/>
          <w:sz w:val="24"/>
        </w:rPr>
        <w:t>优先采购向我国企业转让技术、与我国企业签订消化吸收再创新方案的供应商的进口产品</w:t>
      </w:r>
      <w:r>
        <w:rPr>
          <w:rFonts w:hint="eastAsia" w:ascii="宋体" w:hAnsi="宋体" w:cs="宋体"/>
          <w:sz w:val="24"/>
        </w:rPr>
        <w:t>。</w:t>
      </w:r>
    </w:p>
    <w:p>
      <w:pPr>
        <w:spacing w:line="360" w:lineRule="auto"/>
        <w:ind w:firstLine="240" w:firstLineChars="100"/>
        <w:rPr>
          <w:rFonts w:ascii="宋体" w:hAnsi="宋体" w:cs="宋体"/>
          <w:sz w:val="24"/>
        </w:rPr>
      </w:pPr>
      <w:r>
        <w:rPr>
          <w:rFonts w:hint="eastAsia" w:ascii="宋体" w:hAnsi="宋体" w:cs="宋体"/>
          <w:sz w:val="24"/>
        </w:rPr>
        <w:t>3.2 支持绿色发展</w:t>
      </w:r>
    </w:p>
    <w:p>
      <w:pPr>
        <w:spacing w:line="360" w:lineRule="auto"/>
        <w:ind w:firstLine="480" w:firstLineChars="200"/>
        <w:rPr>
          <w:rFonts w:ascii="宋体" w:hAnsi="宋体" w:cs="宋体"/>
          <w:b/>
          <w:sz w:val="24"/>
        </w:rPr>
      </w:pPr>
      <w:r>
        <w:rPr>
          <w:rFonts w:hint="eastAsia" w:ascii="宋体" w:hAnsi="宋体" w:cs="宋体"/>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sz w:val="24"/>
        </w:rPr>
        <w:t>▲采购人拟采购的产品属于政府强制采购的节能产品品目清单范围的，投标人相应的投标产品未获得国家确定的认证机构出具的、处于有效期之内的节能产品认证证书的，投标无效。</w:t>
      </w:r>
    </w:p>
    <w:p>
      <w:pPr>
        <w:spacing w:line="360" w:lineRule="auto"/>
        <w:ind w:firstLine="480" w:firstLineChars="200"/>
        <w:rPr>
          <w:rFonts w:ascii="宋体" w:hAnsi="宋体" w:cs="宋体"/>
          <w:sz w:val="24"/>
        </w:rPr>
      </w:pPr>
      <w:r>
        <w:rPr>
          <w:rFonts w:hint="eastAsia" w:ascii="宋体" w:hAnsi="宋体" w:cs="宋体"/>
          <w:sz w:val="24"/>
        </w:rPr>
        <w:t>3.2.2 纳入政府采购管理的修缮、装修类项目采购建材的，鼓励采购单位将绿色建材性能、指标等作为实质性条件纳入采购文件和合同，具体性能指标要求参考相关绿色建材政府采购需求标准。</w:t>
      </w:r>
    </w:p>
    <w:p>
      <w:pPr>
        <w:spacing w:line="360" w:lineRule="auto"/>
        <w:ind w:firstLine="480" w:firstLineChars="200"/>
        <w:rPr>
          <w:rFonts w:ascii="宋体" w:hAnsi="宋体" w:cs="宋体"/>
          <w:sz w:val="24"/>
        </w:rPr>
      </w:pPr>
      <w:r>
        <w:rPr>
          <w:rFonts w:hint="eastAsia" w:ascii="宋体" w:hAnsi="宋体" w:cs="宋体"/>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15" w:name="_Hlk107568539"/>
      <w:r>
        <w:rPr>
          <w:rFonts w:hint="eastAsia" w:ascii="宋体" w:hAnsi="宋体" w:cs="宋体"/>
          <w:sz w:val="24"/>
        </w:rPr>
        <w:t>优先采购绿色包装产品、绿色物流配送服务以及循环利用产品</w:t>
      </w:r>
      <w:bookmarkEnd w:id="15"/>
      <w:r>
        <w:rPr>
          <w:rFonts w:hint="eastAsia" w:ascii="宋体" w:hAnsi="宋体" w:cs="宋体"/>
          <w:sz w:val="24"/>
        </w:rPr>
        <w:t>。</w:t>
      </w:r>
    </w:p>
    <w:p>
      <w:pPr>
        <w:spacing w:line="360" w:lineRule="auto"/>
        <w:ind w:firstLine="240" w:firstLineChars="100"/>
        <w:rPr>
          <w:rFonts w:ascii="宋体" w:hAnsi="宋体" w:cs="宋体"/>
          <w:sz w:val="24"/>
        </w:rPr>
      </w:pPr>
      <w:r>
        <w:rPr>
          <w:rFonts w:hint="eastAsia" w:ascii="宋体" w:hAnsi="宋体" w:cs="宋体"/>
          <w:sz w:val="24"/>
        </w:rPr>
        <w:t>3.3支持中小企业发展</w:t>
      </w:r>
    </w:p>
    <w:p>
      <w:pPr>
        <w:spacing w:line="360" w:lineRule="auto"/>
        <w:ind w:firstLine="480" w:firstLineChars="200"/>
        <w:rPr>
          <w:rFonts w:ascii="宋体" w:hAnsi="宋体" w:cs="宋体"/>
          <w:sz w:val="24"/>
        </w:rPr>
      </w:pPr>
      <w:r>
        <w:rPr>
          <w:rFonts w:hint="eastAsia" w:ascii="宋体" w:hAnsi="宋体" w:cs="宋体"/>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ascii="宋体" w:hAnsi="宋体" w:cs="宋体"/>
          <w:sz w:val="24"/>
        </w:rPr>
      </w:pPr>
      <w:r>
        <w:rPr>
          <w:rFonts w:hint="eastAsia" w:ascii="宋体" w:hAnsi="宋体" w:cs="宋体"/>
          <w:sz w:val="24"/>
        </w:rPr>
        <w:t>符合中小企业划分标准的个体工商户，在政府采购活动中视同中小企业。</w:t>
      </w:r>
    </w:p>
    <w:p>
      <w:pPr>
        <w:widowControl/>
        <w:spacing w:line="360" w:lineRule="auto"/>
        <w:ind w:firstLine="480" w:firstLineChars="200"/>
        <w:jc w:val="left"/>
        <w:rPr>
          <w:rFonts w:ascii="宋体" w:hAnsi="宋体" w:cs="宋体"/>
          <w:kern w:val="0"/>
          <w:sz w:val="24"/>
        </w:rPr>
      </w:pPr>
      <w:r>
        <w:rPr>
          <w:rFonts w:ascii="宋体" w:hAnsi="宋体" w:cs="宋体"/>
          <w:bCs/>
          <w:sz w:val="24"/>
        </w:rPr>
        <w:t>3.3.2</w:t>
      </w:r>
      <w:r>
        <w:rPr>
          <w:rFonts w:hint="eastAsia" w:ascii="宋体" w:hAnsi="宋体" w:cs="宋体"/>
          <w:kern w:val="0"/>
          <w:sz w:val="24"/>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ascii="宋体" w:hAnsi="宋体" w:cs="宋体"/>
          <w:sz w:val="24"/>
        </w:rPr>
      </w:pPr>
      <w:r>
        <w:rPr>
          <w:rFonts w:hint="eastAsia" w:ascii="宋体" w:hAnsi="宋体" w:cs="宋体"/>
          <w:sz w:val="24"/>
        </w:rPr>
        <w:t>3.3.3对于未预留份额专门面向中小企业的政府采购货物项目，以及预留份额政府采购货物项目中的非预留部分标项，对小型和微型企业的投标报价给予</w:t>
      </w:r>
      <w:r>
        <w:rPr>
          <w:rFonts w:ascii="宋体" w:hAnsi="宋体" w:cs="宋体"/>
          <w:sz w:val="24"/>
        </w:rPr>
        <w:t>20</w:t>
      </w:r>
      <w:r>
        <w:rPr>
          <w:rFonts w:hint="eastAsia" w:ascii="宋体" w:hAnsi="宋体" w:cs="宋体"/>
          <w:sz w:val="24"/>
        </w:rPr>
        <w:t>%的扣除，用扣除后的价格参与评审。接受大中型企业与小微企业组成联合体或者允许大中型企业向一家或者多家小微企业分包的政府采购货物项目，对于</w:t>
      </w:r>
      <w:bookmarkStart w:id="16" w:name="_Hlk101132181"/>
      <w:r>
        <w:rPr>
          <w:rFonts w:hint="eastAsia" w:ascii="宋体" w:hAnsi="宋体" w:cs="宋体"/>
          <w:sz w:val="24"/>
        </w:rPr>
        <w:t>联合协议或者分包意向协议约定小微企业的合同份额占到合同总金额30%以上的</w:t>
      </w:r>
      <w:bookmarkEnd w:id="16"/>
      <w:r>
        <w:rPr>
          <w:rFonts w:hint="eastAsia" w:ascii="宋体" w:hAnsi="宋体" w:cs="宋体"/>
          <w:sz w:val="24"/>
        </w:rPr>
        <w:t>，对联合体或者大中型企业的报价给予</w:t>
      </w:r>
      <w:r>
        <w:rPr>
          <w:rFonts w:ascii="宋体" w:hAnsi="宋体" w:cs="宋体"/>
          <w:sz w:val="24"/>
        </w:rPr>
        <w:t>6</w:t>
      </w:r>
      <w:r>
        <w:rPr>
          <w:rFonts w:hint="eastAsia" w:ascii="宋体" w:hAnsi="宋体" w:cs="宋体"/>
          <w:sz w:val="24"/>
        </w:rPr>
        <w:t>%的扣除，用扣除后的价格参加评审。组成联合体或者接受分包的小微企业与联合体内其他企业、分包企业之间存在直接控股、管理关系的，不享受价格扣除优惠政策。</w:t>
      </w:r>
    </w:p>
    <w:p>
      <w:pPr>
        <w:spacing w:line="360" w:lineRule="auto"/>
        <w:ind w:firstLine="480" w:firstLineChars="200"/>
        <w:rPr>
          <w:rFonts w:ascii="宋体" w:hAnsi="宋体" w:cs="宋体"/>
          <w:sz w:val="24"/>
        </w:rPr>
      </w:pPr>
      <w:r>
        <w:rPr>
          <w:rFonts w:hint="eastAsia" w:ascii="宋体" w:hAnsi="宋体" w:cs="宋体"/>
          <w:sz w:val="24"/>
        </w:rPr>
        <w:t>3.3.4符合《关于促进残疾人就业政府采购政策的通知》（财库〔2017〕141号）规定的条件并提供《残疾人福利性单位声明函》（附件1）的残疾人福利性单位视同小型、微型企业；</w:t>
      </w:r>
    </w:p>
    <w:p>
      <w:pPr>
        <w:spacing w:line="360" w:lineRule="auto"/>
        <w:ind w:firstLine="480" w:firstLineChars="200"/>
        <w:rPr>
          <w:rFonts w:ascii="宋体" w:hAnsi="宋体" w:cs="宋体"/>
          <w:sz w:val="24"/>
        </w:rPr>
      </w:pPr>
      <w:r>
        <w:rPr>
          <w:rFonts w:hint="eastAsia" w:ascii="宋体" w:hAnsi="宋体" w:cs="宋体"/>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ascii="宋体" w:hAnsi="宋体" w:cs="宋体"/>
          <w:sz w:val="24"/>
        </w:rPr>
      </w:pPr>
      <w:r>
        <w:rPr>
          <w:rFonts w:hint="eastAsia" w:ascii="宋体" w:hAnsi="宋体" w:cs="宋体"/>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pPr>
        <w:spacing w:line="360" w:lineRule="auto"/>
        <w:ind w:firstLine="480" w:firstLineChars="200"/>
        <w:rPr>
          <w:rFonts w:ascii="宋体" w:hAnsi="宋体" w:cs="宋体"/>
          <w:sz w:val="24"/>
        </w:rPr>
      </w:pPr>
      <w:r>
        <w:rPr>
          <w:rFonts w:hint="eastAsia" w:ascii="宋体" w:hAnsi="宋体" w:cs="宋体"/>
          <w:sz w:val="24"/>
        </w:rPr>
        <w:t>3.3.7中小企业享受扶持政策获得政府采购合同的，小微企业不得将合同分包给大中型企业，中型企业不得将合同分包给大型企业。</w:t>
      </w:r>
    </w:p>
    <w:p>
      <w:pPr>
        <w:spacing w:line="360" w:lineRule="auto"/>
        <w:ind w:firstLine="240" w:firstLineChars="100"/>
        <w:rPr>
          <w:rFonts w:ascii="宋体" w:hAnsi="宋体" w:cs="宋体"/>
          <w:sz w:val="24"/>
        </w:rPr>
      </w:pPr>
      <w:r>
        <w:rPr>
          <w:rFonts w:hint="eastAsia" w:ascii="宋体" w:hAnsi="宋体" w:cs="宋体"/>
          <w:sz w:val="24"/>
        </w:rPr>
        <w:t>3.4</w:t>
      </w:r>
      <w:r>
        <w:rPr>
          <w:rFonts w:hint="eastAsia" w:ascii="宋体" w:hAnsi="宋体" w:cs="宋体"/>
          <w:bCs/>
          <w:sz w:val="24"/>
        </w:rPr>
        <w:t>支持创新发展</w:t>
      </w:r>
    </w:p>
    <w:p>
      <w:pPr>
        <w:spacing w:line="360" w:lineRule="auto"/>
        <w:ind w:firstLine="480" w:firstLineChars="200"/>
        <w:rPr>
          <w:rFonts w:ascii="宋体" w:hAnsi="宋体" w:cs="宋体"/>
          <w:sz w:val="24"/>
        </w:rPr>
      </w:pPr>
      <w:r>
        <w:rPr>
          <w:rFonts w:hint="eastAsia" w:ascii="宋体" w:hAnsi="宋体" w:cs="宋体"/>
          <w:sz w:val="24"/>
        </w:rPr>
        <w:t>3.4.1 采购人优先采购被认定为首台套产品和“制造精品”的自主创新产品。</w:t>
      </w:r>
    </w:p>
    <w:p>
      <w:pPr>
        <w:spacing w:line="360" w:lineRule="auto"/>
        <w:ind w:firstLine="480" w:firstLineChars="200"/>
        <w:rPr>
          <w:rFonts w:ascii="宋体" w:hAnsi="宋体" w:cs="宋体"/>
          <w:sz w:val="24"/>
        </w:rPr>
      </w:pPr>
      <w:r>
        <w:rPr>
          <w:rFonts w:hint="eastAsia" w:ascii="宋体" w:hAnsi="宋体" w:cs="宋体"/>
          <w:sz w:val="24"/>
        </w:rPr>
        <w:t>3.4.2首台套产品被纳入《首台套产品推广应用指导目录》之日起</w:t>
      </w:r>
      <w:r>
        <w:rPr>
          <w:rFonts w:ascii="宋体" w:hAnsi="宋体" w:cs="宋体"/>
          <w:sz w:val="24"/>
        </w:rPr>
        <w:t>3</w:t>
      </w:r>
      <w:r>
        <w:rPr>
          <w:rFonts w:hint="eastAsia" w:ascii="宋体" w:hAnsi="宋体" w:cs="宋体"/>
          <w:sz w:val="24"/>
        </w:rPr>
        <w:t>年内，以及产品核心技术高于国内领先水平，并具有明晰自主知识产权的“制造精品”产品，自认定之日起2年内视同已具备相应销售业绩，参加政府采购活动时业绩分值为满分。</w:t>
      </w:r>
    </w:p>
    <w:p>
      <w:pPr>
        <w:spacing w:line="360" w:lineRule="auto"/>
        <w:ind w:firstLine="240" w:firstLineChars="100"/>
        <w:rPr>
          <w:rFonts w:ascii="宋体" w:hAnsi="宋体" w:cs="宋体"/>
          <w:sz w:val="24"/>
        </w:rPr>
      </w:pPr>
      <w:r>
        <w:rPr>
          <w:rFonts w:hint="eastAsia" w:ascii="宋体" w:hAnsi="宋体" w:cs="宋体"/>
          <w:sz w:val="24"/>
        </w:rPr>
        <w:t>3.5平等对待内外资企业和符合条件的破产重整企业</w:t>
      </w:r>
    </w:p>
    <w:p>
      <w:pPr>
        <w:spacing w:line="360" w:lineRule="auto"/>
        <w:ind w:firstLine="480" w:firstLineChars="200"/>
        <w:rPr>
          <w:b/>
        </w:rPr>
      </w:pPr>
      <w:r>
        <w:rPr>
          <w:rFonts w:hint="eastAsia" w:ascii="宋体" w:hAnsi="宋体" w:cs="宋体"/>
          <w:sz w:val="24"/>
        </w:rPr>
        <w:t>平等对待内外资企业和符合条件的破产重整企业，切实保障企业公平竞争，平等维护企业的合法利益。</w:t>
      </w:r>
      <w:r>
        <w:rPr>
          <w:rFonts w:hint="eastAsia" w:ascii="宋体" w:hAnsi="宋体" w:cs="宋体"/>
          <w:sz w:val="24"/>
        </w:rPr>
        <w:cr/>
      </w:r>
      <w:r>
        <w:rPr>
          <w:rFonts w:hint="eastAsia"/>
          <w:b/>
          <w:sz w:val="24"/>
        </w:rPr>
        <w:t>4. 询问、质疑、投诉</w:t>
      </w:r>
    </w:p>
    <w:p>
      <w:pPr>
        <w:pStyle w:val="887"/>
        <w:shd w:val="clear" w:color="auto" w:fill="FFFFFF"/>
        <w:snapToGrid w:val="0"/>
        <w:spacing w:after="240" w:afterAutospacing="0" w:line="360" w:lineRule="auto"/>
        <w:ind w:firstLine="400"/>
        <w:contextualSpacing/>
        <w:rPr>
          <w:lang w:val="zh-CN"/>
        </w:rPr>
      </w:pPr>
      <w:r>
        <w:rPr>
          <w:rFonts w:hint="eastAsia"/>
          <w:lang w:val="zh-CN"/>
        </w:rPr>
        <w:t>4.1在线询问、质疑、投诉</w:t>
      </w:r>
    </w:p>
    <w:p>
      <w:pPr>
        <w:pStyle w:val="887"/>
        <w:shd w:val="clear" w:color="auto" w:fill="FFFFFF"/>
        <w:snapToGrid w:val="0"/>
        <w:spacing w:after="240" w:afterAutospacing="0" w:line="360" w:lineRule="auto"/>
        <w:ind w:firstLine="400"/>
        <w:contextualSpacing/>
        <w:rPr>
          <w:lang w:val="zh-CN"/>
        </w:rPr>
      </w:pPr>
      <w:r>
        <w:rPr>
          <w:rFonts w:hint="eastAsia"/>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autoSpaceDE w:val="0"/>
        <w:autoSpaceDN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4.2供应商询问</w:t>
      </w:r>
    </w:p>
    <w:p>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autoSpaceDE w:val="0"/>
        <w:autoSpaceDN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4.3供应商质疑</w:t>
      </w:r>
    </w:p>
    <w:p>
      <w:pPr>
        <w:pStyle w:val="33"/>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.1提出质疑的供应商应当是参与所质疑项目采购活动的供应商。潜在供应商已依法获取其可质疑的招标文件的，可以对该文件提出质疑。</w:t>
      </w:r>
    </w:p>
    <w:p>
      <w:pPr>
        <w:pStyle w:val="33"/>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2供应商认为招标文件、采购过程和中标结果使自己的权益受到损害的，可以在知道或者应知其权益受到损害之日起七个工作日内，以书面形式向采购人或者采购机构提出质疑，否则，采购人或者采购机构不予受理：</w:t>
      </w:r>
    </w:p>
    <w:p>
      <w:pPr>
        <w:pStyle w:val="15"/>
        <w:spacing w:line="360" w:lineRule="auto"/>
        <w:ind w:firstLine="480" w:firstLineChars="200"/>
        <w:rPr>
          <w:rFonts w:hAnsi="宋体" w:cs="宋体"/>
          <w:snapToGrid/>
          <w:color w:val="auto"/>
          <w:kern w:val="2"/>
          <w:sz w:val="24"/>
        </w:rPr>
      </w:pPr>
      <w:r>
        <w:rPr>
          <w:rFonts w:hint="eastAsia" w:hAnsi="宋体" w:cs="宋体"/>
          <w:snapToGrid/>
          <w:color w:val="auto"/>
          <w:kern w:val="2"/>
          <w:sz w:val="24"/>
        </w:rPr>
        <w:t>4.3.2.1对招标文件提出质疑的，质疑期限为供应商获得招标文件之日或者招标文件公告期限届满之日起计算。</w:t>
      </w:r>
    </w:p>
    <w:p>
      <w:pPr>
        <w:pStyle w:val="33"/>
        <w:spacing w:line="360" w:lineRule="auto"/>
        <w:ind w:left="479" w:leftChars="228"/>
        <w:rPr>
          <w:rFonts w:hAnsi="宋体" w:cs="宋体"/>
          <w:sz w:val="24"/>
        </w:rPr>
      </w:pPr>
      <w:r>
        <w:rPr>
          <w:rFonts w:hint="eastAsia" w:hAnsi="宋体" w:cs="宋体"/>
          <w:sz w:val="24"/>
        </w:rPr>
        <w:t>4.3.2.2对采购过程提出质疑的，质疑期限为各采购程序环节结束之日起计算。4.3.2.3对采购结果提出质疑的，质疑期限自采购结果公告期限届满之日起计算。</w:t>
      </w:r>
    </w:p>
    <w:p>
      <w:pPr>
        <w:pStyle w:val="33"/>
        <w:spacing w:line="360" w:lineRule="auto"/>
        <w:ind w:firstLine="480" w:firstLineChars="200"/>
        <w:rPr>
          <w:rFonts w:hAnsi="宋体" w:cs="宋体"/>
          <w:kern w:val="0"/>
          <w:sz w:val="24"/>
          <w:lang w:val="zh-CN"/>
        </w:rPr>
      </w:pPr>
      <w:r>
        <w:rPr>
          <w:rFonts w:hint="eastAsia" w:hAnsi="宋体" w:cs="宋体"/>
          <w:kern w:val="0"/>
          <w:sz w:val="24"/>
          <w:lang w:val="zh-CN"/>
        </w:rPr>
        <w:t>4.3.3</w:t>
      </w:r>
      <w:r>
        <w:rPr>
          <w:rFonts w:hint="eastAsia" w:hAnsi="宋体" w:cs="宋体"/>
          <w:sz w:val="24"/>
        </w:rPr>
        <w:t>供应商提出质疑应当提交质疑函和必要的证明材料。质疑函应当包括下列内容：</w:t>
      </w:r>
    </w:p>
    <w:p>
      <w:pPr>
        <w:pStyle w:val="33"/>
        <w:spacing w:line="360" w:lineRule="auto"/>
        <w:ind w:firstLine="480" w:firstLineChars="200"/>
        <w:rPr>
          <w:rFonts w:hAnsi="宋体" w:cs="宋体"/>
          <w:kern w:val="0"/>
          <w:sz w:val="24"/>
          <w:lang w:val="zh-CN"/>
        </w:rPr>
      </w:pPr>
      <w:r>
        <w:rPr>
          <w:rFonts w:hint="eastAsia" w:hAnsi="宋体" w:cs="宋体"/>
          <w:kern w:val="0"/>
          <w:sz w:val="24"/>
          <w:lang w:val="zh-CN"/>
        </w:rPr>
        <w:t>　　4.3.3.1供应商的姓名或者名称、地址、邮编、联系人及联系电话；</w:t>
      </w:r>
    </w:p>
    <w:p>
      <w:pPr>
        <w:pStyle w:val="33"/>
        <w:spacing w:line="360" w:lineRule="auto"/>
        <w:ind w:firstLine="480" w:firstLineChars="200"/>
        <w:rPr>
          <w:rFonts w:hAnsi="宋体" w:cs="宋体"/>
          <w:kern w:val="0"/>
          <w:sz w:val="24"/>
          <w:lang w:val="zh-CN"/>
        </w:rPr>
      </w:pPr>
      <w:r>
        <w:rPr>
          <w:rFonts w:hint="eastAsia" w:hAnsi="宋体" w:cs="宋体"/>
          <w:kern w:val="0"/>
          <w:sz w:val="24"/>
          <w:lang w:val="zh-CN"/>
        </w:rPr>
        <w:t>　　4.3.3.2质疑项目的名称、编号；</w:t>
      </w:r>
    </w:p>
    <w:p>
      <w:pPr>
        <w:pStyle w:val="33"/>
        <w:spacing w:line="360" w:lineRule="auto"/>
        <w:ind w:firstLine="480" w:firstLineChars="200"/>
        <w:rPr>
          <w:rFonts w:hAnsi="宋体" w:cs="宋体"/>
          <w:kern w:val="0"/>
          <w:sz w:val="24"/>
          <w:lang w:val="zh-CN"/>
        </w:rPr>
      </w:pPr>
      <w:r>
        <w:rPr>
          <w:rFonts w:hint="eastAsia" w:hAnsi="宋体" w:cs="宋体"/>
          <w:kern w:val="0"/>
          <w:sz w:val="24"/>
          <w:lang w:val="zh-CN"/>
        </w:rPr>
        <w:t>　　4.3.3.3具体、明确的质疑事项和与质疑事项相关的请求；</w:t>
      </w:r>
    </w:p>
    <w:p>
      <w:pPr>
        <w:pStyle w:val="33"/>
        <w:spacing w:line="360" w:lineRule="auto"/>
        <w:ind w:firstLine="480" w:firstLineChars="200"/>
        <w:rPr>
          <w:rFonts w:hAnsi="宋体" w:cs="宋体"/>
          <w:kern w:val="0"/>
          <w:sz w:val="24"/>
          <w:lang w:val="zh-CN"/>
        </w:rPr>
      </w:pPr>
      <w:r>
        <w:rPr>
          <w:rFonts w:hint="eastAsia" w:hAnsi="宋体" w:cs="宋体"/>
          <w:kern w:val="0"/>
          <w:sz w:val="24"/>
          <w:lang w:val="zh-CN"/>
        </w:rPr>
        <w:t>　　4.3.3.4事实依据；</w:t>
      </w:r>
    </w:p>
    <w:p>
      <w:pPr>
        <w:pStyle w:val="33"/>
        <w:spacing w:line="360" w:lineRule="auto"/>
        <w:ind w:firstLine="480" w:firstLineChars="200"/>
        <w:rPr>
          <w:rFonts w:hAnsi="宋体" w:cs="宋体"/>
          <w:kern w:val="0"/>
          <w:sz w:val="24"/>
          <w:lang w:val="zh-CN"/>
        </w:rPr>
      </w:pPr>
      <w:r>
        <w:rPr>
          <w:rFonts w:hint="eastAsia" w:hAnsi="宋体" w:cs="宋体"/>
          <w:kern w:val="0"/>
          <w:sz w:val="24"/>
          <w:lang w:val="zh-CN"/>
        </w:rPr>
        <w:t>　　4.3.3.5必要的法律依据；</w:t>
      </w:r>
    </w:p>
    <w:p>
      <w:pPr>
        <w:pStyle w:val="33"/>
        <w:spacing w:line="360" w:lineRule="auto"/>
        <w:ind w:firstLine="960" w:firstLineChars="400"/>
        <w:rPr>
          <w:rFonts w:hAnsi="宋体" w:cs="宋体"/>
          <w:kern w:val="0"/>
          <w:sz w:val="24"/>
          <w:lang w:val="zh-CN"/>
        </w:rPr>
      </w:pPr>
      <w:r>
        <w:rPr>
          <w:rFonts w:hint="eastAsia" w:hAnsi="宋体" w:cs="宋体"/>
          <w:kern w:val="0"/>
          <w:sz w:val="24"/>
          <w:lang w:val="zh-CN"/>
        </w:rPr>
        <w:t>4.3.3.6提出质疑的日期。</w:t>
      </w:r>
    </w:p>
    <w:p>
      <w:pPr>
        <w:pStyle w:val="887"/>
        <w:shd w:val="clear" w:color="auto" w:fill="FFFFFF"/>
        <w:snapToGrid w:val="0"/>
        <w:spacing w:after="240" w:afterAutospacing="0" w:line="360" w:lineRule="auto"/>
        <w:ind w:firstLine="400"/>
        <w:contextualSpacing/>
      </w:pPr>
      <w:r>
        <w:rPr>
          <w:rFonts w:hint="eastAsia"/>
        </w:rPr>
        <w:t>供应商提交的质疑函需一式三份。供应商为自然人的，应当由本人签字；供应商为法人或者其他组织的，应当由法定代表人、主要负责人，或者其授权代表签字或者盖章，并加盖公章。</w:t>
      </w:r>
    </w:p>
    <w:p>
      <w:pPr>
        <w:pStyle w:val="887"/>
        <w:shd w:val="clear" w:color="auto" w:fill="FFFFFF"/>
        <w:snapToGrid w:val="0"/>
        <w:spacing w:after="240" w:afterAutospacing="0" w:line="360" w:lineRule="auto"/>
        <w:ind w:firstLine="400"/>
        <w:contextualSpacing/>
      </w:pPr>
      <w:r>
        <w:rPr>
          <w:rFonts w:hint="eastAsia"/>
        </w:rPr>
        <w:t>质疑函范本及制作说明详见附件2。</w:t>
      </w:r>
    </w:p>
    <w:p>
      <w:pPr>
        <w:pStyle w:val="887"/>
        <w:shd w:val="clear" w:color="auto" w:fill="FFFFFF"/>
        <w:snapToGrid w:val="0"/>
        <w:spacing w:after="240" w:afterAutospacing="0" w:line="360" w:lineRule="auto"/>
        <w:ind w:firstLine="400"/>
        <w:contextualSpacing/>
      </w:pPr>
      <w:r>
        <w:rPr>
          <w:rFonts w:hint="eastAsia"/>
        </w:rPr>
        <w:t>4.3.4对同一采购程序环节的质疑，供应商须在法定质疑期内一次性提出。</w:t>
      </w:r>
    </w:p>
    <w:p>
      <w:pPr>
        <w:pStyle w:val="887"/>
        <w:shd w:val="clear" w:color="auto" w:fill="FFFFFF"/>
        <w:snapToGrid w:val="0"/>
        <w:spacing w:after="240" w:afterAutospacing="0" w:line="360" w:lineRule="auto"/>
        <w:ind w:firstLine="400"/>
        <w:contextualSpacing/>
        <w:rPr>
          <w:rFonts w:hint="eastAsia"/>
        </w:rPr>
      </w:pPr>
      <w:r>
        <w:rPr>
          <w:rFonts w:hint="eastAsia"/>
          <w:lang w:val="zh-CN"/>
        </w:rPr>
        <w:t>4.3</w:t>
      </w:r>
      <w:r>
        <w:rPr>
          <w:rFonts w:hint="eastAsia"/>
        </w:rPr>
        <w:t>.5采购人或者采购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机构在质疑回复后5个工作日内，在浙江政府采购网的“其他公告”栏目公开质疑答复，答复内容应当完整。质疑函作为附件上传。</w:t>
      </w:r>
    </w:p>
    <w:p>
      <w:pPr>
        <w:pStyle w:val="887"/>
        <w:shd w:val="clear" w:color="auto" w:fill="FFFFFF"/>
        <w:snapToGrid w:val="0"/>
        <w:spacing w:after="240" w:line="360" w:lineRule="auto"/>
        <w:ind w:firstLine="400"/>
        <w:contextualSpacing/>
        <w:rPr>
          <w:rFonts w:hint="eastAsia" w:ascii="宋体" w:hAnsi="宋体" w:eastAsia="宋体"/>
          <w:color w:val="auto"/>
          <w:sz w:val="24"/>
          <w:highlight w:val="none"/>
        </w:rPr>
      </w:pPr>
      <w:r>
        <w:rPr>
          <w:rFonts w:hint="eastAsia" w:ascii="宋体" w:hAnsi="宋体" w:eastAsia="宋体"/>
          <w:color w:val="auto"/>
          <w:sz w:val="24"/>
          <w:highlight w:val="none"/>
        </w:rPr>
        <w:t>根据采购人与采购机构</w:t>
      </w:r>
      <w:r>
        <w:rPr>
          <w:rFonts w:hint="eastAsia"/>
          <w:color w:val="auto"/>
          <w:sz w:val="24"/>
          <w:highlight w:val="none"/>
          <w:lang w:val="en-US" w:eastAsia="zh-CN"/>
        </w:rPr>
        <w:t>在</w:t>
      </w:r>
      <w:r>
        <w:rPr>
          <w:rFonts w:hint="eastAsia" w:ascii="宋体" w:hAnsi="宋体" w:eastAsia="宋体"/>
          <w:color w:val="auto"/>
          <w:sz w:val="24"/>
          <w:highlight w:val="none"/>
        </w:rPr>
        <w:t>政采云平台上双方签署</w:t>
      </w:r>
      <w:r>
        <w:rPr>
          <w:rFonts w:hint="eastAsia"/>
          <w:color w:val="auto"/>
          <w:sz w:val="24"/>
          <w:highlight w:val="none"/>
          <w:lang w:eastAsia="zh-CN"/>
        </w:rPr>
        <w:t>是</w:t>
      </w:r>
      <w:r>
        <w:rPr>
          <w:rFonts w:hint="eastAsia" w:ascii="宋体" w:hAnsi="宋体" w:eastAsia="宋体"/>
          <w:color w:val="auto"/>
          <w:sz w:val="24"/>
          <w:highlight w:val="none"/>
        </w:rPr>
        <w:t>《</w:t>
      </w:r>
      <w:r>
        <w:rPr>
          <w:rFonts w:hint="eastAsia"/>
          <w:color w:val="auto"/>
          <w:sz w:val="24"/>
          <w:highlight w:val="none"/>
          <w:lang w:val="en-US" w:eastAsia="zh-CN"/>
        </w:rPr>
        <w:t>政府采购</w:t>
      </w:r>
      <w:r>
        <w:rPr>
          <w:rFonts w:hint="eastAsia" w:ascii="宋体" w:hAnsi="宋体" w:eastAsia="宋体"/>
          <w:color w:val="auto"/>
          <w:sz w:val="24"/>
          <w:highlight w:val="none"/>
        </w:rPr>
        <w:t>委托协议</w:t>
      </w:r>
      <w:r>
        <w:rPr>
          <w:rFonts w:hint="eastAsia"/>
          <w:color w:val="auto"/>
          <w:sz w:val="24"/>
          <w:highlight w:val="none"/>
          <w:lang w:eastAsia="zh-CN"/>
        </w:rPr>
        <w:t>（</w:t>
      </w:r>
      <w:r>
        <w:rPr>
          <w:rFonts w:hint="eastAsia"/>
          <w:color w:val="auto"/>
          <w:sz w:val="24"/>
          <w:highlight w:val="none"/>
          <w:lang w:val="en-US" w:eastAsia="zh-CN"/>
        </w:rPr>
        <w:t>年度</w:t>
      </w:r>
      <w:r>
        <w:rPr>
          <w:rFonts w:hint="eastAsia"/>
          <w:color w:val="auto"/>
          <w:sz w:val="24"/>
          <w:highlight w:val="none"/>
          <w:lang w:eastAsia="zh-CN"/>
        </w:rPr>
        <w:t>）</w:t>
      </w:r>
      <w:r>
        <w:rPr>
          <w:rFonts w:hint="eastAsia" w:ascii="宋体" w:hAnsi="宋体" w:eastAsia="宋体"/>
          <w:color w:val="auto"/>
          <w:sz w:val="24"/>
          <w:highlight w:val="none"/>
        </w:rPr>
        <w:t>》的</w:t>
      </w:r>
      <w:r>
        <w:rPr>
          <w:rFonts w:hint="eastAsia"/>
          <w:color w:val="auto"/>
          <w:sz w:val="24"/>
          <w:highlight w:val="none"/>
          <w:lang w:val="en-US" w:eastAsia="zh-CN"/>
        </w:rPr>
        <w:t>约</w:t>
      </w:r>
      <w:r>
        <w:rPr>
          <w:rFonts w:hint="eastAsia" w:ascii="宋体" w:hAnsi="宋体" w:eastAsia="宋体"/>
          <w:color w:val="auto"/>
          <w:sz w:val="24"/>
          <w:highlight w:val="none"/>
        </w:rPr>
        <w:t>定，质疑答复责任主体如下：</w:t>
      </w:r>
    </w:p>
    <w:p>
      <w:pPr>
        <w:widowControl/>
        <w:adjustRightInd/>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54" w:type="dxa"/>
            <w:gridSpan w:val="2"/>
            <w:vAlign w:val="center"/>
          </w:tcPr>
          <w:p>
            <w:pPr>
              <w:pStyle w:val="33"/>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质疑内容</w:t>
            </w:r>
          </w:p>
        </w:tc>
        <w:tc>
          <w:tcPr>
            <w:tcW w:w="2232" w:type="dxa"/>
            <w:vAlign w:val="center"/>
          </w:tcPr>
          <w:p>
            <w:pPr>
              <w:pStyle w:val="33"/>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vAlign w:val="center"/>
          </w:tcPr>
          <w:p>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w:t>
            </w:r>
            <w:r>
              <w:rPr>
                <w:rFonts w:hint="eastAsia" w:asciiTheme="minorEastAsia" w:hAnsiTheme="minorEastAsia" w:eastAsiaTheme="minorEastAsia"/>
                <w:color w:val="auto"/>
                <w:sz w:val="24"/>
                <w:szCs w:val="21"/>
                <w:highlight w:val="none"/>
              </w:rPr>
              <w:t>“申请人的资格要求”、“采购需求”、“评审办法”、“采购合同的主要条款”、“采购文件前附表内容”、“报价内容”</w:t>
            </w:r>
            <w:r>
              <w:rPr>
                <w:rFonts w:hint="eastAsia" w:asciiTheme="minorEastAsia" w:hAnsiTheme="minorEastAsia" w:eastAsiaTheme="minorEastAsia"/>
                <w:color w:val="auto"/>
                <w:sz w:val="24"/>
                <w:highlight w:val="none"/>
              </w:rPr>
              <w:t>的质疑</w:t>
            </w:r>
          </w:p>
        </w:tc>
        <w:tc>
          <w:tcPr>
            <w:tcW w:w="2232" w:type="dxa"/>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3"/>
              <w:spacing w:line="360" w:lineRule="auto"/>
              <w:jc w:val="center"/>
              <w:rPr>
                <w:rFonts w:asciiTheme="minorEastAsia" w:hAnsiTheme="minorEastAsia" w:eastAsiaTheme="minorEastAsia"/>
                <w:color w:val="auto"/>
                <w:sz w:val="24"/>
                <w:highlight w:val="none"/>
              </w:rPr>
            </w:pPr>
          </w:p>
        </w:tc>
        <w:tc>
          <w:tcPr>
            <w:tcW w:w="4536" w:type="dxa"/>
            <w:vAlign w:val="center"/>
          </w:tcPr>
          <w:p>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采购结果</w:t>
            </w:r>
            <w:r>
              <w:rPr>
                <w:rFonts w:hint="eastAsia" w:asciiTheme="minorEastAsia" w:hAnsiTheme="minorEastAsia" w:eastAsiaTheme="minorEastAsia"/>
                <w:color w:val="auto"/>
                <w:sz w:val="24"/>
                <w:highlight w:val="none"/>
              </w:rPr>
              <w:t>提出质疑</w:t>
            </w:r>
          </w:p>
        </w:tc>
        <w:tc>
          <w:tcPr>
            <w:tcW w:w="4536" w:type="dxa"/>
            <w:vAlign w:val="center"/>
          </w:tcPr>
          <w:p>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1"/>
                <w:highlight w:val="none"/>
              </w:rPr>
              <w:t>对“现场考察、答疑会”、 “甲方负责接收和保存的样品” 、“资格审查”等由</w:t>
            </w:r>
            <w:r>
              <w:rPr>
                <w:rFonts w:hint="eastAsia" w:asciiTheme="minorEastAsia" w:hAnsiTheme="minorEastAsia" w:eastAsiaTheme="minorEastAsia"/>
                <w:color w:val="auto"/>
                <w:sz w:val="24"/>
                <w:szCs w:val="21"/>
                <w:highlight w:val="none"/>
                <w:lang w:val="en-US" w:eastAsia="zh-CN"/>
              </w:rPr>
              <w:t>采购人</w:t>
            </w:r>
            <w:r>
              <w:rPr>
                <w:rFonts w:hint="eastAsia" w:asciiTheme="minorEastAsia" w:hAnsiTheme="minorEastAsia" w:eastAsiaTheme="minorEastAsia"/>
                <w:color w:val="auto"/>
                <w:sz w:val="24"/>
                <w:szCs w:val="21"/>
                <w:highlight w:val="none"/>
              </w:rPr>
              <w:t>负责组织的环节的质疑</w:t>
            </w:r>
          </w:p>
        </w:tc>
        <w:tc>
          <w:tcPr>
            <w:tcW w:w="2232" w:type="dxa"/>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518" w:type="dxa"/>
            <w:vMerge w:val="continue"/>
            <w:vAlign w:val="center"/>
          </w:tcPr>
          <w:p>
            <w:pPr>
              <w:pStyle w:val="33"/>
              <w:spacing w:line="360" w:lineRule="auto"/>
              <w:jc w:val="center"/>
              <w:rPr>
                <w:rFonts w:asciiTheme="minorEastAsia" w:hAnsiTheme="minorEastAsia" w:eastAsiaTheme="minorEastAsia"/>
                <w:color w:val="auto"/>
                <w:sz w:val="24"/>
                <w:highlight w:val="none"/>
              </w:rPr>
            </w:pPr>
          </w:p>
        </w:tc>
        <w:tc>
          <w:tcPr>
            <w:tcW w:w="4536" w:type="dxa"/>
            <w:vAlign w:val="center"/>
          </w:tcPr>
          <w:p>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采购结果其他</w:t>
            </w:r>
            <w:r>
              <w:rPr>
                <w:rFonts w:hint="eastAsia" w:asciiTheme="minorEastAsia" w:hAnsiTheme="minorEastAsia" w:eastAsiaTheme="minorEastAsia"/>
                <w:color w:val="auto"/>
                <w:sz w:val="24"/>
                <w:szCs w:val="21"/>
                <w:highlight w:val="none"/>
              </w:rPr>
              <w:t>环节的质疑</w:t>
            </w:r>
          </w:p>
        </w:tc>
        <w:tc>
          <w:tcPr>
            <w:tcW w:w="2232" w:type="dxa"/>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采购机构</w:t>
            </w:r>
          </w:p>
        </w:tc>
      </w:tr>
    </w:tbl>
    <w:p>
      <w:pPr>
        <w:pStyle w:val="887"/>
        <w:shd w:val="clear" w:color="auto" w:fill="FFFFFF"/>
        <w:snapToGrid w:val="0"/>
        <w:spacing w:after="240" w:afterAutospacing="0" w:line="360" w:lineRule="auto"/>
        <w:ind w:firstLine="400"/>
        <w:contextualSpacing/>
      </w:pPr>
      <w:r>
        <w:rPr>
          <w:rFonts w:hint="eastAsia"/>
          <w:lang w:val="zh-CN"/>
        </w:rPr>
        <w:t>4.3</w:t>
      </w:r>
      <w:r>
        <w:rPr>
          <w:rFonts w:hint="eastAsia"/>
        </w:rPr>
        <w:t>.6询问或者质疑事项可能影响采购结果的，采购人应当暂停签订合同，已经签订合同的，应当中止履行合同。</w:t>
      </w:r>
    </w:p>
    <w:p>
      <w:pPr>
        <w:pStyle w:val="887"/>
        <w:shd w:val="clear" w:color="auto" w:fill="FFFFFF"/>
        <w:snapToGrid w:val="0"/>
        <w:spacing w:after="240" w:afterAutospacing="0" w:line="360" w:lineRule="auto"/>
        <w:ind w:firstLine="480" w:firstLineChars="200"/>
        <w:contextualSpacing/>
        <w:rPr>
          <w:lang w:val="zh-CN"/>
        </w:rPr>
      </w:pPr>
      <w:r>
        <w:rPr>
          <w:rFonts w:hint="eastAsia"/>
          <w:lang w:val="zh-CN"/>
        </w:rPr>
        <w:t>4.4供应商投诉</w:t>
      </w:r>
    </w:p>
    <w:p>
      <w:pPr>
        <w:pStyle w:val="887"/>
        <w:shd w:val="clear" w:color="auto" w:fill="FFFFFF"/>
        <w:snapToGrid w:val="0"/>
        <w:spacing w:after="240" w:afterAutospacing="0" w:line="360" w:lineRule="auto"/>
        <w:ind w:firstLine="400"/>
        <w:contextualSpacing/>
      </w:pPr>
      <w:r>
        <w:rPr>
          <w:rFonts w:hint="eastAsia"/>
        </w:rPr>
        <w:t>4.4.1质疑供应商对采购人、采购机构的答复不满意或者采购人、采购机构未在规定的时间内作出答复的，可以在答复期满后十五个工作日内向同级政府采购监督管理部门提出投诉。</w:t>
      </w:r>
    </w:p>
    <w:p>
      <w:pPr>
        <w:pStyle w:val="887"/>
        <w:shd w:val="clear" w:color="auto" w:fill="FFFFFF"/>
        <w:snapToGrid w:val="0"/>
        <w:spacing w:after="240" w:afterAutospacing="0" w:line="360" w:lineRule="auto"/>
        <w:ind w:firstLine="400"/>
        <w:contextualSpacing/>
      </w:pPr>
      <w:r>
        <w:rPr>
          <w:rFonts w:hint="eastAsia"/>
        </w:rPr>
        <w:t>4.4.</w:t>
      </w:r>
      <w:r>
        <w:rPr>
          <w:rFonts w:hint="eastAsia"/>
          <w:lang w:val="zh-CN"/>
        </w:rPr>
        <w:t>2</w:t>
      </w:r>
      <w:r>
        <w:rPr>
          <w:rFonts w:hint="eastAsia"/>
        </w:rPr>
        <w:t>供应商投诉的事项不得超出已质疑事项的范围，基于质疑答复内容提出的投诉事项除外。</w:t>
      </w:r>
    </w:p>
    <w:p>
      <w:pPr>
        <w:pStyle w:val="887"/>
        <w:shd w:val="clear" w:color="auto" w:fill="FFFFFF"/>
        <w:snapToGrid w:val="0"/>
        <w:spacing w:after="240" w:afterAutospacing="0" w:line="360" w:lineRule="auto"/>
        <w:ind w:firstLine="400"/>
        <w:contextualSpacing/>
      </w:pPr>
      <w:r>
        <w:rPr>
          <w:rFonts w:hint="eastAsia"/>
        </w:rPr>
        <w:t>4.4.3供应商投诉应当有明确的请求和必要的证明材料。</w:t>
      </w:r>
    </w:p>
    <w:p>
      <w:pPr>
        <w:pStyle w:val="887"/>
        <w:shd w:val="clear" w:color="auto" w:fill="FFFFFF"/>
        <w:snapToGrid w:val="0"/>
        <w:spacing w:after="240" w:afterAutospacing="0" w:line="360" w:lineRule="auto"/>
        <w:ind w:firstLine="400"/>
        <w:contextualSpacing/>
      </w:pPr>
      <w:r>
        <w:rPr>
          <w:rFonts w:hint="eastAsia"/>
        </w:rPr>
        <w:t>4.4.4 以联合体形式参加政府采购活动的，其投诉应当由组成联合体的所有供应商共同提出。</w:t>
      </w:r>
    </w:p>
    <w:p>
      <w:pPr>
        <w:pStyle w:val="887"/>
        <w:shd w:val="clear" w:color="auto" w:fill="FFFFFF"/>
        <w:snapToGrid w:val="0"/>
        <w:spacing w:after="240" w:afterAutospacing="0" w:line="360" w:lineRule="auto"/>
        <w:ind w:firstLine="400"/>
        <w:contextualSpacing/>
      </w:pPr>
      <w:r>
        <w:rPr>
          <w:rFonts w:hint="eastAsia"/>
        </w:rPr>
        <w:t>4.4.5</w:t>
      </w:r>
      <w:r>
        <w:rPr>
          <w:rFonts w:hint="eastAsia"/>
          <w:color w:val="auto"/>
          <w:highlight w:val="none"/>
        </w:rPr>
        <w:t>浙江省本级、杭州市本级、拱墅区、</w:t>
      </w:r>
      <w:r>
        <w:rPr>
          <w:rFonts w:hint="eastAsia"/>
          <w:color w:val="auto"/>
          <w:highlight w:val="none"/>
          <w:lang w:val="en-US" w:eastAsia="zh-CN"/>
        </w:rPr>
        <w:t>西湖区、</w:t>
      </w:r>
      <w:r>
        <w:rPr>
          <w:rFonts w:hint="eastAsia"/>
          <w:color w:val="auto"/>
          <w:highlight w:val="none"/>
        </w:rPr>
        <w:t>富阳区政府采购项目投诉材料可寄送至浙江省政府采购行政裁决服务中心（杭州），地址：杭州市上城区四季青街道新业路市民之家G03办公室，收件人：朱女士、王女士，电话：0571-85252453。</w:t>
      </w:r>
    </w:p>
    <w:p>
      <w:pPr>
        <w:pStyle w:val="887"/>
        <w:shd w:val="clear" w:color="auto" w:fill="FFFFFF"/>
        <w:snapToGrid w:val="0"/>
        <w:spacing w:after="240" w:afterAutospacing="0" w:line="360" w:lineRule="auto"/>
        <w:ind w:firstLine="400"/>
        <w:contextualSpacing/>
        <w:rPr>
          <w:rFonts w:hint="eastAsia"/>
        </w:rPr>
      </w:pPr>
      <w:r>
        <w:rPr>
          <w:rFonts w:hint="eastAsia"/>
        </w:rPr>
        <w:t>投诉书范本及制作说明详见附件3。</w:t>
      </w:r>
    </w:p>
    <w:p>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 补偿救济</w:t>
      </w:r>
    </w:p>
    <w:p>
      <w:pPr>
        <w:pStyle w:val="887"/>
        <w:shd w:val="clear" w:color="auto" w:fill="FFFFFF"/>
        <w:snapToGrid w:val="0"/>
        <w:spacing w:before="0" w:beforeAutospacing="0" w:after="240" w:afterAutospacing="0" w:line="360" w:lineRule="auto"/>
        <w:ind w:firstLine="400"/>
        <w:contextualSpacing/>
        <w:rPr>
          <w:rFonts w:hint="eastAsia"/>
          <w:color w:val="auto"/>
          <w:highlight w:val="none"/>
        </w:rPr>
      </w:pPr>
      <w:r>
        <w:rPr>
          <w:rFonts w:hint="eastAsia" w:ascii="宋体" w:hAnsi="宋体" w:cs="宋体"/>
          <w:color w:val="auto"/>
          <w:sz w:val="24"/>
          <w:highlight w:val="none"/>
        </w:rPr>
        <w:t>采购人（行政机关）因政策变化、规划调整而不履行政府采购合同的，供应商可依据《杭州市涉企补偿救济实施办法（试行）》向采购人（行政机关）提起补偿申请。</w:t>
      </w:r>
    </w:p>
    <w:p>
      <w:pPr>
        <w:pStyle w:val="887"/>
        <w:shd w:val="clear" w:color="auto" w:fill="FFFFFF"/>
        <w:snapToGrid w:val="0"/>
        <w:spacing w:after="240" w:afterAutospacing="0" w:line="360" w:lineRule="auto"/>
        <w:ind w:firstLine="400"/>
        <w:contextualSpacing/>
        <w:rPr>
          <w:rFonts w:hint="eastAsia"/>
        </w:rPr>
      </w:pPr>
    </w:p>
    <w:p>
      <w:pPr>
        <w:pStyle w:val="887"/>
        <w:shd w:val="clear" w:color="auto" w:fill="FFFFFF"/>
        <w:snapToGrid w:val="0"/>
        <w:spacing w:after="240" w:afterAutospacing="0" w:line="360" w:lineRule="auto"/>
        <w:ind w:firstLine="400"/>
        <w:contextualSpacing/>
        <w:rPr>
          <w:rFonts w:hint="eastAsia"/>
        </w:rPr>
      </w:pPr>
    </w:p>
    <w:p>
      <w:pPr>
        <w:pStyle w:val="129"/>
        <w:snapToGrid w:val="0"/>
        <w:spacing w:before="0"/>
        <w:ind w:firstLine="360"/>
        <w:rPr>
          <w:rFonts w:ascii="宋体" w:hAnsi="宋体" w:cs="宋体"/>
          <w:sz w:val="18"/>
          <w:szCs w:val="18"/>
        </w:rPr>
      </w:pPr>
    </w:p>
    <w:p>
      <w:pPr>
        <w:adjustRightInd/>
        <w:spacing w:line="360" w:lineRule="auto"/>
        <w:jc w:val="center"/>
        <w:outlineLvl w:val="0"/>
        <w:rPr>
          <w:rFonts w:ascii="宋体" w:hAnsi="宋体" w:cs="宋体"/>
          <w:b/>
          <w:sz w:val="32"/>
          <w:szCs w:val="20"/>
        </w:rPr>
      </w:pPr>
      <w:r>
        <w:rPr>
          <w:rFonts w:hint="eastAsia" w:ascii="宋体" w:hAnsi="宋体" w:cs="宋体"/>
          <w:b/>
          <w:sz w:val="32"/>
          <w:szCs w:val="20"/>
        </w:rPr>
        <w:t xml:space="preserve">      二、招标文件的构成、澄清、修改</w:t>
      </w:r>
    </w:p>
    <w:p>
      <w:pPr>
        <w:pStyle w:val="33"/>
        <w:spacing w:line="360" w:lineRule="auto"/>
        <w:rPr>
          <w:rFonts w:hAnsi="宋体" w:cs="宋体"/>
          <w:b/>
          <w:sz w:val="24"/>
          <w:szCs w:val="24"/>
        </w:rPr>
      </w:pPr>
      <w:r>
        <w:rPr>
          <w:rFonts w:hint="eastAsia" w:hAnsi="宋体" w:cs="宋体"/>
          <w:b/>
          <w:sz w:val="24"/>
          <w:szCs w:val="24"/>
        </w:rPr>
        <w:t>5．招标文件的构成</w:t>
      </w:r>
    </w:p>
    <w:p>
      <w:pPr>
        <w:pStyle w:val="33"/>
        <w:spacing w:line="360" w:lineRule="auto"/>
        <w:ind w:firstLine="480" w:firstLineChars="200"/>
        <w:rPr>
          <w:rFonts w:hAnsi="宋体" w:cs="宋体"/>
          <w:sz w:val="24"/>
          <w:szCs w:val="24"/>
        </w:rPr>
      </w:pPr>
      <w:r>
        <w:rPr>
          <w:rFonts w:hint="eastAsia" w:hAnsi="宋体" w:cs="宋体"/>
          <w:sz w:val="24"/>
          <w:szCs w:val="24"/>
        </w:rPr>
        <w:t>5.1 招标文件包括下列文件及附件：</w:t>
      </w:r>
    </w:p>
    <w:p>
      <w:pPr>
        <w:pStyle w:val="33"/>
        <w:tabs>
          <w:tab w:val="left" w:pos="840"/>
        </w:tabs>
        <w:spacing w:line="360" w:lineRule="auto"/>
        <w:ind w:firstLine="960" w:firstLineChars="400"/>
        <w:rPr>
          <w:rFonts w:hAnsi="宋体" w:cs="宋体"/>
          <w:sz w:val="24"/>
          <w:szCs w:val="24"/>
        </w:rPr>
      </w:pPr>
      <w:r>
        <w:rPr>
          <w:rFonts w:hint="eastAsia" w:hAnsi="宋体" w:cs="宋体"/>
          <w:sz w:val="24"/>
          <w:szCs w:val="24"/>
        </w:rPr>
        <w:t>5.1.1招标公告；</w:t>
      </w:r>
    </w:p>
    <w:p>
      <w:pPr>
        <w:pStyle w:val="33"/>
        <w:tabs>
          <w:tab w:val="left" w:pos="840"/>
        </w:tabs>
        <w:spacing w:line="360" w:lineRule="auto"/>
        <w:ind w:firstLine="960" w:firstLineChars="400"/>
        <w:rPr>
          <w:rFonts w:hAnsi="宋体" w:cs="宋体"/>
          <w:sz w:val="24"/>
          <w:szCs w:val="24"/>
        </w:rPr>
      </w:pPr>
      <w:r>
        <w:rPr>
          <w:rFonts w:hint="eastAsia" w:hAnsi="宋体" w:cs="宋体"/>
          <w:sz w:val="24"/>
          <w:szCs w:val="24"/>
        </w:rPr>
        <w:t>5.1.2投标人须知；</w:t>
      </w:r>
    </w:p>
    <w:p>
      <w:pPr>
        <w:pStyle w:val="33"/>
        <w:tabs>
          <w:tab w:val="left" w:pos="840"/>
        </w:tabs>
        <w:spacing w:line="360" w:lineRule="auto"/>
        <w:ind w:firstLine="960" w:firstLineChars="400"/>
        <w:rPr>
          <w:rFonts w:hAnsi="宋体" w:cs="宋体"/>
          <w:sz w:val="24"/>
          <w:szCs w:val="24"/>
        </w:rPr>
      </w:pPr>
      <w:r>
        <w:rPr>
          <w:rFonts w:hint="eastAsia" w:hAnsi="宋体" w:cs="宋体"/>
          <w:sz w:val="24"/>
          <w:szCs w:val="24"/>
        </w:rPr>
        <w:t>5.1.3采购需求；</w:t>
      </w:r>
    </w:p>
    <w:p>
      <w:pPr>
        <w:pStyle w:val="33"/>
        <w:tabs>
          <w:tab w:val="left" w:pos="840"/>
        </w:tabs>
        <w:spacing w:line="360" w:lineRule="auto"/>
        <w:ind w:firstLine="960" w:firstLineChars="400"/>
        <w:rPr>
          <w:rFonts w:hAnsi="宋体" w:cs="宋体"/>
          <w:sz w:val="24"/>
          <w:szCs w:val="24"/>
        </w:rPr>
      </w:pPr>
      <w:r>
        <w:rPr>
          <w:rFonts w:hint="eastAsia" w:hAnsi="宋体" w:cs="宋体"/>
          <w:sz w:val="24"/>
          <w:szCs w:val="24"/>
        </w:rPr>
        <w:t>5.1.4评标办法；</w:t>
      </w:r>
    </w:p>
    <w:p>
      <w:pPr>
        <w:pStyle w:val="33"/>
        <w:tabs>
          <w:tab w:val="left" w:pos="840"/>
        </w:tabs>
        <w:spacing w:line="360" w:lineRule="auto"/>
        <w:ind w:firstLine="960" w:firstLineChars="400"/>
        <w:rPr>
          <w:rFonts w:hAnsi="宋体" w:cs="宋体"/>
          <w:sz w:val="24"/>
          <w:szCs w:val="24"/>
        </w:rPr>
      </w:pPr>
      <w:r>
        <w:rPr>
          <w:rFonts w:hint="eastAsia" w:hAnsi="宋体" w:cs="宋体"/>
          <w:sz w:val="24"/>
          <w:szCs w:val="24"/>
        </w:rPr>
        <w:t>5.1.5拟签订的合同文本；</w:t>
      </w:r>
    </w:p>
    <w:p>
      <w:pPr>
        <w:pStyle w:val="33"/>
        <w:tabs>
          <w:tab w:val="left" w:pos="840"/>
        </w:tabs>
        <w:spacing w:line="360" w:lineRule="auto"/>
        <w:ind w:firstLine="960" w:firstLineChars="400"/>
        <w:rPr>
          <w:rFonts w:hAnsi="宋体" w:cs="宋体"/>
          <w:sz w:val="24"/>
          <w:szCs w:val="24"/>
        </w:rPr>
      </w:pPr>
      <w:r>
        <w:rPr>
          <w:rFonts w:hint="eastAsia" w:hAnsi="宋体" w:cs="宋体"/>
          <w:sz w:val="24"/>
        </w:rPr>
        <w:t>5.1.6</w:t>
      </w:r>
      <w:r>
        <w:rPr>
          <w:rFonts w:hint="eastAsia" w:hAnsi="宋体" w:cs="宋体"/>
          <w:sz w:val="24"/>
          <w:szCs w:val="24"/>
        </w:rPr>
        <w:t>应提交的有关格式范例。</w:t>
      </w:r>
    </w:p>
    <w:p>
      <w:pPr>
        <w:spacing w:line="360" w:lineRule="auto"/>
        <w:ind w:firstLine="480" w:firstLineChars="200"/>
        <w:rPr>
          <w:rFonts w:ascii="宋体" w:hAnsi="宋体" w:cs="宋体"/>
          <w:sz w:val="24"/>
        </w:rPr>
      </w:pPr>
      <w:r>
        <w:rPr>
          <w:rFonts w:hint="eastAsia" w:ascii="宋体" w:hAnsi="宋体" w:cs="宋体"/>
          <w:sz w:val="24"/>
        </w:rPr>
        <w:t>5.2与本项目有关的</w:t>
      </w:r>
      <w:r>
        <w:rPr>
          <w:rFonts w:hint="eastAsia" w:ascii="宋体" w:hAnsi="宋体" w:cs="宋体"/>
          <w:bCs/>
          <w:sz w:val="24"/>
        </w:rPr>
        <w:t>澄清或者修改的内容为招标文件的组成部分</w:t>
      </w:r>
      <w:r>
        <w:rPr>
          <w:rFonts w:hint="eastAsia" w:ascii="宋体" w:hAnsi="宋体" w:cs="宋体"/>
          <w:sz w:val="24"/>
        </w:rPr>
        <w:t>。</w:t>
      </w:r>
    </w:p>
    <w:p>
      <w:pPr>
        <w:pStyle w:val="33"/>
        <w:spacing w:line="360" w:lineRule="auto"/>
        <w:rPr>
          <w:rFonts w:hAnsi="宋体" w:cs="宋体"/>
          <w:b/>
          <w:sz w:val="24"/>
          <w:szCs w:val="24"/>
        </w:rPr>
      </w:pPr>
      <w:r>
        <w:rPr>
          <w:rFonts w:hint="eastAsia" w:hAnsi="宋体" w:cs="宋体"/>
          <w:b/>
          <w:sz w:val="24"/>
          <w:szCs w:val="24"/>
        </w:rPr>
        <w:t>6. 招标文件的澄清、修改</w:t>
      </w:r>
    </w:p>
    <w:p>
      <w:pPr>
        <w:pStyle w:val="129"/>
        <w:snapToGrid w:val="0"/>
        <w:spacing w:before="0"/>
        <w:ind w:firstLine="480"/>
        <w:rPr>
          <w:rFonts w:ascii="宋体" w:hAnsi="宋体" w:cs="宋体"/>
        </w:rPr>
      </w:pPr>
      <w:r>
        <w:rPr>
          <w:rFonts w:hint="eastAsia" w:ascii="宋体" w:hAnsi="宋体" w:cs="宋体"/>
        </w:rPr>
        <w:t>6.1已获取招标文件的潜在投标人，若有问题需要澄清，应于投标截止时间前，以书面形式向采购机构提出。</w:t>
      </w:r>
    </w:p>
    <w:p>
      <w:pPr>
        <w:pStyle w:val="129"/>
        <w:snapToGrid w:val="0"/>
        <w:spacing w:before="0"/>
        <w:ind w:firstLine="480"/>
        <w:rPr>
          <w:rFonts w:ascii="宋体" w:hAnsi="宋体" w:cs="宋体"/>
        </w:rPr>
      </w:pPr>
      <w:r>
        <w:rPr>
          <w:rFonts w:hint="eastAsia" w:ascii="宋体" w:hAnsi="宋体" w:cs="宋体"/>
        </w:rPr>
        <w:t>6.2 采购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pPr>
        <w:pStyle w:val="23"/>
        <w:rPr>
          <w:rFonts w:hAnsi="宋体" w:cs="宋体"/>
          <w:sz w:val="18"/>
          <w:szCs w:val="18"/>
          <w:lang w:val="en-US"/>
        </w:rPr>
      </w:pPr>
      <w:r>
        <w:rPr>
          <w:rFonts w:hint="eastAsia" w:hAnsi="宋体" w:cs="宋体"/>
          <w:szCs w:val="24"/>
          <w:lang w:val="en-US"/>
        </w:rPr>
        <w:t xml:space="preserve">    </w:t>
      </w:r>
    </w:p>
    <w:p>
      <w:pPr>
        <w:adjustRightInd/>
        <w:spacing w:line="360" w:lineRule="auto"/>
        <w:jc w:val="center"/>
        <w:outlineLvl w:val="0"/>
        <w:rPr>
          <w:rFonts w:ascii="宋体" w:hAnsi="宋体" w:cs="宋体"/>
          <w:b/>
          <w:sz w:val="30"/>
          <w:szCs w:val="20"/>
        </w:rPr>
      </w:pPr>
      <w:r>
        <w:rPr>
          <w:rFonts w:hint="eastAsia" w:ascii="宋体" w:hAnsi="宋体" w:cs="宋体"/>
          <w:b/>
          <w:sz w:val="30"/>
          <w:szCs w:val="20"/>
        </w:rPr>
        <w:t>三、投标</w:t>
      </w:r>
    </w:p>
    <w:p>
      <w:pPr>
        <w:pStyle w:val="33"/>
        <w:spacing w:line="360" w:lineRule="auto"/>
        <w:rPr>
          <w:rFonts w:hAnsi="宋体" w:cs="宋体"/>
          <w:b/>
          <w:sz w:val="24"/>
          <w:szCs w:val="24"/>
        </w:rPr>
      </w:pPr>
      <w:r>
        <w:rPr>
          <w:rFonts w:hint="eastAsia" w:hAnsi="宋体" w:cs="宋体"/>
          <w:b/>
          <w:sz w:val="24"/>
          <w:szCs w:val="24"/>
        </w:rPr>
        <w:t>7. 招标文件的获取</w:t>
      </w:r>
    </w:p>
    <w:p>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详见招标公告中获取招标文件的时间期限、地点、方式及招标文件售价。</w:t>
      </w:r>
    </w:p>
    <w:p>
      <w:pPr>
        <w:pStyle w:val="33"/>
        <w:spacing w:line="360" w:lineRule="auto"/>
        <w:rPr>
          <w:rFonts w:hAnsi="宋体" w:cs="宋体"/>
          <w:b/>
          <w:sz w:val="24"/>
          <w:szCs w:val="24"/>
        </w:rPr>
      </w:pPr>
      <w:r>
        <w:rPr>
          <w:rFonts w:hint="eastAsia" w:hAnsi="宋体" w:cs="宋体"/>
          <w:b/>
          <w:sz w:val="24"/>
          <w:szCs w:val="24"/>
        </w:rPr>
        <w:t>8.开标前答疑会或现场考察</w:t>
      </w:r>
    </w:p>
    <w:p>
      <w:pPr>
        <w:pStyle w:val="33"/>
        <w:spacing w:line="360" w:lineRule="auto"/>
        <w:ind w:firstLine="480" w:firstLineChars="200"/>
        <w:rPr>
          <w:rFonts w:hAnsi="宋体" w:cs="宋体"/>
          <w:sz w:val="24"/>
          <w:szCs w:val="24"/>
        </w:rPr>
      </w:pPr>
      <w:r>
        <w:rPr>
          <w:rFonts w:hint="eastAsia" w:hAnsi="宋体" w:cs="宋体"/>
          <w:sz w:val="24"/>
          <w:szCs w:val="24"/>
        </w:rPr>
        <w:t>采购人组织潜在投标人现场考察或者召开开标前答疑会的，潜在投标人按第二部分投标人须知前附表的规定参加现场考察或者开标前答疑会。</w:t>
      </w:r>
    </w:p>
    <w:p>
      <w:pPr>
        <w:pStyle w:val="33"/>
        <w:spacing w:line="360" w:lineRule="auto"/>
        <w:rPr>
          <w:rFonts w:hAnsi="宋体" w:cs="宋体"/>
          <w:b/>
          <w:szCs w:val="24"/>
        </w:rPr>
      </w:pPr>
      <w:r>
        <w:rPr>
          <w:rFonts w:hint="eastAsia" w:hAnsi="宋体" w:cs="宋体"/>
          <w:b/>
          <w:kern w:val="28"/>
          <w:sz w:val="24"/>
          <w:szCs w:val="24"/>
        </w:rPr>
        <w:t>9.投标保证金</w:t>
      </w:r>
    </w:p>
    <w:p>
      <w:pPr>
        <w:pStyle w:val="15"/>
        <w:spacing w:line="360" w:lineRule="auto"/>
        <w:ind w:firstLine="470" w:firstLineChars="196"/>
        <w:rPr>
          <w:rFonts w:hAnsi="宋体" w:cs="宋体"/>
          <w:color w:val="auto"/>
          <w:sz w:val="24"/>
        </w:rPr>
      </w:pPr>
      <w:r>
        <w:rPr>
          <w:rFonts w:hint="eastAsia" w:hAnsi="宋体" w:cs="宋体"/>
          <w:color w:val="auto"/>
          <w:sz w:val="24"/>
        </w:rPr>
        <w:t>本项目不需缴纳投标保证金。</w:t>
      </w:r>
    </w:p>
    <w:p>
      <w:pPr>
        <w:pStyle w:val="33"/>
        <w:spacing w:line="360" w:lineRule="auto"/>
        <w:rPr>
          <w:rFonts w:hAnsi="宋体" w:cs="宋体"/>
          <w:b/>
          <w:sz w:val="24"/>
          <w:szCs w:val="24"/>
        </w:rPr>
      </w:pPr>
      <w:r>
        <w:rPr>
          <w:rFonts w:hint="eastAsia" w:hAnsi="宋体" w:cs="宋体"/>
          <w:b/>
          <w:sz w:val="24"/>
          <w:szCs w:val="24"/>
        </w:rPr>
        <w:t>10. 投标文件的语言</w:t>
      </w:r>
    </w:p>
    <w:p>
      <w:pPr>
        <w:autoSpaceDE w:val="0"/>
        <w:autoSpaceDN w:val="0"/>
        <w:spacing w:line="360" w:lineRule="auto"/>
        <w:ind w:firstLine="480" w:firstLineChars="200"/>
        <w:rPr>
          <w:rFonts w:ascii="宋体" w:hAnsi="宋体" w:cs="宋体"/>
          <w:sz w:val="24"/>
          <w:lang w:val="zh-CN"/>
        </w:rPr>
      </w:pPr>
      <w:r>
        <w:rPr>
          <w:rFonts w:hint="eastAsia" w:ascii="宋体" w:hAnsi="宋体" w:cs="宋体"/>
          <w:sz w:val="24"/>
        </w:rPr>
        <w:t>投标文件及投标人与采购有关的来往通知、函件和文件均应使用中文。</w:t>
      </w:r>
    </w:p>
    <w:p>
      <w:pPr>
        <w:pStyle w:val="33"/>
        <w:spacing w:line="360" w:lineRule="auto"/>
        <w:rPr>
          <w:rFonts w:hAnsi="宋体" w:cs="宋体"/>
          <w:b/>
          <w:sz w:val="24"/>
          <w:szCs w:val="24"/>
        </w:rPr>
      </w:pPr>
      <w:r>
        <w:rPr>
          <w:rFonts w:hint="eastAsia" w:hAnsi="宋体" w:cs="宋体"/>
          <w:b/>
          <w:sz w:val="24"/>
          <w:szCs w:val="24"/>
        </w:rPr>
        <w:t>11. 投标文件的组成</w:t>
      </w:r>
    </w:p>
    <w:p>
      <w:pPr>
        <w:snapToGrid w:val="0"/>
        <w:spacing w:line="360" w:lineRule="auto"/>
        <w:ind w:firstLine="480" w:firstLineChars="200"/>
        <w:rPr>
          <w:rFonts w:ascii="宋体" w:hAnsi="宋体" w:cs="宋体"/>
          <w:sz w:val="24"/>
        </w:rPr>
      </w:pPr>
      <w:r>
        <w:rPr>
          <w:rFonts w:hint="eastAsia" w:ascii="宋体" w:hAnsi="宋体" w:cs="宋体"/>
          <w:sz w:val="24"/>
        </w:rPr>
        <w:t>11.1</w:t>
      </w:r>
      <w:r>
        <w:rPr>
          <w:rFonts w:hint="eastAsia" w:ascii="宋体" w:hAnsi="宋体" w:cs="宋体"/>
          <w:b/>
          <w:sz w:val="24"/>
        </w:rPr>
        <w:t>资格文件</w:t>
      </w:r>
      <w:r>
        <w:rPr>
          <w:rFonts w:hint="eastAsia" w:ascii="宋体" w:hAnsi="宋体" w:cs="宋体"/>
          <w:sz w:val="24"/>
        </w:rPr>
        <w:t>：</w:t>
      </w:r>
    </w:p>
    <w:p>
      <w:pPr>
        <w:snapToGrid w:val="0"/>
        <w:spacing w:line="360" w:lineRule="auto"/>
        <w:ind w:firstLine="960" w:firstLineChars="400"/>
        <w:rPr>
          <w:rFonts w:ascii="宋体" w:hAnsi="宋体" w:cs="宋体"/>
          <w:sz w:val="24"/>
        </w:rPr>
      </w:pPr>
      <w:r>
        <w:rPr>
          <w:rFonts w:hint="eastAsia" w:ascii="宋体" w:hAnsi="宋体" w:cs="宋体"/>
          <w:sz w:val="24"/>
        </w:rPr>
        <w:t>11.1.1符合参加政府采购活动应当具备的一般条件的承诺函；</w:t>
      </w:r>
    </w:p>
    <w:p>
      <w:pPr>
        <w:snapToGrid w:val="0"/>
        <w:spacing w:line="360" w:lineRule="auto"/>
        <w:ind w:firstLine="960" w:firstLineChars="400"/>
        <w:rPr>
          <w:rFonts w:ascii="宋体" w:hAnsi="宋体" w:cs="宋体"/>
          <w:sz w:val="24"/>
        </w:rPr>
      </w:pPr>
      <w:r>
        <w:rPr>
          <w:rFonts w:hint="eastAsia" w:ascii="宋体" w:hAnsi="宋体" w:cs="宋体"/>
          <w:sz w:val="24"/>
        </w:rPr>
        <w:t>1</w:t>
      </w:r>
      <w:r>
        <w:rPr>
          <w:rFonts w:ascii="宋体" w:hAnsi="宋体" w:cs="宋体"/>
          <w:sz w:val="24"/>
        </w:rPr>
        <w:t>1.1.2</w:t>
      </w:r>
      <w:bookmarkStart w:id="17" w:name="_Hlk101259339"/>
      <w:r>
        <w:rPr>
          <w:rFonts w:hint="eastAsia" w:ascii="宋体" w:hAnsi="宋体" w:cs="宋体"/>
          <w:snapToGrid w:val="0"/>
          <w:kern w:val="28"/>
          <w:sz w:val="24"/>
          <w:szCs w:val="20"/>
        </w:rPr>
        <w:t>联合协议</w:t>
      </w:r>
      <w:bookmarkEnd w:id="17"/>
      <w:r>
        <w:rPr>
          <w:rFonts w:hint="eastAsia" w:ascii="宋体" w:hAnsi="宋体" w:cs="宋体"/>
          <w:snapToGrid w:val="0"/>
          <w:kern w:val="28"/>
          <w:sz w:val="24"/>
          <w:szCs w:val="20"/>
        </w:rPr>
        <w:t>（如果有)；</w:t>
      </w:r>
    </w:p>
    <w:p>
      <w:pPr>
        <w:snapToGrid w:val="0"/>
        <w:spacing w:line="360" w:lineRule="auto"/>
        <w:ind w:firstLine="960" w:firstLineChars="400"/>
        <w:rPr>
          <w:rFonts w:ascii="宋体" w:hAnsi="宋体" w:cs="宋体"/>
          <w:sz w:val="24"/>
        </w:rPr>
      </w:pPr>
      <w:r>
        <w:rPr>
          <w:rFonts w:hint="eastAsia" w:ascii="宋体" w:hAnsi="宋体" w:cs="宋体"/>
          <w:sz w:val="24"/>
        </w:rPr>
        <w:t>11.1.</w:t>
      </w:r>
      <w:r>
        <w:rPr>
          <w:rFonts w:ascii="宋体" w:hAnsi="宋体" w:cs="宋体"/>
          <w:sz w:val="24"/>
        </w:rPr>
        <w:t>3</w:t>
      </w:r>
      <w:r>
        <w:rPr>
          <w:rFonts w:hint="eastAsia" w:ascii="宋体" w:hAnsi="宋体" w:cs="宋体"/>
          <w:sz w:val="24"/>
        </w:rPr>
        <w:t>落实政府采购政策需满足的资格要求</w:t>
      </w:r>
      <w:r>
        <w:rPr>
          <w:rFonts w:hint="eastAsia" w:ascii="宋体" w:hAnsi="宋体" w:cs="宋体"/>
          <w:snapToGrid w:val="0"/>
          <w:kern w:val="28"/>
          <w:sz w:val="24"/>
          <w:szCs w:val="20"/>
        </w:rPr>
        <w:t>（如果有)</w:t>
      </w:r>
      <w:r>
        <w:rPr>
          <w:rFonts w:hint="eastAsia" w:ascii="宋体" w:hAnsi="宋体" w:cs="宋体"/>
          <w:sz w:val="24"/>
        </w:rPr>
        <w:t>；</w:t>
      </w:r>
    </w:p>
    <w:p>
      <w:pPr>
        <w:snapToGrid w:val="0"/>
        <w:spacing w:line="360" w:lineRule="auto"/>
        <w:ind w:firstLine="960" w:firstLineChars="400"/>
        <w:rPr>
          <w:rFonts w:ascii="宋体" w:hAnsi="宋体" w:cs="宋体"/>
          <w:sz w:val="24"/>
        </w:rPr>
      </w:pPr>
      <w:r>
        <w:rPr>
          <w:rFonts w:hint="eastAsia" w:ascii="宋体" w:hAnsi="宋体" w:cs="宋体"/>
          <w:sz w:val="24"/>
        </w:rPr>
        <w:t>11.1.</w:t>
      </w:r>
      <w:r>
        <w:rPr>
          <w:rFonts w:ascii="宋体" w:hAnsi="宋体" w:cs="宋体"/>
          <w:sz w:val="24"/>
        </w:rPr>
        <w:t>4</w:t>
      </w:r>
      <w:r>
        <w:rPr>
          <w:rFonts w:hint="eastAsia" w:ascii="宋体" w:hAnsi="宋体" w:cs="宋体"/>
          <w:sz w:val="24"/>
        </w:rPr>
        <w:t>本项目的特定资格要求</w:t>
      </w:r>
      <w:r>
        <w:rPr>
          <w:rFonts w:hint="eastAsia" w:ascii="宋体" w:hAnsi="宋体" w:cs="宋体"/>
          <w:snapToGrid w:val="0"/>
          <w:kern w:val="28"/>
          <w:sz w:val="24"/>
          <w:szCs w:val="20"/>
        </w:rPr>
        <w:t>（如果有)</w:t>
      </w:r>
      <w:r>
        <w:rPr>
          <w:rFonts w:hint="eastAsia" w:ascii="宋体" w:hAnsi="宋体" w:cs="宋体"/>
          <w:sz w:val="24"/>
        </w:rPr>
        <w:t>；</w:t>
      </w:r>
    </w:p>
    <w:p>
      <w:pPr>
        <w:snapToGrid w:val="0"/>
        <w:spacing w:line="360" w:lineRule="auto"/>
        <w:ind w:firstLine="480" w:firstLineChars="200"/>
        <w:rPr>
          <w:rFonts w:ascii="宋体" w:hAnsi="宋体" w:cs="宋体"/>
          <w:sz w:val="24"/>
          <w:lang w:val="zh-CN"/>
        </w:rPr>
      </w:pP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pPr>
        <w:snapToGrid w:val="0"/>
        <w:spacing w:line="360" w:lineRule="auto"/>
        <w:ind w:firstLine="960" w:firstLineChars="400"/>
        <w:rPr>
          <w:rFonts w:ascii="宋体" w:hAnsi="宋体" w:cs="宋体"/>
          <w:sz w:val="24"/>
        </w:rPr>
      </w:pPr>
      <w:r>
        <w:rPr>
          <w:rFonts w:hint="eastAsia" w:ascii="宋体" w:hAnsi="宋体" w:cs="宋体"/>
          <w:sz w:val="24"/>
        </w:rPr>
        <w:t>11.2.1投标函；</w:t>
      </w:r>
      <w:r>
        <w:rPr>
          <w:rFonts w:hint="eastAsia" w:ascii="宋体" w:hAnsi="宋体" w:cs="宋体"/>
          <w:sz w:val="24"/>
          <w:lang w:val="zh-CN"/>
        </w:rPr>
        <w:t xml:space="preserve"> </w:t>
      </w:r>
    </w:p>
    <w:p>
      <w:pPr>
        <w:snapToGrid w:val="0"/>
        <w:spacing w:line="360" w:lineRule="auto"/>
        <w:ind w:firstLine="960" w:firstLineChars="400"/>
        <w:rPr>
          <w:rFonts w:ascii="宋体" w:hAnsi="宋体" w:cs="宋体"/>
          <w:sz w:val="24"/>
        </w:rPr>
      </w:pPr>
      <w:r>
        <w:rPr>
          <w:rFonts w:hint="eastAsia" w:ascii="宋体" w:hAnsi="宋体" w:cs="宋体"/>
          <w:sz w:val="24"/>
        </w:rPr>
        <w:t>11.2.2授权委托书或法定代表人（单位负责人、自然人本人）身份证明；</w:t>
      </w:r>
    </w:p>
    <w:p>
      <w:pPr>
        <w:snapToGrid w:val="0"/>
        <w:spacing w:line="360" w:lineRule="auto"/>
        <w:ind w:firstLine="960" w:firstLineChars="400"/>
        <w:rPr>
          <w:rFonts w:ascii="宋体" w:hAnsi="宋体" w:cs="宋体"/>
          <w:sz w:val="24"/>
        </w:rPr>
      </w:pPr>
      <w:r>
        <w:rPr>
          <w:rFonts w:hint="eastAsia" w:ascii="宋体" w:hAnsi="宋体" w:cs="宋体"/>
          <w:sz w:val="24"/>
        </w:rPr>
        <w:t>11.2.</w:t>
      </w:r>
      <w:r>
        <w:rPr>
          <w:rFonts w:ascii="宋体" w:hAnsi="宋体" w:cs="宋体"/>
          <w:sz w:val="24"/>
        </w:rPr>
        <w:t>3</w:t>
      </w:r>
      <w:r>
        <w:rPr>
          <w:rFonts w:hint="eastAsia" w:ascii="宋体" w:hAnsi="宋体" w:cs="宋体"/>
          <w:sz w:val="24"/>
        </w:rPr>
        <w:t>分包意向协议</w:t>
      </w:r>
      <w:r>
        <w:rPr>
          <w:rFonts w:hint="eastAsia" w:ascii="宋体" w:hAnsi="宋体" w:cs="宋体"/>
          <w:snapToGrid w:val="0"/>
          <w:kern w:val="28"/>
          <w:sz w:val="24"/>
          <w:szCs w:val="20"/>
        </w:rPr>
        <w:t>（如果有)</w:t>
      </w:r>
      <w:r>
        <w:rPr>
          <w:rFonts w:hint="eastAsia" w:ascii="宋体" w:hAnsi="宋体" w:cs="宋体"/>
          <w:sz w:val="24"/>
        </w:rPr>
        <w:t>；</w:t>
      </w:r>
    </w:p>
    <w:p>
      <w:pPr>
        <w:snapToGrid w:val="0"/>
        <w:spacing w:line="360" w:lineRule="auto"/>
        <w:ind w:firstLine="960" w:firstLineChars="400"/>
        <w:rPr>
          <w:rFonts w:ascii="宋体" w:hAnsi="宋体" w:cs="宋体"/>
          <w:sz w:val="24"/>
        </w:rPr>
      </w:pPr>
      <w:r>
        <w:rPr>
          <w:rFonts w:hint="eastAsia" w:ascii="宋体" w:hAnsi="宋体" w:cs="宋体"/>
          <w:sz w:val="24"/>
        </w:rPr>
        <w:t>11.2.</w:t>
      </w:r>
      <w:r>
        <w:rPr>
          <w:rFonts w:ascii="宋体" w:hAnsi="宋体" w:cs="宋体"/>
          <w:sz w:val="24"/>
        </w:rPr>
        <w:t>4</w:t>
      </w:r>
      <w:r>
        <w:rPr>
          <w:rFonts w:hint="eastAsia" w:ascii="宋体" w:hAnsi="宋体" w:cs="宋体"/>
          <w:sz w:val="24"/>
        </w:rPr>
        <w:t>符合性审查资料；</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11.2.</w:t>
      </w:r>
      <w:r>
        <w:rPr>
          <w:rFonts w:ascii="宋体" w:hAnsi="宋体" w:cs="宋体"/>
          <w:sz w:val="24"/>
        </w:rPr>
        <w:t>5</w:t>
      </w:r>
      <w:r>
        <w:rPr>
          <w:rFonts w:hint="eastAsia" w:ascii="宋体" w:hAnsi="宋体" w:cs="宋体"/>
          <w:sz w:val="24"/>
        </w:rPr>
        <w:t>评标标准相应的商务技术资料；</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11.2.</w:t>
      </w:r>
      <w:r>
        <w:rPr>
          <w:rFonts w:ascii="宋体" w:hAnsi="宋体" w:cs="宋体"/>
          <w:sz w:val="24"/>
        </w:rPr>
        <w:t>6</w:t>
      </w:r>
      <w:r>
        <w:rPr>
          <w:rFonts w:hint="eastAsia" w:ascii="宋体" w:hAnsi="宋体" w:cs="宋体"/>
          <w:sz w:val="24"/>
        </w:rPr>
        <w:t>投标标的清单；</w:t>
      </w:r>
    </w:p>
    <w:p>
      <w:pPr>
        <w:snapToGrid w:val="0"/>
        <w:spacing w:line="360" w:lineRule="auto"/>
        <w:ind w:firstLine="960" w:firstLineChars="400"/>
        <w:rPr>
          <w:rFonts w:ascii="宋体" w:hAnsi="宋体" w:cs="宋体"/>
          <w:sz w:val="24"/>
        </w:rPr>
      </w:pPr>
      <w:r>
        <w:rPr>
          <w:rFonts w:hint="eastAsia" w:ascii="宋体" w:hAnsi="宋体" w:cs="宋体"/>
          <w:sz w:val="24"/>
        </w:rPr>
        <w:t>11.2.</w:t>
      </w:r>
      <w:r>
        <w:rPr>
          <w:rFonts w:ascii="宋体" w:hAnsi="宋体" w:cs="宋体"/>
          <w:sz w:val="24"/>
        </w:rPr>
        <w:t>7</w:t>
      </w:r>
      <w:r>
        <w:rPr>
          <w:rFonts w:hint="eastAsia" w:ascii="宋体" w:hAnsi="宋体" w:cs="宋体"/>
          <w:sz w:val="24"/>
        </w:rPr>
        <w:t>商务技术偏离表；</w:t>
      </w:r>
    </w:p>
    <w:p>
      <w:pPr>
        <w:snapToGrid w:val="0"/>
        <w:spacing w:line="360" w:lineRule="auto"/>
        <w:ind w:firstLine="960" w:firstLineChars="400"/>
        <w:rPr>
          <w:rFonts w:ascii="宋体" w:hAnsi="宋体" w:cs="宋体"/>
          <w:sz w:val="24"/>
          <w:lang w:val="zh-CN"/>
        </w:rPr>
      </w:pP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pPr>
        <w:snapToGrid w:val="0"/>
        <w:spacing w:line="360" w:lineRule="auto"/>
        <w:ind w:firstLine="480" w:firstLineChars="200"/>
        <w:rPr>
          <w:rFonts w:ascii="宋体" w:hAnsi="宋体" w:cs="宋体"/>
          <w:sz w:val="24"/>
          <w:u w:val="single"/>
          <w:lang w:val="zh-CN"/>
        </w:rPr>
      </w:pPr>
      <w:r>
        <w:rPr>
          <w:rFonts w:hint="eastAsia" w:ascii="宋体" w:hAnsi="宋体" w:cs="宋体"/>
          <w:kern w:val="0"/>
          <w:sz w:val="24"/>
          <w:lang w:val="zh-CN"/>
        </w:rPr>
        <w:t>11.</w:t>
      </w:r>
      <w:r>
        <w:rPr>
          <w:rFonts w:hint="eastAsia" w:ascii="宋体" w:hAnsi="宋体" w:cs="宋体"/>
          <w:kern w:val="0"/>
          <w:sz w:val="24"/>
        </w:rPr>
        <w:t>3</w:t>
      </w:r>
      <w:r>
        <w:rPr>
          <w:rFonts w:hint="eastAsia" w:ascii="宋体" w:hAnsi="宋体" w:cs="宋体"/>
          <w:b/>
          <w:sz w:val="24"/>
        </w:rPr>
        <w:t>报价文件：</w:t>
      </w:r>
      <w:r>
        <w:rPr>
          <w:rFonts w:hint="eastAsia" w:ascii="宋体" w:hAnsi="宋体" w:cs="宋体"/>
          <w:sz w:val="24"/>
        </w:rPr>
        <w:t xml:space="preserve"> </w:t>
      </w:r>
    </w:p>
    <w:p>
      <w:pPr>
        <w:snapToGrid w:val="0"/>
        <w:spacing w:line="360" w:lineRule="auto"/>
        <w:ind w:firstLine="960" w:firstLineChars="400"/>
        <w:rPr>
          <w:rFonts w:hint="eastAsia" w:ascii="宋体" w:hAnsi="宋体" w:cs="宋体"/>
          <w:sz w:val="24"/>
        </w:rPr>
      </w:pPr>
      <w:r>
        <w:rPr>
          <w:rFonts w:hint="eastAsia" w:ascii="宋体" w:hAnsi="宋体" w:cs="宋体"/>
          <w:sz w:val="24"/>
        </w:rPr>
        <w:t>11.3.1开标一览表（报价表）；</w:t>
      </w:r>
    </w:p>
    <w:p>
      <w:pPr>
        <w:pStyle w:val="23"/>
        <w:ind w:firstLine="960" w:firstLineChars="400"/>
      </w:pPr>
      <w:r>
        <w:rPr>
          <w:rFonts w:hint="eastAsia" w:ascii="宋体" w:hAnsi="宋体" w:cs="宋体"/>
          <w:sz w:val="24"/>
        </w:rPr>
        <w:t>11.3.</w:t>
      </w:r>
      <w:r>
        <w:rPr>
          <w:rFonts w:hint="eastAsia" w:ascii="宋体" w:hAnsi="宋体" w:cs="宋体"/>
          <w:sz w:val="24"/>
          <w:lang w:val="en-US" w:eastAsia="zh-CN"/>
        </w:rPr>
        <w:t>2中小企业声明函（如果有）</w:t>
      </w:r>
      <w:r>
        <w:rPr>
          <w:rFonts w:hint="eastAsia" w:ascii="宋体" w:hAnsi="宋体" w:cs="宋体"/>
          <w:sz w:val="24"/>
        </w:rPr>
        <w:t>；</w:t>
      </w:r>
    </w:p>
    <w:p>
      <w:pPr>
        <w:spacing w:line="360" w:lineRule="auto"/>
        <w:ind w:firstLine="723" w:firstLineChars="300"/>
        <w:rPr>
          <w:rFonts w:ascii="宋体" w:hAnsi="宋体" w:cs="宋体"/>
          <w:b/>
          <w:sz w:val="24"/>
        </w:rPr>
      </w:pPr>
      <w:r>
        <w:rPr>
          <w:rFonts w:hint="eastAsia" w:ascii="宋体" w:hAnsi="宋体" w:cs="宋体"/>
          <w:b/>
          <w:sz w:val="24"/>
        </w:rPr>
        <w:t>投标文件含有采购人不能接受的附加条件的，投标无效；</w:t>
      </w:r>
    </w:p>
    <w:p>
      <w:pPr>
        <w:spacing w:line="360" w:lineRule="auto"/>
        <w:ind w:firstLine="723" w:firstLineChars="300"/>
        <w:rPr>
          <w:rFonts w:hint="eastAsia" w:ascii="宋体" w:hAnsi="宋体" w:cs="宋体"/>
          <w:b/>
          <w:sz w:val="24"/>
        </w:rPr>
      </w:pPr>
      <w:r>
        <w:rPr>
          <w:rFonts w:hint="eastAsia" w:ascii="宋体" w:hAnsi="宋体" w:cs="宋体"/>
          <w:b/>
          <w:sz w:val="24"/>
        </w:rPr>
        <w:t>投标人提供虚假材料投标的，投标无效。</w:t>
      </w:r>
    </w:p>
    <w:p>
      <w:pPr>
        <w:spacing w:line="360" w:lineRule="auto"/>
        <w:ind w:firstLine="723" w:firstLineChars="300"/>
      </w:pPr>
      <w:r>
        <w:rPr>
          <w:rFonts w:hint="eastAsia"/>
          <w:b/>
          <w:bCs/>
          <w:color w:val="auto"/>
          <w:sz w:val="24"/>
          <w:szCs w:val="24"/>
          <w:highlight w:val="none"/>
          <w:shd w:val="clear" w:color="auto" w:fill="FFFFFF"/>
          <w:lang w:val="en-US" w:eastAsia="zh-CN"/>
        </w:rPr>
        <w:t>投标人应对投标文件中材料的真实性、合法性负责。</w:t>
      </w:r>
    </w:p>
    <w:p>
      <w:pPr>
        <w:pStyle w:val="129"/>
        <w:snapToGrid w:val="0"/>
        <w:spacing w:before="0"/>
        <w:ind w:firstLine="0" w:firstLineChars="0"/>
        <w:outlineLvl w:val="0"/>
        <w:rPr>
          <w:rFonts w:ascii="宋体" w:hAnsi="宋体" w:cs="宋体"/>
          <w:b/>
          <w:szCs w:val="24"/>
        </w:rPr>
      </w:pPr>
      <w:r>
        <w:rPr>
          <w:rFonts w:hint="eastAsia" w:ascii="宋体" w:hAnsi="宋体" w:cs="宋体"/>
          <w:b/>
          <w:szCs w:val="24"/>
        </w:rPr>
        <w:t>12</w:t>
      </w:r>
      <w:r>
        <w:rPr>
          <w:rFonts w:hint="eastAsia" w:ascii="宋体" w:hAnsi="宋体" w:cs="宋体"/>
          <w:b/>
          <w:kern w:val="0"/>
          <w:szCs w:val="24"/>
          <w:lang w:val="zh-CN"/>
        </w:rPr>
        <w:t xml:space="preserve">. </w:t>
      </w:r>
      <w:r>
        <w:rPr>
          <w:rFonts w:hint="eastAsia" w:ascii="宋体" w:hAnsi="宋体" w:cs="宋体"/>
          <w:b/>
          <w:szCs w:val="24"/>
        </w:rPr>
        <w:t>投标文件的编制</w:t>
      </w:r>
    </w:p>
    <w:p>
      <w:pPr>
        <w:spacing w:line="360" w:lineRule="auto"/>
        <w:ind w:firstLine="480" w:firstLineChars="200"/>
        <w:rPr>
          <w:rFonts w:ascii="宋体" w:hAnsi="宋体" w:cs="宋体"/>
          <w:b/>
          <w:sz w:val="24"/>
        </w:rPr>
      </w:pPr>
      <w:r>
        <w:rPr>
          <w:rFonts w:hint="eastAsia" w:ascii="宋体" w:hAnsi="宋体" w:cs="宋体"/>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12.2投标人进行电子投标应安装客户端软件—“政采云电子交易客户端”，并按照招标文件和电子交易平台的要求编制并加密投标文件。投标人未按规定加密的投标文件，电子交易平台将拒收并提示。</w:t>
      </w:r>
    </w:p>
    <w:p>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12.3使用“政采云电子交易客户端”需要提前申领CA数字证书，申领流程请自行前往“浙江政府采购网-下载专区-电子交易客户端-CA驱动和申领流程”进行查阅。</w:t>
      </w:r>
    </w:p>
    <w:p>
      <w:pPr>
        <w:snapToGrid w:val="0"/>
        <w:spacing w:line="360" w:lineRule="auto"/>
        <w:rPr>
          <w:rFonts w:ascii="宋体" w:hAnsi="宋体" w:cs="宋体"/>
          <w:b/>
          <w:sz w:val="24"/>
        </w:rPr>
      </w:pPr>
      <w:r>
        <w:rPr>
          <w:rFonts w:hint="eastAsia" w:ascii="宋体" w:hAnsi="宋体" w:cs="宋体"/>
          <w:b/>
          <w:sz w:val="24"/>
        </w:rPr>
        <w:t>13.投标文件的签署、盖章</w:t>
      </w:r>
    </w:p>
    <w:p>
      <w:pPr>
        <w:pStyle w:val="129"/>
        <w:snapToGrid w:val="0"/>
        <w:spacing w:before="0"/>
        <w:ind w:firstLine="480"/>
        <w:rPr>
          <w:rFonts w:ascii="宋体" w:hAnsi="宋体" w:cs="宋体"/>
          <w:b/>
        </w:rPr>
      </w:pPr>
      <w:r>
        <w:rPr>
          <w:rFonts w:hint="eastAsia" w:ascii="宋体" w:hAnsi="宋体" w:cs="宋体"/>
          <w:szCs w:val="24"/>
        </w:rPr>
        <w:t>13.1投标文件按照招标文件第六部分格式要</w:t>
      </w:r>
      <w:r>
        <w:rPr>
          <w:rFonts w:hint="eastAsia" w:ascii="宋体" w:hAnsi="宋体" w:cs="宋体"/>
        </w:rPr>
        <w:t>求进行签署、盖章。</w:t>
      </w:r>
      <w:r>
        <w:rPr>
          <w:rFonts w:hint="eastAsia" w:ascii="宋体" w:hAnsi="宋体" w:cs="宋体"/>
          <w:b/>
        </w:rPr>
        <w:t>▲投标人的投标文件未按照招标文件要求签署、盖章的，其投标无效</w:t>
      </w:r>
      <w:r>
        <w:rPr>
          <w:rFonts w:hint="eastAsia" w:ascii="宋体" w:hAnsi="宋体" w:cs="宋体"/>
          <w:szCs w:val="24"/>
        </w:rPr>
        <w:t>。</w:t>
      </w:r>
    </w:p>
    <w:p>
      <w:pPr>
        <w:pStyle w:val="129"/>
        <w:snapToGrid w:val="0"/>
        <w:spacing w:before="0"/>
        <w:ind w:firstLine="480"/>
        <w:rPr>
          <w:rFonts w:ascii="宋体" w:hAnsi="宋体" w:cs="宋体"/>
        </w:rPr>
      </w:pPr>
      <w:r>
        <w:rPr>
          <w:rFonts w:hint="eastAsia" w:ascii="宋体" w:hAnsi="宋体" w:cs="宋体"/>
        </w:rPr>
        <w:t>13.2为确保网上操作合法、有效和安全，投标人应当在投标截止时间前完成在“政府采购云平台”的身份认证，确保在电子投标过程中能够对相关数据电文进行加密和使用电子签名。</w:t>
      </w:r>
    </w:p>
    <w:p>
      <w:pPr>
        <w:pStyle w:val="129"/>
        <w:snapToGrid w:val="0"/>
        <w:spacing w:before="0"/>
        <w:ind w:firstLine="480"/>
        <w:rPr>
          <w:rFonts w:ascii="宋体" w:hAnsi="宋体" w:cs="宋体"/>
          <w:szCs w:val="24"/>
        </w:rPr>
      </w:pPr>
      <w:r>
        <w:rPr>
          <w:rFonts w:hint="eastAsia" w:ascii="宋体" w:hAnsi="宋体" w:cs="宋体"/>
        </w:rPr>
        <w:t>13.3招标文件对投标文件签署、盖章的要求适用于电子签名。</w:t>
      </w:r>
    </w:p>
    <w:p>
      <w:pPr>
        <w:pStyle w:val="129"/>
        <w:spacing w:before="0"/>
        <w:ind w:firstLine="0" w:firstLineChars="0"/>
        <w:rPr>
          <w:rFonts w:ascii="宋体" w:hAnsi="宋体" w:cs="宋体"/>
          <w:b/>
          <w:szCs w:val="24"/>
        </w:rPr>
      </w:pPr>
      <w:r>
        <w:rPr>
          <w:rFonts w:hint="eastAsia" w:ascii="宋体" w:hAnsi="宋体" w:cs="宋体"/>
          <w:b/>
          <w:szCs w:val="24"/>
        </w:rPr>
        <w:t>14. 投标文件的提交、补充、修改、撤回</w:t>
      </w:r>
    </w:p>
    <w:p>
      <w:pPr>
        <w:pStyle w:val="129"/>
        <w:ind w:firstLine="480"/>
        <w:rPr>
          <w:rFonts w:ascii="宋体" w:hAnsi="宋体" w:cs="宋体"/>
          <w:szCs w:val="24"/>
        </w:rPr>
      </w:pPr>
      <w:r>
        <w:rPr>
          <w:rFonts w:hint="eastAsia" w:ascii="宋体" w:hAnsi="宋体" w:cs="宋体"/>
          <w:szCs w:val="24"/>
        </w:rPr>
        <w:t>14.1 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pPr>
        <w:pStyle w:val="129"/>
        <w:spacing w:before="0"/>
        <w:ind w:firstLine="480"/>
        <w:rPr>
          <w:rFonts w:ascii="宋体" w:hAnsi="宋体" w:cs="宋体"/>
          <w:szCs w:val="24"/>
        </w:rPr>
      </w:pPr>
      <w:r>
        <w:rPr>
          <w:rFonts w:hint="eastAsia" w:ascii="宋体" w:hAnsi="宋体" w:cs="宋体"/>
          <w:szCs w:val="24"/>
        </w:rPr>
        <w:t>14.2电子交易平台收到投标文件，将妥善保存并即时向供应商发出确认回执通知。在投标截止时间前，除供应商补充、修改或者撤回投标文件外，任何单位和个人不得解密或提取投标文件。</w:t>
      </w:r>
      <w:r>
        <w:rPr>
          <w:rFonts w:hint="eastAsia" w:ascii="宋体" w:hAnsi="宋体" w:cs="宋体"/>
          <w:szCs w:val="24"/>
        </w:rPr>
        <w:tab/>
      </w:r>
    </w:p>
    <w:p>
      <w:pPr>
        <w:pStyle w:val="129"/>
        <w:spacing w:before="0"/>
        <w:ind w:firstLine="480"/>
        <w:rPr>
          <w:rFonts w:ascii="宋体" w:hAnsi="宋体" w:cs="宋体"/>
          <w:szCs w:val="24"/>
        </w:rPr>
      </w:pPr>
      <w:r>
        <w:rPr>
          <w:rFonts w:hint="eastAsia" w:ascii="宋体" w:hAnsi="宋体" w:cs="宋体"/>
          <w:szCs w:val="24"/>
        </w:rPr>
        <w:t>14.3采购人、采购机构可以视情况延长投标文件提交的截止时间。在上述情况下，采购机构与投标人以前在投标截止期方面的全部权利、责任和义务，将适用于延长至新的投标截止期。</w:t>
      </w:r>
    </w:p>
    <w:p>
      <w:pPr>
        <w:pStyle w:val="33"/>
        <w:spacing w:line="360" w:lineRule="auto"/>
        <w:rPr>
          <w:rFonts w:hAnsi="宋体" w:cs="宋体"/>
          <w:b/>
          <w:sz w:val="24"/>
          <w:szCs w:val="24"/>
        </w:rPr>
      </w:pPr>
      <w:r>
        <w:rPr>
          <w:rFonts w:hint="eastAsia" w:hAnsi="宋体" w:cs="宋体"/>
          <w:b/>
          <w:sz w:val="24"/>
          <w:szCs w:val="24"/>
        </w:rPr>
        <w:t>15.备份投标文件</w:t>
      </w:r>
    </w:p>
    <w:p>
      <w:pPr>
        <w:pStyle w:val="33"/>
        <w:spacing w:line="360" w:lineRule="auto"/>
        <w:ind w:firstLine="360" w:firstLineChars="150"/>
        <w:rPr>
          <w:rFonts w:hAnsi="宋体" w:cs="宋体"/>
          <w:b/>
          <w:sz w:val="24"/>
          <w:szCs w:val="24"/>
        </w:rPr>
      </w:pPr>
      <w:r>
        <w:rPr>
          <w:rFonts w:hint="eastAsia" w:hAnsi="宋体" w:cs="宋体"/>
          <w:sz w:val="24"/>
          <w:szCs w:val="24"/>
        </w:rPr>
        <w:t xml:space="preserve"> 15.1投标人在电子交易平台传输递交投标文件后，还可以在投标截止时间前直接提交或者以邮政快递方式递交备份投标文件1份，</w:t>
      </w:r>
      <w:r>
        <w:rPr>
          <w:rFonts w:hint="eastAsia" w:hAnsi="宋体" w:cs="宋体"/>
          <w:b/>
          <w:sz w:val="24"/>
          <w:szCs w:val="24"/>
        </w:rPr>
        <w:t>但采购人、采购机构不强制或变相强制投标人提交备份投标文件。</w:t>
      </w:r>
    </w:p>
    <w:p>
      <w:pPr>
        <w:pStyle w:val="33"/>
        <w:spacing w:line="360" w:lineRule="auto"/>
        <w:ind w:firstLine="480" w:firstLineChars="200"/>
        <w:rPr>
          <w:rFonts w:hAnsi="宋体" w:cs="宋体"/>
          <w:b/>
          <w:sz w:val="24"/>
          <w:szCs w:val="24"/>
        </w:rPr>
      </w:pPr>
      <w:r>
        <w:rPr>
          <w:rFonts w:hint="eastAsia" w:hAnsi="宋体" w:cs="宋体"/>
          <w:sz w:val="24"/>
          <w:szCs w:val="24"/>
        </w:rPr>
        <w:t>15.2备份投标文件须在“政采云投标客户端”制作生成，并储存在</w:t>
      </w:r>
      <w:r>
        <w:rPr>
          <w:rFonts w:hint="eastAsia" w:hAnsi="宋体" w:cs="宋体"/>
          <w:sz w:val="24"/>
        </w:rPr>
        <w:t>DVD光盘</w:t>
      </w:r>
      <w:r>
        <w:rPr>
          <w:rFonts w:hint="eastAsia" w:hAnsi="宋体" w:cs="宋体"/>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sz w:val="24"/>
        </w:rPr>
        <w:t>不符合上述制作、</w:t>
      </w:r>
      <w:r>
        <w:rPr>
          <w:rFonts w:hint="eastAsia" w:hAnsi="宋体" w:cs="宋体"/>
          <w:b/>
          <w:sz w:val="24"/>
          <w:szCs w:val="24"/>
        </w:rPr>
        <w:t>存储、密封规定的备份投标文件将被视为无效或者被拒绝接收。</w:t>
      </w:r>
    </w:p>
    <w:p>
      <w:pPr>
        <w:pStyle w:val="33"/>
        <w:spacing w:line="360" w:lineRule="auto"/>
        <w:ind w:firstLine="480" w:firstLineChars="200"/>
        <w:rPr>
          <w:rFonts w:hAnsi="宋体" w:cs="宋体"/>
          <w:sz w:val="24"/>
          <w:szCs w:val="24"/>
        </w:rPr>
      </w:pPr>
      <w:r>
        <w:rPr>
          <w:rFonts w:hint="eastAsia" w:hAnsi="宋体" w:cs="宋体"/>
          <w:sz w:val="24"/>
          <w:szCs w:val="24"/>
        </w:rPr>
        <w:t>15.3直接提交备份投标文件的，投标人应于投标截止时间前在招标公告中载明的开标地点将备份投标文件提交给采购机构，采购机构将拒绝接受逾期送达的备份投标文件。</w:t>
      </w:r>
    </w:p>
    <w:p>
      <w:pPr>
        <w:pStyle w:val="33"/>
        <w:spacing w:line="360" w:lineRule="auto"/>
        <w:ind w:firstLine="480" w:firstLineChars="200"/>
        <w:rPr>
          <w:rFonts w:hAnsi="宋体" w:cs="宋体"/>
          <w:sz w:val="24"/>
          <w:szCs w:val="24"/>
        </w:rPr>
      </w:pPr>
      <w:r>
        <w:rPr>
          <w:rFonts w:hint="eastAsia" w:hAnsi="宋体" w:cs="宋体"/>
          <w:sz w:val="24"/>
          <w:szCs w:val="24"/>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sz w:val="24"/>
          <w:szCs w:val="24"/>
        </w:rPr>
        <w:t>招标文件第二部分投标人须知前附表规定的备份投标文件送达地点；</w:t>
      </w:r>
      <w:r>
        <w:rPr>
          <w:rFonts w:hint="eastAsia" w:hAnsi="宋体" w:cs="宋体"/>
          <w:sz w:val="24"/>
          <w:szCs w:val="24"/>
        </w:rPr>
        <w:t>送达时间以签收人签收时间为准。采购机构将拒绝接受逾期送达的备份投标文件。邮寄过程中，电子备份投标文件发生泄露、遗失、损坏或延期送达等情况的，由投标人自行负责。</w:t>
      </w:r>
    </w:p>
    <w:p>
      <w:pPr>
        <w:pStyle w:val="33"/>
        <w:spacing w:line="360" w:lineRule="auto"/>
        <w:ind w:firstLine="479" w:firstLineChars="199"/>
        <w:rPr>
          <w:rFonts w:hAnsi="宋体" w:cs="宋体"/>
          <w:b/>
          <w:sz w:val="24"/>
          <w:szCs w:val="24"/>
        </w:rPr>
      </w:pPr>
      <w:r>
        <w:rPr>
          <w:rFonts w:hint="eastAsia" w:hAnsi="宋体" w:cs="宋体"/>
          <w:b/>
          <w:sz w:val="24"/>
          <w:szCs w:val="24"/>
        </w:rPr>
        <w:t>15.5投标人仅提交备份投标文件，未在电子交易平台传输递交投标文件的，投标无效。</w:t>
      </w:r>
    </w:p>
    <w:p>
      <w:pPr>
        <w:pStyle w:val="129"/>
        <w:spacing w:before="0"/>
        <w:ind w:firstLine="0" w:firstLineChars="0"/>
        <w:rPr>
          <w:rFonts w:ascii="宋体" w:hAnsi="宋体" w:cs="宋体"/>
          <w:b/>
          <w:szCs w:val="24"/>
        </w:rPr>
      </w:pPr>
      <w:r>
        <w:rPr>
          <w:rFonts w:hint="eastAsia" w:ascii="宋体" w:hAnsi="宋体" w:cs="宋体"/>
          <w:b/>
          <w:szCs w:val="24"/>
        </w:rPr>
        <w:t>16.投标文件的无效处理</w:t>
      </w:r>
    </w:p>
    <w:p>
      <w:pPr>
        <w:pStyle w:val="24"/>
        <w:spacing w:line="360" w:lineRule="auto"/>
        <w:ind w:firstLine="360" w:firstLineChars="150"/>
        <w:rPr>
          <w:rFonts w:hint="eastAsia" w:eastAsia="宋体" w:cs="宋体"/>
          <w:szCs w:val="21"/>
          <w:lang w:eastAsia="zh-CN"/>
        </w:rPr>
      </w:pPr>
      <w:r>
        <w:rPr>
          <w:rFonts w:hint="eastAsia" w:cs="宋体"/>
          <w:szCs w:val="21"/>
        </w:rPr>
        <w:t>有招标文件第四部分</w:t>
      </w:r>
      <w:r>
        <w:rPr>
          <w:rFonts w:cs="宋体"/>
        </w:rPr>
        <w:t>4.2规定</w:t>
      </w:r>
      <w:r>
        <w:rPr>
          <w:rFonts w:hint="eastAsia" w:cs="宋体"/>
          <w:szCs w:val="21"/>
        </w:rPr>
        <w:t>的情形之一的，投标无效</w:t>
      </w:r>
      <w:r>
        <w:rPr>
          <w:rFonts w:hint="eastAsia" w:cs="宋体"/>
          <w:szCs w:val="21"/>
          <w:lang w:eastAsia="zh-CN"/>
        </w:rPr>
        <w:t>。</w:t>
      </w:r>
    </w:p>
    <w:p>
      <w:pPr>
        <w:pStyle w:val="129"/>
        <w:spacing w:before="0"/>
        <w:ind w:firstLine="0" w:firstLineChars="0"/>
        <w:rPr>
          <w:rFonts w:ascii="宋体" w:hAnsi="宋体" w:cs="宋体"/>
          <w:b/>
          <w:szCs w:val="24"/>
        </w:rPr>
      </w:pPr>
      <w:r>
        <w:rPr>
          <w:rFonts w:hint="eastAsia" w:ascii="宋体" w:hAnsi="宋体" w:cs="宋体"/>
          <w:b/>
          <w:szCs w:val="24"/>
        </w:rPr>
        <w:t>17.投标有效期</w:t>
      </w:r>
    </w:p>
    <w:p>
      <w:pPr>
        <w:spacing w:line="360" w:lineRule="auto"/>
        <w:ind w:firstLine="480" w:firstLineChars="200"/>
        <w:rPr>
          <w:rFonts w:ascii="宋体" w:hAnsi="宋体" w:cs="宋体"/>
          <w:b/>
          <w:sz w:val="24"/>
          <w:szCs w:val="21"/>
        </w:rPr>
      </w:pPr>
      <w:r>
        <w:rPr>
          <w:rFonts w:hint="eastAsia" w:ascii="宋体" w:hAnsi="宋体" w:cs="宋体"/>
          <w:sz w:val="24"/>
          <w:szCs w:val="20"/>
        </w:rPr>
        <w:t>17.1投标有效期为从提交投标文件的截止之日起90天。▲</w:t>
      </w:r>
      <w:r>
        <w:rPr>
          <w:rFonts w:hint="eastAsia" w:ascii="宋体" w:hAnsi="宋体" w:cs="宋体"/>
          <w:b/>
          <w:sz w:val="24"/>
          <w:szCs w:val="20"/>
        </w:rPr>
        <w:t>投标人的投标文件中承</w:t>
      </w:r>
      <w:r>
        <w:rPr>
          <w:rFonts w:hint="eastAsia" w:ascii="宋体" w:hAnsi="宋体" w:cs="宋体"/>
          <w:b/>
          <w:sz w:val="24"/>
          <w:szCs w:val="21"/>
        </w:rPr>
        <w:t>诺的投标有效期少于招标文件中载明的投标有效期的，投标无效。</w:t>
      </w:r>
    </w:p>
    <w:p>
      <w:pPr>
        <w:pStyle w:val="129"/>
        <w:spacing w:before="0"/>
        <w:ind w:firstLine="480"/>
        <w:rPr>
          <w:rFonts w:ascii="宋体" w:hAnsi="宋体" w:cs="宋体"/>
        </w:rPr>
      </w:pPr>
      <w:r>
        <w:rPr>
          <w:rFonts w:hint="eastAsia" w:ascii="宋体" w:hAnsi="宋体" w:cs="宋体"/>
        </w:rPr>
        <w:t>17.2投标文件合格投递后，自投标截止日期起，在投标有效期内有效。</w:t>
      </w:r>
    </w:p>
    <w:p>
      <w:pPr>
        <w:pStyle w:val="129"/>
        <w:spacing w:before="0"/>
        <w:ind w:firstLine="480"/>
        <w:rPr>
          <w:rFonts w:ascii="宋体" w:hAnsi="宋体" w:cs="宋体"/>
        </w:rPr>
      </w:pPr>
      <w:r>
        <w:rPr>
          <w:rFonts w:hint="eastAsia" w:ascii="宋体" w:hAnsi="宋体" w:cs="宋体"/>
        </w:rPr>
        <w:t>17.3在原定投标有效期满之前，如果出现特殊情况，采购机构可以以书面形式通知投标人延长投标有效期。投标人同意延长的，不得要求或被允许修改其投标文件，投标人拒绝延长的，其投标无效。</w:t>
      </w:r>
    </w:p>
    <w:p>
      <w:pPr>
        <w:pStyle w:val="129"/>
        <w:spacing w:before="0"/>
        <w:ind w:firstLine="480"/>
        <w:rPr>
          <w:rFonts w:ascii="宋体" w:hAnsi="宋体" w:cs="宋体"/>
        </w:rPr>
      </w:pPr>
      <w:r>
        <w:rPr>
          <w:rFonts w:hint="eastAsia" w:ascii="宋体" w:hAnsi="宋体" w:cs="宋体"/>
        </w:rPr>
        <w:t>17.4在投标截止时间起至投标有效期届满，供应商投标文件不可撤销。</w:t>
      </w:r>
    </w:p>
    <w:p>
      <w:pPr>
        <w:pStyle w:val="129"/>
        <w:spacing w:before="0"/>
        <w:ind w:firstLine="643"/>
        <w:rPr>
          <w:rFonts w:ascii="宋体" w:hAnsi="宋体" w:cs="宋体"/>
          <w:b/>
          <w:sz w:val="32"/>
        </w:rPr>
      </w:pPr>
    </w:p>
    <w:p>
      <w:pPr>
        <w:pStyle w:val="129"/>
        <w:spacing w:before="0"/>
        <w:ind w:firstLine="1928" w:firstLineChars="600"/>
        <w:rPr>
          <w:rFonts w:ascii="宋体" w:hAnsi="宋体" w:cs="宋体"/>
          <w:b/>
          <w:sz w:val="32"/>
        </w:rPr>
      </w:pPr>
      <w:r>
        <w:rPr>
          <w:rFonts w:hint="eastAsia" w:ascii="宋体" w:hAnsi="宋体" w:cs="宋体"/>
          <w:b/>
          <w:sz w:val="32"/>
        </w:rPr>
        <w:t>四、开标、资格审查与信用信息查询</w:t>
      </w:r>
    </w:p>
    <w:p>
      <w:pPr>
        <w:pStyle w:val="555"/>
        <w:spacing w:before="0" w:line="360" w:lineRule="auto"/>
        <w:ind w:left="0" w:firstLine="241" w:firstLineChars="100"/>
        <w:contextualSpacing/>
        <w:rPr>
          <w:rFonts w:ascii="宋体" w:hAnsi="宋体" w:cs="宋体"/>
          <w:sz w:val="24"/>
        </w:rPr>
      </w:pPr>
      <w:r>
        <w:rPr>
          <w:rFonts w:hint="eastAsia" w:ascii="宋体" w:hAnsi="宋体" w:cs="宋体"/>
          <w:b/>
          <w:sz w:val="24"/>
          <w:szCs w:val="24"/>
        </w:rPr>
        <w:t>18</w:t>
      </w:r>
      <w:r>
        <w:rPr>
          <w:rFonts w:hint="eastAsia" w:ascii="宋体" w:hAnsi="宋体" w:cs="宋体"/>
          <w:b/>
          <w:sz w:val="24"/>
          <w:szCs w:val="24"/>
          <w:lang w:eastAsia="zh-CN"/>
        </w:rPr>
        <w:t>、</w:t>
      </w:r>
      <w:r>
        <w:rPr>
          <w:rFonts w:hint="eastAsia" w:ascii="宋体" w:hAnsi="宋体" w:cs="宋体"/>
          <w:b/>
          <w:sz w:val="24"/>
          <w:szCs w:val="24"/>
        </w:rPr>
        <w:t>开标</w:t>
      </w:r>
      <w:r>
        <w:rPr>
          <w:rFonts w:hint="eastAsia" w:ascii="宋体" w:hAnsi="宋体" w:cs="宋体"/>
          <w:sz w:val="24"/>
        </w:rPr>
        <w:t xml:space="preserve"> </w:t>
      </w:r>
    </w:p>
    <w:p>
      <w:pPr>
        <w:pStyle w:val="555"/>
        <w:spacing w:before="0" w:line="360" w:lineRule="auto"/>
        <w:ind w:left="0" w:firstLine="480" w:firstLineChars="200"/>
        <w:contextualSpacing/>
        <w:rPr>
          <w:rFonts w:ascii="宋体" w:hAnsi="宋体" w:cs="宋体"/>
          <w:sz w:val="24"/>
        </w:rPr>
      </w:pPr>
      <w:r>
        <w:rPr>
          <w:rFonts w:hint="eastAsia" w:ascii="宋体" w:hAnsi="宋体" w:cs="宋体"/>
          <w:sz w:val="24"/>
        </w:rPr>
        <w:t>18.1采购机构按照招标文件规定的时间通过电子交易平台组织开标，所有投标人均应当准时在线参加。投标人不足3家的，不得开标。</w:t>
      </w:r>
    </w:p>
    <w:p>
      <w:pPr>
        <w:pStyle w:val="555"/>
        <w:spacing w:before="0" w:line="360" w:lineRule="auto"/>
        <w:ind w:left="0" w:firstLine="240" w:firstLineChars="100"/>
        <w:contextualSpacing/>
        <w:rPr>
          <w:rFonts w:ascii="宋体" w:hAnsi="宋体" w:cs="宋体"/>
          <w:sz w:val="24"/>
        </w:rPr>
      </w:pPr>
      <w:r>
        <w:rPr>
          <w:rFonts w:hint="eastAsia" w:ascii="宋体" w:hAnsi="宋体" w:cs="宋体"/>
          <w:sz w:val="24"/>
        </w:rPr>
        <w:t>　18.2开标时，电子交易平台按开标时间自动提取所有投标文件。采购机构依托电子交易平台发起开始解密指令，投标人按照平台提示和招标文件的规定在半小时内完成在线解密。</w:t>
      </w:r>
    </w:p>
    <w:p>
      <w:pPr>
        <w:pStyle w:val="555"/>
        <w:spacing w:before="0" w:line="360" w:lineRule="auto"/>
        <w:ind w:left="0" w:firstLine="240" w:firstLineChars="100"/>
        <w:contextualSpacing/>
        <w:rPr>
          <w:rFonts w:ascii="宋体" w:hAnsi="宋体" w:cs="宋体"/>
          <w:b/>
          <w:sz w:val="24"/>
        </w:rPr>
      </w:pPr>
      <w:r>
        <w:rPr>
          <w:rFonts w:hint="eastAsia" w:ascii="宋体" w:hAnsi="宋体" w:cs="宋体"/>
          <w:sz w:val="24"/>
        </w:rPr>
        <w:t>　18.3</w:t>
      </w:r>
      <w:r>
        <w:rPr>
          <w:rFonts w:hint="eastAsia" w:ascii="宋体" w:hAnsi="宋体" w:cs="宋体"/>
          <w:b/>
          <w:sz w:val="24"/>
        </w:rPr>
        <w:t>投标文件未按时解密，投标人提供了备份投标文件的，以备份投标文件作为依据，否则视为投标文件撤回。投标文件已按时解密的，备份投标文件自动失效。</w:t>
      </w:r>
    </w:p>
    <w:p>
      <w:pPr>
        <w:widowControl/>
        <w:spacing w:before="100" w:beforeAutospacing="1" w:after="240" w:line="360" w:lineRule="auto"/>
        <w:jc w:val="left"/>
        <w:rPr>
          <w:rFonts w:ascii="宋体" w:hAnsi="宋体" w:cs="宋体"/>
          <w:b/>
          <w:sz w:val="24"/>
          <w:szCs w:val="20"/>
        </w:rPr>
      </w:pPr>
      <w:r>
        <w:rPr>
          <w:rFonts w:hint="eastAsia" w:ascii="宋体" w:hAnsi="宋体" w:cs="宋体"/>
          <w:b/>
          <w:sz w:val="24"/>
          <w:szCs w:val="20"/>
        </w:rPr>
        <w:t>　19、资格审查</w:t>
      </w:r>
    </w:p>
    <w:p>
      <w:pPr>
        <w:pStyle w:val="129"/>
        <w:spacing w:before="0"/>
        <w:ind w:firstLine="480"/>
        <w:rPr>
          <w:rFonts w:ascii="宋体" w:hAnsi="宋体" w:cs="宋体"/>
          <w:kern w:val="0"/>
          <w:szCs w:val="24"/>
        </w:rPr>
      </w:pPr>
      <w:r>
        <w:rPr>
          <w:rFonts w:hint="eastAsia" w:ascii="宋体" w:hAnsi="宋体" w:cs="宋体"/>
          <w:kern w:val="0"/>
          <w:szCs w:val="24"/>
        </w:rPr>
        <w:t>19.1开标后，采购人将依据法律法规和招标文件的规定，对投标人的资格进行审查。</w:t>
      </w:r>
    </w:p>
    <w:p>
      <w:pPr>
        <w:pStyle w:val="129"/>
        <w:spacing w:before="0"/>
        <w:ind w:firstLine="480"/>
        <w:rPr>
          <w:rFonts w:ascii="宋体" w:hAnsi="宋体" w:cs="宋体"/>
        </w:rPr>
      </w:pPr>
      <w:r>
        <w:rPr>
          <w:rFonts w:hint="eastAsia" w:ascii="宋体" w:hAnsi="宋体" w:cs="宋体"/>
          <w:kern w:val="0"/>
          <w:szCs w:val="24"/>
        </w:rPr>
        <w:t>19.2投标人未按照招标文件要求提供与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投标人不具备招标文件中规定的资格要求，其投标无效。</w:t>
      </w:r>
    </w:p>
    <w:p>
      <w:pPr>
        <w:pStyle w:val="129"/>
        <w:spacing w:before="0"/>
        <w:ind w:firstLine="480"/>
        <w:rPr>
          <w:rFonts w:ascii="宋体" w:hAnsi="宋体" w:cs="宋体"/>
        </w:rPr>
      </w:pPr>
      <w:r>
        <w:rPr>
          <w:rFonts w:hint="eastAsia" w:ascii="宋体" w:hAnsi="宋体" w:cs="宋体"/>
          <w:kern w:val="0"/>
          <w:szCs w:val="24"/>
        </w:rPr>
        <w:t>19.</w:t>
      </w:r>
      <w:r>
        <w:rPr>
          <w:rFonts w:hint="eastAsia" w:ascii="宋体" w:hAnsi="宋体" w:cs="宋体"/>
        </w:rPr>
        <w:t>3对未通过资格审查的投标人，告知其未通过的原因。</w:t>
      </w:r>
    </w:p>
    <w:p>
      <w:pPr>
        <w:pStyle w:val="129"/>
        <w:spacing w:before="0"/>
        <w:ind w:firstLine="480"/>
        <w:rPr>
          <w:rFonts w:hint="eastAsia" w:ascii="宋体" w:hAnsi="宋体" w:cs="宋体"/>
        </w:rPr>
      </w:pPr>
      <w:r>
        <w:rPr>
          <w:rFonts w:hint="eastAsia" w:ascii="宋体" w:hAnsi="宋体" w:cs="宋体"/>
          <w:kern w:val="0"/>
          <w:szCs w:val="24"/>
        </w:rPr>
        <w:t>19.</w:t>
      </w:r>
      <w:r>
        <w:rPr>
          <w:rFonts w:hint="eastAsia" w:ascii="宋体" w:hAnsi="宋体" w:cs="宋体"/>
        </w:rPr>
        <w:t>4合格投标人不足3家的，不再评标。</w:t>
      </w:r>
    </w:p>
    <w:p>
      <w:pPr>
        <w:pStyle w:val="129"/>
        <w:spacing w:before="0"/>
        <w:ind w:firstLine="480"/>
        <w:rPr>
          <w:rFonts w:ascii="宋体" w:hAnsi="宋体" w:cs="宋体"/>
          <w:color w:val="auto"/>
          <w:highlight w:val="none"/>
        </w:rPr>
      </w:pPr>
      <w:r>
        <w:rPr>
          <w:rFonts w:hint="eastAsia" w:ascii="宋体" w:hAnsi="宋体" w:cs="宋体"/>
          <w:color w:val="auto"/>
          <w:kern w:val="0"/>
          <w:szCs w:val="24"/>
          <w:highlight w:val="none"/>
        </w:rPr>
        <w:t>19.5金融、保险、通讯等特定行业的全国性企业所设立的区域性分支机构，以及个体工商户、个人独资企业、合伙企业，如果已经依法办理了工商、税务和社保登记手续，并且获得总机构授权或能够提供房产权证或其他有效财产证明材料，证明其具备实际承担责任的能力和法定的缔结合同能力，可以允许其独立参加政府采购活动。</w:t>
      </w:r>
    </w:p>
    <w:p>
      <w:pPr>
        <w:pStyle w:val="129"/>
        <w:spacing w:before="0"/>
        <w:ind w:firstLine="480"/>
        <w:rPr>
          <w:rFonts w:hint="eastAsia" w:ascii="宋体" w:hAnsi="宋体" w:cs="宋体"/>
        </w:rPr>
      </w:pPr>
    </w:p>
    <w:p>
      <w:pPr>
        <w:pStyle w:val="129"/>
        <w:spacing w:before="0"/>
        <w:ind w:firstLine="0" w:firstLineChars="0"/>
        <w:rPr>
          <w:rFonts w:ascii="宋体" w:hAnsi="宋体" w:cs="宋体"/>
          <w:b/>
          <w:szCs w:val="24"/>
        </w:rPr>
      </w:pPr>
      <w:r>
        <w:rPr>
          <w:rFonts w:hint="eastAsia" w:ascii="宋体" w:hAnsi="宋体" w:cs="宋体"/>
          <w:b/>
          <w:szCs w:val="24"/>
        </w:rPr>
        <w:t>20、信用信息查询</w:t>
      </w:r>
    </w:p>
    <w:p>
      <w:pPr>
        <w:pStyle w:val="129"/>
        <w:spacing w:before="0"/>
        <w:ind w:firstLine="495" w:firstLineChars="0"/>
        <w:rPr>
          <w:rFonts w:ascii="宋体" w:hAnsi="宋体" w:cs="宋体"/>
          <w:kern w:val="0"/>
          <w:szCs w:val="24"/>
        </w:rPr>
      </w:pPr>
      <w:r>
        <w:rPr>
          <w:rFonts w:hint="eastAsia" w:ascii="宋体" w:hAnsi="宋体" w:cs="宋体"/>
          <w:kern w:val="0"/>
          <w:szCs w:val="24"/>
        </w:rPr>
        <w:t>20.1信用信息查询渠道及截止时间：采购机构将在资格审查时通过“信用中国”网站(www.creditchina.gov.cn)、中国政府采购网(www.ccgp.gov.cn)渠道查询投标人接受资格审查时的信用记录。</w:t>
      </w:r>
    </w:p>
    <w:p>
      <w:pPr>
        <w:pStyle w:val="129"/>
        <w:spacing w:before="0"/>
        <w:ind w:firstLine="495" w:firstLineChars="0"/>
        <w:rPr>
          <w:rFonts w:ascii="宋体" w:hAnsi="宋体" w:cs="宋体"/>
          <w:kern w:val="0"/>
          <w:szCs w:val="24"/>
        </w:rPr>
      </w:pPr>
      <w:r>
        <w:rPr>
          <w:rFonts w:hint="eastAsia" w:ascii="宋体" w:hAnsi="宋体" w:cs="宋体"/>
          <w:kern w:val="0"/>
          <w:szCs w:val="24"/>
        </w:rPr>
        <w:t>20.2信用信息查询记录和证据留存的具体方式：现场查询的投标人的信用记录、查询结果经确认后将与采购文件一起存档。</w:t>
      </w:r>
    </w:p>
    <w:p>
      <w:pPr>
        <w:pStyle w:val="129"/>
        <w:spacing w:before="0"/>
        <w:ind w:firstLine="495" w:firstLineChars="0"/>
        <w:rPr>
          <w:rFonts w:ascii="宋体" w:hAnsi="宋体" w:cs="宋体"/>
          <w:kern w:val="0"/>
          <w:szCs w:val="24"/>
        </w:rPr>
      </w:pPr>
      <w:r>
        <w:rPr>
          <w:rFonts w:hint="eastAsia" w:ascii="宋体" w:hAnsi="宋体" w:cs="宋体"/>
          <w:kern w:val="0"/>
          <w:szCs w:val="24"/>
        </w:rPr>
        <w:t>20.3信用信息的使用规则：经查询列入失信被执行人名单、重大税收违法案件当事人名单、政府采购严重违法失信行为记录名单的投标人将被拒绝参与政府采购活动。</w:t>
      </w:r>
    </w:p>
    <w:p>
      <w:pPr>
        <w:pStyle w:val="129"/>
        <w:spacing w:before="0"/>
        <w:ind w:firstLine="480"/>
        <w:rPr>
          <w:rFonts w:ascii="宋体" w:hAnsi="宋体" w:cs="宋体"/>
        </w:rPr>
      </w:pPr>
      <w:r>
        <w:rPr>
          <w:rFonts w:hint="eastAsia" w:ascii="宋体" w:hAnsi="宋体" w:cs="宋体"/>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rPr>
        <w:t>。</w:t>
      </w:r>
    </w:p>
    <w:p>
      <w:pPr>
        <w:pStyle w:val="129"/>
        <w:spacing w:before="0"/>
        <w:ind w:firstLine="0" w:firstLineChars="0"/>
        <w:rPr>
          <w:rFonts w:ascii="宋体" w:hAnsi="宋体" w:cs="宋体"/>
          <w:kern w:val="0"/>
          <w:szCs w:val="24"/>
        </w:rPr>
      </w:pPr>
    </w:p>
    <w:p>
      <w:pPr>
        <w:snapToGrid w:val="0"/>
        <w:spacing w:line="360" w:lineRule="auto"/>
        <w:jc w:val="center"/>
        <w:outlineLvl w:val="0"/>
        <w:rPr>
          <w:rFonts w:ascii="宋体" w:hAnsi="宋体" w:cs="宋体"/>
          <w:b/>
          <w:sz w:val="36"/>
          <w:szCs w:val="36"/>
        </w:rPr>
      </w:pPr>
      <w:r>
        <w:rPr>
          <w:rFonts w:hint="eastAsia" w:ascii="宋体" w:hAnsi="宋体" w:cs="宋体"/>
          <w:b/>
          <w:sz w:val="36"/>
          <w:szCs w:val="36"/>
        </w:rPr>
        <w:t>五、评标</w:t>
      </w:r>
    </w:p>
    <w:p>
      <w:pPr>
        <w:spacing w:line="360" w:lineRule="auto"/>
        <w:rPr>
          <w:rFonts w:ascii="宋体" w:hAnsi="宋体" w:cs="宋体"/>
          <w:b/>
          <w:sz w:val="24"/>
        </w:rPr>
      </w:pPr>
      <w:bookmarkStart w:id="18" w:name="_Toc91899903"/>
      <w:r>
        <w:rPr>
          <w:rFonts w:hint="eastAsia" w:ascii="宋体" w:hAnsi="宋体" w:cs="宋体"/>
          <w:b/>
          <w:sz w:val="24"/>
        </w:rPr>
        <w:t>21.</w:t>
      </w:r>
      <w:r>
        <w:rPr>
          <w:rFonts w:hint="eastAsia" w:ascii="宋体" w:hAnsi="宋体" w:cs="宋体"/>
        </w:rPr>
        <w:t xml:space="preserve"> </w:t>
      </w:r>
      <w:r>
        <w:rPr>
          <w:rFonts w:hint="eastAsia" w:ascii="宋体" w:hAnsi="宋体" w:cs="宋体"/>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sz w:val="24"/>
        </w:rPr>
        <w:t>详见招标文件第四部分评标办法。</w:t>
      </w:r>
    </w:p>
    <w:p>
      <w:pPr>
        <w:spacing w:line="360" w:lineRule="auto"/>
        <w:rPr>
          <w:rFonts w:ascii="宋体" w:hAnsi="宋体" w:cs="宋体"/>
          <w:b/>
          <w:sz w:val="24"/>
        </w:rPr>
      </w:pPr>
    </w:p>
    <w:p>
      <w:pPr>
        <w:snapToGrid w:val="0"/>
        <w:spacing w:line="360" w:lineRule="auto"/>
        <w:jc w:val="center"/>
        <w:outlineLvl w:val="0"/>
        <w:rPr>
          <w:rFonts w:ascii="宋体" w:hAnsi="宋体" w:cs="宋体"/>
          <w:b/>
          <w:sz w:val="36"/>
          <w:szCs w:val="36"/>
        </w:rPr>
      </w:pPr>
      <w:r>
        <w:rPr>
          <w:rFonts w:hint="eastAsia" w:ascii="宋体" w:hAnsi="宋体" w:cs="宋体"/>
          <w:b/>
          <w:sz w:val="36"/>
          <w:szCs w:val="36"/>
        </w:rPr>
        <w:t>六、定 标</w:t>
      </w:r>
    </w:p>
    <w:p>
      <w:pPr>
        <w:pStyle w:val="24"/>
        <w:spacing w:line="360" w:lineRule="auto"/>
        <w:ind w:left="479" w:hanging="479" w:hangingChars="199"/>
        <w:rPr>
          <w:rFonts w:cs="宋体"/>
          <w:b/>
        </w:rPr>
      </w:pPr>
      <w:r>
        <w:rPr>
          <w:rFonts w:hint="eastAsia" w:cs="宋体"/>
          <w:b/>
        </w:rPr>
        <w:t>22. 确定中标供应商</w:t>
      </w:r>
    </w:p>
    <w:p>
      <w:pPr>
        <w:pStyle w:val="129"/>
        <w:snapToGrid w:val="0"/>
        <w:spacing w:before="0"/>
        <w:ind w:firstLine="480"/>
        <w:rPr>
          <w:rFonts w:ascii="宋体" w:hAnsi="宋体" w:cs="宋体"/>
          <w:szCs w:val="24"/>
        </w:rPr>
      </w:pPr>
      <w:r>
        <w:rPr>
          <w:rFonts w:hint="eastAsia" w:ascii="宋体" w:hAnsi="宋体" w:cs="宋体"/>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在采购结果确认环节，中标候选人撤销投标文件不能成为采购人不确认采购结果的正当理由。中标通知书和中标结果公告应当在规定时间内同时发出。</w:t>
      </w:r>
    </w:p>
    <w:p>
      <w:pPr>
        <w:pStyle w:val="129"/>
        <w:snapToGrid w:val="0"/>
        <w:spacing w:before="0"/>
        <w:ind w:firstLine="0" w:firstLineChars="0"/>
        <w:rPr>
          <w:rFonts w:ascii="宋体" w:hAnsi="宋体" w:cs="宋体"/>
          <w:b/>
          <w:szCs w:val="24"/>
        </w:rPr>
      </w:pPr>
      <w:r>
        <w:rPr>
          <w:rFonts w:hint="eastAsia" w:ascii="宋体" w:hAnsi="宋体" w:cs="宋体"/>
          <w:b/>
          <w:szCs w:val="24"/>
        </w:rPr>
        <w:t>23. 中标通知与中标结果公告</w:t>
      </w:r>
    </w:p>
    <w:p>
      <w:pPr>
        <w:widowControl/>
        <w:shd w:val="clear" w:color="auto" w:fill="FFFFFF"/>
        <w:spacing w:line="360" w:lineRule="auto"/>
        <w:ind w:firstLine="480"/>
        <w:jc w:val="left"/>
        <w:rPr>
          <w:rFonts w:ascii="宋体" w:hAnsi="宋体" w:cs="宋体"/>
          <w:sz w:val="24"/>
        </w:rPr>
      </w:pPr>
      <w:r>
        <w:rPr>
          <w:rFonts w:hint="eastAsia" w:ascii="宋体" w:hAnsi="宋体" w:cs="宋体"/>
          <w:sz w:val="24"/>
        </w:rPr>
        <w:t>23.1自中标人确定之日起2个工作日内，采购机构通过电子交易平台向中标人发出中标通知书，同时编制发布采购结果公告。采购机构也可以以纸质形式进行中标通知。</w:t>
      </w:r>
    </w:p>
    <w:p>
      <w:pPr>
        <w:widowControl/>
        <w:shd w:val="clear" w:color="auto" w:fill="FFFFFF"/>
        <w:spacing w:line="360" w:lineRule="auto"/>
        <w:ind w:firstLine="480"/>
        <w:jc w:val="left"/>
        <w:rPr>
          <w:rFonts w:ascii="宋体" w:hAnsi="宋体" w:cs="宋体"/>
          <w:sz w:val="24"/>
        </w:rPr>
      </w:pPr>
      <w:r>
        <w:rPr>
          <w:rFonts w:hint="eastAsia" w:ascii="宋体" w:hAnsi="宋体" w:cs="宋体"/>
          <w:sz w:val="24"/>
        </w:rPr>
        <w:t>23.2中标结果公告内容包括采购人及其委托的采购机构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pPr>
        <w:widowControl/>
        <w:shd w:val="clear" w:color="auto" w:fill="FFFFFF"/>
        <w:spacing w:line="360" w:lineRule="auto"/>
        <w:ind w:firstLine="480"/>
        <w:jc w:val="left"/>
        <w:rPr>
          <w:rFonts w:ascii="宋体" w:hAnsi="宋体" w:cs="宋体"/>
          <w:sz w:val="24"/>
        </w:rPr>
      </w:pPr>
      <w:r>
        <w:rPr>
          <w:rFonts w:hint="eastAsia" w:ascii="宋体" w:hAnsi="宋体" w:cs="宋体"/>
          <w:sz w:val="24"/>
        </w:rPr>
        <w:t>23.3公告期限为1个工作日。</w:t>
      </w:r>
    </w:p>
    <w:p>
      <w:pPr>
        <w:snapToGrid w:val="0"/>
        <w:spacing w:line="360" w:lineRule="auto"/>
        <w:ind w:left="120" w:leftChars="57" w:firstLine="482" w:firstLineChars="150"/>
        <w:jc w:val="center"/>
        <w:rPr>
          <w:rFonts w:ascii="宋体" w:hAnsi="宋体" w:cs="宋体"/>
          <w:b/>
          <w:sz w:val="32"/>
        </w:rPr>
      </w:pPr>
    </w:p>
    <w:p>
      <w:pPr>
        <w:snapToGrid w:val="0"/>
        <w:spacing w:line="360" w:lineRule="auto"/>
        <w:ind w:left="120" w:leftChars="57" w:firstLine="482" w:firstLineChars="150"/>
        <w:jc w:val="center"/>
        <w:rPr>
          <w:rFonts w:ascii="宋体" w:hAnsi="宋体" w:cs="宋体"/>
          <w:b/>
          <w:sz w:val="32"/>
        </w:rPr>
      </w:pPr>
      <w:r>
        <w:rPr>
          <w:rFonts w:hint="eastAsia" w:ascii="宋体" w:hAnsi="宋体" w:cs="宋体"/>
          <w:b/>
          <w:sz w:val="32"/>
        </w:rPr>
        <w:t>七、合同授予</w:t>
      </w:r>
    </w:p>
    <w:p>
      <w:pPr>
        <w:pStyle w:val="24"/>
        <w:spacing w:line="360" w:lineRule="auto"/>
        <w:ind w:left="479" w:hanging="479" w:hangingChars="199"/>
        <w:rPr>
          <w:rFonts w:cs="宋体"/>
          <w:b/>
        </w:rPr>
      </w:pPr>
      <w:r>
        <w:rPr>
          <w:rFonts w:hint="eastAsia" w:cs="宋体"/>
          <w:b/>
        </w:rPr>
        <w:t xml:space="preserve">24. </w:t>
      </w:r>
      <w:r>
        <w:rPr>
          <w:rFonts w:hint="eastAsia" w:cs="宋体"/>
        </w:rPr>
        <w:t>合同主要条款详见第五部分拟签订的合同文本。</w:t>
      </w:r>
    </w:p>
    <w:p>
      <w:pPr>
        <w:pStyle w:val="24"/>
        <w:spacing w:line="360" w:lineRule="auto"/>
        <w:ind w:left="479" w:hanging="479" w:hangingChars="199"/>
        <w:rPr>
          <w:rFonts w:cs="宋体"/>
          <w:b/>
        </w:rPr>
      </w:pPr>
      <w:r>
        <w:rPr>
          <w:rFonts w:hint="eastAsia" w:cs="宋体"/>
          <w:b/>
        </w:rPr>
        <w:t>25. 合同的签订</w:t>
      </w:r>
    </w:p>
    <w:p>
      <w:pPr>
        <w:widowControl/>
        <w:shd w:val="clear" w:color="auto" w:fill="FFFFFF"/>
        <w:spacing w:line="360" w:lineRule="auto"/>
        <w:ind w:firstLine="480"/>
        <w:jc w:val="left"/>
        <w:rPr>
          <w:rFonts w:ascii="宋体" w:hAnsi="宋体" w:cs="宋体"/>
          <w:kern w:val="0"/>
          <w:sz w:val="24"/>
        </w:rPr>
      </w:pPr>
      <w:r>
        <w:rPr>
          <w:rFonts w:hint="eastAsia" w:ascii="宋体" w:hAnsi="宋体" w:cs="宋体"/>
          <w:sz w:val="24"/>
        </w:rPr>
        <w:t>25.1</w:t>
      </w:r>
      <w:r>
        <w:rPr>
          <w:rFonts w:hint="eastAsia" w:ascii="宋体" w:hAnsi="宋体" w:cs="宋体"/>
          <w:kern w:val="0"/>
          <w:sz w:val="24"/>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pPr>
        <w:pStyle w:val="129"/>
        <w:snapToGrid w:val="0"/>
        <w:spacing w:before="0"/>
        <w:ind w:firstLine="480"/>
        <w:rPr>
          <w:rFonts w:ascii="宋体" w:hAnsi="宋体" w:cs="宋体"/>
          <w:kern w:val="0"/>
        </w:rPr>
      </w:pPr>
      <w:r>
        <w:rPr>
          <w:rFonts w:hint="eastAsia" w:ascii="宋体" w:hAnsi="宋体" w:cs="宋体"/>
          <w:kern w:val="0"/>
          <w:lang w:val="zh-CN"/>
        </w:rPr>
        <w:t>25.2中标人按规定的日期、时间、地点，由法定代表人或其授权代表与采购人代表签订合同。如中标人为联合体的，由联合体成员各方法定代表人或其授权代表与采购人代表签订合同。</w:t>
      </w:r>
    </w:p>
    <w:p>
      <w:pPr>
        <w:pStyle w:val="129"/>
        <w:snapToGrid w:val="0"/>
        <w:spacing w:before="0"/>
        <w:ind w:firstLine="480"/>
        <w:rPr>
          <w:rFonts w:ascii="宋体" w:hAnsi="宋体" w:cs="宋体"/>
        </w:rPr>
      </w:pPr>
      <w:r>
        <w:rPr>
          <w:rFonts w:hint="eastAsia" w:ascii="宋体" w:hAnsi="宋体" w:cs="宋体"/>
        </w:rPr>
        <w:t>25.3如签订合同并生效后，供应商无故拒绝或延期，除按照合同条款处理外，列入不良行为记录一次，并给予通报。</w:t>
      </w:r>
    </w:p>
    <w:p>
      <w:pPr>
        <w:pStyle w:val="129"/>
        <w:snapToGrid w:val="0"/>
        <w:spacing w:before="0"/>
        <w:ind w:firstLine="480"/>
        <w:rPr>
          <w:rFonts w:ascii="宋体" w:hAnsi="宋体" w:cs="宋体"/>
        </w:rPr>
      </w:pPr>
      <w:r>
        <w:rPr>
          <w:rFonts w:hint="eastAsia" w:ascii="宋体" w:hAnsi="宋体" w:cs="宋体"/>
        </w:rPr>
        <w:t>25.4中标供应商拒绝与采购人签订合同的，采购人可以按照评审报告推荐的中标或者成交候选人名单排序，确定下一候选人为中标供应商，也可以重新开展政府采购活动。</w:t>
      </w:r>
    </w:p>
    <w:p>
      <w:pPr>
        <w:pStyle w:val="129"/>
        <w:snapToGrid w:val="0"/>
        <w:spacing w:before="0" w:after="120"/>
        <w:ind w:firstLine="480"/>
        <w:rPr>
          <w:rFonts w:ascii="宋体" w:hAnsi="宋体" w:cs="宋体"/>
        </w:rPr>
      </w:pPr>
      <w:r>
        <w:rPr>
          <w:rFonts w:hint="eastAsia" w:ascii="宋体" w:hAnsi="宋体" w:cs="宋体"/>
        </w:rPr>
        <w:t>25.5采购合同由采购人与中标供应商根据招标文件、投标文件等内容通过政府采购电子交易平台在线签订，自动备案。</w:t>
      </w:r>
    </w:p>
    <w:p>
      <w:pPr>
        <w:pStyle w:val="24"/>
        <w:spacing w:line="360" w:lineRule="auto"/>
        <w:ind w:left="479" w:hanging="479" w:hangingChars="199"/>
        <w:rPr>
          <w:rFonts w:cs="宋体"/>
          <w:b/>
        </w:rPr>
      </w:pPr>
      <w:r>
        <w:rPr>
          <w:rFonts w:hint="eastAsia" w:cs="宋体"/>
          <w:b/>
        </w:rPr>
        <w:t>26. 履约保证金</w:t>
      </w:r>
    </w:p>
    <w:p>
      <w:pPr>
        <w:tabs>
          <w:tab w:val="left" w:pos="0"/>
        </w:tabs>
        <w:spacing w:line="360" w:lineRule="auto"/>
        <w:ind w:firstLine="482"/>
        <w:rPr>
          <w:rFonts w:ascii="宋体" w:hAnsi="宋体" w:cs="宋体"/>
          <w:sz w:val="24"/>
        </w:rPr>
      </w:pPr>
      <w:r>
        <w:rPr>
          <w:rFonts w:hint="eastAsia" w:ascii="宋体" w:hAnsi="宋体" w:cs="宋体"/>
          <w:kern w:val="0"/>
          <w:sz w:val="24"/>
        </w:rPr>
        <w:t>拟签订的合同文本要求中标供应商提交履约保证金的，供应商应当以支票、汇票、本票或者金融机构、担保机构出具的保函等非现金形式提交</w:t>
      </w:r>
      <w:r>
        <w:rPr>
          <w:rFonts w:hint="eastAsia" w:ascii="宋体" w:hAnsi="宋体" w:cs="宋体"/>
          <w:sz w:val="24"/>
        </w:rPr>
        <w:t>。履约保证金的数额不得超过政府采购合同金额的</w:t>
      </w:r>
      <w:r>
        <w:rPr>
          <w:rFonts w:ascii="宋体" w:hAnsi="宋体" w:cs="宋体"/>
          <w:sz w:val="24"/>
        </w:rPr>
        <w:t>1</w:t>
      </w:r>
      <w:r>
        <w:rPr>
          <w:rFonts w:hint="eastAsia" w:ascii="宋体" w:hAnsi="宋体" w:cs="宋体"/>
          <w:sz w:val="24"/>
        </w:rPr>
        <w:t>%。鼓励和支持供应商以银行、保险公司出具的保函形式提供履约保证金。采购人不得拒收履约保函，项目验收结束后应及时退还，</w:t>
      </w:r>
      <w:r>
        <w:rPr>
          <w:rFonts w:ascii="宋体" w:hAnsi="宋体" w:cs="宋体"/>
          <w:sz w:val="24"/>
        </w:rPr>
        <w:t>延迟退还的，应当按照合同约定和法律规定承担相应的赔偿责任</w:t>
      </w:r>
      <w:r>
        <w:rPr>
          <w:rFonts w:hint="eastAsia" w:ascii="宋体" w:hAnsi="宋体" w:cs="宋体"/>
          <w:sz w:val="24"/>
        </w:rPr>
        <w:t>。</w:t>
      </w:r>
    </w:p>
    <w:p>
      <w:pPr>
        <w:pStyle w:val="2"/>
        <w:ind w:left="0" w:firstLine="480" w:firstLineChars="200"/>
        <w:rPr>
          <w:rFonts w:hint="eastAsia" w:ascii="宋体" w:hAnsi="宋体" w:eastAsia="宋体" w:cs="宋体"/>
          <w:b w:val="0"/>
          <w:bCs w:val="0"/>
          <w:snapToGrid w:val="0"/>
          <w:kern w:val="28"/>
          <w:sz w:val="24"/>
        </w:rPr>
      </w:pPr>
      <w:r>
        <w:rPr>
          <w:rFonts w:hint="eastAsia" w:ascii="宋体" w:hAnsi="宋体" w:eastAsia="宋体" w:cs="宋体"/>
          <w:b w:val="0"/>
          <w:bCs w:val="0"/>
          <w:snapToGrid w:val="0"/>
          <w:kern w:val="28"/>
          <w:sz w:val="24"/>
        </w:rPr>
        <w:t>供应商</w:t>
      </w:r>
      <w:r>
        <w:rPr>
          <w:rFonts w:hint="eastAsia" w:ascii="宋体" w:hAnsi="宋体" w:eastAsia="宋体" w:cs="宋体"/>
          <w:b w:val="0"/>
          <w:bCs w:val="0"/>
          <w:snapToGrid w:val="0"/>
          <w:kern w:val="28"/>
          <w:sz w:val="24"/>
          <w:lang w:val="en-US"/>
        </w:rPr>
        <w:t>可</w:t>
      </w:r>
      <w:r>
        <w:rPr>
          <w:rFonts w:hint="eastAsia" w:ascii="宋体" w:hAnsi="宋体" w:eastAsia="宋体" w:cs="宋体"/>
          <w:b w:val="0"/>
          <w:bCs w:val="0"/>
          <w:snapToGrid w:val="0"/>
          <w:kern w:val="28"/>
          <w:sz w:val="24"/>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pPr>
        <w:pStyle w:val="2"/>
        <w:rPr>
          <w:color w:val="auto"/>
          <w:highlight w:val="none"/>
        </w:rPr>
      </w:pPr>
      <w:r>
        <w:rPr>
          <w:rFonts w:ascii="宋体" w:hAnsi="宋体" w:eastAsia="宋体" w:cs="Times New Roman"/>
          <w:b/>
          <w:bCs/>
          <w:color w:val="auto"/>
          <w:kern w:val="2"/>
          <w:sz w:val="24"/>
          <w:szCs w:val="32"/>
          <w:highlight w:val="none"/>
          <w:lang w:val="en-US"/>
        </w:rPr>
        <w:t>27.预付款</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snapToGrid w:val="0"/>
          <w:kern w:val="28"/>
          <w:sz w:val="24"/>
          <w:szCs w:val="32"/>
          <w:lang w:val="en-US" w:eastAsia="zh-CN" w:bidi="ar-SA"/>
        </w:rPr>
      </w:pPr>
      <w:r>
        <w:rPr>
          <w:rFonts w:hint="eastAsia" w:ascii="宋体" w:hAnsi="宋体" w:eastAsia="宋体" w:cs="宋体"/>
          <w:b w:val="0"/>
          <w:bCs w:val="0"/>
          <w:snapToGrid w:val="0"/>
          <w:kern w:val="28"/>
          <w:sz w:val="24"/>
          <w:szCs w:val="32"/>
          <w:lang w:val="zh-CN" w:eastAsia="zh-CN" w:bidi="ar-SA"/>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【保函保险服务】出具预付款保函，具体步骤：选择产品—填写供应商信息—选择中标项目—确认信息—等待保险/保函受理—确认保单—支付保费—成功出单。政采云金融专线400-903-9583。</w:t>
      </w:r>
    </w:p>
    <w:p>
      <w:pPr>
        <w:snapToGrid w:val="0"/>
        <w:spacing w:line="360" w:lineRule="auto"/>
        <w:ind w:firstLine="3357" w:firstLineChars="1045"/>
        <w:rPr>
          <w:rFonts w:ascii="宋体" w:hAnsi="宋体" w:cs="宋体"/>
          <w:b/>
          <w:sz w:val="32"/>
        </w:rPr>
      </w:pPr>
    </w:p>
    <w:p>
      <w:pPr>
        <w:snapToGrid w:val="0"/>
        <w:spacing w:line="360" w:lineRule="auto"/>
        <w:ind w:firstLine="3357" w:firstLineChars="1045"/>
        <w:rPr>
          <w:rFonts w:ascii="宋体" w:hAnsi="宋体" w:cs="宋体"/>
          <w:b/>
          <w:sz w:val="24"/>
        </w:rPr>
      </w:pPr>
      <w:r>
        <w:rPr>
          <w:rFonts w:hint="eastAsia" w:ascii="宋体" w:hAnsi="宋体" w:cs="宋体"/>
          <w:b/>
          <w:sz w:val="32"/>
        </w:rPr>
        <w:t>八、电子交易活动的中止</w:t>
      </w:r>
    </w:p>
    <w:p>
      <w:pPr>
        <w:pStyle w:val="129"/>
        <w:snapToGrid w:val="0"/>
        <w:spacing w:before="0"/>
        <w:ind w:firstLine="0" w:firstLineChars="0"/>
        <w:rPr>
          <w:rFonts w:ascii="宋体" w:hAnsi="宋体" w:cs="宋体"/>
        </w:rPr>
      </w:pPr>
      <w:r>
        <w:rPr>
          <w:rFonts w:hint="eastAsia" w:ascii="宋体" w:hAnsi="宋体" w:cs="宋体"/>
          <w:b/>
          <w:bCs/>
        </w:rPr>
        <w:t>2</w:t>
      </w:r>
      <w:r>
        <w:rPr>
          <w:rFonts w:hint="eastAsia" w:ascii="宋体" w:hAnsi="宋体" w:cs="宋体"/>
          <w:b/>
          <w:szCs w:val="24"/>
          <w:lang w:val="en-US" w:eastAsia="zh-CN"/>
        </w:rPr>
        <w:t>8</w:t>
      </w:r>
      <w:r>
        <w:rPr>
          <w:rFonts w:hint="eastAsia" w:ascii="宋体" w:hAnsi="宋体" w:cs="宋体"/>
          <w:b/>
          <w:szCs w:val="24"/>
        </w:rPr>
        <w:t>. 电子交易活动的中止。</w:t>
      </w:r>
      <w:r>
        <w:rPr>
          <w:rFonts w:hint="eastAsia" w:ascii="宋体" w:hAnsi="宋体" w:cs="宋体"/>
        </w:rPr>
        <w:t>采购过程中出现以下情形，导致电子交易平台无法正常运行，或者无法保证电子交易的公平、公正和安全时，采购机构可中止电子交易活动：</w:t>
      </w:r>
    </w:p>
    <w:p>
      <w:pPr>
        <w:pStyle w:val="129"/>
        <w:snapToGrid w:val="0"/>
        <w:spacing w:before="0"/>
        <w:ind w:firstLine="480"/>
        <w:rPr>
          <w:rFonts w:ascii="宋体" w:hAnsi="宋体" w:cs="宋体"/>
        </w:rPr>
      </w:pPr>
      <w:r>
        <w:rPr>
          <w:rFonts w:hint="eastAsia" w:ascii="宋体" w:hAnsi="宋体" w:cs="宋体"/>
        </w:rPr>
        <w:t>2</w:t>
      </w:r>
      <w:r>
        <w:rPr>
          <w:rFonts w:hint="eastAsia" w:ascii="宋体" w:hAnsi="宋体" w:cs="宋体"/>
          <w:lang w:val="en-US" w:eastAsia="zh-CN"/>
        </w:rPr>
        <w:t>8</w:t>
      </w:r>
      <w:r>
        <w:rPr>
          <w:rFonts w:hint="eastAsia" w:ascii="宋体" w:hAnsi="宋体" w:cs="宋体"/>
        </w:rPr>
        <w:t xml:space="preserve">.1电子交易平台发生故障而无法登录访问的； </w:t>
      </w:r>
    </w:p>
    <w:p>
      <w:pPr>
        <w:pStyle w:val="129"/>
        <w:snapToGrid w:val="0"/>
        <w:spacing w:before="0"/>
        <w:ind w:firstLine="480"/>
        <w:rPr>
          <w:rFonts w:ascii="宋体" w:hAnsi="宋体" w:cs="宋体"/>
        </w:rPr>
      </w:pPr>
      <w:r>
        <w:rPr>
          <w:rFonts w:hint="eastAsia" w:ascii="宋体" w:hAnsi="宋体" w:cs="宋体"/>
        </w:rPr>
        <w:t>2</w:t>
      </w:r>
      <w:r>
        <w:rPr>
          <w:rFonts w:hint="eastAsia" w:ascii="宋体" w:hAnsi="宋体" w:cs="宋体"/>
          <w:lang w:val="en-US" w:eastAsia="zh-CN"/>
        </w:rPr>
        <w:t>8</w:t>
      </w:r>
      <w:r>
        <w:rPr>
          <w:rFonts w:hint="eastAsia" w:ascii="宋体" w:hAnsi="宋体" w:cs="宋体"/>
        </w:rPr>
        <w:t>.2电子交易平台应用或数据库出现错误，不能进行正常操作的；</w:t>
      </w:r>
    </w:p>
    <w:p>
      <w:pPr>
        <w:pStyle w:val="129"/>
        <w:snapToGrid w:val="0"/>
        <w:spacing w:before="0"/>
        <w:ind w:firstLine="480"/>
        <w:rPr>
          <w:rFonts w:ascii="宋体" w:hAnsi="宋体" w:cs="宋体"/>
        </w:rPr>
      </w:pPr>
      <w:r>
        <w:rPr>
          <w:rFonts w:hint="eastAsia" w:ascii="宋体" w:hAnsi="宋体" w:cs="宋体"/>
        </w:rPr>
        <w:t>2</w:t>
      </w:r>
      <w:r>
        <w:rPr>
          <w:rFonts w:hint="eastAsia" w:ascii="宋体" w:hAnsi="宋体" w:cs="宋体"/>
          <w:lang w:val="en-US" w:eastAsia="zh-CN"/>
        </w:rPr>
        <w:t>8</w:t>
      </w:r>
      <w:r>
        <w:rPr>
          <w:rFonts w:hint="eastAsia" w:ascii="宋体" w:hAnsi="宋体" w:cs="宋体"/>
        </w:rPr>
        <w:t>.3电子交易平台发现严重安全漏洞，有潜在泄密危险的；</w:t>
      </w:r>
    </w:p>
    <w:p>
      <w:pPr>
        <w:pStyle w:val="129"/>
        <w:snapToGrid w:val="0"/>
        <w:spacing w:before="0"/>
        <w:ind w:firstLine="480"/>
        <w:rPr>
          <w:rFonts w:ascii="宋体" w:hAnsi="宋体" w:cs="宋体"/>
        </w:rPr>
      </w:pPr>
      <w:r>
        <w:rPr>
          <w:rFonts w:hint="eastAsia" w:ascii="宋体" w:hAnsi="宋体" w:cs="宋体"/>
        </w:rPr>
        <w:t>2</w:t>
      </w:r>
      <w:r>
        <w:rPr>
          <w:rFonts w:hint="eastAsia" w:ascii="宋体" w:hAnsi="宋体" w:cs="宋体"/>
          <w:lang w:val="en-US" w:eastAsia="zh-CN"/>
        </w:rPr>
        <w:t>8</w:t>
      </w:r>
      <w:r>
        <w:rPr>
          <w:rFonts w:hint="eastAsia" w:ascii="宋体" w:hAnsi="宋体" w:cs="宋体"/>
        </w:rPr>
        <w:t xml:space="preserve">.4病毒发作导致不能进行正常操作的； </w:t>
      </w:r>
    </w:p>
    <w:p>
      <w:pPr>
        <w:pStyle w:val="129"/>
        <w:snapToGrid w:val="0"/>
        <w:spacing w:before="0"/>
        <w:ind w:firstLine="480"/>
        <w:rPr>
          <w:rFonts w:ascii="宋体" w:hAnsi="宋体" w:cs="宋体"/>
        </w:rPr>
      </w:pPr>
      <w:r>
        <w:rPr>
          <w:rFonts w:hint="eastAsia" w:ascii="宋体" w:hAnsi="宋体" w:cs="宋体"/>
        </w:rPr>
        <w:t>2</w:t>
      </w:r>
      <w:r>
        <w:rPr>
          <w:rFonts w:hint="eastAsia" w:ascii="宋体" w:hAnsi="宋体" w:cs="宋体"/>
          <w:lang w:val="en-US" w:eastAsia="zh-CN"/>
        </w:rPr>
        <w:t>8</w:t>
      </w:r>
      <w:r>
        <w:rPr>
          <w:rFonts w:hint="eastAsia" w:ascii="宋体" w:hAnsi="宋体" w:cs="宋体"/>
        </w:rPr>
        <w:t>.5其他无法保证电子交易的公平、公正和安全的情况。</w:t>
      </w:r>
    </w:p>
    <w:p>
      <w:pPr>
        <w:pStyle w:val="129"/>
        <w:snapToGrid w:val="0"/>
        <w:spacing w:before="0"/>
        <w:ind w:firstLine="0" w:firstLineChars="0"/>
        <w:rPr>
          <w:rFonts w:ascii="宋体" w:hAnsi="宋体" w:cs="宋体"/>
        </w:rPr>
      </w:pPr>
      <w:r>
        <w:rPr>
          <w:rFonts w:hint="eastAsia" w:ascii="宋体" w:hAnsi="宋体" w:cs="宋体"/>
        </w:rPr>
        <w:t xml:space="preserve"> 2</w:t>
      </w:r>
      <w:r>
        <w:rPr>
          <w:rFonts w:hint="eastAsia" w:ascii="宋体" w:hAnsi="宋体" w:cs="宋体"/>
          <w:lang w:val="en-US" w:eastAsia="zh-CN"/>
        </w:rPr>
        <w:t>9</w:t>
      </w:r>
      <w:r>
        <w:rPr>
          <w:rFonts w:hint="eastAsia" w:ascii="宋体" w:hAnsi="宋体" w:cs="宋体"/>
        </w:rPr>
        <w:t>.出现以上情形，不影响采购公平、公正性的，采购组织机构可以待上述情形消除后继续组织电子交易活动，也可以决定某些环节以纸质形式进行；影响或可能影响采购公平、公正性的，应当重新采购。</w:t>
      </w:r>
    </w:p>
    <w:p>
      <w:pPr>
        <w:tabs>
          <w:tab w:val="left" w:pos="0"/>
        </w:tabs>
        <w:spacing w:line="360" w:lineRule="auto"/>
        <w:ind w:firstLine="480"/>
        <w:rPr>
          <w:rFonts w:ascii="宋体" w:hAnsi="宋体" w:cs="宋体"/>
          <w:sz w:val="24"/>
        </w:rPr>
      </w:pPr>
    </w:p>
    <w:p>
      <w:pPr>
        <w:snapToGrid w:val="0"/>
        <w:spacing w:line="360" w:lineRule="auto"/>
        <w:ind w:left="120" w:leftChars="57" w:firstLine="482" w:firstLineChars="150"/>
        <w:jc w:val="center"/>
        <w:rPr>
          <w:rFonts w:ascii="宋体" w:hAnsi="宋体" w:cs="宋体"/>
          <w:b/>
          <w:sz w:val="32"/>
        </w:rPr>
      </w:pPr>
      <w:r>
        <w:rPr>
          <w:rFonts w:hint="eastAsia" w:ascii="宋体" w:hAnsi="宋体" w:cs="宋体"/>
          <w:b/>
          <w:sz w:val="32"/>
        </w:rPr>
        <w:t>九、验收</w:t>
      </w:r>
    </w:p>
    <w:p>
      <w:pPr>
        <w:pStyle w:val="24"/>
        <w:spacing w:line="360" w:lineRule="auto"/>
        <w:ind w:firstLine="0" w:firstLineChars="0"/>
        <w:rPr>
          <w:rFonts w:cs="宋体"/>
          <w:b/>
        </w:rPr>
      </w:pPr>
      <w:r>
        <w:rPr>
          <w:rFonts w:hint="eastAsia" w:cs="宋体"/>
          <w:b/>
          <w:lang w:val="en-US" w:eastAsia="zh-CN"/>
        </w:rPr>
        <w:t>30</w:t>
      </w:r>
      <w:r>
        <w:rPr>
          <w:rFonts w:hint="eastAsia" w:cs="宋体"/>
          <w:b/>
        </w:rPr>
        <w:t>.验收</w:t>
      </w:r>
    </w:p>
    <w:p>
      <w:pPr>
        <w:tabs>
          <w:tab w:val="left" w:pos="0"/>
        </w:tabs>
        <w:spacing w:line="360" w:lineRule="auto"/>
        <w:ind w:firstLine="480"/>
        <w:rPr>
          <w:rFonts w:ascii="宋体" w:hAnsi="宋体" w:cs="宋体"/>
          <w:kern w:val="0"/>
          <w:sz w:val="24"/>
        </w:rPr>
      </w:pPr>
      <w:r>
        <w:rPr>
          <w:rFonts w:hint="eastAsia" w:ascii="宋体" w:hAnsi="宋体" w:cs="宋体"/>
          <w:kern w:val="0"/>
          <w:sz w:val="24"/>
          <w:lang w:val="en-US" w:eastAsia="zh-CN"/>
        </w:rPr>
        <w:t>30</w:t>
      </w:r>
      <w:r>
        <w:rPr>
          <w:rFonts w:hint="eastAsia" w:ascii="宋体" w:hAnsi="宋体" w:cs="宋体"/>
          <w:kern w:val="0"/>
          <w:sz w:val="24"/>
        </w:rPr>
        <w:t>.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ascii="宋体" w:hAnsi="宋体" w:cs="宋体"/>
          <w:kern w:val="0"/>
          <w:sz w:val="24"/>
        </w:rPr>
      </w:pPr>
      <w:r>
        <w:rPr>
          <w:rFonts w:hint="eastAsia" w:ascii="宋体" w:hAnsi="宋体" w:cs="宋体"/>
          <w:kern w:val="0"/>
          <w:sz w:val="24"/>
          <w:lang w:val="en-US" w:eastAsia="zh-CN"/>
        </w:rPr>
        <w:t>30</w:t>
      </w:r>
      <w:r>
        <w:rPr>
          <w:rFonts w:hint="eastAsia" w:ascii="宋体" w:hAnsi="宋体" w:cs="宋体"/>
          <w:kern w:val="0"/>
          <w:sz w:val="24"/>
        </w:rPr>
        <w:t>.2采购人可以邀请参加本项目的其他投标人或者第三方机构参与验收。参与验收的投标人或者第三方机构的意见作为验收书的参考资料一并存档。</w:t>
      </w:r>
    </w:p>
    <w:p>
      <w:pPr>
        <w:tabs>
          <w:tab w:val="left" w:pos="0"/>
        </w:tabs>
        <w:spacing w:line="360" w:lineRule="auto"/>
        <w:ind w:firstLine="480"/>
        <w:rPr>
          <w:rFonts w:ascii="宋体" w:hAnsi="宋体" w:cs="宋体"/>
          <w:kern w:val="0"/>
          <w:sz w:val="24"/>
        </w:rPr>
      </w:pPr>
      <w:r>
        <w:rPr>
          <w:rFonts w:hint="eastAsia" w:ascii="宋体" w:hAnsi="宋体" w:cs="宋体"/>
          <w:kern w:val="0"/>
          <w:sz w:val="24"/>
          <w:lang w:val="en-US" w:eastAsia="zh-CN"/>
        </w:rPr>
        <w:t>30</w:t>
      </w:r>
      <w:r>
        <w:rPr>
          <w:rFonts w:hint="eastAsia" w:ascii="宋体" w:hAnsi="宋体" w:cs="宋体"/>
          <w:kern w:val="0"/>
          <w:sz w:val="24"/>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pPr>
      <w:r>
        <w:rPr>
          <w:rFonts w:hint="eastAsia" w:ascii="宋体" w:hAnsi="宋体" w:cs="宋体"/>
          <w:kern w:val="0"/>
          <w:sz w:val="24"/>
          <w:lang w:val="en-US" w:eastAsia="zh-CN"/>
        </w:rPr>
        <w:t>30</w:t>
      </w:r>
      <w:r>
        <w:rPr>
          <w:rFonts w:hint="eastAsia" w:ascii="宋体" w:hAnsi="宋体" w:cs="宋体"/>
          <w:kern w:val="0"/>
          <w:sz w:val="24"/>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18"/>
    <w:p>
      <w:pPr>
        <w:pStyle w:val="962"/>
        <w:keepNext w:val="0"/>
        <w:keepLines w:val="0"/>
        <w:pageBreakBefore w:val="0"/>
        <w:widowControl w:val="0"/>
        <w:kinsoku/>
        <w:wordWrap/>
        <w:overflowPunct/>
        <w:topLinePunct w:val="0"/>
        <w:autoSpaceDE/>
        <w:autoSpaceDN/>
        <w:bidi w:val="0"/>
        <w:spacing w:line="360" w:lineRule="auto"/>
        <w:textAlignment w:val="auto"/>
        <w:rPr>
          <w:color w:val="auto"/>
          <w:highlight w:val="none"/>
        </w:rPr>
      </w:pPr>
      <w:bookmarkStart w:id="19" w:name="_Hlt74730295"/>
      <w:bookmarkEnd w:id="19"/>
      <w:bookmarkStart w:id="20" w:name="_Hlt75236290"/>
      <w:bookmarkEnd w:id="20"/>
      <w:bookmarkStart w:id="21" w:name="_Hlt68073093"/>
      <w:bookmarkEnd w:id="21"/>
      <w:bookmarkStart w:id="22" w:name="_Hlt68072990"/>
      <w:bookmarkEnd w:id="22"/>
      <w:bookmarkStart w:id="23" w:name="_Hlt74714665"/>
      <w:bookmarkEnd w:id="23"/>
      <w:bookmarkStart w:id="24" w:name="_Hlt68403820"/>
      <w:bookmarkEnd w:id="24"/>
      <w:bookmarkStart w:id="25" w:name="_Hlt68072998"/>
      <w:bookmarkEnd w:id="25"/>
      <w:bookmarkStart w:id="26" w:name="_Hlt74707468"/>
      <w:bookmarkEnd w:id="26"/>
      <w:bookmarkStart w:id="27" w:name="_Hlt74729768"/>
      <w:bookmarkEnd w:id="27"/>
      <w:bookmarkStart w:id="28" w:name="_Hlt75236011"/>
      <w:bookmarkEnd w:id="28"/>
      <w:bookmarkStart w:id="29" w:name="_Hlt68057669"/>
      <w:bookmarkEnd w:id="29"/>
      <w:bookmarkStart w:id="30" w:name="_Hlt75236101"/>
      <w:bookmarkEnd w:id="30"/>
      <w:r>
        <w:rPr>
          <w:rFonts w:hint="eastAsia" w:ascii="宋体" w:hAnsi="宋体" w:eastAsia="宋体" w:cs="宋体"/>
          <w:b w:val="0"/>
          <w:bCs w:val="0"/>
          <w:color w:val="auto"/>
          <w:kern w:val="0"/>
          <w:sz w:val="24"/>
          <w:szCs w:val="24"/>
          <w:highlight w:val="none"/>
          <w:lang w:val="en-US"/>
        </w:rPr>
        <w:t>30.5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p>
      <w:pPr>
        <w:tabs>
          <w:tab w:val="left" w:pos="0"/>
        </w:tabs>
        <w:spacing w:line="360" w:lineRule="auto"/>
        <w:ind w:firstLine="480"/>
        <w:rPr>
          <w:rFonts w:ascii="宋体" w:hAnsi="宋体" w:cs="宋体"/>
          <w:kern w:val="0"/>
          <w:sz w:val="24"/>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p>
    <w:bookmarkEnd w:id="13"/>
    <w:bookmarkEnd w:id="14"/>
    <w:p>
      <w:pPr>
        <w:spacing w:line="360" w:lineRule="auto"/>
        <w:jc w:val="center"/>
        <w:outlineLvl w:val="0"/>
        <w:rPr>
          <w:rFonts w:ascii="宋体" w:hAnsi="宋体" w:cs="宋体"/>
          <w:b/>
          <w:sz w:val="36"/>
          <w:szCs w:val="36"/>
        </w:rPr>
      </w:pPr>
      <w:bookmarkStart w:id="31" w:name="第四部分"/>
      <w:r>
        <w:rPr>
          <w:rFonts w:hint="eastAsia" w:ascii="宋体" w:hAnsi="宋体" w:cs="宋体"/>
          <w:b/>
          <w:sz w:val="36"/>
          <w:szCs w:val="36"/>
        </w:rPr>
        <w:t>第三部分   采购需求</w:t>
      </w:r>
    </w:p>
    <w:p>
      <w:pPr>
        <w:adjustRightInd/>
        <w:spacing w:before="120" w:beforeLines="50" w:after="120" w:afterLines="50" w:line="360" w:lineRule="auto"/>
        <w:jc w:val="center"/>
        <w:outlineLvl w:val="1"/>
        <w:rPr>
          <w:rFonts w:asciiTheme="minorEastAsia" w:hAnsiTheme="minorEastAsia" w:eastAsiaTheme="minorEastAsia"/>
          <w:b/>
          <w:bCs/>
          <w:sz w:val="24"/>
        </w:rPr>
      </w:pPr>
      <w:r>
        <w:rPr>
          <w:rFonts w:hint="eastAsia" w:asciiTheme="minorEastAsia" w:hAnsiTheme="minorEastAsia" w:eastAsiaTheme="minorEastAsia"/>
          <w:b/>
          <w:bCs/>
          <w:sz w:val="24"/>
        </w:rPr>
        <w:t>属于实质性要求条款的，已用符号“▲”标明，否则属于非实质性要求。</w:t>
      </w:r>
    </w:p>
    <w:p>
      <w:pPr>
        <w:pStyle w:val="2"/>
        <w:keepNext w:val="0"/>
        <w:jc w:val="both"/>
        <w:rPr>
          <w:rFonts w:hint="eastAsia" w:ascii="宋体" w:hAnsi="宋体" w:eastAsia="宋体" w:cs="宋体"/>
        </w:rPr>
      </w:pPr>
      <w:r>
        <w:rPr>
          <w:rFonts w:hint="eastAsia" w:ascii="宋体" w:hAnsi="宋体" w:eastAsia="宋体" w:cs="宋体"/>
        </w:rPr>
        <w:t>一、总体要求</w:t>
      </w:r>
    </w:p>
    <w:p>
      <w:pPr>
        <w:spacing w:line="360" w:lineRule="auto"/>
        <w:ind w:left="92" w:leftChars="44" w:right="-147" w:rightChars="-70" w:firstLine="600" w:firstLineChars="250"/>
        <w:rPr>
          <w:rFonts w:hint="eastAsia" w:ascii="宋体" w:hAnsi="宋体" w:cs="宋体"/>
          <w:sz w:val="24"/>
        </w:rPr>
      </w:pPr>
      <w:r>
        <w:rPr>
          <w:rFonts w:hint="eastAsia" w:ascii="宋体" w:hAnsi="宋体" w:cs="宋体"/>
          <w:sz w:val="24"/>
        </w:rPr>
        <w:t>1、主要技术要求</w:t>
      </w:r>
      <w:r>
        <w:rPr>
          <w:rFonts w:hint="eastAsia" w:ascii="宋体" w:hAnsi="宋体" w:cs="宋体"/>
          <w:color w:val="auto"/>
          <w:sz w:val="24"/>
        </w:rPr>
        <w:t>：学校新校区在造，土建，初步完成，进入装修环节，根据实际情况，</w:t>
      </w:r>
      <w:r>
        <w:rPr>
          <w:rFonts w:hint="eastAsia" w:ascii="宋体" w:hAnsi="宋体" w:cs="宋体"/>
          <w:sz w:val="24"/>
        </w:rPr>
        <w:t>要求产品符合国家对相关产品的技术规范和质量标准。</w:t>
      </w:r>
    </w:p>
    <w:p>
      <w:pPr>
        <w:spacing w:line="360" w:lineRule="auto"/>
        <w:ind w:left="92" w:leftChars="44" w:right="-147" w:rightChars="-70" w:firstLine="600" w:firstLineChars="250"/>
        <w:rPr>
          <w:rFonts w:hint="eastAsia" w:ascii="宋体" w:hAnsi="宋体" w:cs="宋体"/>
          <w:sz w:val="24"/>
        </w:rPr>
      </w:pPr>
      <w:r>
        <w:rPr>
          <w:rFonts w:hint="eastAsia" w:ascii="宋体" w:hAnsi="宋体" w:cs="宋体"/>
          <w:sz w:val="24"/>
        </w:rPr>
        <w:t>2、售后服务</w:t>
      </w:r>
      <w:r>
        <w:rPr>
          <w:rFonts w:hint="eastAsia" w:ascii="宋体" w:hAnsi="宋体" w:cs="宋体"/>
          <w:color w:val="auto"/>
          <w:sz w:val="24"/>
        </w:rPr>
        <w:t>：免费上门服务，质保不低于三年。</w:t>
      </w:r>
    </w:p>
    <w:p>
      <w:pPr>
        <w:spacing w:line="360" w:lineRule="auto"/>
        <w:ind w:left="92" w:leftChars="44" w:right="-147" w:rightChars="-70" w:firstLine="480" w:firstLineChars="200"/>
        <w:rPr>
          <w:rFonts w:hint="eastAsia" w:ascii="宋体" w:hAnsi="宋体" w:cs="宋体"/>
          <w:sz w:val="24"/>
        </w:rPr>
      </w:pPr>
      <w:r>
        <w:rPr>
          <w:rFonts w:hint="eastAsia" w:ascii="宋体" w:hAnsi="宋体" w:cs="宋体"/>
          <w:sz w:val="24"/>
        </w:rPr>
        <w:t>3、保修条件：符合国家质量监督检验检疫总局、信息产业部第24号令《微型计算机商品修理更换退货责任规定》和其它相关规定。</w:t>
      </w:r>
    </w:p>
    <w:p>
      <w:pPr>
        <w:spacing w:line="360" w:lineRule="auto"/>
        <w:ind w:left="92" w:leftChars="44" w:right="-147" w:rightChars="-70" w:firstLine="480" w:firstLineChars="200"/>
        <w:rPr>
          <w:rFonts w:hint="eastAsia" w:ascii="宋体" w:hAnsi="宋体" w:cs="宋体"/>
          <w:sz w:val="24"/>
        </w:rPr>
      </w:pPr>
      <w:r>
        <w:rPr>
          <w:rFonts w:hint="eastAsia" w:ascii="宋体" w:hAnsi="宋体" w:cs="宋体"/>
          <w:sz w:val="24"/>
        </w:rPr>
        <w:t>4、供货时间：在合同生效后</w:t>
      </w:r>
      <w:r>
        <w:rPr>
          <w:rFonts w:hint="eastAsia" w:ascii="宋体" w:hAnsi="宋体" w:cs="宋体"/>
          <w:b/>
          <w:sz w:val="24"/>
        </w:rPr>
        <w:t>20天</w:t>
      </w:r>
      <w:r>
        <w:rPr>
          <w:rFonts w:hint="eastAsia" w:ascii="宋体" w:hAnsi="宋体" w:cs="宋体"/>
          <w:sz w:val="24"/>
        </w:rPr>
        <w:t>内，供应商需将所供产品（出厂原包装）按合同清单所列的采购单位、地址以及货物品种、数量等，运至指定地点拆箱，并负责安装、调试，由采购单位负责验收，在产品试运行1个月后交付使用。</w:t>
      </w:r>
    </w:p>
    <w:p>
      <w:pPr>
        <w:spacing w:line="360" w:lineRule="auto"/>
        <w:ind w:left="92" w:leftChars="44" w:right="-147" w:rightChars="-70" w:firstLine="480" w:firstLineChars="200"/>
        <w:rPr>
          <w:rFonts w:hint="eastAsia" w:ascii="宋体" w:hAnsi="宋体" w:cs="宋体"/>
          <w:sz w:val="24"/>
        </w:rPr>
      </w:pPr>
      <w:r>
        <w:rPr>
          <w:rFonts w:hint="eastAsia" w:ascii="宋体" w:hAnsi="宋体" w:cs="宋体"/>
          <w:sz w:val="24"/>
        </w:rPr>
        <w:t>5、验收条件：开箱验收：清点产品装箱内容符合装箱单所列并符合招标文件要求和承诺书承诺；开机验收：产品应通电开机后进行所规定时间的试验运行后方可验收。</w:t>
      </w:r>
    </w:p>
    <w:p>
      <w:pPr>
        <w:spacing w:line="360" w:lineRule="auto"/>
        <w:ind w:left="92" w:leftChars="44" w:right="-147" w:rightChars="-70" w:firstLine="480" w:firstLineChars="200"/>
        <w:rPr>
          <w:rFonts w:hint="eastAsia" w:ascii="宋体" w:hAnsi="宋体" w:cs="宋体"/>
          <w:sz w:val="24"/>
        </w:rPr>
      </w:pPr>
      <w:r>
        <w:rPr>
          <w:rFonts w:hint="eastAsia" w:ascii="宋体" w:hAnsi="宋体" w:cs="宋体"/>
          <w:sz w:val="24"/>
        </w:rPr>
        <w:t>6、投标人的主机和所有配件、附件，必须保证产品的序列号、产品型号统一对应、描述一致</w:t>
      </w:r>
      <w:r>
        <w:rPr>
          <w:rFonts w:hint="eastAsia" w:ascii="宋体" w:hAnsi="宋体" w:cs="宋体"/>
          <w:sz w:val="24"/>
          <w:highlight w:val="none"/>
        </w:rPr>
        <w:t>。必须是2023年</w:t>
      </w:r>
      <w:r>
        <w:rPr>
          <w:rFonts w:hint="eastAsia" w:ascii="宋体" w:hAnsi="宋体" w:cs="宋体"/>
          <w:sz w:val="24"/>
        </w:rPr>
        <w:t>7月1日以后生产的原装合格产品，未曾开箱使用，与合同规定的型号与配置相一致，产品安装调试完毕后，能在其功能范围内保障用户的系统安全、稳定运行。软件产品是原厂产品包或原厂家提供许可证协议的正版软件，并符合采购单位的采购要求。</w:t>
      </w:r>
    </w:p>
    <w:p>
      <w:pPr>
        <w:pStyle w:val="2"/>
        <w:keepNext w:val="0"/>
        <w:jc w:val="both"/>
        <w:rPr>
          <w:rFonts w:hint="eastAsia" w:ascii="宋体" w:hAnsi="宋体" w:eastAsia="宋体" w:cs="宋体"/>
        </w:rPr>
      </w:pPr>
      <w:r>
        <w:rPr>
          <w:rFonts w:hint="eastAsia" w:ascii="宋体" w:hAnsi="宋体" w:eastAsia="宋体" w:cs="宋体"/>
        </w:rPr>
        <w:t>二、其它技术要求</w:t>
      </w:r>
    </w:p>
    <w:p>
      <w:pPr>
        <w:spacing w:line="360" w:lineRule="auto"/>
        <w:ind w:firstLine="540"/>
        <w:rPr>
          <w:rFonts w:hint="eastAsia" w:ascii="宋体" w:hAnsi="宋体" w:cs="宋体"/>
          <w:sz w:val="24"/>
        </w:rPr>
      </w:pPr>
      <w:r>
        <w:rPr>
          <w:rFonts w:hint="eastAsia" w:ascii="宋体" w:hAnsi="宋体" w:cs="宋体"/>
          <w:sz w:val="24"/>
        </w:rPr>
        <w:t>所投设备的应详细列明投标设备的所有技术指标（包括所投设备的品牌、规格型号、详细配置、主要技术参数、随机软件等），明确表示该项指标所涉及的软硬件是标准配置还是选择配置。同时还须包括产品说明书或产品主要技术资料和性能的详细描述，产品制造、安装、验收标准，详细的交货时所配文件清单、主要部件明细表（包括品牌、制造厂名和主要技术参数）等，任何含糊不清的表述对评标结果的影响将是投标人的责任。</w:t>
      </w:r>
    </w:p>
    <w:p>
      <w:pPr>
        <w:pStyle w:val="2"/>
        <w:keepNext w:val="0"/>
        <w:jc w:val="both"/>
        <w:rPr>
          <w:rFonts w:hint="eastAsia" w:ascii="宋体" w:hAnsi="宋体" w:eastAsia="宋体" w:cs="宋体"/>
        </w:rPr>
      </w:pPr>
      <w:r>
        <w:rPr>
          <w:rFonts w:hint="eastAsia" w:ascii="宋体" w:hAnsi="宋体" w:eastAsia="宋体" w:cs="宋体"/>
        </w:rPr>
        <w:t>三、供货其它要求</w:t>
      </w:r>
    </w:p>
    <w:p>
      <w:pPr>
        <w:spacing w:line="360" w:lineRule="auto"/>
        <w:ind w:left="92" w:leftChars="44" w:right="-147" w:rightChars="-70" w:firstLine="480" w:firstLineChars="200"/>
        <w:rPr>
          <w:rFonts w:hint="eastAsia" w:ascii="宋体" w:hAnsi="宋体" w:cs="宋体"/>
          <w:sz w:val="24"/>
        </w:rPr>
      </w:pPr>
      <w:r>
        <w:rPr>
          <w:rFonts w:hint="eastAsia" w:ascii="宋体" w:hAnsi="宋体" w:cs="宋体"/>
          <w:sz w:val="24"/>
        </w:rPr>
        <w:t>本次招标的供货除包括上述设备外，还应包括随机的辅助设备、专用电线电缆、随机软件、技术资料（包括操作手册、使用指南、维修指南和含维修网点在内的服务手册等）、设备运行所必需的随机消耗材料，相应的技术服务与质量保证。</w:t>
      </w:r>
    </w:p>
    <w:p>
      <w:pPr>
        <w:pStyle w:val="2"/>
        <w:keepNext w:val="0"/>
        <w:jc w:val="both"/>
        <w:rPr>
          <w:rFonts w:hint="eastAsia" w:ascii="宋体" w:hAnsi="宋体" w:eastAsia="宋体" w:cs="宋体"/>
        </w:rPr>
      </w:pPr>
      <w:r>
        <w:rPr>
          <w:rFonts w:hint="eastAsia" w:ascii="宋体" w:hAnsi="宋体" w:eastAsia="宋体" w:cs="宋体"/>
        </w:rPr>
        <w:t>四、服务与培训要求</w:t>
      </w:r>
    </w:p>
    <w:p>
      <w:pPr>
        <w:pStyle w:val="15"/>
        <w:spacing w:line="360" w:lineRule="auto"/>
        <w:ind w:firstLine="549" w:firstLineChars="228"/>
        <w:rPr>
          <w:rFonts w:hint="eastAsia" w:hAnsi="宋体" w:cs="宋体"/>
          <w:b/>
          <w:sz w:val="24"/>
          <w:szCs w:val="21"/>
        </w:rPr>
      </w:pPr>
      <w:r>
        <w:rPr>
          <w:rFonts w:hint="eastAsia" w:hAnsi="宋体" w:cs="宋体"/>
          <w:b/>
          <w:sz w:val="24"/>
          <w:szCs w:val="21"/>
        </w:rPr>
        <w:t>（一）服务要求</w:t>
      </w:r>
    </w:p>
    <w:p>
      <w:pPr>
        <w:pStyle w:val="15"/>
        <w:spacing w:line="360" w:lineRule="auto"/>
        <w:ind w:firstLine="547" w:firstLineChars="228"/>
        <w:rPr>
          <w:rFonts w:hint="eastAsia" w:hAnsi="宋体" w:cs="宋体"/>
          <w:sz w:val="24"/>
          <w:szCs w:val="24"/>
        </w:rPr>
      </w:pPr>
      <w:r>
        <w:rPr>
          <w:rFonts w:hint="eastAsia" w:hAnsi="宋体" w:cs="宋体"/>
          <w:sz w:val="24"/>
          <w:szCs w:val="24"/>
        </w:rPr>
        <w:t>1、质量保证：</w:t>
      </w:r>
    </w:p>
    <w:p>
      <w:pPr>
        <w:pStyle w:val="15"/>
        <w:spacing w:line="360" w:lineRule="auto"/>
        <w:ind w:firstLine="547" w:firstLineChars="228"/>
        <w:rPr>
          <w:rFonts w:hint="eastAsia" w:hAnsi="宋体" w:cs="宋体"/>
          <w:sz w:val="24"/>
          <w:szCs w:val="24"/>
        </w:rPr>
      </w:pPr>
      <w:r>
        <w:rPr>
          <w:rFonts w:hint="eastAsia" w:hAnsi="宋体" w:cs="宋体"/>
          <w:sz w:val="24"/>
          <w:szCs w:val="24"/>
        </w:rPr>
        <w:t>（1）投标货物必须是经国家“3C”认证的符合国家技术规范和质量标准的合格产品，满足采购单位的使用需求，并具有可靠的售后服务体系，质量可靠、使用安全；</w:t>
      </w:r>
    </w:p>
    <w:p>
      <w:pPr>
        <w:pStyle w:val="15"/>
        <w:spacing w:line="360" w:lineRule="auto"/>
        <w:ind w:firstLine="547" w:firstLineChars="228"/>
        <w:rPr>
          <w:rFonts w:hint="eastAsia" w:hAnsi="宋体" w:cs="宋体"/>
          <w:sz w:val="24"/>
          <w:szCs w:val="24"/>
          <w:highlight w:val="none"/>
        </w:rPr>
      </w:pPr>
      <w:r>
        <w:rPr>
          <w:rFonts w:hint="eastAsia" w:hAnsi="宋体" w:cs="宋体"/>
          <w:sz w:val="24"/>
          <w:szCs w:val="24"/>
          <w:highlight w:val="none"/>
        </w:rPr>
        <w:t>（2）投标人保证其提供的货物中所有预装和为本项目安装的软件均为具有合法版权或使用权的正版软件且无质量瑕疵；</w:t>
      </w:r>
    </w:p>
    <w:p>
      <w:pPr>
        <w:pStyle w:val="15"/>
        <w:spacing w:line="360" w:lineRule="auto"/>
        <w:ind w:firstLine="547" w:firstLineChars="228"/>
        <w:rPr>
          <w:rFonts w:hint="eastAsia" w:hAnsi="宋体" w:cs="宋体"/>
          <w:sz w:val="24"/>
          <w:szCs w:val="24"/>
          <w:highlight w:val="none"/>
        </w:rPr>
      </w:pPr>
      <w:r>
        <w:rPr>
          <w:rFonts w:hint="eastAsia" w:hAnsi="宋体" w:cs="宋体"/>
          <w:sz w:val="24"/>
          <w:szCs w:val="24"/>
          <w:highlight w:val="none"/>
        </w:rPr>
        <w:t>（3）在质保期内，如遇软件产品升级、改版，应免费提供更新、升级服务。</w:t>
      </w:r>
    </w:p>
    <w:p>
      <w:pPr>
        <w:pStyle w:val="15"/>
        <w:spacing w:line="360" w:lineRule="auto"/>
        <w:rPr>
          <w:rFonts w:hint="eastAsia" w:hAnsi="宋体" w:cs="宋体"/>
          <w:sz w:val="24"/>
          <w:szCs w:val="24"/>
        </w:rPr>
      </w:pPr>
      <w:r>
        <w:rPr>
          <w:rFonts w:hint="eastAsia" w:hAnsi="宋体" w:cs="宋体"/>
          <w:sz w:val="24"/>
          <w:szCs w:val="24"/>
        </w:rPr>
        <w:t>2、要求投标人提供不低于标准服务，即与投标设备制造厂商对外公众网站上公布的有效服务标准相一致（投标人不得另行制作网页）。在标准服务基础上，投标人还应达到以下标准：</w:t>
      </w:r>
    </w:p>
    <w:p>
      <w:pPr>
        <w:pStyle w:val="15"/>
        <w:spacing w:line="360" w:lineRule="auto"/>
        <w:ind w:firstLine="547" w:firstLineChars="228"/>
        <w:rPr>
          <w:rFonts w:hint="eastAsia" w:hAnsi="宋体" w:cs="宋体"/>
          <w:sz w:val="24"/>
          <w:szCs w:val="24"/>
        </w:rPr>
      </w:pPr>
      <w:r>
        <w:rPr>
          <w:rFonts w:hint="eastAsia" w:hAnsi="宋体" w:cs="宋体"/>
          <w:sz w:val="24"/>
          <w:szCs w:val="24"/>
        </w:rPr>
        <w:t>（1）</w:t>
      </w:r>
      <w:r>
        <w:rPr>
          <w:rFonts w:hint="eastAsia" w:hAnsi="宋体" w:cs="宋体"/>
          <w:sz w:val="24"/>
          <w:szCs w:val="24"/>
        </w:rPr>
        <w:tab/>
      </w:r>
      <w:r>
        <w:rPr>
          <w:rFonts w:hint="eastAsia" w:hAnsi="宋体" w:cs="宋体"/>
          <w:sz w:val="24"/>
          <w:szCs w:val="24"/>
        </w:rPr>
        <w:t>投标设备的品质和服务由供应商对采购单位负责；</w:t>
      </w:r>
    </w:p>
    <w:p>
      <w:pPr>
        <w:pStyle w:val="15"/>
        <w:spacing w:line="360" w:lineRule="auto"/>
        <w:ind w:firstLine="547" w:firstLineChars="228"/>
        <w:rPr>
          <w:rFonts w:hint="eastAsia" w:hAnsi="宋体" w:cs="宋体"/>
          <w:sz w:val="24"/>
          <w:szCs w:val="24"/>
        </w:rPr>
      </w:pPr>
      <w:r>
        <w:rPr>
          <w:rFonts w:hint="eastAsia" w:hAnsi="宋体" w:cs="宋体"/>
          <w:sz w:val="24"/>
          <w:szCs w:val="24"/>
        </w:rPr>
        <w:t>（2）</w:t>
      </w:r>
      <w:r>
        <w:rPr>
          <w:rFonts w:hint="eastAsia" w:hAnsi="宋体" w:cs="宋体"/>
          <w:sz w:val="24"/>
          <w:szCs w:val="24"/>
        </w:rPr>
        <w:tab/>
      </w:r>
      <w:r>
        <w:rPr>
          <w:rFonts w:hint="eastAsia" w:hAnsi="宋体" w:cs="宋体"/>
          <w:sz w:val="24"/>
          <w:szCs w:val="24"/>
        </w:rPr>
        <w:t>投标人应明确说明此次投标的服务策略，提供此次投标设备的服务计划（售后服务内容、等级、相关服务指标、售后服务组织机构及人员安排情况及其联络信息）；</w:t>
      </w:r>
    </w:p>
    <w:p>
      <w:pPr>
        <w:pStyle w:val="15"/>
        <w:spacing w:line="360" w:lineRule="auto"/>
        <w:ind w:firstLine="547" w:firstLineChars="228"/>
        <w:rPr>
          <w:rFonts w:hint="eastAsia" w:hAnsi="宋体" w:cs="宋体"/>
          <w:sz w:val="24"/>
          <w:szCs w:val="24"/>
        </w:rPr>
      </w:pPr>
      <w:r>
        <w:rPr>
          <w:rFonts w:hint="eastAsia" w:hAnsi="宋体" w:cs="宋体"/>
          <w:sz w:val="24"/>
          <w:szCs w:val="24"/>
        </w:rPr>
        <w:t>（3）</w:t>
      </w:r>
      <w:r>
        <w:rPr>
          <w:rFonts w:hint="eastAsia" w:hAnsi="宋体" w:cs="宋体"/>
          <w:sz w:val="24"/>
          <w:szCs w:val="24"/>
        </w:rPr>
        <w:tab/>
      </w:r>
      <w:r>
        <w:rPr>
          <w:rFonts w:hint="eastAsia" w:hAnsi="宋体" w:cs="宋体"/>
          <w:sz w:val="24"/>
          <w:szCs w:val="24"/>
        </w:rPr>
        <w:t>在质保期内除提供设备标准现场保修和技术支持服务外，还应保证相关配套设备及配件等设备三年的服务承诺及备品、备件支持，以满足最终用户硬件故障、升级的要求；</w:t>
      </w:r>
    </w:p>
    <w:p>
      <w:pPr>
        <w:pStyle w:val="15"/>
        <w:spacing w:line="360" w:lineRule="auto"/>
        <w:ind w:firstLine="547" w:firstLineChars="228"/>
        <w:rPr>
          <w:rFonts w:hint="eastAsia" w:hAnsi="宋体" w:cs="宋体"/>
          <w:sz w:val="24"/>
          <w:szCs w:val="24"/>
        </w:rPr>
      </w:pPr>
      <w:r>
        <w:rPr>
          <w:rFonts w:hint="eastAsia" w:hAnsi="宋体" w:cs="宋体"/>
          <w:sz w:val="24"/>
          <w:szCs w:val="24"/>
        </w:rPr>
        <w:t>（4）</w:t>
      </w:r>
      <w:r>
        <w:rPr>
          <w:rFonts w:hint="eastAsia" w:hAnsi="宋体" w:cs="宋体"/>
          <w:sz w:val="24"/>
          <w:szCs w:val="24"/>
        </w:rPr>
        <w:tab/>
      </w:r>
      <w:r>
        <w:rPr>
          <w:rFonts w:hint="eastAsia" w:hAnsi="宋体" w:cs="宋体"/>
          <w:sz w:val="24"/>
          <w:szCs w:val="24"/>
        </w:rPr>
        <w:t>在投标设备质保期内，供应商应提供7</w:t>
      </w:r>
      <w:r>
        <w:rPr>
          <w:rFonts w:hint="eastAsia" w:hAnsi="宋体" w:cs="宋体"/>
          <w:color w:val="auto"/>
          <w:sz w:val="24"/>
          <w:szCs w:val="24"/>
        </w:rPr>
        <w:t>×</w:t>
      </w:r>
      <w:r>
        <w:rPr>
          <w:rFonts w:hint="eastAsia" w:hAnsi="宋体" w:cs="宋体"/>
          <w:sz w:val="24"/>
          <w:szCs w:val="24"/>
        </w:rPr>
        <w:t>24小时的免费现场技术服务，对故障在1小时内响应，2小时以内到现场，4小时以内解决问题；</w:t>
      </w:r>
      <w:r>
        <w:rPr>
          <w:rFonts w:hint="eastAsia" w:hAnsi="宋体" w:cs="宋体"/>
          <w:b/>
          <w:sz w:val="24"/>
          <w:szCs w:val="24"/>
        </w:rPr>
        <w:t>12小时内不能解决问题的</w:t>
      </w:r>
      <w:r>
        <w:rPr>
          <w:rFonts w:hint="eastAsia" w:hAnsi="宋体" w:cs="宋体"/>
          <w:b/>
          <w:sz w:val="24"/>
          <w:szCs w:val="24"/>
          <w:lang w:val="zh-CN"/>
        </w:rPr>
        <w:t>，必须提供备机</w:t>
      </w:r>
      <w:r>
        <w:rPr>
          <w:rFonts w:hint="eastAsia" w:hAnsi="宋体" w:cs="宋体"/>
          <w:sz w:val="24"/>
          <w:szCs w:val="24"/>
          <w:lang w:val="zh-CN"/>
        </w:rPr>
        <w:t>，</w:t>
      </w:r>
      <w:r>
        <w:rPr>
          <w:rFonts w:hint="eastAsia" w:hAnsi="宋体" w:cs="宋体"/>
          <w:sz w:val="24"/>
          <w:szCs w:val="24"/>
        </w:rPr>
        <w:t xml:space="preserve">以保证采购单位的正常使用。如果逾期未作出响应，则由于故障所造成的全部损失由供应商承担； </w:t>
      </w:r>
    </w:p>
    <w:p>
      <w:pPr>
        <w:pStyle w:val="15"/>
        <w:spacing w:line="360" w:lineRule="auto"/>
        <w:ind w:firstLine="547" w:firstLineChars="228"/>
        <w:rPr>
          <w:rFonts w:hint="eastAsia" w:hAnsi="宋体" w:cs="宋体"/>
          <w:sz w:val="24"/>
          <w:szCs w:val="24"/>
        </w:rPr>
      </w:pPr>
      <w:r>
        <w:rPr>
          <w:rFonts w:hint="eastAsia" w:hAnsi="宋体" w:cs="宋体"/>
          <w:sz w:val="24"/>
          <w:szCs w:val="24"/>
        </w:rPr>
        <w:t>（5）</w:t>
      </w:r>
      <w:r>
        <w:rPr>
          <w:rFonts w:hint="eastAsia" w:hAnsi="宋体" w:cs="宋体"/>
          <w:sz w:val="24"/>
          <w:szCs w:val="24"/>
        </w:rPr>
        <w:tab/>
      </w:r>
      <w:r>
        <w:rPr>
          <w:rFonts w:hint="eastAsia" w:hAnsi="宋体" w:cs="宋体"/>
          <w:sz w:val="24"/>
          <w:szCs w:val="24"/>
        </w:rPr>
        <w:t>当投标货物发生非人为因素严重故障时，供应商应当免费在七日内将补充或者更换的货物运抵发生故障的货物所在地，由此产生的一切相关费用由供应商负担；</w:t>
      </w:r>
    </w:p>
    <w:p>
      <w:pPr>
        <w:pStyle w:val="15"/>
        <w:spacing w:line="360" w:lineRule="auto"/>
        <w:ind w:firstLine="547" w:firstLineChars="228"/>
        <w:rPr>
          <w:rFonts w:hint="eastAsia" w:hAnsi="宋体" w:cs="宋体"/>
          <w:sz w:val="24"/>
          <w:szCs w:val="24"/>
        </w:rPr>
      </w:pPr>
      <w:r>
        <w:rPr>
          <w:rFonts w:hint="eastAsia" w:hAnsi="宋体" w:cs="宋体"/>
          <w:sz w:val="24"/>
          <w:szCs w:val="24"/>
        </w:rPr>
        <w:t>（6）</w:t>
      </w:r>
      <w:r>
        <w:rPr>
          <w:rFonts w:hint="eastAsia" w:hAnsi="宋体" w:cs="宋体"/>
          <w:sz w:val="24"/>
          <w:szCs w:val="24"/>
        </w:rPr>
        <w:tab/>
      </w:r>
      <w:r>
        <w:rPr>
          <w:rFonts w:hint="eastAsia" w:hAnsi="宋体" w:cs="宋体"/>
          <w:sz w:val="24"/>
          <w:szCs w:val="24"/>
        </w:rPr>
        <w:t>质保期内所有因更换或修理设备或部件而导致设备停止运行的时间应从其质保期内扣除；</w:t>
      </w:r>
    </w:p>
    <w:p>
      <w:pPr>
        <w:pStyle w:val="15"/>
        <w:spacing w:line="360" w:lineRule="auto"/>
        <w:ind w:firstLine="547" w:firstLineChars="228"/>
        <w:rPr>
          <w:rFonts w:hint="eastAsia" w:hAnsi="宋体" w:cs="宋体"/>
          <w:sz w:val="24"/>
          <w:szCs w:val="24"/>
        </w:rPr>
      </w:pPr>
      <w:r>
        <w:rPr>
          <w:rFonts w:hint="eastAsia" w:hAnsi="宋体" w:cs="宋体"/>
          <w:sz w:val="24"/>
          <w:szCs w:val="24"/>
        </w:rPr>
        <w:t>（7）</w:t>
      </w:r>
      <w:r>
        <w:rPr>
          <w:rFonts w:hint="eastAsia" w:hAnsi="宋体" w:cs="宋体"/>
          <w:sz w:val="24"/>
          <w:szCs w:val="24"/>
        </w:rPr>
        <w:tab/>
      </w:r>
      <w:r>
        <w:rPr>
          <w:rFonts w:hint="eastAsia" w:hAnsi="宋体" w:cs="宋体"/>
          <w:sz w:val="24"/>
          <w:szCs w:val="24"/>
        </w:rPr>
        <w:t>供应商在质保期内安装的任何零配件，必须是其投标设备制造厂商原产的或是经其认可的；</w:t>
      </w:r>
    </w:p>
    <w:p>
      <w:pPr>
        <w:pStyle w:val="15"/>
        <w:spacing w:line="360" w:lineRule="auto"/>
        <w:ind w:firstLine="547" w:firstLineChars="228"/>
        <w:rPr>
          <w:rFonts w:hint="eastAsia" w:hAnsi="宋体" w:cs="宋体"/>
          <w:sz w:val="24"/>
          <w:szCs w:val="24"/>
        </w:rPr>
      </w:pPr>
      <w:r>
        <w:rPr>
          <w:rFonts w:hint="eastAsia" w:hAnsi="宋体" w:cs="宋体"/>
          <w:sz w:val="24"/>
          <w:szCs w:val="24"/>
        </w:rPr>
        <w:t>（8）</w:t>
      </w:r>
      <w:r>
        <w:rPr>
          <w:rFonts w:hint="eastAsia" w:hAnsi="宋体" w:cs="宋体"/>
          <w:sz w:val="24"/>
          <w:szCs w:val="24"/>
        </w:rPr>
        <w:tab/>
      </w:r>
      <w:r>
        <w:rPr>
          <w:rFonts w:hint="eastAsia" w:hAnsi="宋体" w:cs="宋体"/>
          <w:sz w:val="24"/>
          <w:szCs w:val="24"/>
        </w:rPr>
        <w:t>所有的替代零配件必须是新的未使用和未经修复的，除非最终用户提供书面许可，否则不可使用此范围外的其他（非新的）配件；</w:t>
      </w:r>
    </w:p>
    <w:p>
      <w:pPr>
        <w:pStyle w:val="15"/>
        <w:spacing w:line="360" w:lineRule="auto"/>
        <w:ind w:firstLine="547" w:firstLineChars="228"/>
        <w:rPr>
          <w:rFonts w:hint="eastAsia" w:hAnsi="宋体" w:cs="宋体"/>
          <w:sz w:val="24"/>
          <w:szCs w:val="24"/>
        </w:rPr>
      </w:pPr>
      <w:r>
        <w:rPr>
          <w:rFonts w:hint="eastAsia" w:hAnsi="宋体" w:cs="宋体"/>
          <w:sz w:val="24"/>
          <w:szCs w:val="24"/>
        </w:rPr>
        <w:t>（9） 供应商必须为维修和技术支持所未能解决的问题和故障提供正式的升级方案；</w:t>
      </w:r>
    </w:p>
    <w:p>
      <w:pPr>
        <w:pStyle w:val="15"/>
        <w:spacing w:line="360" w:lineRule="auto"/>
        <w:ind w:firstLine="547" w:firstLineChars="228"/>
        <w:rPr>
          <w:rFonts w:hint="eastAsia" w:hAnsi="宋体" w:cs="宋体"/>
          <w:sz w:val="24"/>
          <w:szCs w:val="24"/>
        </w:rPr>
      </w:pPr>
      <w:r>
        <w:rPr>
          <w:rFonts w:hint="eastAsia" w:hAnsi="宋体" w:cs="宋体"/>
          <w:sz w:val="24"/>
          <w:szCs w:val="24"/>
        </w:rPr>
        <w:t>（10）在质保期内，供应商有责任解决所提供的投标设备和软件系统的任何问题，在质保期满后，当需要时，供应商仍须对因投标设备本身的固有缺陷和瑕疵承担相应责任。</w:t>
      </w:r>
    </w:p>
    <w:p>
      <w:pPr>
        <w:pStyle w:val="15"/>
        <w:spacing w:line="360" w:lineRule="auto"/>
        <w:ind w:firstLine="547" w:firstLineChars="228"/>
        <w:rPr>
          <w:rFonts w:hint="eastAsia" w:hAnsi="宋体" w:cs="宋体"/>
          <w:sz w:val="24"/>
          <w:szCs w:val="24"/>
        </w:rPr>
      </w:pPr>
      <w:r>
        <w:rPr>
          <w:rFonts w:hint="eastAsia" w:hAnsi="宋体" w:cs="宋体"/>
          <w:sz w:val="24"/>
          <w:szCs w:val="24"/>
        </w:rPr>
        <w:t>3、对设备服务要求的有效响应将被视为投标人对其所投标设备的服务承诺，如果中标，须将服务承诺列入合同的设备服务条款。</w:t>
      </w:r>
    </w:p>
    <w:p>
      <w:pPr>
        <w:pStyle w:val="15"/>
        <w:spacing w:line="360" w:lineRule="auto"/>
        <w:ind w:firstLine="549" w:firstLineChars="228"/>
        <w:rPr>
          <w:rFonts w:hint="eastAsia" w:hAnsi="宋体" w:cs="宋体"/>
          <w:b/>
          <w:sz w:val="24"/>
          <w:szCs w:val="21"/>
        </w:rPr>
      </w:pPr>
      <w:r>
        <w:rPr>
          <w:rFonts w:hint="eastAsia" w:hAnsi="宋体" w:cs="宋体"/>
          <w:b/>
          <w:sz w:val="24"/>
          <w:szCs w:val="21"/>
        </w:rPr>
        <w:t>(二)技术培训要求</w:t>
      </w:r>
    </w:p>
    <w:p>
      <w:pPr>
        <w:spacing w:line="360" w:lineRule="auto"/>
        <w:ind w:left="92" w:leftChars="44" w:right="-147" w:rightChars="-70" w:firstLine="480" w:firstLineChars="200"/>
        <w:rPr>
          <w:rFonts w:hint="eastAsia" w:ascii="宋体" w:hAnsi="宋体" w:cs="宋体"/>
          <w:sz w:val="24"/>
        </w:rPr>
      </w:pPr>
      <w:r>
        <w:rPr>
          <w:rFonts w:hint="eastAsia" w:ascii="宋体" w:hAnsi="宋体" w:cs="宋体"/>
          <w:sz w:val="24"/>
        </w:rPr>
        <w:t>供应商应为采购单位相关人员提供必要的技术培训，使参加培训的人员具备设备的应用和维护能力。</w:t>
      </w:r>
    </w:p>
    <w:p>
      <w:pPr>
        <w:pStyle w:val="2"/>
        <w:keepNext w:val="0"/>
        <w:jc w:val="both"/>
        <w:rPr>
          <w:rFonts w:hint="eastAsia" w:ascii="宋体" w:hAnsi="宋体" w:eastAsia="宋体" w:cs="宋体"/>
        </w:rPr>
      </w:pPr>
      <w:r>
        <w:rPr>
          <w:rFonts w:hint="eastAsia" w:ascii="宋体" w:hAnsi="宋体" w:eastAsia="宋体" w:cs="宋体"/>
          <w:lang w:val="en-US"/>
        </w:rPr>
        <w:t>五</w:t>
      </w:r>
      <w:r>
        <w:rPr>
          <w:rFonts w:hint="eastAsia" w:ascii="宋体" w:hAnsi="宋体" w:eastAsia="宋体" w:cs="宋体"/>
        </w:rPr>
        <w:t>、采购内容：</w:t>
      </w:r>
    </w:p>
    <w:p>
      <w:pPr>
        <w:tabs>
          <w:tab w:val="left" w:pos="3780"/>
        </w:tabs>
        <w:spacing w:line="360" w:lineRule="auto"/>
        <w:ind w:firstLine="360" w:firstLineChars="150"/>
        <w:rPr>
          <w:rFonts w:hint="eastAsia" w:ascii="宋体" w:hAnsi="宋体" w:cs="宋体"/>
          <w:snapToGrid w:val="0"/>
          <w:color w:val="000000"/>
          <w:kern w:val="28"/>
          <w:sz w:val="24"/>
        </w:rPr>
      </w:pPr>
      <w:r>
        <w:rPr>
          <w:rFonts w:hint="eastAsia" w:ascii="宋体" w:hAnsi="宋体" w:cs="宋体"/>
          <w:snapToGrid w:val="0"/>
          <w:color w:val="000000"/>
          <w:kern w:val="28"/>
          <w:sz w:val="24"/>
        </w:rPr>
        <w:t>杭州市转塘小学（浮山新建校）电子显示屏采购项目,包含软硬件设备，显示屏屏体，钢结构外框，以及装饰，通讯线路，动力电源线路铺施，配电系统设备</w:t>
      </w:r>
      <w:r>
        <w:rPr>
          <w:rFonts w:hint="eastAsia" w:ascii="宋体" w:hAnsi="宋体" w:cs="宋体"/>
          <w:snapToGrid w:val="0"/>
          <w:color w:val="000000"/>
          <w:kern w:val="28"/>
          <w:sz w:val="24"/>
          <w:lang w:eastAsia="zh-CN"/>
        </w:rPr>
        <w:t>，</w:t>
      </w:r>
      <w:r>
        <w:rPr>
          <w:rFonts w:hint="eastAsia"/>
          <w:snapToGrid w:val="0"/>
          <w:color w:val="auto"/>
          <w:sz w:val="24"/>
        </w:rPr>
        <w:t>显示屏配套辅件</w:t>
      </w:r>
      <w:r>
        <w:rPr>
          <w:rFonts w:hint="eastAsia" w:ascii="宋体" w:hAnsi="宋体" w:cs="宋体"/>
          <w:snapToGrid w:val="0"/>
          <w:color w:val="000000"/>
          <w:kern w:val="28"/>
          <w:sz w:val="24"/>
        </w:rPr>
        <w:t>等等。</w:t>
      </w:r>
    </w:p>
    <w:p>
      <w:pPr>
        <w:tabs>
          <w:tab w:val="left" w:pos="3780"/>
        </w:tabs>
        <w:spacing w:line="360" w:lineRule="auto"/>
        <w:ind w:firstLine="240" w:firstLineChars="100"/>
        <w:rPr>
          <w:rFonts w:ascii="宋体" w:hAnsi="宋体" w:cs="宋体"/>
          <w:snapToGrid w:val="0"/>
          <w:color w:val="000000"/>
          <w:kern w:val="28"/>
          <w:sz w:val="24"/>
        </w:rPr>
      </w:pPr>
      <w:r>
        <w:rPr>
          <w:rFonts w:hint="eastAsia" w:ascii="宋体" w:hAnsi="宋体" w:cs="宋体"/>
          <w:snapToGrid w:val="0"/>
          <w:color w:val="000000"/>
          <w:kern w:val="28"/>
          <w:sz w:val="24"/>
          <w:lang w:val="en-US" w:eastAsia="zh-CN"/>
        </w:rPr>
        <w:t>1</w:t>
      </w:r>
      <w:r>
        <w:rPr>
          <w:rFonts w:hint="eastAsia" w:ascii="宋体" w:hAnsi="宋体" w:cs="宋体"/>
          <w:snapToGrid w:val="0"/>
          <w:color w:val="000000"/>
          <w:kern w:val="28"/>
          <w:sz w:val="24"/>
          <w:lang w:eastAsia="zh-CN"/>
        </w:rPr>
        <w:t>、</w:t>
      </w:r>
      <w:r>
        <w:rPr>
          <w:rFonts w:hint="eastAsia" w:ascii="宋体" w:hAnsi="宋体" w:cs="宋体"/>
          <w:snapToGrid w:val="0"/>
          <w:color w:val="000000"/>
          <w:kern w:val="28"/>
          <w:sz w:val="24"/>
        </w:rPr>
        <w:t>家长接送区增加1块户外P3全彩色显示屏：宽2.88m*高1.6m=4.6㎡</w:t>
      </w:r>
      <w:r>
        <w:rPr>
          <w:rFonts w:hint="eastAsia" w:ascii="宋体" w:hAnsi="宋体" w:cs="宋体"/>
          <w:snapToGrid w:val="0"/>
          <w:color w:val="000000"/>
          <w:kern w:val="28"/>
          <w:sz w:val="24"/>
          <w:lang w:val="en-US" w:eastAsia="zh-CN"/>
        </w:rPr>
        <w:t>；</w:t>
      </w:r>
    </w:p>
    <w:p>
      <w:pPr>
        <w:tabs>
          <w:tab w:val="left" w:pos="3780"/>
        </w:tabs>
        <w:spacing w:line="360" w:lineRule="auto"/>
        <w:ind w:firstLine="240" w:firstLineChars="100"/>
        <w:rPr>
          <w:rFonts w:hint="eastAsia" w:ascii="宋体" w:hAnsi="宋体" w:eastAsia="宋体" w:cs="宋体"/>
          <w:snapToGrid w:val="0"/>
          <w:color w:val="000000"/>
          <w:kern w:val="28"/>
          <w:sz w:val="24"/>
          <w:lang w:eastAsia="zh-CN"/>
        </w:rPr>
      </w:pPr>
      <w:r>
        <w:rPr>
          <w:rFonts w:hint="eastAsia" w:ascii="宋体" w:hAnsi="宋体" w:cs="宋体"/>
          <w:snapToGrid w:val="0"/>
          <w:color w:val="000000"/>
          <w:kern w:val="28"/>
          <w:sz w:val="24"/>
          <w:lang w:val="en-US" w:eastAsia="zh-CN"/>
        </w:rPr>
        <w:t>2</w:t>
      </w:r>
      <w:r>
        <w:rPr>
          <w:rFonts w:hint="eastAsia" w:ascii="宋体" w:hAnsi="宋体" w:cs="宋体"/>
          <w:snapToGrid w:val="0"/>
          <w:color w:val="000000"/>
          <w:kern w:val="28"/>
          <w:sz w:val="24"/>
          <w:lang w:eastAsia="zh-CN"/>
        </w:rPr>
        <w:t>、</w:t>
      </w:r>
      <w:r>
        <w:rPr>
          <w:rFonts w:hint="eastAsia" w:ascii="宋体" w:hAnsi="宋体" w:cs="宋体"/>
          <w:snapToGrid w:val="0"/>
          <w:color w:val="000000"/>
          <w:kern w:val="28"/>
          <w:sz w:val="24"/>
        </w:rPr>
        <w:t>校门口增加1块户外P3全彩色显示屏：宽6.4m*高3.68m=23.55㎡</w:t>
      </w:r>
      <w:r>
        <w:rPr>
          <w:rFonts w:hint="eastAsia" w:ascii="宋体" w:hAnsi="宋体" w:cs="宋体"/>
          <w:snapToGrid w:val="0"/>
          <w:color w:val="000000"/>
          <w:kern w:val="28"/>
          <w:sz w:val="24"/>
          <w:lang w:eastAsia="zh-CN"/>
        </w:rPr>
        <w:t>；</w:t>
      </w:r>
    </w:p>
    <w:p>
      <w:pPr>
        <w:tabs>
          <w:tab w:val="left" w:pos="3780"/>
        </w:tabs>
        <w:spacing w:line="360" w:lineRule="auto"/>
        <w:ind w:firstLine="240" w:firstLineChars="100"/>
        <w:rPr>
          <w:rFonts w:hint="eastAsia" w:ascii="宋体" w:hAnsi="宋体" w:eastAsia="宋体" w:cs="宋体"/>
          <w:snapToGrid w:val="0"/>
          <w:color w:val="000000"/>
          <w:kern w:val="28"/>
          <w:sz w:val="24"/>
          <w:lang w:eastAsia="zh-CN"/>
        </w:rPr>
      </w:pPr>
      <w:r>
        <w:rPr>
          <w:rFonts w:hint="eastAsia" w:ascii="宋体" w:hAnsi="宋体" w:cs="宋体"/>
          <w:snapToGrid w:val="0"/>
          <w:color w:val="000000"/>
          <w:kern w:val="28"/>
          <w:sz w:val="24"/>
          <w:lang w:val="en-US" w:eastAsia="zh-CN"/>
        </w:rPr>
        <w:t>3</w:t>
      </w:r>
      <w:r>
        <w:rPr>
          <w:rFonts w:hint="eastAsia" w:ascii="宋体" w:hAnsi="宋体" w:cs="宋体"/>
          <w:snapToGrid w:val="0"/>
          <w:color w:val="000000"/>
          <w:kern w:val="28"/>
          <w:sz w:val="24"/>
          <w:lang w:eastAsia="zh-CN"/>
        </w:rPr>
        <w:t>、</w:t>
      </w:r>
      <w:r>
        <w:rPr>
          <w:rFonts w:hint="eastAsia" w:ascii="宋体" w:hAnsi="宋体" w:cs="宋体"/>
          <w:snapToGrid w:val="0"/>
          <w:color w:val="000000"/>
          <w:kern w:val="28"/>
          <w:sz w:val="24"/>
        </w:rPr>
        <w:t>体育运动场所增加1块室内P2.5全彩色显示屏：8m*高4.32m=34.5㎡</w:t>
      </w:r>
      <w:r>
        <w:rPr>
          <w:rFonts w:hint="eastAsia" w:ascii="宋体" w:hAnsi="宋体" w:cs="宋体"/>
          <w:snapToGrid w:val="0"/>
          <w:color w:val="000000"/>
          <w:kern w:val="28"/>
          <w:sz w:val="24"/>
          <w:lang w:eastAsia="zh-CN"/>
        </w:rPr>
        <w:t>；</w:t>
      </w:r>
    </w:p>
    <w:p>
      <w:pPr>
        <w:tabs>
          <w:tab w:val="left" w:pos="3780"/>
        </w:tabs>
        <w:spacing w:line="360" w:lineRule="auto"/>
        <w:ind w:firstLine="240" w:firstLineChars="100"/>
        <w:rPr>
          <w:rFonts w:hint="eastAsia" w:ascii="宋体" w:hAnsi="宋体" w:cs="宋体"/>
          <w:snapToGrid w:val="0"/>
          <w:color w:val="000000"/>
          <w:kern w:val="28"/>
          <w:sz w:val="24"/>
          <w:lang w:eastAsia="zh-CN"/>
        </w:rPr>
      </w:pPr>
      <w:r>
        <w:rPr>
          <w:rFonts w:hint="eastAsia" w:ascii="宋体" w:hAnsi="宋体" w:cs="宋体"/>
          <w:snapToGrid w:val="0"/>
          <w:color w:val="000000"/>
          <w:kern w:val="28"/>
          <w:sz w:val="24"/>
          <w:lang w:val="en-US" w:eastAsia="zh-CN"/>
        </w:rPr>
        <w:t>4、</w:t>
      </w:r>
      <w:r>
        <w:rPr>
          <w:rFonts w:hint="eastAsia" w:ascii="宋体" w:hAnsi="宋体" w:cs="宋体"/>
          <w:snapToGrid w:val="0"/>
          <w:color w:val="000000"/>
          <w:kern w:val="28"/>
          <w:sz w:val="24"/>
        </w:rPr>
        <w:t>报告厅增加1块室内P1.8全彩色显示屏9.6m*高5.76m=55.3㎡</w:t>
      </w:r>
      <w:r>
        <w:rPr>
          <w:rFonts w:hint="eastAsia" w:ascii="宋体" w:hAnsi="宋体" w:cs="宋体"/>
          <w:snapToGrid w:val="0"/>
          <w:color w:val="000000"/>
          <w:kern w:val="28"/>
          <w:sz w:val="24"/>
          <w:lang w:eastAsia="zh-CN"/>
        </w:rPr>
        <w:t>，</w:t>
      </w:r>
      <w:r>
        <w:rPr>
          <w:rFonts w:hint="eastAsia" w:ascii="宋体" w:hAnsi="宋体" w:cs="宋体"/>
          <w:snapToGrid w:val="0"/>
          <w:color w:val="000000"/>
          <w:kern w:val="28"/>
          <w:sz w:val="24"/>
          <w:lang w:val="en-US" w:eastAsia="zh-CN"/>
        </w:rPr>
        <w:t>以及</w:t>
      </w:r>
      <w:r>
        <w:rPr>
          <w:rFonts w:hint="eastAsia" w:ascii="宋体" w:hAnsi="宋体" w:cs="宋体"/>
          <w:snapToGrid w:val="0"/>
          <w:color w:val="000000"/>
          <w:kern w:val="28"/>
          <w:sz w:val="24"/>
        </w:rPr>
        <w:t>横幅屏一块：14.08m*高0.8m=11.26㎡</w:t>
      </w:r>
      <w:r>
        <w:rPr>
          <w:rFonts w:hint="eastAsia" w:ascii="宋体" w:hAnsi="宋体" w:cs="宋体"/>
          <w:snapToGrid w:val="0"/>
          <w:color w:val="000000"/>
          <w:kern w:val="28"/>
          <w:sz w:val="24"/>
          <w:lang w:eastAsia="zh-CN"/>
        </w:rPr>
        <w:t>；</w:t>
      </w:r>
    </w:p>
    <w:p>
      <w:pPr>
        <w:tabs>
          <w:tab w:val="left" w:pos="3780"/>
        </w:tabs>
        <w:spacing w:line="360" w:lineRule="auto"/>
        <w:ind w:firstLine="240" w:firstLineChars="100"/>
        <w:rPr>
          <w:rFonts w:hint="eastAsia" w:ascii="宋体" w:hAnsi="宋体" w:cs="宋体"/>
          <w:snapToGrid w:val="0"/>
          <w:color w:val="000000"/>
          <w:kern w:val="28"/>
          <w:sz w:val="24"/>
        </w:rPr>
      </w:pPr>
    </w:p>
    <w:p>
      <w:pPr>
        <w:tabs>
          <w:tab w:val="left" w:pos="3780"/>
        </w:tabs>
        <w:spacing w:line="360" w:lineRule="auto"/>
        <w:ind w:firstLine="240" w:firstLineChars="100"/>
        <w:rPr>
          <w:rFonts w:hint="eastAsia" w:ascii="宋体" w:hAnsi="宋体" w:cs="宋体"/>
          <w:snapToGrid w:val="0"/>
          <w:color w:val="000000"/>
          <w:kern w:val="28"/>
          <w:sz w:val="24"/>
        </w:rPr>
      </w:pPr>
    </w:p>
    <w:p>
      <w:pPr>
        <w:tabs>
          <w:tab w:val="left" w:pos="3780"/>
        </w:tabs>
        <w:spacing w:line="360" w:lineRule="auto"/>
        <w:ind w:firstLine="240" w:firstLineChars="100"/>
        <w:rPr>
          <w:rFonts w:hint="eastAsia" w:ascii="宋体" w:hAnsi="宋体" w:cs="宋体"/>
          <w:snapToGrid w:val="0"/>
          <w:color w:val="000000"/>
          <w:kern w:val="28"/>
          <w:sz w:val="24"/>
        </w:rPr>
      </w:pPr>
    </w:p>
    <w:p>
      <w:pPr>
        <w:tabs>
          <w:tab w:val="left" w:pos="3780"/>
        </w:tabs>
        <w:spacing w:line="360" w:lineRule="auto"/>
        <w:ind w:firstLine="240" w:firstLineChars="100"/>
        <w:rPr>
          <w:rFonts w:hint="eastAsia" w:ascii="宋体" w:hAnsi="宋体" w:cs="宋体"/>
          <w:snapToGrid w:val="0"/>
          <w:color w:val="000000"/>
          <w:kern w:val="28"/>
          <w:sz w:val="24"/>
          <w:lang w:val="en-US"/>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pPr>
        <w:pStyle w:val="2"/>
        <w:keepNext w:val="0"/>
        <w:ind w:left="0" w:firstLine="0"/>
        <w:jc w:val="both"/>
        <w:rPr>
          <w:rFonts w:hint="eastAsia" w:ascii="宋体" w:hAnsi="宋体" w:eastAsia="宋体" w:cs="宋体"/>
        </w:rPr>
      </w:pPr>
      <w:r>
        <w:rPr>
          <w:rFonts w:hint="eastAsia" w:ascii="宋体" w:hAnsi="宋体" w:eastAsia="宋体" w:cs="宋体"/>
          <w:lang w:val="en-US"/>
        </w:rPr>
        <w:t>六、</w:t>
      </w:r>
      <w:r>
        <w:rPr>
          <w:rFonts w:hint="eastAsia" w:ascii="宋体" w:hAnsi="宋体" w:eastAsia="宋体" w:cs="宋体"/>
        </w:rPr>
        <w:t>设备清单</w:t>
      </w:r>
    </w:p>
    <w:tbl>
      <w:tblPr>
        <w:tblStyle w:val="62"/>
        <w:tblW w:w="9082" w:type="dxa"/>
        <w:jc w:val="center"/>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Layout w:type="fixed"/>
        <w:tblCellMar>
          <w:top w:w="0" w:type="dxa"/>
          <w:left w:w="0" w:type="dxa"/>
          <w:bottom w:w="0" w:type="dxa"/>
          <w:right w:w="0" w:type="dxa"/>
        </w:tblCellMar>
      </w:tblPr>
      <w:tblGrid>
        <w:gridCol w:w="616"/>
        <w:gridCol w:w="1155"/>
        <w:gridCol w:w="1881"/>
        <w:gridCol w:w="4339"/>
        <w:gridCol w:w="1091"/>
      </w:tblGrid>
      <w:tr>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jc w:val="center"/>
        </w:trPr>
        <w:tc>
          <w:tcPr>
            <w:tcW w:w="616" w:type="dxa"/>
            <w:tcBorders>
              <w:top w:val="single" w:color="000000" w:sz="8" w:space="0"/>
              <w:left w:val="single" w:color="000000" w:sz="8" w:space="0"/>
              <w:bottom w:val="single" w:color="000000" w:sz="2" w:space="0"/>
              <w:right w:val="single" w:color="000000" w:sz="2" w:space="0"/>
            </w:tcBorders>
            <w:noWrap w:val="0"/>
            <w:vAlign w:val="center"/>
          </w:tcPr>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序号</w:t>
            </w:r>
          </w:p>
        </w:tc>
        <w:tc>
          <w:tcPr>
            <w:tcW w:w="1155" w:type="dxa"/>
            <w:tcBorders>
              <w:top w:val="single" w:color="000000" w:sz="8" w:space="0"/>
              <w:left w:val="single" w:color="000000" w:sz="2" w:space="0"/>
              <w:bottom w:val="single" w:color="000000" w:sz="2" w:space="0"/>
              <w:right w:val="single" w:color="000000" w:sz="2" w:space="0"/>
            </w:tcBorders>
            <w:noWrap w:val="0"/>
            <w:vAlign w:val="center"/>
          </w:tcPr>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名称</w:t>
            </w:r>
          </w:p>
        </w:tc>
        <w:tc>
          <w:tcPr>
            <w:tcW w:w="6220" w:type="dxa"/>
            <w:gridSpan w:val="2"/>
            <w:tcBorders>
              <w:top w:val="single" w:color="000000" w:sz="8" w:space="0"/>
              <w:left w:val="single" w:color="000000" w:sz="2" w:space="0"/>
              <w:bottom w:val="single" w:color="000000" w:sz="2" w:space="0"/>
              <w:right w:val="single" w:color="auto" w:sz="4" w:space="0"/>
            </w:tcBorders>
            <w:noWrap w:val="0"/>
            <w:vAlign w:val="center"/>
          </w:tcPr>
          <w:p>
            <w:pPr>
              <w:tabs>
                <w:tab w:val="left" w:pos="5880"/>
              </w:tabs>
              <w:overflowPunct w:val="0"/>
              <w:spacing w:line="360" w:lineRule="auto"/>
              <w:ind w:left="191" w:leftChars="91" w:right="99" w:rightChars="47"/>
              <w:jc w:val="center"/>
              <w:textAlignment w:val="center"/>
              <w:rPr>
                <w:rFonts w:hint="eastAsia"/>
                <w:snapToGrid w:val="0"/>
                <w:sz w:val="24"/>
              </w:rPr>
            </w:pPr>
            <w:r>
              <w:rPr>
                <w:rFonts w:hint="eastAsia"/>
                <w:snapToGrid w:val="0"/>
                <w:sz w:val="24"/>
              </w:rPr>
              <w:t>配置</w:t>
            </w:r>
          </w:p>
        </w:tc>
        <w:tc>
          <w:tcPr>
            <w:tcW w:w="1091" w:type="dxa"/>
            <w:tcBorders>
              <w:top w:val="single" w:color="000000" w:sz="8" w:space="0"/>
              <w:left w:val="single" w:color="auto" w:sz="4" w:space="0"/>
              <w:bottom w:val="single" w:color="000000" w:sz="2" w:space="0"/>
              <w:right w:val="single" w:color="000000" w:sz="2" w:space="0"/>
            </w:tcBorders>
            <w:noWrap w:val="0"/>
            <w:vAlign w:val="center"/>
          </w:tcPr>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数量</w:t>
            </w:r>
          </w:p>
        </w:tc>
      </w:tr>
      <w:tr>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718" w:hRule="atLeast"/>
          <w:jc w:val="center"/>
        </w:trPr>
        <w:tc>
          <w:tcPr>
            <w:tcW w:w="616" w:type="dxa"/>
            <w:vMerge w:val="restart"/>
            <w:tcBorders>
              <w:top w:val="single" w:color="000000" w:sz="2" w:space="0"/>
              <w:left w:val="single" w:color="000000" w:sz="8" w:space="0"/>
              <w:right w:val="single" w:color="000000" w:sz="2" w:space="0"/>
            </w:tcBorders>
            <w:noWrap w:val="0"/>
            <w:vAlign w:val="center"/>
          </w:tcPr>
          <w:p>
            <w:pPr>
              <w:spacing w:line="360" w:lineRule="auto"/>
              <w:jc w:val="center"/>
              <w:rPr>
                <w:rFonts w:hint="eastAsia" w:ascii="宋体" w:hAnsi="宋体" w:eastAsia="宋体" w:cs="宋体"/>
                <w:snapToGrid w:val="0"/>
                <w:color w:val="000000"/>
                <w:kern w:val="28"/>
                <w:sz w:val="24"/>
                <w:lang w:eastAsia="zh-CN"/>
              </w:rPr>
            </w:pPr>
            <w:r>
              <w:rPr>
                <w:rFonts w:hint="eastAsia" w:ascii="宋体" w:hAnsi="宋体" w:cs="宋体"/>
                <w:snapToGrid w:val="0"/>
                <w:color w:val="000000"/>
                <w:kern w:val="28"/>
                <w:sz w:val="24"/>
                <w:lang w:val="en-US" w:eastAsia="zh-CN"/>
              </w:rPr>
              <w:t>1</w:t>
            </w:r>
          </w:p>
        </w:tc>
        <w:tc>
          <w:tcPr>
            <w:tcW w:w="1155" w:type="dxa"/>
            <w:vMerge w:val="restart"/>
            <w:tcBorders>
              <w:top w:val="single" w:color="000000" w:sz="2" w:space="0"/>
              <w:left w:val="single" w:color="000000" w:sz="2" w:space="0"/>
              <w:right w:val="single" w:color="000000" w:sz="2" w:space="0"/>
            </w:tcBorders>
            <w:noWrap w:val="0"/>
            <w:vAlign w:val="center"/>
          </w:tcPr>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Led显示屏体</w:t>
            </w:r>
          </w:p>
        </w:tc>
        <w:tc>
          <w:tcPr>
            <w:tcW w:w="6220" w:type="dxa"/>
            <w:gridSpan w:val="2"/>
            <w:tcBorders>
              <w:top w:val="single" w:color="000000" w:sz="2" w:space="0"/>
              <w:left w:val="single" w:color="000000" w:sz="2" w:space="0"/>
              <w:bottom w:val="single" w:color="000000" w:sz="2" w:space="0"/>
              <w:right w:val="single" w:color="auto" w:sz="4" w:space="0"/>
            </w:tcBorders>
            <w:noWrap w:val="0"/>
            <w:vAlign w:val="center"/>
          </w:tcPr>
          <w:p>
            <w:pPr>
              <w:tabs>
                <w:tab w:val="left" w:pos="5880"/>
              </w:tabs>
              <w:overflowPunct w:val="0"/>
              <w:spacing w:line="360" w:lineRule="auto"/>
              <w:ind w:left="191" w:leftChars="91" w:right="99" w:rightChars="47"/>
              <w:jc w:val="left"/>
              <w:textAlignment w:val="center"/>
              <w:rPr>
                <w:rFonts w:hint="eastAsia" w:eastAsia="宋体"/>
                <w:color w:val="auto"/>
                <w:lang w:eastAsia="zh-CN"/>
              </w:rPr>
            </w:pPr>
            <w:r>
              <w:rPr>
                <w:rFonts w:hint="eastAsia"/>
                <w:snapToGrid w:val="0"/>
                <w:color w:val="auto"/>
                <w:sz w:val="24"/>
              </w:rPr>
              <w:t>校门口户外显示屏，室外P3全彩色，具体参数见</w:t>
            </w:r>
            <w:r>
              <w:rPr>
                <w:rFonts w:hint="eastAsia"/>
                <w:color w:val="auto"/>
              </w:rPr>
              <w:t>详见七、</w:t>
            </w:r>
            <w:r>
              <w:rPr>
                <w:rFonts w:hint="eastAsia"/>
                <w:snapToGrid w:val="0"/>
                <w:color w:val="auto"/>
                <w:sz w:val="24"/>
              </w:rPr>
              <w:t>相关技术参数</w:t>
            </w:r>
          </w:p>
        </w:tc>
        <w:tc>
          <w:tcPr>
            <w:tcW w:w="1091" w:type="dxa"/>
            <w:tcBorders>
              <w:top w:val="single" w:color="000000" w:sz="2" w:space="0"/>
              <w:left w:val="single" w:color="auto" w:sz="4" w:space="0"/>
              <w:bottom w:val="single" w:color="000000" w:sz="2" w:space="0"/>
              <w:right w:val="single" w:color="000000" w:sz="2" w:space="0"/>
            </w:tcBorders>
            <w:noWrap w:val="0"/>
            <w:vAlign w:val="center"/>
          </w:tcPr>
          <w:p>
            <w:pPr>
              <w:spacing w:line="360" w:lineRule="auto"/>
              <w:jc w:val="center"/>
              <w:rPr>
                <w:rFonts w:hint="eastAsia" w:ascii="宋体" w:hAnsi="宋体" w:cs="宋体"/>
                <w:snapToGrid w:val="0"/>
                <w:color w:val="000000"/>
                <w:kern w:val="28"/>
                <w:sz w:val="24"/>
              </w:rPr>
            </w:pPr>
            <w:r>
              <w:rPr>
                <w:rFonts w:hint="eastAsia"/>
                <w:snapToGrid w:val="0"/>
                <w:color w:val="auto"/>
                <w:sz w:val="24"/>
              </w:rPr>
              <w:t>1块</w:t>
            </w:r>
          </w:p>
        </w:tc>
      </w:tr>
      <w:tr>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616" w:type="dxa"/>
            <w:vMerge w:val="continue"/>
            <w:tcBorders>
              <w:left w:val="single" w:color="000000" w:sz="8" w:space="0"/>
              <w:right w:val="single" w:color="000000" w:sz="2" w:space="0"/>
            </w:tcBorders>
            <w:noWrap w:val="0"/>
            <w:vAlign w:val="center"/>
          </w:tcPr>
          <w:p>
            <w:pPr>
              <w:spacing w:line="360" w:lineRule="auto"/>
              <w:jc w:val="center"/>
              <w:rPr>
                <w:rFonts w:hint="eastAsia" w:ascii="宋体" w:hAnsi="宋体" w:cs="宋体"/>
                <w:snapToGrid w:val="0"/>
                <w:color w:val="000000"/>
                <w:kern w:val="28"/>
                <w:sz w:val="24"/>
              </w:rPr>
            </w:pPr>
          </w:p>
        </w:tc>
        <w:tc>
          <w:tcPr>
            <w:tcW w:w="1155" w:type="dxa"/>
            <w:vMerge w:val="continue"/>
            <w:tcBorders>
              <w:left w:val="single" w:color="000000" w:sz="2" w:space="0"/>
              <w:right w:val="single" w:color="000000" w:sz="2" w:space="0"/>
            </w:tcBorders>
            <w:noWrap w:val="0"/>
            <w:vAlign w:val="center"/>
          </w:tcPr>
          <w:p>
            <w:pPr>
              <w:spacing w:line="360" w:lineRule="auto"/>
              <w:jc w:val="center"/>
              <w:rPr>
                <w:rFonts w:hint="eastAsia" w:ascii="宋体" w:hAnsi="宋体" w:cs="宋体"/>
                <w:snapToGrid w:val="0"/>
                <w:color w:val="000000"/>
                <w:kern w:val="28"/>
                <w:sz w:val="24"/>
              </w:rPr>
            </w:pPr>
          </w:p>
        </w:tc>
        <w:tc>
          <w:tcPr>
            <w:tcW w:w="6220" w:type="dxa"/>
            <w:gridSpan w:val="2"/>
            <w:tcBorders>
              <w:top w:val="single" w:color="000000" w:sz="2" w:space="0"/>
              <w:left w:val="single" w:color="000000" w:sz="2" w:space="0"/>
              <w:bottom w:val="single" w:color="000000" w:sz="2" w:space="0"/>
              <w:right w:val="single" w:color="auto" w:sz="4" w:space="0"/>
            </w:tcBorders>
            <w:noWrap w:val="0"/>
            <w:vAlign w:val="center"/>
          </w:tcPr>
          <w:p>
            <w:pPr>
              <w:tabs>
                <w:tab w:val="left" w:pos="5880"/>
              </w:tabs>
              <w:overflowPunct w:val="0"/>
              <w:spacing w:line="360" w:lineRule="auto"/>
              <w:ind w:left="191" w:leftChars="91" w:right="99" w:rightChars="47"/>
              <w:jc w:val="left"/>
              <w:textAlignment w:val="center"/>
              <w:rPr>
                <w:rFonts w:hint="eastAsia" w:eastAsia="宋体"/>
                <w:snapToGrid w:val="0"/>
                <w:color w:val="auto"/>
                <w:sz w:val="24"/>
                <w:lang w:eastAsia="zh-CN"/>
              </w:rPr>
            </w:pPr>
            <w:r>
              <w:rPr>
                <w:rFonts w:hint="eastAsia"/>
                <w:snapToGrid w:val="0"/>
                <w:color w:val="auto"/>
                <w:sz w:val="24"/>
              </w:rPr>
              <w:t>家长接送区户外显示屏，室外P3全彩色，具体参数见</w:t>
            </w:r>
            <w:r>
              <w:rPr>
                <w:rFonts w:hint="eastAsia"/>
                <w:color w:val="auto"/>
              </w:rPr>
              <w:t>详见七、</w:t>
            </w:r>
            <w:r>
              <w:rPr>
                <w:rFonts w:hint="eastAsia"/>
                <w:snapToGrid w:val="0"/>
                <w:color w:val="auto"/>
                <w:sz w:val="24"/>
              </w:rPr>
              <w:t>相关技术参数</w:t>
            </w:r>
          </w:p>
        </w:tc>
        <w:tc>
          <w:tcPr>
            <w:tcW w:w="1091" w:type="dxa"/>
            <w:tcBorders>
              <w:top w:val="single" w:color="000000" w:sz="2" w:space="0"/>
              <w:left w:val="single" w:color="auto" w:sz="4" w:space="0"/>
              <w:bottom w:val="single" w:color="000000" w:sz="2" w:space="0"/>
              <w:right w:val="single" w:color="000000" w:sz="2" w:space="0"/>
            </w:tcBorders>
            <w:noWrap w:val="0"/>
            <w:vAlign w:val="center"/>
          </w:tcPr>
          <w:p>
            <w:pPr>
              <w:spacing w:line="360" w:lineRule="auto"/>
              <w:jc w:val="center"/>
              <w:rPr>
                <w:rFonts w:hint="eastAsia" w:ascii="宋体" w:hAnsi="宋体" w:cs="宋体"/>
                <w:snapToGrid w:val="0"/>
                <w:color w:val="000000"/>
                <w:kern w:val="28"/>
                <w:sz w:val="24"/>
              </w:rPr>
            </w:pPr>
            <w:r>
              <w:rPr>
                <w:rFonts w:hint="eastAsia"/>
                <w:snapToGrid w:val="0"/>
                <w:color w:val="auto"/>
                <w:sz w:val="24"/>
              </w:rPr>
              <w:t>1块</w:t>
            </w:r>
          </w:p>
        </w:tc>
      </w:tr>
      <w:tr>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616" w:type="dxa"/>
            <w:vMerge w:val="continue"/>
            <w:tcBorders>
              <w:left w:val="single" w:color="000000" w:sz="8" w:space="0"/>
              <w:right w:val="single" w:color="000000" w:sz="2" w:space="0"/>
            </w:tcBorders>
            <w:noWrap w:val="0"/>
            <w:vAlign w:val="center"/>
          </w:tcPr>
          <w:p>
            <w:pPr>
              <w:spacing w:line="360" w:lineRule="auto"/>
              <w:jc w:val="center"/>
              <w:rPr>
                <w:rFonts w:hint="eastAsia" w:ascii="宋体" w:hAnsi="宋体" w:cs="宋体"/>
                <w:snapToGrid w:val="0"/>
                <w:color w:val="000000"/>
                <w:kern w:val="28"/>
                <w:sz w:val="24"/>
              </w:rPr>
            </w:pPr>
          </w:p>
        </w:tc>
        <w:tc>
          <w:tcPr>
            <w:tcW w:w="1155" w:type="dxa"/>
            <w:vMerge w:val="continue"/>
            <w:tcBorders>
              <w:left w:val="single" w:color="000000" w:sz="2" w:space="0"/>
              <w:right w:val="single" w:color="000000" w:sz="2" w:space="0"/>
            </w:tcBorders>
            <w:noWrap w:val="0"/>
            <w:vAlign w:val="center"/>
          </w:tcPr>
          <w:p>
            <w:pPr>
              <w:spacing w:line="360" w:lineRule="auto"/>
              <w:jc w:val="center"/>
              <w:rPr>
                <w:rFonts w:hint="eastAsia" w:ascii="宋体" w:hAnsi="宋体" w:cs="宋体"/>
                <w:snapToGrid w:val="0"/>
                <w:color w:val="000000"/>
                <w:kern w:val="28"/>
                <w:sz w:val="24"/>
              </w:rPr>
            </w:pPr>
          </w:p>
        </w:tc>
        <w:tc>
          <w:tcPr>
            <w:tcW w:w="6220" w:type="dxa"/>
            <w:gridSpan w:val="2"/>
            <w:tcBorders>
              <w:top w:val="single" w:color="000000" w:sz="2" w:space="0"/>
              <w:left w:val="single" w:color="000000" w:sz="2" w:space="0"/>
              <w:bottom w:val="single" w:color="000000" w:sz="2" w:space="0"/>
              <w:right w:val="single" w:color="auto" w:sz="4" w:space="0"/>
            </w:tcBorders>
            <w:noWrap w:val="0"/>
            <w:vAlign w:val="center"/>
          </w:tcPr>
          <w:p>
            <w:pPr>
              <w:tabs>
                <w:tab w:val="left" w:pos="5880"/>
              </w:tabs>
              <w:overflowPunct w:val="0"/>
              <w:spacing w:line="360" w:lineRule="auto"/>
              <w:ind w:left="191" w:leftChars="91" w:right="99" w:rightChars="47"/>
              <w:jc w:val="left"/>
              <w:textAlignment w:val="center"/>
              <w:rPr>
                <w:rFonts w:hint="eastAsia"/>
                <w:snapToGrid w:val="0"/>
                <w:color w:val="auto"/>
                <w:sz w:val="24"/>
              </w:rPr>
            </w:pPr>
            <w:r>
              <w:rPr>
                <w:rFonts w:hint="eastAsia"/>
                <w:snapToGrid w:val="0"/>
                <w:color w:val="auto"/>
                <w:sz w:val="24"/>
              </w:rPr>
              <w:t>体育运动场室内显示屏，室内P2.5全彩色，具体参数见</w:t>
            </w:r>
            <w:r>
              <w:rPr>
                <w:rFonts w:hint="eastAsia"/>
                <w:color w:val="auto"/>
              </w:rPr>
              <w:t>详见七、</w:t>
            </w:r>
            <w:r>
              <w:rPr>
                <w:rFonts w:hint="eastAsia"/>
                <w:snapToGrid w:val="0"/>
                <w:color w:val="auto"/>
                <w:sz w:val="24"/>
              </w:rPr>
              <w:t>相关技术参数</w:t>
            </w:r>
          </w:p>
        </w:tc>
        <w:tc>
          <w:tcPr>
            <w:tcW w:w="1091" w:type="dxa"/>
            <w:tcBorders>
              <w:top w:val="single" w:color="000000" w:sz="2" w:space="0"/>
              <w:left w:val="single" w:color="auto" w:sz="4" w:space="0"/>
              <w:bottom w:val="single" w:color="000000" w:sz="2" w:space="0"/>
              <w:right w:val="single" w:color="000000" w:sz="2" w:space="0"/>
            </w:tcBorders>
            <w:noWrap w:val="0"/>
            <w:vAlign w:val="center"/>
          </w:tcPr>
          <w:p>
            <w:pPr>
              <w:spacing w:line="360" w:lineRule="auto"/>
              <w:jc w:val="center"/>
              <w:rPr>
                <w:rFonts w:hint="eastAsia" w:ascii="宋体" w:hAnsi="宋体" w:cs="宋体"/>
                <w:snapToGrid w:val="0"/>
                <w:color w:val="000000"/>
                <w:kern w:val="28"/>
                <w:sz w:val="24"/>
              </w:rPr>
            </w:pPr>
            <w:r>
              <w:rPr>
                <w:rFonts w:hint="eastAsia"/>
                <w:snapToGrid w:val="0"/>
                <w:color w:val="auto"/>
                <w:sz w:val="24"/>
              </w:rPr>
              <w:t>1块</w:t>
            </w:r>
          </w:p>
        </w:tc>
      </w:tr>
      <w:tr>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616" w:type="dxa"/>
            <w:vMerge w:val="continue"/>
            <w:tcBorders>
              <w:left w:val="single" w:color="000000" w:sz="8" w:space="0"/>
              <w:right w:val="single" w:color="000000" w:sz="2" w:space="0"/>
            </w:tcBorders>
            <w:noWrap w:val="0"/>
            <w:vAlign w:val="center"/>
          </w:tcPr>
          <w:p>
            <w:pPr>
              <w:spacing w:line="360" w:lineRule="auto"/>
              <w:jc w:val="center"/>
              <w:rPr>
                <w:rFonts w:hint="eastAsia" w:ascii="宋体" w:hAnsi="宋体" w:cs="宋体"/>
                <w:snapToGrid w:val="0"/>
                <w:color w:val="000000"/>
                <w:kern w:val="28"/>
                <w:sz w:val="24"/>
              </w:rPr>
            </w:pPr>
          </w:p>
        </w:tc>
        <w:tc>
          <w:tcPr>
            <w:tcW w:w="1155" w:type="dxa"/>
            <w:vMerge w:val="continue"/>
            <w:tcBorders>
              <w:left w:val="single" w:color="000000" w:sz="2" w:space="0"/>
              <w:right w:val="single" w:color="000000" w:sz="2" w:space="0"/>
            </w:tcBorders>
            <w:noWrap w:val="0"/>
            <w:vAlign w:val="center"/>
          </w:tcPr>
          <w:p>
            <w:pPr>
              <w:spacing w:line="360" w:lineRule="auto"/>
              <w:jc w:val="center"/>
              <w:rPr>
                <w:rFonts w:hint="eastAsia" w:ascii="宋体" w:hAnsi="宋体" w:cs="宋体"/>
                <w:snapToGrid w:val="0"/>
                <w:color w:val="000000"/>
                <w:kern w:val="28"/>
                <w:sz w:val="24"/>
              </w:rPr>
            </w:pPr>
          </w:p>
        </w:tc>
        <w:tc>
          <w:tcPr>
            <w:tcW w:w="6220" w:type="dxa"/>
            <w:gridSpan w:val="2"/>
            <w:tcBorders>
              <w:top w:val="single" w:color="000000" w:sz="2" w:space="0"/>
              <w:left w:val="single" w:color="000000" w:sz="2" w:space="0"/>
              <w:bottom w:val="single" w:color="000000" w:sz="2" w:space="0"/>
              <w:right w:val="single" w:color="auto" w:sz="4" w:space="0"/>
            </w:tcBorders>
            <w:noWrap w:val="0"/>
            <w:vAlign w:val="center"/>
          </w:tcPr>
          <w:p>
            <w:pPr>
              <w:tabs>
                <w:tab w:val="left" w:pos="5880"/>
              </w:tabs>
              <w:overflowPunct w:val="0"/>
              <w:spacing w:line="360" w:lineRule="auto"/>
              <w:ind w:left="191" w:leftChars="91" w:right="99" w:rightChars="47"/>
              <w:jc w:val="left"/>
              <w:textAlignment w:val="center"/>
              <w:rPr>
                <w:rFonts w:hint="eastAsia"/>
                <w:snapToGrid w:val="0"/>
                <w:color w:val="auto"/>
                <w:sz w:val="24"/>
              </w:rPr>
            </w:pPr>
            <w:r>
              <w:rPr>
                <w:rFonts w:hint="eastAsia"/>
                <w:snapToGrid w:val="0"/>
                <w:color w:val="auto"/>
                <w:sz w:val="24"/>
              </w:rPr>
              <w:t>报告厅横幅屏室内P2.5全彩色</w:t>
            </w:r>
            <w:r>
              <w:rPr>
                <w:rFonts w:hint="eastAsia"/>
                <w:snapToGrid w:val="0"/>
                <w:color w:val="auto"/>
                <w:sz w:val="24"/>
                <w:lang w:eastAsia="zh-CN"/>
              </w:rPr>
              <w:t>，</w:t>
            </w:r>
            <w:r>
              <w:rPr>
                <w:rFonts w:hint="eastAsia"/>
                <w:snapToGrid w:val="0"/>
                <w:color w:val="auto"/>
                <w:sz w:val="24"/>
              </w:rPr>
              <w:t>具体参数见</w:t>
            </w:r>
            <w:r>
              <w:rPr>
                <w:rFonts w:hint="eastAsia"/>
                <w:color w:val="auto"/>
              </w:rPr>
              <w:t>详见七、</w:t>
            </w:r>
            <w:r>
              <w:rPr>
                <w:rFonts w:hint="eastAsia"/>
                <w:snapToGrid w:val="0"/>
                <w:color w:val="auto"/>
                <w:sz w:val="24"/>
              </w:rPr>
              <w:t>相关技术参数</w:t>
            </w:r>
          </w:p>
        </w:tc>
        <w:tc>
          <w:tcPr>
            <w:tcW w:w="1091" w:type="dxa"/>
            <w:tcBorders>
              <w:top w:val="single" w:color="000000" w:sz="2" w:space="0"/>
              <w:left w:val="single" w:color="auto" w:sz="4" w:space="0"/>
              <w:bottom w:val="single" w:color="000000" w:sz="2" w:space="0"/>
              <w:right w:val="single" w:color="000000" w:sz="2" w:space="0"/>
            </w:tcBorders>
            <w:noWrap w:val="0"/>
            <w:vAlign w:val="center"/>
          </w:tcPr>
          <w:p>
            <w:pPr>
              <w:spacing w:line="360" w:lineRule="auto"/>
              <w:jc w:val="center"/>
              <w:rPr>
                <w:rFonts w:hint="eastAsia" w:ascii="宋体" w:hAnsi="宋体" w:cs="宋体"/>
                <w:snapToGrid w:val="0"/>
                <w:color w:val="000000"/>
                <w:kern w:val="28"/>
                <w:sz w:val="24"/>
              </w:rPr>
            </w:pPr>
            <w:r>
              <w:rPr>
                <w:rFonts w:hint="eastAsia"/>
                <w:snapToGrid w:val="0"/>
                <w:color w:val="auto"/>
                <w:sz w:val="24"/>
              </w:rPr>
              <w:t>1块</w:t>
            </w:r>
          </w:p>
        </w:tc>
      </w:tr>
      <w:tr>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221" w:hRule="atLeast"/>
          <w:jc w:val="center"/>
        </w:trPr>
        <w:tc>
          <w:tcPr>
            <w:tcW w:w="616" w:type="dxa"/>
            <w:vMerge w:val="continue"/>
            <w:tcBorders>
              <w:left w:val="single" w:color="000000" w:sz="8" w:space="0"/>
              <w:right w:val="single" w:color="000000" w:sz="2" w:space="0"/>
            </w:tcBorders>
            <w:noWrap w:val="0"/>
            <w:vAlign w:val="center"/>
          </w:tcPr>
          <w:p>
            <w:pPr>
              <w:spacing w:line="360" w:lineRule="auto"/>
              <w:jc w:val="center"/>
              <w:rPr>
                <w:rFonts w:hint="eastAsia" w:ascii="宋体" w:hAnsi="宋体" w:cs="宋体"/>
                <w:snapToGrid w:val="0"/>
                <w:color w:val="000000"/>
                <w:kern w:val="28"/>
                <w:sz w:val="24"/>
              </w:rPr>
            </w:pPr>
          </w:p>
        </w:tc>
        <w:tc>
          <w:tcPr>
            <w:tcW w:w="1155" w:type="dxa"/>
            <w:vMerge w:val="continue"/>
            <w:tcBorders>
              <w:left w:val="single" w:color="000000" w:sz="2" w:space="0"/>
              <w:right w:val="single" w:color="000000" w:sz="2" w:space="0"/>
            </w:tcBorders>
            <w:noWrap w:val="0"/>
            <w:vAlign w:val="center"/>
          </w:tcPr>
          <w:p>
            <w:pPr>
              <w:spacing w:line="360" w:lineRule="auto"/>
              <w:jc w:val="center"/>
              <w:rPr>
                <w:rFonts w:hint="eastAsia" w:ascii="宋体" w:hAnsi="宋体" w:cs="宋体"/>
                <w:snapToGrid w:val="0"/>
                <w:color w:val="000000"/>
                <w:kern w:val="28"/>
                <w:sz w:val="24"/>
              </w:rPr>
            </w:pPr>
          </w:p>
        </w:tc>
        <w:tc>
          <w:tcPr>
            <w:tcW w:w="6220" w:type="dxa"/>
            <w:gridSpan w:val="2"/>
            <w:tcBorders>
              <w:top w:val="single" w:color="000000" w:sz="2" w:space="0"/>
              <w:left w:val="single" w:color="000000" w:sz="2" w:space="0"/>
              <w:bottom w:val="single" w:color="000000" w:sz="2" w:space="0"/>
              <w:right w:val="single" w:color="auto" w:sz="4" w:space="0"/>
            </w:tcBorders>
            <w:noWrap w:val="0"/>
            <w:vAlign w:val="center"/>
          </w:tcPr>
          <w:p>
            <w:pPr>
              <w:tabs>
                <w:tab w:val="left" w:pos="5880"/>
              </w:tabs>
              <w:overflowPunct w:val="0"/>
              <w:spacing w:line="360" w:lineRule="auto"/>
              <w:ind w:left="191" w:leftChars="91" w:right="290" w:rightChars="138"/>
              <w:jc w:val="left"/>
              <w:textAlignment w:val="center"/>
              <w:rPr>
                <w:rFonts w:hint="eastAsia"/>
                <w:snapToGrid w:val="0"/>
                <w:color w:val="auto"/>
                <w:sz w:val="24"/>
              </w:rPr>
            </w:pPr>
            <w:r>
              <w:rPr>
                <w:rFonts w:hint="eastAsia"/>
                <w:snapToGrid w:val="0"/>
                <w:color w:val="auto"/>
                <w:sz w:val="24"/>
              </w:rPr>
              <w:t>报告厅舞台主显示屏，室内P1.8全彩色，具体参数见</w:t>
            </w:r>
            <w:r>
              <w:rPr>
                <w:rFonts w:hint="eastAsia"/>
                <w:color w:val="auto"/>
              </w:rPr>
              <w:t>详见七、</w:t>
            </w:r>
            <w:r>
              <w:rPr>
                <w:rFonts w:hint="eastAsia"/>
                <w:snapToGrid w:val="0"/>
                <w:color w:val="auto"/>
                <w:sz w:val="24"/>
              </w:rPr>
              <w:t>相关技术参数</w:t>
            </w:r>
          </w:p>
        </w:tc>
        <w:tc>
          <w:tcPr>
            <w:tcW w:w="1091" w:type="dxa"/>
            <w:tcBorders>
              <w:top w:val="single" w:color="000000" w:sz="2" w:space="0"/>
              <w:left w:val="single" w:color="auto" w:sz="4" w:space="0"/>
              <w:bottom w:val="single" w:color="000000" w:sz="2" w:space="0"/>
              <w:right w:val="single" w:color="000000" w:sz="2" w:space="0"/>
            </w:tcBorders>
            <w:noWrap w:val="0"/>
            <w:vAlign w:val="center"/>
          </w:tcPr>
          <w:p>
            <w:pPr>
              <w:spacing w:line="360" w:lineRule="auto"/>
              <w:jc w:val="center"/>
              <w:rPr>
                <w:rFonts w:hint="eastAsia" w:ascii="宋体" w:hAnsi="宋体" w:cs="宋体"/>
                <w:snapToGrid w:val="0"/>
                <w:color w:val="000000"/>
                <w:kern w:val="28"/>
                <w:sz w:val="24"/>
              </w:rPr>
            </w:pPr>
            <w:r>
              <w:rPr>
                <w:rFonts w:hint="eastAsia"/>
                <w:snapToGrid w:val="0"/>
                <w:color w:val="auto"/>
                <w:sz w:val="24"/>
              </w:rPr>
              <w:t>1块</w:t>
            </w:r>
          </w:p>
        </w:tc>
      </w:tr>
      <w:tr>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16" w:type="dxa"/>
            <w:vMerge w:val="restart"/>
            <w:tcBorders>
              <w:top w:val="single" w:color="000000" w:sz="2" w:space="0"/>
              <w:left w:val="single" w:color="000000" w:sz="8" w:space="0"/>
              <w:right w:val="single" w:color="000000" w:sz="2" w:space="0"/>
            </w:tcBorders>
            <w:noWrap w:val="0"/>
            <w:vAlign w:val="center"/>
          </w:tcPr>
          <w:p>
            <w:pPr>
              <w:spacing w:line="360" w:lineRule="auto"/>
              <w:jc w:val="center"/>
              <w:rPr>
                <w:rFonts w:hint="eastAsia" w:ascii="宋体" w:hAnsi="宋体" w:eastAsia="宋体" w:cs="宋体"/>
                <w:snapToGrid w:val="0"/>
                <w:color w:val="000000"/>
                <w:kern w:val="28"/>
                <w:sz w:val="24"/>
                <w:lang w:eastAsia="zh-CN"/>
              </w:rPr>
            </w:pPr>
            <w:r>
              <w:rPr>
                <w:rFonts w:hint="eastAsia" w:ascii="宋体" w:hAnsi="宋体" w:cs="宋体"/>
                <w:snapToGrid w:val="0"/>
                <w:color w:val="000000"/>
                <w:kern w:val="28"/>
                <w:sz w:val="24"/>
                <w:lang w:val="en-US" w:eastAsia="zh-CN"/>
              </w:rPr>
              <w:t>2</w:t>
            </w:r>
          </w:p>
        </w:tc>
        <w:tc>
          <w:tcPr>
            <w:tcW w:w="1155" w:type="dxa"/>
            <w:vMerge w:val="restart"/>
            <w:tcBorders>
              <w:top w:val="single" w:color="000000" w:sz="2" w:space="0"/>
              <w:left w:val="single" w:color="000000" w:sz="2" w:space="0"/>
              <w:right w:val="single" w:color="000000" w:sz="2" w:space="0"/>
            </w:tcBorders>
            <w:noWrap w:val="0"/>
            <w:vAlign w:val="center"/>
          </w:tcPr>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控制系统</w:t>
            </w:r>
          </w:p>
        </w:tc>
        <w:tc>
          <w:tcPr>
            <w:tcW w:w="1881" w:type="dxa"/>
            <w:tcBorders>
              <w:top w:val="single" w:color="000000" w:sz="2" w:space="0"/>
              <w:left w:val="single" w:color="000000" w:sz="2" w:space="0"/>
              <w:bottom w:val="single" w:color="000000" w:sz="2" w:space="0"/>
              <w:right w:val="single" w:color="auto" w:sz="4" w:space="0"/>
            </w:tcBorders>
            <w:noWrap w:val="0"/>
            <w:vAlign w:val="center"/>
          </w:tcPr>
          <w:p>
            <w:pPr>
              <w:tabs>
                <w:tab w:val="left" w:pos="5880"/>
              </w:tabs>
              <w:overflowPunct w:val="0"/>
              <w:spacing w:line="360" w:lineRule="auto"/>
              <w:ind w:left="191" w:leftChars="91" w:right="99" w:rightChars="47"/>
              <w:jc w:val="left"/>
              <w:textAlignment w:val="center"/>
              <w:rPr>
                <w:rFonts w:hint="eastAsia"/>
                <w:snapToGrid w:val="0"/>
                <w:color w:val="auto"/>
                <w:sz w:val="24"/>
              </w:rPr>
            </w:pPr>
            <w:r>
              <w:rPr>
                <w:rFonts w:hint="eastAsia"/>
                <w:snapToGrid w:val="0"/>
                <w:color w:val="auto"/>
                <w:sz w:val="24"/>
              </w:rPr>
              <w:t>校门口</w:t>
            </w:r>
          </w:p>
        </w:tc>
        <w:tc>
          <w:tcPr>
            <w:tcW w:w="4339" w:type="dxa"/>
            <w:tcBorders>
              <w:top w:val="single" w:color="000000" w:sz="2" w:space="0"/>
              <w:left w:val="single" w:color="000000" w:sz="2" w:space="0"/>
              <w:bottom w:val="single" w:color="000000" w:sz="2" w:space="0"/>
              <w:right w:val="single" w:color="auto" w:sz="4" w:space="0"/>
            </w:tcBorders>
            <w:noWrap w:val="0"/>
            <w:vAlign w:val="center"/>
          </w:tcPr>
          <w:p>
            <w:pPr>
              <w:tabs>
                <w:tab w:val="left" w:pos="5880"/>
              </w:tabs>
              <w:overflowPunct w:val="0"/>
              <w:spacing w:line="360" w:lineRule="auto"/>
              <w:ind w:left="191" w:leftChars="91" w:right="99" w:rightChars="47"/>
              <w:jc w:val="center"/>
              <w:textAlignment w:val="center"/>
              <w:rPr>
                <w:rFonts w:hint="eastAsia"/>
                <w:snapToGrid w:val="0"/>
                <w:color w:val="auto"/>
                <w:sz w:val="24"/>
              </w:rPr>
            </w:pPr>
            <w:r>
              <w:rPr>
                <w:rFonts w:hint="eastAsia"/>
                <w:snapToGrid w:val="0"/>
                <w:color w:val="auto"/>
                <w:sz w:val="24"/>
              </w:rPr>
              <w:t>1个发送卡35张接收卡</w:t>
            </w:r>
          </w:p>
        </w:tc>
        <w:tc>
          <w:tcPr>
            <w:tcW w:w="1091" w:type="dxa"/>
            <w:tcBorders>
              <w:top w:val="single" w:color="000000" w:sz="2" w:space="0"/>
              <w:left w:val="single" w:color="auto" w:sz="4" w:space="0"/>
              <w:bottom w:val="single" w:color="000000" w:sz="2" w:space="0"/>
              <w:right w:val="single" w:color="000000" w:sz="2" w:space="0"/>
            </w:tcBorders>
            <w:noWrap w:val="0"/>
            <w:vAlign w:val="center"/>
          </w:tcPr>
          <w:p>
            <w:pPr>
              <w:spacing w:line="360" w:lineRule="auto"/>
              <w:jc w:val="center"/>
              <w:rPr>
                <w:rFonts w:hint="eastAsia" w:ascii="宋体" w:hAnsi="宋体" w:cs="宋体"/>
                <w:snapToGrid w:val="0"/>
                <w:color w:val="000000"/>
                <w:kern w:val="28"/>
                <w:sz w:val="24"/>
              </w:rPr>
            </w:pPr>
            <w:r>
              <w:rPr>
                <w:rFonts w:hint="default" w:ascii="宋体" w:hAnsi="宋体" w:cs="宋体"/>
                <w:snapToGrid w:val="0"/>
                <w:color w:val="000000"/>
                <w:kern w:val="28"/>
                <w:sz w:val="24"/>
                <w:lang w:val="en-US"/>
              </w:rPr>
              <w:t>/</w:t>
            </w:r>
          </w:p>
        </w:tc>
      </w:tr>
      <w:tr>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492" w:hRule="atLeast"/>
          <w:jc w:val="center"/>
        </w:trPr>
        <w:tc>
          <w:tcPr>
            <w:tcW w:w="616" w:type="dxa"/>
            <w:vMerge w:val="continue"/>
            <w:tcBorders>
              <w:left w:val="single" w:color="000000" w:sz="8" w:space="0"/>
              <w:right w:val="single" w:color="000000" w:sz="2" w:space="0"/>
            </w:tcBorders>
            <w:noWrap w:val="0"/>
            <w:vAlign w:val="center"/>
          </w:tcPr>
          <w:p>
            <w:pPr>
              <w:spacing w:line="360" w:lineRule="auto"/>
              <w:rPr>
                <w:rFonts w:hint="eastAsia" w:ascii="宋体" w:hAnsi="宋体" w:cs="宋体"/>
                <w:snapToGrid w:val="0"/>
                <w:color w:val="000000"/>
                <w:kern w:val="28"/>
                <w:sz w:val="24"/>
              </w:rPr>
            </w:pPr>
          </w:p>
        </w:tc>
        <w:tc>
          <w:tcPr>
            <w:tcW w:w="1155" w:type="dxa"/>
            <w:vMerge w:val="continue"/>
            <w:tcBorders>
              <w:left w:val="single" w:color="000000" w:sz="2" w:space="0"/>
              <w:right w:val="single" w:color="000000" w:sz="2" w:space="0"/>
            </w:tcBorders>
            <w:noWrap w:val="0"/>
            <w:vAlign w:val="center"/>
          </w:tcPr>
          <w:p>
            <w:pPr>
              <w:spacing w:line="360" w:lineRule="auto"/>
              <w:rPr>
                <w:rFonts w:hint="eastAsia" w:ascii="宋体" w:hAnsi="宋体" w:cs="宋体"/>
                <w:snapToGrid w:val="0"/>
                <w:color w:val="000000"/>
                <w:kern w:val="28"/>
                <w:sz w:val="24"/>
              </w:rPr>
            </w:pPr>
          </w:p>
        </w:tc>
        <w:tc>
          <w:tcPr>
            <w:tcW w:w="1881" w:type="dxa"/>
            <w:tcBorders>
              <w:top w:val="single" w:color="000000" w:sz="2" w:space="0"/>
              <w:left w:val="single" w:color="000000" w:sz="2" w:space="0"/>
              <w:bottom w:val="single" w:color="000000" w:sz="2" w:space="0"/>
              <w:right w:val="single" w:color="auto" w:sz="4" w:space="0"/>
            </w:tcBorders>
            <w:noWrap w:val="0"/>
            <w:vAlign w:val="center"/>
          </w:tcPr>
          <w:p>
            <w:pPr>
              <w:tabs>
                <w:tab w:val="left" w:pos="5880"/>
              </w:tabs>
              <w:overflowPunct w:val="0"/>
              <w:spacing w:line="360" w:lineRule="auto"/>
              <w:ind w:left="191" w:leftChars="91" w:right="99" w:rightChars="47"/>
              <w:jc w:val="left"/>
              <w:textAlignment w:val="center"/>
              <w:rPr>
                <w:rFonts w:hint="eastAsia"/>
                <w:snapToGrid w:val="0"/>
                <w:color w:val="auto"/>
                <w:sz w:val="24"/>
              </w:rPr>
            </w:pPr>
            <w:r>
              <w:rPr>
                <w:rFonts w:hint="eastAsia"/>
                <w:snapToGrid w:val="0"/>
                <w:color w:val="auto"/>
                <w:sz w:val="24"/>
              </w:rPr>
              <w:t>体育运动场</w:t>
            </w:r>
          </w:p>
        </w:tc>
        <w:tc>
          <w:tcPr>
            <w:tcW w:w="4339" w:type="dxa"/>
            <w:tcBorders>
              <w:top w:val="single" w:color="000000" w:sz="2" w:space="0"/>
              <w:left w:val="single" w:color="000000" w:sz="2" w:space="0"/>
              <w:bottom w:val="single" w:color="000000" w:sz="2" w:space="0"/>
              <w:right w:val="single" w:color="auto" w:sz="4" w:space="0"/>
            </w:tcBorders>
            <w:noWrap w:val="0"/>
            <w:vAlign w:val="center"/>
          </w:tcPr>
          <w:p>
            <w:pPr>
              <w:tabs>
                <w:tab w:val="left" w:pos="5880"/>
              </w:tabs>
              <w:overflowPunct w:val="0"/>
              <w:spacing w:line="360" w:lineRule="auto"/>
              <w:ind w:left="191" w:leftChars="91" w:right="99" w:rightChars="47"/>
              <w:jc w:val="center"/>
              <w:textAlignment w:val="center"/>
              <w:rPr>
                <w:rFonts w:hint="eastAsia"/>
                <w:snapToGrid w:val="0"/>
                <w:color w:val="auto"/>
                <w:sz w:val="24"/>
              </w:rPr>
            </w:pPr>
            <w:r>
              <w:rPr>
                <w:rFonts w:hint="eastAsia"/>
                <w:snapToGrid w:val="0"/>
                <w:color w:val="auto"/>
                <w:sz w:val="24"/>
              </w:rPr>
              <w:t>2个发送卡80张接收卡</w:t>
            </w:r>
          </w:p>
        </w:tc>
        <w:tc>
          <w:tcPr>
            <w:tcW w:w="1091" w:type="dxa"/>
            <w:tcBorders>
              <w:top w:val="single" w:color="000000" w:sz="2" w:space="0"/>
              <w:left w:val="single" w:color="auto" w:sz="4" w:space="0"/>
              <w:bottom w:val="single" w:color="000000" w:sz="2" w:space="0"/>
              <w:right w:val="single" w:color="000000" w:sz="2" w:space="0"/>
            </w:tcBorders>
            <w:noWrap w:val="0"/>
            <w:vAlign w:val="center"/>
          </w:tcPr>
          <w:p>
            <w:pPr>
              <w:spacing w:line="360" w:lineRule="auto"/>
              <w:jc w:val="center"/>
              <w:rPr>
                <w:rFonts w:hint="eastAsia" w:ascii="宋体" w:hAnsi="宋体" w:cs="宋体"/>
                <w:snapToGrid w:val="0"/>
                <w:color w:val="000000"/>
                <w:kern w:val="28"/>
                <w:sz w:val="24"/>
              </w:rPr>
            </w:pPr>
            <w:r>
              <w:rPr>
                <w:rFonts w:hint="default" w:ascii="宋体" w:hAnsi="宋体" w:cs="宋体"/>
                <w:snapToGrid w:val="0"/>
                <w:color w:val="000000"/>
                <w:kern w:val="28"/>
                <w:sz w:val="24"/>
                <w:lang w:val="en-US"/>
              </w:rPr>
              <w:t>/</w:t>
            </w:r>
          </w:p>
        </w:tc>
      </w:tr>
      <w:tr>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327" w:hRule="atLeast"/>
          <w:jc w:val="center"/>
        </w:trPr>
        <w:tc>
          <w:tcPr>
            <w:tcW w:w="616" w:type="dxa"/>
            <w:vMerge w:val="continue"/>
            <w:tcBorders>
              <w:left w:val="single" w:color="000000" w:sz="8" w:space="0"/>
              <w:right w:val="single" w:color="000000" w:sz="2" w:space="0"/>
            </w:tcBorders>
            <w:noWrap w:val="0"/>
            <w:vAlign w:val="center"/>
          </w:tcPr>
          <w:p>
            <w:pPr>
              <w:spacing w:line="360" w:lineRule="auto"/>
              <w:rPr>
                <w:rFonts w:hint="eastAsia" w:ascii="宋体" w:hAnsi="宋体" w:cs="宋体"/>
                <w:snapToGrid w:val="0"/>
                <w:color w:val="000000"/>
                <w:kern w:val="28"/>
                <w:sz w:val="24"/>
              </w:rPr>
            </w:pPr>
          </w:p>
        </w:tc>
        <w:tc>
          <w:tcPr>
            <w:tcW w:w="1155" w:type="dxa"/>
            <w:vMerge w:val="continue"/>
            <w:tcBorders>
              <w:left w:val="single" w:color="000000" w:sz="2" w:space="0"/>
              <w:right w:val="single" w:color="000000" w:sz="2" w:space="0"/>
            </w:tcBorders>
            <w:noWrap w:val="0"/>
            <w:vAlign w:val="center"/>
          </w:tcPr>
          <w:p>
            <w:pPr>
              <w:spacing w:line="360" w:lineRule="auto"/>
              <w:rPr>
                <w:rFonts w:hint="eastAsia" w:ascii="宋体" w:hAnsi="宋体" w:cs="宋体"/>
                <w:snapToGrid w:val="0"/>
                <w:color w:val="000000"/>
                <w:kern w:val="28"/>
                <w:sz w:val="24"/>
              </w:rPr>
            </w:pPr>
          </w:p>
        </w:tc>
        <w:tc>
          <w:tcPr>
            <w:tcW w:w="1881" w:type="dxa"/>
            <w:tcBorders>
              <w:top w:val="single" w:color="000000" w:sz="2" w:space="0"/>
              <w:left w:val="single" w:color="000000" w:sz="2" w:space="0"/>
              <w:bottom w:val="single" w:color="000000" w:sz="2" w:space="0"/>
              <w:right w:val="single" w:color="auto" w:sz="4" w:space="0"/>
            </w:tcBorders>
            <w:noWrap w:val="0"/>
            <w:vAlign w:val="center"/>
          </w:tcPr>
          <w:p>
            <w:pPr>
              <w:tabs>
                <w:tab w:val="left" w:pos="5880"/>
              </w:tabs>
              <w:overflowPunct w:val="0"/>
              <w:spacing w:line="360" w:lineRule="auto"/>
              <w:ind w:left="191" w:leftChars="91" w:right="99" w:rightChars="47"/>
              <w:jc w:val="left"/>
              <w:textAlignment w:val="center"/>
              <w:rPr>
                <w:rFonts w:hint="eastAsia"/>
                <w:snapToGrid w:val="0"/>
                <w:color w:val="auto"/>
                <w:sz w:val="24"/>
              </w:rPr>
            </w:pPr>
            <w:r>
              <w:rPr>
                <w:rFonts w:hint="eastAsia"/>
                <w:snapToGrid w:val="0"/>
                <w:color w:val="auto"/>
                <w:sz w:val="24"/>
              </w:rPr>
              <w:t>家长接送区</w:t>
            </w:r>
          </w:p>
        </w:tc>
        <w:tc>
          <w:tcPr>
            <w:tcW w:w="4339" w:type="dxa"/>
            <w:tcBorders>
              <w:top w:val="single" w:color="000000" w:sz="2" w:space="0"/>
              <w:left w:val="single" w:color="000000" w:sz="2" w:space="0"/>
              <w:bottom w:val="single" w:color="000000" w:sz="2" w:space="0"/>
              <w:right w:val="single" w:color="auto" w:sz="4" w:space="0"/>
            </w:tcBorders>
            <w:noWrap w:val="0"/>
            <w:vAlign w:val="center"/>
          </w:tcPr>
          <w:p>
            <w:pPr>
              <w:tabs>
                <w:tab w:val="left" w:pos="5880"/>
              </w:tabs>
              <w:overflowPunct w:val="0"/>
              <w:spacing w:line="360" w:lineRule="auto"/>
              <w:ind w:left="191" w:leftChars="91" w:right="99" w:rightChars="47"/>
              <w:jc w:val="left"/>
              <w:textAlignment w:val="center"/>
              <w:rPr>
                <w:rFonts w:hint="eastAsia"/>
                <w:snapToGrid w:val="0"/>
                <w:color w:val="auto"/>
                <w:sz w:val="24"/>
              </w:rPr>
            </w:pPr>
            <w:r>
              <w:rPr>
                <w:rFonts w:hint="eastAsia"/>
                <w:snapToGrid w:val="0"/>
                <w:color w:val="auto"/>
                <w:sz w:val="24"/>
              </w:rPr>
              <w:t xml:space="preserve">     1个发送卡20张接收卡</w:t>
            </w:r>
          </w:p>
        </w:tc>
        <w:tc>
          <w:tcPr>
            <w:tcW w:w="1091" w:type="dxa"/>
            <w:tcBorders>
              <w:top w:val="single" w:color="000000" w:sz="2" w:space="0"/>
              <w:left w:val="single" w:color="auto" w:sz="4" w:space="0"/>
              <w:bottom w:val="single" w:color="000000" w:sz="2" w:space="0"/>
              <w:right w:val="single" w:color="000000" w:sz="2" w:space="0"/>
            </w:tcBorders>
            <w:noWrap w:val="0"/>
            <w:vAlign w:val="center"/>
          </w:tcPr>
          <w:p>
            <w:pPr>
              <w:spacing w:line="360" w:lineRule="auto"/>
              <w:jc w:val="center"/>
              <w:rPr>
                <w:rFonts w:hint="eastAsia" w:ascii="宋体" w:hAnsi="宋体" w:cs="宋体"/>
                <w:snapToGrid w:val="0"/>
                <w:color w:val="000000"/>
                <w:kern w:val="28"/>
                <w:sz w:val="24"/>
              </w:rPr>
            </w:pPr>
            <w:r>
              <w:rPr>
                <w:rFonts w:hint="default" w:ascii="宋体" w:hAnsi="宋体" w:cs="宋体"/>
                <w:snapToGrid w:val="0"/>
                <w:color w:val="000000"/>
                <w:kern w:val="28"/>
                <w:sz w:val="24"/>
                <w:lang w:val="en-US"/>
              </w:rPr>
              <w:t>/</w:t>
            </w:r>
          </w:p>
        </w:tc>
      </w:tr>
      <w:tr>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492" w:hRule="atLeast"/>
          <w:jc w:val="center"/>
        </w:trPr>
        <w:tc>
          <w:tcPr>
            <w:tcW w:w="616" w:type="dxa"/>
            <w:vMerge w:val="continue"/>
            <w:tcBorders>
              <w:left w:val="single" w:color="000000" w:sz="8" w:space="0"/>
              <w:right w:val="single" w:color="000000" w:sz="2" w:space="0"/>
            </w:tcBorders>
            <w:noWrap w:val="0"/>
            <w:vAlign w:val="center"/>
          </w:tcPr>
          <w:p>
            <w:pPr>
              <w:spacing w:line="360" w:lineRule="auto"/>
              <w:rPr>
                <w:rFonts w:hint="eastAsia" w:ascii="宋体" w:hAnsi="宋体" w:cs="宋体"/>
                <w:snapToGrid w:val="0"/>
                <w:color w:val="000000"/>
                <w:kern w:val="28"/>
                <w:sz w:val="24"/>
              </w:rPr>
            </w:pPr>
          </w:p>
        </w:tc>
        <w:tc>
          <w:tcPr>
            <w:tcW w:w="1155" w:type="dxa"/>
            <w:vMerge w:val="continue"/>
            <w:tcBorders>
              <w:left w:val="single" w:color="000000" w:sz="2" w:space="0"/>
              <w:right w:val="single" w:color="000000" w:sz="2" w:space="0"/>
            </w:tcBorders>
            <w:noWrap w:val="0"/>
            <w:vAlign w:val="center"/>
          </w:tcPr>
          <w:p>
            <w:pPr>
              <w:spacing w:line="360" w:lineRule="auto"/>
              <w:rPr>
                <w:rFonts w:hint="eastAsia" w:ascii="宋体" w:hAnsi="宋体" w:cs="宋体"/>
                <w:snapToGrid w:val="0"/>
                <w:color w:val="000000"/>
                <w:kern w:val="28"/>
                <w:sz w:val="24"/>
              </w:rPr>
            </w:pPr>
          </w:p>
        </w:tc>
        <w:tc>
          <w:tcPr>
            <w:tcW w:w="1881" w:type="dxa"/>
            <w:tcBorders>
              <w:top w:val="single" w:color="000000" w:sz="2" w:space="0"/>
              <w:left w:val="single" w:color="000000" w:sz="2" w:space="0"/>
              <w:bottom w:val="single" w:color="000000" w:sz="2" w:space="0"/>
              <w:right w:val="single" w:color="auto" w:sz="4" w:space="0"/>
            </w:tcBorders>
            <w:noWrap w:val="0"/>
            <w:vAlign w:val="center"/>
          </w:tcPr>
          <w:p>
            <w:pPr>
              <w:tabs>
                <w:tab w:val="left" w:pos="5880"/>
              </w:tabs>
              <w:overflowPunct w:val="0"/>
              <w:spacing w:line="360" w:lineRule="auto"/>
              <w:ind w:left="191" w:leftChars="91" w:right="99" w:rightChars="47"/>
              <w:jc w:val="left"/>
              <w:textAlignment w:val="center"/>
              <w:rPr>
                <w:rFonts w:hint="eastAsia"/>
                <w:snapToGrid w:val="0"/>
                <w:color w:val="auto"/>
                <w:sz w:val="24"/>
              </w:rPr>
            </w:pPr>
            <w:r>
              <w:rPr>
                <w:rFonts w:hint="eastAsia"/>
                <w:snapToGrid w:val="0"/>
                <w:color w:val="auto"/>
                <w:sz w:val="24"/>
              </w:rPr>
              <w:t>报告厅含横幅屏</w:t>
            </w:r>
          </w:p>
        </w:tc>
        <w:tc>
          <w:tcPr>
            <w:tcW w:w="4339" w:type="dxa"/>
            <w:tcBorders>
              <w:top w:val="single" w:color="000000" w:sz="2" w:space="0"/>
              <w:left w:val="single" w:color="000000" w:sz="2" w:space="0"/>
              <w:bottom w:val="single" w:color="000000" w:sz="2" w:space="0"/>
              <w:right w:val="single" w:color="auto" w:sz="4" w:space="0"/>
            </w:tcBorders>
            <w:noWrap w:val="0"/>
            <w:vAlign w:val="center"/>
          </w:tcPr>
          <w:p>
            <w:pPr>
              <w:tabs>
                <w:tab w:val="left" w:pos="5880"/>
              </w:tabs>
              <w:overflowPunct w:val="0"/>
              <w:spacing w:line="360" w:lineRule="auto"/>
              <w:ind w:right="99" w:rightChars="47" w:firstLine="960" w:firstLineChars="400"/>
              <w:jc w:val="left"/>
              <w:textAlignment w:val="center"/>
              <w:rPr>
                <w:rFonts w:hint="eastAsia"/>
                <w:snapToGrid w:val="0"/>
                <w:color w:val="auto"/>
                <w:sz w:val="24"/>
              </w:rPr>
            </w:pPr>
            <w:r>
              <w:rPr>
                <w:rFonts w:hint="eastAsia"/>
                <w:snapToGrid w:val="0"/>
                <w:color w:val="auto"/>
                <w:sz w:val="24"/>
              </w:rPr>
              <w:t>1个发送卡20张接收卡</w:t>
            </w:r>
          </w:p>
        </w:tc>
        <w:tc>
          <w:tcPr>
            <w:tcW w:w="1091" w:type="dxa"/>
            <w:tcBorders>
              <w:top w:val="single" w:color="000000" w:sz="2" w:space="0"/>
              <w:left w:val="single" w:color="auto" w:sz="4" w:space="0"/>
              <w:bottom w:val="single" w:color="000000" w:sz="2" w:space="0"/>
              <w:right w:val="single" w:color="000000" w:sz="2" w:space="0"/>
            </w:tcBorders>
            <w:noWrap w:val="0"/>
            <w:vAlign w:val="center"/>
          </w:tcPr>
          <w:p>
            <w:pPr>
              <w:spacing w:line="360" w:lineRule="auto"/>
              <w:jc w:val="center"/>
              <w:rPr>
                <w:rFonts w:hint="eastAsia" w:ascii="宋体" w:hAnsi="宋体" w:cs="宋体"/>
                <w:snapToGrid w:val="0"/>
                <w:color w:val="000000"/>
                <w:kern w:val="28"/>
                <w:sz w:val="24"/>
              </w:rPr>
            </w:pPr>
            <w:r>
              <w:rPr>
                <w:rFonts w:hint="default" w:ascii="宋体" w:hAnsi="宋体" w:cs="宋体"/>
                <w:snapToGrid w:val="0"/>
                <w:color w:val="000000"/>
                <w:kern w:val="28"/>
                <w:sz w:val="24"/>
                <w:lang w:val="en-US"/>
              </w:rPr>
              <w:t>/</w:t>
            </w:r>
          </w:p>
        </w:tc>
      </w:tr>
      <w:tr>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492" w:hRule="atLeast"/>
          <w:jc w:val="center"/>
        </w:trPr>
        <w:tc>
          <w:tcPr>
            <w:tcW w:w="616" w:type="dxa"/>
            <w:vMerge w:val="continue"/>
            <w:tcBorders>
              <w:left w:val="single" w:color="000000" w:sz="8" w:space="0"/>
              <w:right w:val="single" w:color="000000" w:sz="2" w:space="0"/>
            </w:tcBorders>
            <w:noWrap w:val="0"/>
            <w:vAlign w:val="center"/>
          </w:tcPr>
          <w:p>
            <w:pPr>
              <w:spacing w:line="360" w:lineRule="auto"/>
              <w:rPr>
                <w:rFonts w:hint="eastAsia" w:ascii="宋体" w:hAnsi="宋体" w:cs="宋体"/>
                <w:snapToGrid w:val="0"/>
                <w:color w:val="000000"/>
                <w:kern w:val="28"/>
                <w:sz w:val="24"/>
              </w:rPr>
            </w:pPr>
          </w:p>
        </w:tc>
        <w:tc>
          <w:tcPr>
            <w:tcW w:w="1155" w:type="dxa"/>
            <w:vMerge w:val="continue"/>
            <w:tcBorders>
              <w:left w:val="single" w:color="000000" w:sz="2" w:space="0"/>
              <w:right w:val="single" w:color="000000" w:sz="2" w:space="0"/>
            </w:tcBorders>
            <w:noWrap w:val="0"/>
            <w:vAlign w:val="center"/>
          </w:tcPr>
          <w:p>
            <w:pPr>
              <w:spacing w:line="360" w:lineRule="auto"/>
              <w:rPr>
                <w:rFonts w:hint="eastAsia" w:ascii="宋体" w:hAnsi="宋体" w:cs="宋体"/>
                <w:snapToGrid w:val="0"/>
                <w:color w:val="000000"/>
                <w:kern w:val="28"/>
                <w:sz w:val="24"/>
              </w:rPr>
            </w:pPr>
          </w:p>
        </w:tc>
        <w:tc>
          <w:tcPr>
            <w:tcW w:w="1881" w:type="dxa"/>
            <w:tcBorders>
              <w:top w:val="single" w:color="000000" w:sz="2" w:space="0"/>
              <w:left w:val="single" w:color="000000" w:sz="2" w:space="0"/>
              <w:bottom w:val="single" w:color="000000" w:sz="2" w:space="0"/>
              <w:right w:val="single" w:color="auto" w:sz="4" w:space="0"/>
            </w:tcBorders>
            <w:noWrap w:val="0"/>
            <w:vAlign w:val="center"/>
          </w:tcPr>
          <w:p>
            <w:pPr>
              <w:tabs>
                <w:tab w:val="left" w:pos="5880"/>
              </w:tabs>
              <w:overflowPunct w:val="0"/>
              <w:spacing w:line="360" w:lineRule="auto"/>
              <w:ind w:left="191" w:leftChars="91" w:right="99" w:rightChars="47"/>
              <w:jc w:val="left"/>
              <w:textAlignment w:val="center"/>
              <w:rPr>
                <w:rFonts w:hint="eastAsia"/>
                <w:snapToGrid w:val="0"/>
                <w:color w:val="auto"/>
                <w:sz w:val="24"/>
              </w:rPr>
            </w:pPr>
            <w:r>
              <w:rPr>
                <w:rFonts w:hint="eastAsia"/>
                <w:snapToGrid w:val="0"/>
                <w:color w:val="auto"/>
                <w:sz w:val="24"/>
              </w:rPr>
              <w:t>报告厅主屏</w:t>
            </w:r>
          </w:p>
        </w:tc>
        <w:tc>
          <w:tcPr>
            <w:tcW w:w="4339" w:type="dxa"/>
            <w:tcBorders>
              <w:top w:val="single" w:color="000000" w:sz="2" w:space="0"/>
              <w:left w:val="single" w:color="000000" w:sz="2" w:space="0"/>
              <w:bottom w:val="single" w:color="000000" w:sz="2" w:space="0"/>
              <w:right w:val="single" w:color="auto" w:sz="4" w:space="0"/>
            </w:tcBorders>
            <w:noWrap w:val="0"/>
            <w:vAlign w:val="center"/>
          </w:tcPr>
          <w:p>
            <w:pPr>
              <w:tabs>
                <w:tab w:val="left" w:pos="5880"/>
              </w:tabs>
              <w:overflowPunct w:val="0"/>
              <w:spacing w:line="360" w:lineRule="auto"/>
              <w:ind w:right="99" w:rightChars="47" w:firstLine="960" w:firstLineChars="400"/>
              <w:jc w:val="left"/>
              <w:textAlignment w:val="center"/>
              <w:rPr>
                <w:rFonts w:hint="eastAsia"/>
                <w:snapToGrid w:val="0"/>
                <w:color w:val="auto"/>
                <w:sz w:val="24"/>
              </w:rPr>
            </w:pPr>
            <w:r>
              <w:rPr>
                <w:rFonts w:hint="eastAsia"/>
                <w:snapToGrid w:val="0"/>
                <w:color w:val="auto"/>
                <w:sz w:val="24"/>
              </w:rPr>
              <w:t>3个发送卡200张接收卡</w:t>
            </w:r>
          </w:p>
        </w:tc>
        <w:tc>
          <w:tcPr>
            <w:tcW w:w="1091" w:type="dxa"/>
            <w:tcBorders>
              <w:top w:val="single" w:color="000000" w:sz="2" w:space="0"/>
              <w:left w:val="single" w:color="auto" w:sz="4" w:space="0"/>
              <w:bottom w:val="single" w:color="000000" w:sz="2" w:space="0"/>
              <w:right w:val="single" w:color="000000" w:sz="2" w:space="0"/>
            </w:tcBorders>
            <w:noWrap w:val="0"/>
            <w:vAlign w:val="center"/>
          </w:tcPr>
          <w:p>
            <w:pPr>
              <w:spacing w:line="360" w:lineRule="auto"/>
              <w:jc w:val="center"/>
              <w:rPr>
                <w:rFonts w:hint="eastAsia" w:ascii="宋体" w:hAnsi="宋体" w:cs="宋体"/>
                <w:snapToGrid w:val="0"/>
                <w:color w:val="000000"/>
                <w:kern w:val="28"/>
                <w:sz w:val="24"/>
              </w:rPr>
            </w:pPr>
            <w:r>
              <w:rPr>
                <w:rFonts w:hint="default" w:ascii="宋体" w:hAnsi="宋体" w:cs="宋体"/>
                <w:snapToGrid w:val="0"/>
                <w:color w:val="000000"/>
                <w:kern w:val="28"/>
                <w:sz w:val="24"/>
                <w:lang w:val="en-US"/>
              </w:rPr>
              <w:t>/</w:t>
            </w:r>
          </w:p>
        </w:tc>
      </w:tr>
      <w:tr>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jc w:val="center"/>
        </w:trPr>
        <w:tc>
          <w:tcPr>
            <w:tcW w:w="616" w:type="dxa"/>
            <w:tcBorders>
              <w:top w:val="single" w:color="000000" w:sz="2" w:space="0"/>
              <w:left w:val="single" w:color="000000" w:sz="8" w:space="0"/>
              <w:bottom w:val="single" w:color="000000" w:sz="2" w:space="0"/>
              <w:right w:val="single" w:color="000000" w:sz="2" w:space="0"/>
            </w:tcBorders>
            <w:noWrap w:val="0"/>
            <w:vAlign w:val="center"/>
          </w:tcPr>
          <w:p>
            <w:pPr>
              <w:spacing w:line="360" w:lineRule="auto"/>
              <w:jc w:val="center"/>
              <w:rPr>
                <w:rFonts w:hint="eastAsia" w:ascii="宋体" w:hAnsi="宋体" w:eastAsia="宋体" w:cs="宋体"/>
                <w:snapToGrid w:val="0"/>
                <w:color w:val="000000"/>
                <w:kern w:val="28"/>
                <w:sz w:val="24"/>
                <w:lang w:eastAsia="zh-CN"/>
              </w:rPr>
            </w:pPr>
            <w:r>
              <w:rPr>
                <w:rFonts w:hint="eastAsia" w:ascii="宋体" w:hAnsi="宋体" w:cs="宋体"/>
                <w:snapToGrid w:val="0"/>
                <w:color w:val="000000"/>
                <w:kern w:val="28"/>
                <w:sz w:val="24"/>
                <w:lang w:val="en-US" w:eastAsia="zh-CN"/>
              </w:rPr>
              <w:t>3</w:t>
            </w:r>
          </w:p>
        </w:tc>
        <w:tc>
          <w:tcPr>
            <w:tcW w:w="1155" w:type="dxa"/>
            <w:tcBorders>
              <w:top w:val="single" w:color="000000" w:sz="2" w:space="0"/>
              <w:left w:val="single" w:color="000000" w:sz="2" w:space="0"/>
              <w:bottom w:val="single" w:color="000000" w:sz="2" w:space="0"/>
              <w:right w:val="single" w:color="000000" w:sz="2" w:space="0"/>
            </w:tcBorders>
            <w:noWrap w:val="0"/>
            <w:vAlign w:val="center"/>
          </w:tcPr>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终端控制器</w:t>
            </w:r>
          </w:p>
        </w:tc>
        <w:tc>
          <w:tcPr>
            <w:tcW w:w="6220" w:type="dxa"/>
            <w:gridSpan w:val="2"/>
            <w:tcBorders>
              <w:top w:val="single" w:color="000000" w:sz="2" w:space="0"/>
              <w:left w:val="single" w:color="000000" w:sz="2" w:space="0"/>
              <w:bottom w:val="single" w:color="000000" w:sz="2" w:space="0"/>
              <w:right w:val="single" w:color="auto" w:sz="4" w:space="0"/>
            </w:tcBorders>
            <w:noWrap w:val="0"/>
            <w:vAlign w:val="center"/>
          </w:tcPr>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要求为软硬件一体机，采用定制化UI界面、个性定制化模块；</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★1、主控单元要求：</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系统空间：≥120G SSD；</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存储空间：≥2T SATA；</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运行RAM：≥16G；</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2、主体结构：机身显示一体式，全铝机身内置10.1寸TFT触控屏；</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3、主机通讯能力：能够实现移动终端与主控单元通讯的移动终端数量为1-80台，可设定通讯方式：单向或者双向；</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4、切换方式：能够指定单一移动终端与主控单元即时通讯、交互；</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5、同步文件：主控单元与移动终端指定同步文件，能够实时预览、同步播放；</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6、远程上传：设定指定的服务器存储地址，分类上传，任意调用；</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7、状态提示：主界面即时显示与任一终端的连接状态、终端名称、通讯时长、IP地址显示；</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8、通讯管理：设定与移动终端指定的通讯密码；</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lang w:val="en-US" w:eastAsia="zh-CN"/>
              </w:rPr>
              <w:t>9、</w:t>
            </w:r>
            <w:r>
              <w:rPr>
                <w:rFonts w:hint="eastAsia"/>
                <w:snapToGrid w:val="0"/>
                <w:sz w:val="24"/>
              </w:rPr>
              <w:t>功能需求：定制UI,导航式菜单结构、系统实现服务端通讯连接系统，与手持终端即时通讯；双向操作，双层加密技术；</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lang w:val="en-US" w:eastAsia="zh-CN"/>
              </w:rPr>
              <w:t>10</w:t>
            </w:r>
            <w:r>
              <w:rPr>
                <w:rFonts w:hint="eastAsia"/>
                <w:snapToGrid w:val="0"/>
                <w:sz w:val="24"/>
              </w:rPr>
              <w:t>、文件推送：基于无线状态下的主控单元文件实时推送分发，由移动终端自动接收，通过移动终端来查看、编辑等；</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1</w:t>
            </w:r>
            <w:r>
              <w:rPr>
                <w:rFonts w:hint="eastAsia"/>
                <w:snapToGrid w:val="0"/>
                <w:sz w:val="24"/>
                <w:lang w:val="en-US" w:eastAsia="zh-CN"/>
              </w:rPr>
              <w:t>1</w:t>
            </w:r>
            <w:r>
              <w:rPr>
                <w:rFonts w:hint="eastAsia"/>
                <w:snapToGrid w:val="0"/>
                <w:sz w:val="24"/>
              </w:rPr>
              <w:t>、系统包含支持服务器端与手持终端通讯系统：</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lang w:val="en-US" w:eastAsia="zh-CN"/>
              </w:rPr>
              <w:t>①、</w:t>
            </w:r>
            <w:r>
              <w:rPr>
                <w:rFonts w:hint="eastAsia"/>
                <w:snapToGrid w:val="0"/>
                <w:sz w:val="24"/>
              </w:rPr>
              <w:t>基于TCP/IP协议专用平台与移动终端即时通讯，防外部环境干扰；</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lang w:val="en-US" w:eastAsia="zh-CN"/>
              </w:rPr>
              <w:t>②、</w:t>
            </w:r>
            <w:r>
              <w:rPr>
                <w:rFonts w:hint="eastAsia"/>
                <w:snapToGrid w:val="0"/>
                <w:sz w:val="24"/>
              </w:rPr>
              <w:t>系统支持控制录制服务器端采集画面及移动终端白板画面；</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lang w:val="en-US" w:eastAsia="zh-CN"/>
              </w:rPr>
              <w:t>③、</w:t>
            </w:r>
            <w:r>
              <w:rPr>
                <w:rFonts w:hint="eastAsia"/>
                <w:snapToGrid w:val="0"/>
                <w:sz w:val="24"/>
              </w:rPr>
              <w:t>系统支持主控单元视频画面自定义调整；</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lang w:val="en-US" w:eastAsia="zh-CN"/>
              </w:rPr>
              <w:t>④、</w:t>
            </w:r>
            <w:r>
              <w:rPr>
                <w:rFonts w:hint="eastAsia"/>
                <w:snapToGrid w:val="0"/>
                <w:sz w:val="24"/>
              </w:rPr>
              <w:t>系统内置录播系统，具有教师画面虚拟跟踪功能(可设置任意一视频画面为虚拟智能跟踪画面，实现非云台自动图像跟踪录制)，支持平行双画面合成录制，生成平行画面视频格式；</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lang w:val="en-US" w:eastAsia="zh-CN"/>
              </w:rPr>
              <w:t>⑤、</w:t>
            </w:r>
            <w:r>
              <w:rPr>
                <w:rFonts w:hint="eastAsia"/>
                <w:snapToGrid w:val="0"/>
                <w:sz w:val="24"/>
              </w:rPr>
              <w:t>可设定任意左右画面合成平行双画面,具有小窗口控制界面，包含录制控制按钮，置顶于主屏正中；</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lang w:val="en-US" w:eastAsia="zh-CN"/>
              </w:rPr>
              <w:t>⑥、</w:t>
            </w:r>
            <w:r>
              <w:rPr>
                <w:rFonts w:hint="eastAsia"/>
                <w:snapToGrid w:val="0"/>
                <w:sz w:val="24"/>
              </w:rPr>
              <w:t xml:space="preserve">移动终端与主控单元双向交互操作，单点识别，及时同步显示到外部显示设备； </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lang w:val="en-US" w:eastAsia="zh-CN"/>
              </w:rPr>
              <w:t>⑦、</w:t>
            </w:r>
            <w:r>
              <w:rPr>
                <w:rFonts w:hint="eastAsia"/>
                <w:snapToGrid w:val="0"/>
                <w:sz w:val="24"/>
              </w:rPr>
              <w:t>采用最新的基于硬件识别的双层加密技术；</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lang w:val="en-US" w:eastAsia="zh-CN"/>
              </w:rPr>
              <w:t>⑧、</w:t>
            </w:r>
            <w:r>
              <w:rPr>
                <w:rFonts w:hint="eastAsia"/>
                <w:snapToGrid w:val="0"/>
                <w:sz w:val="24"/>
              </w:rPr>
              <w:t>主菜单隐藏图标，用户登陆加密，可设置推送速率，管理窗口IP地址自动识别，单点显示，后台运行占用内存小，交互通讯，图标实时显示，通讯故障及时报警显示在主控单元；</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lang w:val="en-US" w:eastAsia="zh-CN"/>
              </w:rPr>
              <w:t>⑨、</w:t>
            </w:r>
            <w:r>
              <w:rPr>
                <w:rFonts w:hint="eastAsia"/>
                <w:snapToGrid w:val="0"/>
                <w:sz w:val="24"/>
              </w:rPr>
              <w:t>播放PPT时，实时切换到白板系统时，主控单元自动停止PPT播放，返回到主控单元时可重新开始播放；</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lang w:val="en-US" w:eastAsia="zh-CN"/>
              </w:rPr>
              <w:t>⑩、</w:t>
            </w:r>
            <w:r>
              <w:rPr>
                <w:rFonts w:hint="eastAsia"/>
                <w:snapToGrid w:val="0"/>
                <w:sz w:val="24"/>
              </w:rPr>
              <w:t>兼容通用接口，输出接口：HDMI、VGA、DVI、AUDIO；</w:t>
            </w:r>
            <w:r>
              <w:rPr>
                <w:rFonts w:hint="eastAsia" w:ascii="微软雅黑" w:hAnsi="微软雅黑" w:eastAsia="微软雅黑" w:cs="微软雅黑"/>
                <w:snapToGrid w:val="0"/>
                <w:sz w:val="24"/>
              </w:rPr>
              <w:t>⑪</w:t>
            </w:r>
            <w:r>
              <w:rPr>
                <w:rFonts w:hint="eastAsia" w:eastAsia="微软雅黑"/>
                <w:snapToGrid w:val="0"/>
                <w:sz w:val="24"/>
                <w:lang w:eastAsia="zh-CN"/>
              </w:rPr>
              <w:t>、</w:t>
            </w:r>
            <w:r>
              <w:rPr>
                <w:rFonts w:hint="eastAsia"/>
                <w:snapToGrid w:val="0"/>
                <w:sz w:val="24"/>
              </w:rPr>
              <w:t>系统支持选用双网络配置，能够与用户现有机房网络服务器无缝衔接；</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ascii="微软雅黑" w:hAnsi="微软雅黑" w:eastAsia="微软雅黑" w:cs="微软雅黑"/>
                <w:snapToGrid w:val="0"/>
                <w:sz w:val="24"/>
              </w:rPr>
              <w:t>⑫</w:t>
            </w:r>
            <w:r>
              <w:rPr>
                <w:rFonts w:hint="eastAsia" w:eastAsia="微软雅黑"/>
                <w:snapToGrid w:val="0"/>
                <w:sz w:val="24"/>
                <w:lang w:eastAsia="zh-CN"/>
              </w:rPr>
              <w:t>、</w:t>
            </w:r>
            <w:r>
              <w:rPr>
                <w:rFonts w:hint="eastAsia"/>
                <w:snapToGrid w:val="0"/>
                <w:sz w:val="24"/>
              </w:rPr>
              <w:t>系统选用企业级无线通讯平台、高速稳定交换数据。</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1</w:t>
            </w:r>
            <w:r>
              <w:rPr>
                <w:rFonts w:hint="eastAsia"/>
                <w:snapToGrid w:val="0"/>
                <w:sz w:val="24"/>
                <w:lang w:val="en-US" w:eastAsia="zh-CN"/>
              </w:rPr>
              <w:t>2</w:t>
            </w:r>
            <w:r>
              <w:rPr>
                <w:rFonts w:hint="eastAsia"/>
                <w:snapToGrid w:val="0"/>
                <w:sz w:val="24"/>
              </w:rPr>
              <w:t>、辅助功能：一键截屏，图片资源管理、视频转换、文件编辑等；</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1</w:t>
            </w:r>
            <w:r>
              <w:rPr>
                <w:rFonts w:hint="eastAsia"/>
                <w:snapToGrid w:val="0"/>
                <w:sz w:val="24"/>
                <w:lang w:val="en-US" w:eastAsia="zh-CN"/>
              </w:rPr>
              <w:t>3</w:t>
            </w:r>
            <w:r>
              <w:rPr>
                <w:rFonts w:hint="eastAsia"/>
                <w:snapToGrid w:val="0"/>
                <w:sz w:val="24"/>
              </w:rPr>
              <w:t>、操控单元</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lang w:val="en-US" w:eastAsia="zh-CN"/>
              </w:rPr>
              <w:t>①、</w:t>
            </w:r>
            <w:r>
              <w:rPr>
                <w:rFonts w:hint="eastAsia"/>
                <w:snapToGrid w:val="0"/>
                <w:sz w:val="24"/>
              </w:rPr>
              <w:t>终端功能要求自定义终端通讯名称，通讯屏显分辨率设置，同步文件分类、转存；</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lang w:val="en-US" w:eastAsia="zh-CN"/>
              </w:rPr>
              <w:t>②、</w:t>
            </w:r>
            <w:r>
              <w:rPr>
                <w:rFonts w:hint="eastAsia"/>
                <w:snapToGrid w:val="0"/>
                <w:sz w:val="24"/>
              </w:rPr>
              <w:t>终端实时视频画面能够通过主控单元实时外接大屏展示；</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lang w:val="en-US" w:eastAsia="zh-CN"/>
              </w:rPr>
              <w:t>③、</w:t>
            </w:r>
            <w:r>
              <w:rPr>
                <w:rFonts w:hint="eastAsia"/>
                <w:snapToGrid w:val="0"/>
                <w:sz w:val="24"/>
              </w:rPr>
              <w:t>终端能够远控主控画面，对主控画面进行实时操作，包括软件操作、文档处理、技术设定等；</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lang w:val="en-US" w:eastAsia="zh-CN"/>
              </w:rPr>
              <w:t>④、</w:t>
            </w:r>
            <w:r>
              <w:rPr>
                <w:rFonts w:hint="eastAsia"/>
                <w:snapToGrid w:val="0"/>
                <w:sz w:val="24"/>
              </w:rPr>
              <w:t>能够实现电子白板常用图形素材，文字输入、复制粘贴功能；</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lang w:val="en-US" w:eastAsia="zh-CN"/>
              </w:rPr>
              <w:t>⑤、</w:t>
            </w:r>
            <w:r>
              <w:rPr>
                <w:rFonts w:hint="eastAsia"/>
                <w:snapToGrid w:val="0"/>
                <w:sz w:val="24"/>
              </w:rPr>
              <w:t>现场画面即时采集、显示、同步存储；移动终端素材调用、显示、同步存储；</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lang w:val="en-US" w:eastAsia="zh-CN"/>
              </w:rPr>
              <w:t>⑥、</w:t>
            </w:r>
            <w:r>
              <w:rPr>
                <w:rFonts w:hint="eastAsia"/>
                <w:snapToGrid w:val="0"/>
                <w:sz w:val="24"/>
              </w:rPr>
              <w:t>与主控单元即时高速切换，反应时间0.1-0.5秒；</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lang w:val="en-US" w:eastAsia="zh-CN"/>
              </w:rPr>
              <w:t>⑦、</w:t>
            </w:r>
            <w:r>
              <w:rPr>
                <w:rFonts w:hint="eastAsia"/>
                <w:snapToGrid w:val="0"/>
                <w:sz w:val="24"/>
              </w:rPr>
              <w:t>支持同步多屏显示移动终端软件内容，书写笔色可任意自定义颜色，支持色板取色；</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lang w:val="en-US" w:eastAsia="zh-CN"/>
              </w:rPr>
              <w:t>⑧、</w:t>
            </w:r>
            <w:r>
              <w:rPr>
                <w:rFonts w:hint="eastAsia"/>
                <w:snapToGrid w:val="0"/>
                <w:sz w:val="24"/>
              </w:rPr>
              <w:t>白板背景色可任意自定义颜色，支持色板取色；</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lang w:val="en-US" w:eastAsia="zh-CN"/>
              </w:rPr>
              <w:t>⑨、</w:t>
            </w:r>
            <w:r>
              <w:rPr>
                <w:rFonts w:hint="eastAsia"/>
                <w:snapToGrid w:val="0"/>
                <w:sz w:val="24"/>
              </w:rPr>
              <w:t>移动控制终端实时接收、操作；</w:t>
            </w:r>
          </w:p>
          <w:p>
            <w:pPr>
              <w:tabs>
                <w:tab w:val="left" w:pos="5880"/>
              </w:tabs>
              <w:overflowPunct w:val="0"/>
              <w:spacing w:line="360" w:lineRule="auto"/>
              <w:ind w:left="191" w:leftChars="91" w:right="99" w:rightChars="47"/>
              <w:jc w:val="left"/>
              <w:textAlignment w:val="center"/>
              <w:rPr>
                <w:rFonts w:hint="eastAsia"/>
                <w:snapToGrid w:val="0"/>
                <w:sz w:val="24"/>
                <w:lang w:eastAsia="zh-CN"/>
              </w:rPr>
            </w:pPr>
            <w:r>
              <w:rPr>
                <w:rFonts w:hint="eastAsia"/>
                <w:snapToGrid w:val="0"/>
                <w:sz w:val="24"/>
                <w:lang w:val="en-US" w:eastAsia="zh-CN"/>
              </w:rPr>
              <w:t>⑩、</w:t>
            </w:r>
            <w:r>
              <w:rPr>
                <w:rFonts w:hint="eastAsia"/>
                <w:snapToGrid w:val="0"/>
                <w:sz w:val="24"/>
              </w:rPr>
              <w:t>系统在运行过程中起到接收数据功能，与传输系统紧密结合高效的完成接收功能</w:t>
            </w:r>
            <w:r>
              <w:rPr>
                <w:rFonts w:hint="eastAsia"/>
                <w:snapToGrid w:val="0"/>
                <w:sz w:val="24"/>
                <w:lang w:eastAsia="zh-CN"/>
              </w:rPr>
              <w:t>；</w:t>
            </w:r>
          </w:p>
          <w:p>
            <w:pPr>
              <w:tabs>
                <w:tab w:val="left" w:pos="5880"/>
              </w:tabs>
              <w:overflowPunct w:val="0"/>
              <w:spacing w:line="360" w:lineRule="auto"/>
              <w:ind w:left="191" w:leftChars="91" w:right="99" w:rightChars="47"/>
              <w:jc w:val="left"/>
              <w:textAlignment w:val="center"/>
              <w:rPr>
                <w:rFonts w:hint="eastAsia" w:eastAsia="宋体"/>
                <w:snapToGrid w:val="0"/>
                <w:sz w:val="24"/>
                <w:lang w:eastAsia="zh-CN"/>
              </w:rPr>
            </w:pPr>
            <w:r>
              <w:rPr>
                <w:rFonts w:hint="eastAsia" w:ascii="微软雅黑" w:hAnsi="微软雅黑" w:eastAsia="微软雅黑" w:cs="微软雅黑"/>
                <w:snapToGrid w:val="0"/>
                <w:sz w:val="24"/>
              </w:rPr>
              <w:t>⑪</w:t>
            </w:r>
            <w:r>
              <w:rPr>
                <w:rFonts w:hint="eastAsia"/>
                <w:snapToGrid w:val="0"/>
                <w:sz w:val="24"/>
                <w:lang w:eastAsia="zh-CN"/>
              </w:rPr>
              <w:t>、</w:t>
            </w:r>
            <w:r>
              <w:rPr>
                <w:rFonts w:hint="eastAsia"/>
                <w:snapToGrid w:val="0"/>
                <w:sz w:val="24"/>
              </w:rPr>
              <w:t>接收反应速度为：0.1-0.3秒内，与传输系统均为同步</w:t>
            </w:r>
            <w:r>
              <w:rPr>
                <w:rFonts w:hint="eastAsia"/>
                <w:snapToGrid w:val="0"/>
                <w:sz w:val="24"/>
                <w:lang w:eastAsia="zh-CN"/>
              </w:rPr>
              <w:t>；</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ascii="微软雅黑" w:hAnsi="微软雅黑" w:eastAsia="微软雅黑" w:cs="微软雅黑"/>
                <w:snapToGrid w:val="0"/>
                <w:sz w:val="24"/>
              </w:rPr>
              <w:t>⑫</w:t>
            </w:r>
            <w:r>
              <w:rPr>
                <w:rFonts w:hint="eastAsia" w:eastAsia="微软雅黑"/>
                <w:snapToGrid w:val="0"/>
                <w:sz w:val="24"/>
                <w:lang w:eastAsia="zh-CN"/>
              </w:rPr>
              <w:t>、</w:t>
            </w:r>
            <w:r>
              <w:rPr>
                <w:rFonts w:hint="eastAsia"/>
                <w:snapToGrid w:val="0"/>
                <w:sz w:val="24"/>
              </w:rPr>
              <w:t>单击全屏显示画面，单击全屏画面返回主菜单，无缝切换至录播主界面，主菜单四画面缩略预览，任意切换；切换反应时间0.1-0.2秒；</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ascii="微软雅黑" w:hAnsi="微软雅黑" w:eastAsia="微软雅黑" w:cs="微软雅黑"/>
                <w:snapToGrid w:val="0"/>
                <w:sz w:val="24"/>
              </w:rPr>
              <w:t>⑬</w:t>
            </w:r>
            <w:r>
              <w:rPr>
                <w:rFonts w:hint="eastAsia" w:eastAsia="微软雅黑"/>
                <w:snapToGrid w:val="0"/>
                <w:sz w:val="24"/>
                <w:lang w:eastAsia="zh-CN"/>
              </w:rPr>
              <w:t>、</w:t>
            </w:r>
            <w:r>
              <w:rPr>
                <w:rFonts w:hint="eastAsia"/>
                <w:snapToGrid w:val="0"/>
                <w:sz w:val="24"/>
              </w:rPr>
              <w:t>主菜单可直接调用录播系统录制、停止按钮，实现快速录播课件；</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ascii="微软雅黑" w:hAnsi="微软雅黑" w:eastAsia="微软雅黑" w:cs="微软雅黑"/>
                <w:snapToGrid w:val="0"/>
                <w:sz w:val="24"/>
              </w:rPr>
              <w:t>⑭</w:t>
            </w:r>
            <w:r>
              <w:rPr>
                <w:rFonts w:hint="eastAsia" w:eastAsia="微软雅黑"/>
                <w:snapToGrid w:val="0"/>
                <w:sz w:val="24"/>
                <w:lang w:eastAsia="zh-CN"/>
              </w:rPr>
              <w:t>、</w:t>
            </w:r>
            <w:r>
              <w:rPr>
                <w:rFonts w:hint="eastAsia"/>
                <w:snapToGrid w:val="0"/>
                <w:sz w:val="24"/>
              </w:rPr>
              <w:t>可自定义保存若干板书，任意调用板书；调用的板书内容及时上传到主控单元；</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ascii="微软雅黑" w:hAnsi="微软雅黑" w:eastAsia="微软雅黑" w:cs="微软雅黑"/>
                <w:snapToGrid w:val="0"/>
                <w:sz w:val="24"/>
              </w:rPr>
              <w:t>⑮</w:t>
            </w:r>
            <w:r>
              <w:rPr>
                <w:rFonts w:hint="eastAsia" w:eastAsia="微软雅黑"/>
                <w:snapToGrid w:val="0"/>
                <w:sz w:val="24"/>
                <w:lang w:eastAsia="zh-CN"/>
              </w:rPr>
              <w:t>、</w:t>
            </w:r>
            <w:r>
              <w:rPr>
                <w:rFonts w:hint="eastAsia"/>
                <w:snapToGrid w:val="0"/>
                <w:sz w:val="24"/>
              </w:rPr>
              <w:t>基于移动终端预览板书内容，及时调用至外部显示单元；</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ascii="微软雅黑" w:hAnsi="微软雅黑" w:eastAsia="微软雅黑" w:cs="微软雅黑"/>
                <w:snapToGrid w:val="0"/>
                <w:sz w:val="24"/>
              </w:rPr>
              <w:t>⑯</w:t>
            </w:r>
            <w:r>
              <w:rPr>
                <w:rFonts w:hint="eastAsia" w:eastAsia="微软雅黑"/>
                <w:snapToGrid w:val="0"/>
                <w:sz w:val="24"/>
                <w:lang w:eastAsia="zh-CN"/>
              </w:rPr>
              <w:t>、</w:t>
            </w:r>
            <w:r>
              <w:rPr>
                <w:rFonts w:hint="eastAsia"/>
                <w:snapToGrid w:val="0"/>
                <w:sz w:val="24"/>
              </w:rPr>
              <w:t>切换至主控单元后，白板现有内容可在主控单元调用显示；</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ascii="微软雅黑" w:hAnsi="微软雅黑" w:eastAsia="微软雅黑" w:cs="微软雅黑"/>
                <w:snapToGrid w:val="0"/>
                <w:sz w:val="24"/>
              </w:rPr>
              <w:t>⑰</w:t>
            </w:r>
            <w:r>
              <w:rPr>
                <w:rFonts w:hint="eastAsia" w:eastAsia="微软雅黑"/>
                <w:snapToGrid w:val="0"/>
                <w:sz w:val="24"/>
                <w:lang w:eastAsia="zh-CN"/>
              </w:rPr>
              <w:t>、</w:t>
            </w:r>
            <w:r>
              <w:rPr>
                <w:rFonts w:hint="eastAsia"/>
                <w:snapToGrid w:val="0"/>
                <w:sz w:val="24"/>
              </w:rPr>
              <w:t>主控单元主画面传输，实现高传输率，由移动控制终端即时操控，接收移动控制端画面；</w:t>
            </w:r>
          </w:p>
          <w:p>
            <w:pPr>
              <w:tabs>
                <w:tab w:val="left" w:pos="5880"/>
              </w:tabs>
              <w:overflowPunct w:val="0"/>
              <w:spacing w:line="360" w:lineRule="auto"/>
              <w:ind w:left="191" w:leftChars="91" w:right="99" w:rightChars="47"/>
              <w:jc w:val="left"/>
              <w:textAlignment w:val="center"/>
              <w:rPr>
                <w:rFonts w:hint="eastAsia"/>
                <w:snapToGrid w:val="0"/>
                <w:sz w:val="24"/>
                <w:lang w:eastAsia="zh-CN"/>
              </w:rPr>
            </w:pPr>
            <w:r>
              <w:rPr>
                <w:rFonts w:hint="eastAsia" w:ascii="微软雅黑" w:hAnsi="微软雅黑" w:eastAsia="微软雅黑" w:cs="微软雅黑"/>
                <w:snapToGrid w:val="0"/>
                <w:sz w:val="24"/>
              </w:rPr>
              <w:t>⑱</w:t>
            </w:r>
            <w:r>
              <w:rPr>
                <w:rFonts w:hint="eastAsia" w:eastAsia="微软雅黑"/>
                <w:snapToGrid w:val="0"/>
                <w:sz w:val="24"/>
                <w:lang w:eastAsia="zh-CN"/>
              </w:rPr>
              <w:t>、</w:t>
            </w:r>
            <w:r>
              <w:rPr>
                <w:rFonts w:hint="eastAsia"/>
                <w:snapToGrid w:val="0"/>
                <w:sz w:val="24"/>
              </w:rPr>
              <w:t>确保传输数据安全稳定；系统运行可实时传输数据功能，传输反应速度为：0.1-0.3秒内</w:t>
            </w:r>
            <w:r>
              <w:rPr>
                <w:rFonts w:hint="eastAsia"/>
                <w:snapToGrid w:val="0"/>
                <w:sz w:val="24"/>
                <w:lang w:eastAsia="zh-CN"/>
              </w:rPr>
              <w:t>。</w:t>
            </w:r>
          </w:p>
          <w:p>
            <w:pPr>
              <w:tabs>
                <w:tab w:val="left" w:pos="5880"/>
              </w:tabs>
              <w:overflowPunct w:val="0"/>
              <w:spacing w:line="360" w:lineRule="auto"/>
              <w:ind w:left="191" w:leftChars="91" w:right="99" w:rightChars="47"/>
              <w:jc w:val="left"/>
              <w:textAlignment w:val="center"/>
              <w:rPr>
                <w:rFonts w:hint="eastAsia"/>
                <w:snapToGrid w:val="0"/>
                <w:sz w:val="24"/>
                <w:lang w:eastAsia="zh-CN"/>
              </w:rPr>
            </w:pPr>
            <w:r>
              <w:rPr>
                <w:rFonts w:hint="eastAsia" w:ascii="微软雅黑" w:hAnsi="微软雅黑" w:eastAsia="微软雅黑" w:cs="微软雅黑"/>
                <w:snapToGrid w:val="0"/>
                <w:sz w:val="24"/>
              </w:rPr>
              <w:t>⑲</w:t>
            </w:r>
            <w:r>
              <w:rPr>
                <w:rFonts w:hint="eastAsia"/>
                <w:snapToGrid w:val="0"/>
                <w:sz w:val="24"/>
                <w:lang w:eastAsia="zh-CN"/>
              </w:rPr>
              <w:t>、</w:t>
            </w:r>
            <w:r>
              <w:rPr>
                <w:rFonts w:hint="eastAsia"/>
                <w:snapToGrid w:val="0"/>
                <w:sz w:val="24"/>
              </w:rPr>
              <w:t>意外断开连接后支持原画面内容再次重连</w:t>
            </w:r>
            <w:r>
              <w:rPr>
                <w:rFonts w:hint="eastAsia"/>
                <w:snapToGrid w:val="0"/>
                <w:sz w:val="24"/>
                <w:lang w:eastAsia="zh-CN"/>
              </w:rPr>
              <w:t>；</w:t>
            </w:r>
          </w:p>
          <w:p>
            <w:pPr>
              <w:tabs>
                <w:tab w:val="left" w:pos="5880"/>
              </w:tabs>
              <w:overflowPunct w:val="0"/>
              <w:spacing w:line="360" w:lineRule="auto"/>
              <w:ind w:left="191" w:leftChars="91" w:right="99" w:rightChars="47"/>
              <w:jc w:val="left"/>
              <w:textAlignment w:val="center"/>
              <w:rPr>
                <w:rFonts w:hint="eastAsia" w:eastAsia="宋体"/>
                <w:snapToGrid w:val="0"/>
                <w:sz w:val="24"/>
                <w:lang w:eastAsia="zh-CN"/>
              </w:rPr>
            </w:pPr>
            <w:r>
              <w:rPr>
                <w:rFonts w:hint="eastAsia" w:ascii="微软雅黑" w:hAnsi="微软雅黑" w:eastAsia="微软雅黑" w:cs="微软雅黑"/>
                <w:snapToGrid w:val="0"/>
                <w:sz w:val="24"/>
              </w:rPr>
              <w:t>⑳</w:t>
            </w:r>
            <w:r>
              <w:rPr>
                <w:rFonts w:hint="eastAsia"/>
                <w:snapToGrid w:val="0"/>
                <w:sz w:val="24"/>
                <w:lang w:eastAsia="zh-CN"/>
              </w:rPr>
              <w:t>、</w:t>
            </w:r>
            <w:r>
              <w:rPr>
                <w:rFonts w:hint="eastAsia"/>
                <w:snapToGrid w:val="0"/>
                <w:sz w:val="24"/>
              </w:rPr>
              <w:t>基于移动终端专用采集模块实时图像采集，外部显示设备实时显示；实现现场随机采集、及时传输</w:t>
            </w:r>
            <w:r>
              <w:rPr>
                <w:rFonts w:hint="eastAsia"/>
                <w:snapToGrid w:val="0"/>
                <w:sz w:val="24"/>
                <w:lang w:eastAsia="zh-CN"/>
              </w:rPr>
              <w:t>。</w:t>
            </w:r>
          </w:p>
        </w:tc>
        <w:tc>
          <w:tcPr>
            <w:tcW w:w="1091" w:type="dxa"/>
            <w:tcBorders>
              <w:top w:val="single" w:color="000000" w:sz="2" w:space="0"/>
              <w:left w:val="single" w:color="auto" w:sz="4" w:space="0"/>
              <w:bottom w:val="single" w:color="000000" w:sz="2" w:space="0"/>
              <w:right w:val="single" w:color="000000" w:sz="2" w:space="0"/>
            </w:tcBorders>
            <w:noWrap w:val="0"/>
            <w:vAlign w:val="center"/>
          </w:tcPr>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4台</w:t>
            </w:r>
          </w:p>
        </w:tc>
      </w:tr>
      <w:tr>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jc w:val="center"/>
        </w:trPr>
        <w:tc>
          <w:tcPr>
            <w:tcW w:w="616" w:type="dxa"/>
            <w:tcBorders>
              <w:top w:val="single" w:color="000000" w:sz="2" w:space="0"/>
              <w:left w:val="single" w:color="000000" w:sz="8" w:space="0"/>
              <w:bottom w:val="single" w:color="000000" w:sz="2" w:space="0"/>
              <w:right w:val="single" w:color="000000" w:sz="2" w:space="0"/>
            </w:tcBorders>
            <w:noWrap w:val="0"/>
            <w:vAlign w:val="center"/>
          </w:tcPr>
          <w:p>
            <w:pPr>
              <w:spacing w:line="360" w:lineRule="auto"/>
              <w:jc w:val="center"/>
              <w:rPr>
                <w:rFonts w:hint="eastAsia" w:ascii="宋体" w:hAnsi="宋体" w:eastAsia="宋体" w:cs="宋体"/>
                <w:snapToGrid w:val="0"/>
                <w:color w:val="000000"/>
                <w:kern w:val="28"/>
                <w:sz w:val="24"/>
                <w:lang w:eastAsia="zh-CN"/>
              </w:rPr>
            </w:pPr>
            <w:r>
              <w:rPr>
                <w:rFonts w:hint="eastAsia" w:ascii="宋体" w:hAnsi="宋体" w:cs="宋体"/>
                <w:snapToGrid w:val="0"/>
                <w:color w:val="000000"/>
                <w:kern w:val="28"/>
                <w:sz w:val="24"/>
                <w:lang w:val="en-US" w:eastAsia="zh-CN"/>
              </w:rPr>
              <w:t>4</w:t>
            </w:r>
          </w:p>
        </w:tc>
        <w:tc>
          <w:tcPr>
            <w:tcW w:w="1155" w:type="dxa"/>
            <w:tcBorders>
              <w:top w:val="single" w:color="000000" w:sz="2" w:space="0"/>
              <w:left w:val="single" w:color="000000" w:sz="2" w:space="0"/>
              <w:bottom w:val="single" w:color="000000" w:sz="2" w:space="0"/>
              <w:right w:val="single" w:color="000000" w:sz="2" w:space="0"/>
            </w:tcBorders>
            <w:noWrap w:val="0"/>
            <w:vAlign w:val="center"/>
          </w:tcPr>
          <w:p>
            <w:pPr>
              <w:spacing w:line="360" w:lineRule="auto"/>
              <w:jc w:val="center"/>
              <w:rPr>
                <w:rFonts w:ascii="宋体" w:hAnsi="宋体" w:cs="宋体"/>
                <w:snapToGrid w:val="0"/>
                <w:color w:val="000000"/>
                <w:kern w:val="28"/>
                <w:sz w:val="24"/>
              </w:rPr>
            </w:pPr>
          </w:p>
          <w:p>
            <w:pPr>
              <w:spacing w:line="360" w:lineRule="auto"/>
              <w:jc w:val="center"/>
              <w:rPr>
                <w:rFonts w:ascii="宋体" w:hAnsi="宋体" w:cs="宋体"/>
                <w:snapToGrid w:val="0"/>
                <w:color w:val="000000"/>
                <w:kern w:val="28"/>
                <w:sz w:val="24"/>
              </w:rPr>
            </w:pPr>
          </w:p>
          <w:p>
            <w:pPr>
              <w:spacing w:line="360" w:lineRule="auto"/>
              <w:jc w:val="center"/>
              <w:rPr>
                <w:rFonts w:ascii="宋体" w:hAnsi="宋体" w:cs="宋体"/>
                <w:snapToGrid w:val="0"/>
                <w:color w:val="000000"/>
                <w:kern w:val="28"/>
                <w:sz w:val="24"/>
              </w:rPr>
            </w:pPr>
          </w:p>
          <w:p>
            <w:pPr>
              <w:spacing w:line="360" w:lineRule="auto"/>
              <w:jc w:val="center"/>
              <w:rPr>
                <w:rFonts w:ascii="宋体" w:hAnsi="宋体" w:cs="宋体"/>
                <w:snapToGrid w:val="0"/>
                <w:color w:val="000000"/>
                <w:kern w:val="28"/>
                <w:sz w:val="24"/>
              </w:rPr>
            </w:pPr>
          </w:p>
          <w:p>
            <w:pPr>
              <w:spacing w:line="360" w:lineRule="auto"/>
              <w:jc w:val="center"/>
              <w:rPr>
                <w:rFonts w:ascii="宋体" w:hAnsi="宋体" w:cs="宋体"/>
                <w:snapToGrid w:val="0"/>
                <w:color w:val="000000"/>
                <w:kern w:val="28"/>
                <w:sz w:val="24"/>
              </w:rPr>
            </w:pPr>
          </w:p>
          <w:p>
            <w:pPr>
              <w:spacing w:line="360" w:lineRule="auto"/>
              <w:jc w:val="center"/>
              <w:rPr>
                <w:rFonts w:ascii="宋体" w:hAnsi="宋体" w:cs="宋体"/>
                <w:snapToGrid w:val="0"/>
                <w:color w:val="000000"/>
                <w:kern w:val="28"/>
                <w:sz w:val="24"/>
              </w:rPr>
            </w:pPr>
          </w:p>
          <w:p>
            <w:pPr>
              <w:spacing w:line="360" w:lineRule="auto"/>
              <w:jc w:val="center"/>
              <w:rPr>
                <w:rFonts w:ascii="宋体" w:hAnsi="宋体" w:cs="宋体"/>
                <w:snapToGrid w:val="0"/>
                <w:color w:val="000000"/>
                <w:kern w:val="28"/>
                <w:sz w:val="24"/>
              </w:rPr>
            </w:pPr>
          </w:p>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视频拼接器</w:t>
            </w:r>
          </w:p>
        </w:tc>
        <w:tc>
          <w:tcPr>
            <w:tcW w:w="6220" w:type="dxa"/>
            <w:gridSpan w:val="2"/>
            <w:tcBorders>
              <w:top w:val="single" w:color="000000" w:sz="2" w:space="0"/>
              <w:left w:val="single" w:color="000000" w:sz="2" w:space="0"/>
              <w:bottom w:val="single" w:color="000000" w:sz="2" w:space="0"/>
              <w:right w:val="single" w:color="auto" w:sz="4" w:space="0"/>
            </w:tcBorders>
            <w:noWrap w:val="0"/>
            <w:vAlign w:val="center"/>
          </w:tcPr>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1、设备采用9U金属结构机箱，外壳防护等级IP1.80。</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2、采用模块化插卡式设计，输入、输出、电源、风扇等均为插卡式设计，可实现型号类型选配。</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3、内部视频数据传输采用矩阵总线交换技术，输入和输出总线最大带宽1040 Gbps，单张输入板卡视频总线传输带宽4 x 6.5 Gbps，单张输出板卡视频总线传输带宽16 x 6.5 Gbps。</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4、设备前面板内置7英寸触摸屏，可通过触摸屏进行监测状态查看、参数设置、固件升级、文件备份、预监回显查看等操作。</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5、支持设备端实时查看监控设备运行参数与状态信息，包括设备名称、设备SN、设备接口连接状态、运行状态（温度、电压、风扇）、IP地址、固件版本、公司信息、当前屏幕内容的实时预监回显</w:t>
            </w:r>
            <w:r>
              <w:rPr>
                <w:rFonts w:hint="eastAsia"/>
                <w:b/>
                <w:bCs/>
                <w:snapToGrid w:val="0"/>
                <w:sz w:val="24"/>
                <w:lang w:eastAsia="zh-CN"/>
              </w:rPr>
              <w:t>（</w:t>
            </w:r>
            <w:r>
              <w:rPr>
                <w:rFonts w:hint="eastAsia"/>
                <w:b/>
                <w:bCs/>
                <w:snapToGrid w:val="0"/>
                <w:sz w:val="24"/>
              </w:rPr>
              <w:t>提供</w:t>
            </w:r>
            <w:r>
              <w:rPr>
                <w:rFonts w:hint="eastAsia"/>
                <w:b/>
                <w:bCs/>
                <w:snapToGrid w:val="0"/>
                <w:sz w:val="24"/>
                <w:lang w:val="en-US" w:eastAsia="zh-CN"/>
              </w:rPr>
              <w:t>第三方</w:t>
            </w:r>
            <w:r>
              <w:rPr>
                <w:rFonts w:hint="eastAsia"/>
                <w:b/>
                <w:bCs/>
                <w:snapToGrid w:val="0"/>
                <w:sz w:val="24"/>
              </w:rPr>
              <w:t>权威</w:t>
            </w:r>
            <w:r>
              <w:rPr>
                <w:rFonts w:hint="eastAsia"/>
                <w:b/>
                <w:bCs/>
                <w:snapToGrid w:val="0"/>
                <w:sz w:val="24"/>
                <w:lang w:val="en-US" w:eastAsia="zh-CN"/>
              </w:rPr>
              <w:t>机构出具的</w:t>
            </w:r>
            <w:r>
              <w:rPr>
                <w:rFonts w:hint="eastAsia"/>
                <w:b/>
                <w:bCs/>
                <w:snapToGrid w:val="0"/>
                <w:sz w:val="24"/>
              </w:rPr>
              <w:t>检测报告</w:t>
            </w:r>
            <w:r>
              <w:rPr>
                <w:rFonts w:hint="eastAsia"/>
                <w:b/>
                <w:bCs/>
                <w:snapToGrid w:val="0"/>
                <w:sz w:val="24"/>
                <w:lang w:eastAsia="zh-CN"/>
              </w:rPr>
              <w:t>）</w:t>
            </w:r>
            <w:r>
              <w:rPr>
                <w:rFonts w:hint="eastAsia"/>
                <w:snapToGrid w:val="0"/>
                <w:sz w:val="24"/>
              </w:rPr>
              <w:t>。</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6、采用左进右出的强制风冷循环模式，在环境温度45℃下，可保证设备长期稳定运转。</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7、支持输入板卡、输出板卡、预监板卡的热插拔功能，设备无需关机重启和设置，更换板卡后快速恢复之前图层数据，保证画面正常播放，可实现板卡灵活更换，维护便捷。</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8、设备最大支持40路HDMI、DVI输入和80路网口输出或60路HDMI、DVI输入和20路HDMI、DVI输出；</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单台设备支持14张输入卡、5张输出卡，支持视频接口输出卡和二合一网口输出卡同时输出</w:t>
            </w:r>
            <w:r>
              <w:rPr>
                <w:rFonts w:hint="eastAsia"/>
                <w:b/>
                <w:bCs/>
                <w:snapToGrid w:val="0"/>
                <w:sz w:val="24"/>
                <w:lang w:eastAsia="zh-CN"/>
              </w:rPr>
              <w:t>（</w:t>
            </w:r>
            <w:r>
              <w:rPr>
                <w:rFonts w:hint="eastAsia"/>
                <w:b/>
                <w:bCs/>
                <w:snapToGrid w:val="0"/>
                <w:sz w:val="24"/>
              </w:rPr>
              <w:t>提供</w:t>
            </w:r>
            <w:r>
              <w:rPr>
                <w:rFonts w:hint="eastAsia"/>
                <w:b/>
                <w:bCs/>
                <w:snapToGrid w:val="0"/>
                <w:sz w:val="24"/>
                <w:lang w:val="en-US" w:eastAsia="zh-CN"/>
              </w:rPr>
              <w:t>第三方</w:t>
            </w:r>
            <w:r>
              <w:rPr>
                <w:rFonts w:hint="eastAsia"/>
                <w:b/>
                <w:bCs/>
                <w:snapToGrid w:val="0"/>
                <w:sz w:val="24"/>
              </w:rPr>
              <w:t>权威</w:t>
            </w:r>
            <w:r>
              <w:rPr>
                <w:rFonts w:hint="eastAsia"/>
                <w:b/>
                <w:bCs/>
                <w:snapToGrid w:val="0"/>
                <w:sz w:val="24"/>
                <w:lang w:val="en-US" w:eastAsia="zh-CN"/>
              </w:rPr>
              <w:t>机构出具的</w:t>
            </w:r>
            <w:r>
              <w:rPr>
                <w:rFonts w:hint="eastAsia"/>
                <w:b/>
                <w:bCs/>
                <w:snapToGrid w:val="0"/>
                <w:sz w:val="24"/>
              </w:rPr>
              <w:t>检测报告</w:t>
            </w:r>
            <w:r>
              <w:rPr>
                <w:rFonts w:hint="eastAsia"/>
                <w:b/>
                <w:bCs/>
                <w:snapToGrid w:val="0"/>
                <w:sz w:val="24"/>
                <w:lang w:eastAsia="zh-CN"/>
              </w:rPr>
              <w:t>）；</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9、支持灵活扩展输入板卡数量，无需修改或升级固件，可智能识别槽位上插入的板卡类型，并智能完成相应的参数配置，无需用户手动介入。</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10、设备输入板卡支持输入输出组合的母子卡结构，支持HDMI/DVI/VGA/CVBS两接口任意组合</w:t>
            </w:r>
            <w:r>
              <w:rPr>
                <w:rFonts w:hint="eastAsia"/>
                <w:b/>
                <w:bCs/>
                <w:snapToGrid w:val="0"/>
                <w:sz w:val="24"/>
                <w:lang w:eastAsia="zh-CN"/>
              </w:rPr>
              <w:t>（</w:t>
            </w:r>
            <w:r>
              <w:rPr>
                <w:rFonts w:hint="eastAsia"/>
                <w:b/>
                <w:bCs/>
                <w:snapToGrid w:val="0"/>
                <w:sz w:val="24"/>
              </w:rPr>
              <w:t>提供</w:t>
            </w:r>
            <w:r>
              <w:rPr>
                <w:rFonts w:hint="eastAsia"/>
                <w:b/>
                <w:bCs/>
                <w:snapToGrid w:val="0"/>
                <w:sz w:val="24"/>
                <w:lang w:val="en-US" w:eastAsia="zh-CN"/>
              </w:rPr>
              <w:t>第三方</w:t>
            </w:r>
            <w:r>
              <w:rPr>
                <w:rFonts w:hint="eastAsia"/>
                <w:b/>
                <w:bCs/>
                <w:snapToGrid w:val="0"/>
                <w:sz w:val="24"/>
              </w:rPr>
              <w:t>权威</w:t>
            </w:r>
            <w:r>
              <w:rPr>
                <w:rFonts w:hint="eastAsia"/>
                <w:b/>
                <w:bCs/>
                <w:snapToGrid w:val="0"/>
                <w:sz w:val="24"/>
                <w:lang w:val="en-US" w:eastAsia="zh-CN"/>
              </w:rPr>
              <w:t>机构出具的</w:t>
            </w:r>
            <w:r>
              <w:rPr>
                <w:rFonts w:hint="eastAsia"/>
                <w:b/>
                <w:bCs/>
                <w:snapToGrid w:val="0"/>
                <w:sz w:val="24"/>
              </w:rPr>
              <w:t>检测报告</w:t>
            </w:r>
            <w:r>
              <w:rPr>
                <w:rFonts w:hint="eastAsia"/>
                <w:b/>
                <w:bCs/>
                <w:snapToGrid w:val="0"/>
                <w:sz w:val="24"/>
                <w:lang w:eastAsia="zh-CN"/>
              </w:rPr>
              <w:t>）</w:t>
            </w:r>
            <w:r>
              <w:rPr>
                <w:rFonts w:hint="eastAsia"/>
                <w:snapToGrid w:val="0"/>
                <w:sz w:val="24"/>
              </w:rPr>
              <w:t>；</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11、单个16网口二合一输出卡最大输出视频分辨率为10240 x 1016或1016 x 10240，整卡带载最高可达1040万像素点。单个20网口二合一输出卡最大输出视频分辨率为10752 x 1220或1220 x 10752,带载宽度和高度最大可达10752，输出帧频为60Hz时，最大可实现1300万像素点带载</w:t>
            </w:r>
            <w:r>
              <w:rPr>
                <w:rFonts w:hint="eastAsia"/>
                <w:b/>
                <w:bCs/>
                <w:snapToGrid w:val="0"/>
                <w:sz w:val="24"/>
                <w:lang w:eastAsia="zh-CN"/>
              </w:rPr>
              <w:t>（</w:t>
            </w:r>
            <w:r>
              <w:rPr>
                <w:rFonts w:hint="eastAsia"/>
                <w:b/>
                <w:bCs/>
                <w:snapToGrid w:val="0"/>
                <w:sz w:val="24"/>
              </w:rPr>
              <w:t>提供</w:t>
            </w:r>
            <w:r>
              <w:rPr>
                <w:rFonts w:hint="eastAsia"/>
                <w:b/>
                <w:bCs/>
                <w:snapToGrid w:val="0"/>
                <w:sz w:val="24"/>
                <w:lang w:val="en-US" w:eastAsia="zh-CN"/>
              </w:rPr>
              <w:t>第三方</w:t>
            </w:r>
            <w:r>
              <w:rPr>
                <w:rFonts w:hint="eastAsia"/>
                <w:b/>
                <w:bCs/>
                <w:snapToGrid w:val="0"/>
                <w:sz w:val="24"/>
              </w:rPr>
              <w:t>权威</w:t>
            </w:r>
            <w:r>
              <w:rPr>
                <w:rFonts w:hint="eastAsia"/>
                <w:b/>
                <w:bCs/>
                <w:snapToGrid w:val="0"/>
                <w:sz w:val="24"/>
                <w:lang w:val="en-US" w:eastAsia="zh-CN"/>
              </w:rPr>
              <w:t>机构出具的</w:t>
            </w:r>
            <w:r>
              <w:rPr>
                <w:rFonts w:hint="eastAsia"/>
                <w:b/>
                <w:bCs/>
                <w:snapToGrid w:val="0"/>
                <w:sz w:val="24"/>
              </w:rPr>
              <w:t>检测报告</w:t>
            </w:r>
            <w:r>
              <w:rPr>
                <w:rFonts w:hint="eastAsia"/>
                <w:b/>
                <w:bCs/>
                <w:snapToGrid w:val="0"/>
                <w:sz w:val="24"/>
                <w:lang w:eastAsia="zh-CN"/>
              </w:rPr>
              <w:t>）</w:t>
            </w:r>
            <w:r>
              <w:rPr>
                <w:rFonts w:hint="eastAsia"/>
                <w:snapToGrid w:val="0"/>
                <w:sz w:val="24"/>
              </w:rPr>
              <w:t>。</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12、DVI和HDMI输出卡2K视频输出接口输出视频宽度或高度最大支持2560像素，单张DVI和HDMI输出卡支持最大分辨率为10240x972@60Hz或884x10240@60Hz。</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支持在任一视频输出显示画面上叠加显示多个不同视频输入信号的显示窗口，单个输出板卡支持16个窗口叠加显示，支持窗口图像漫游、无极缩放、画面截取、翻转、冻结。</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13、每个拼接屏幕支持1个BKG（背景图）叠加显示，BKG不占用图层资源，支持重命名设置，可实现自动全屏缩放，宽度和高度可同时设置到15360，BKG尺寸支持设置为15360x4096点对点显示。</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14、每个拼接屏幕支持1个OSD叠加显示，OSD可为文字，尺寸最大为19200x3240。可对OSD进行字体间距、内置标准颜色模板、位置、透明度、运动特效的参数进行设置，支持任意比例的矢量缩放。</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15、屏幕画质调节支持4种调节模式：标准模式、文档模式、会议模式、视频模式，每种模式下均支持护眼模式开关设置，护眼模式关闭时，可对亮度、对比度、饱和度、色调、色温、Gamma进行自定义调节。</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16、支持设置2000个用户场景，场景可以设置为图片或视频，场景切换支持淡入淡出、直切效果，场景调取响应时间不大于60ms，支持多场景分组和场景一键轮巡，场景切换特效支持淡入淡出、直切</w:t>
            </w:r>
            <w:r>
              <w:rPr>
                <w:rFonts w:hint="eastAsia"/>
                <w:b/>
                <w:bCs/>
                <w:snapToGrid w:val="0"/>
                <w:sz w:val="24"/>
                <w:lang w:eastAsia="zh-CN"/>
              </w:rPr>
              <w:t>（</w:t>
            </w:r>
            <w:r>
              <w:rPr>
                <w:rFonts w:hint="eastAsia"/>
                <w:b/>
                <w:bCs/>
                <w:snapToGrid w:val="0"/>
                <w:sz w:val="24"/>
              </w:rPr>
              <w:t>提供</w:t>
            </w:r>
            <w:r>
              <w:rPr>
                <w:rFonts w:hint="eastAsia"/>
                <w:b/>
                <w:bCs/>
                <w:snapToGrid w:val="0"/>
                <w:sz w:val="24"/>
                <w:lang w:val="en-US" w:eastAsia="zh-CN"/>
              </w:rPr>
              <w:t>第三方</w:t>
            </w:r>
            <w:r>
              <w:rPr>
                <w:rFonts w:hint="eastAsia"/>
                <w:b/>
                <w:bCs/>
                <w:snapToGrid w:val="0"/>
                <w:sz w:val="24"/>
              </w:rPr>
              <w:t>权威</w:t>
            </w:r>
            <w:r>
              <w:rPr>
                <w:rFonts w:hint="eastAsia"/>
                <w:b/>
                <w:bCs/>
                <w:snapToGrid w:val="0"/>
                <w:sz w:val="24"/>
                <w:lang w:val="en-US" w:eastAsia="zh-CN"/>
              </w:rPr>
              <w:t>机构出具的</w:t>
            </w:r>
            <w:r>
              <w:rPr>
                <w:rFonts w:hint="eastAsia"/>
                <w:b/>
                <w:bCs/>
                <w:snapToGrid w:val="0"/>
                <w:sz w:val="24"/>
              </w:rPr>
              <w:t>检测报告</w:t>
            </w:r>
            <w:r>
              <w:rPr>
                <w:rFonts w:hint="eastAsia"/>
                <w:b/>
                <w:bCs/>
                <w:snapToGrid w:val="0"/>
                <w:sz w:val="24"/>
                <w:lang w:eastAsia="zh-CN"/>
              </w:rPr>
              <w:t>）</w:t>
            </w:r>
            <w:r>
              <w:rPr>
                <w:rFonts w:hint="eastAsia"/>
                <w:snapToGrid w:val="0"/>
                <w:sz w:val="24"/>
              </w:rPr>
              <w:t>。</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17、支持输入、输出分辨率自定义设置，可保存为EDID模板，并可导入导出，多种分辨率设置模式可选，包括：预设分辨率、自定义分辨率、EDID模板，自定义分辨率最大支持8Kx1K；支持高级时序设置。</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18、内嵌B/S拼接器配置软件，支持windows、麒麟（Kylin）、IOS、Android、Linx操作系统访问设备及交互操作</w:t>
            </w:r>
            <w:r>
              <w:rPr>
                <w:rFonts w:hint="eastAsia"/>
                <w:b/>
                <w:bCs/>
                <w:snapToGrid w:val="0"/>
                <w:sz w:val="24"/>
                <w:lang w:eastAsia="zh-CN"/>
              </w:rPr>
              <w:t>（</w:t>
            </w:r>
            <w:r>
              <w:rPr>
                <w:rFonts w:hint="eastAsia"/>
                <w:b/>
                <w:bCs/>
                <w:snapToGrid w:val="0"/>
                <w:sz w:val="24"/>
              </w:rPr>
              <w:t>提供</w:t>
            </w:r>
            <w:r>
              <w:rPr>
                <w:rFonts w:hint="eastAsia"/>
                <w:b/>
                <w:bCs/>
                <w:snapToGrid w:val="0"/>
                <w:sz w:val="24"/>
                <w:lang w:val="en-US" w:eastAsia="zh-CN"/>
              </w:rPr>
              <w:t>第三方</w:t>
            </w:r>
            <w:r>
              <w:rPr>
                <w:rFonts w:hint="eastAsia"/>
                <w:b/>
                <w:bCs/>
                <w:snapToGrid w:val="0"/>
                <w:sz w:val="24"/>
              </w:rPr>
              <w:t>权威</w:t>
            </w:r>
            <w:r>
              <w:rPr>
                <w:rFonts w:hint="eastAsia"/>
                <w:b/>
                <w:bCs/>
                <w:snapToGrid w:val="0"/>
                <w:sz w:val="24"/>
                <w:lang w:val="en-US" w:eastAsia="zh-CN"/>
              </w:rPr>
              <w:t>机构出具的</w:t>
            </w:r>
            <w:r>
              <w:rPr>
                <w:rFonts w:hint="eastAsia"/>
                <w:b/>
                <w:bCs/>
                <w:snapToGrid w:val="0"/>
                <w:sz w:val="24"/>
              </w:rPr>
              <w:t>检测报告</w:t>
            </w:r>
            <w:r>
              <w:rPr>
                <w:rFonts w:hint="eastAsia"/>
                <w:b/>
                <w:bCs/>
                <w:snapToGrid w:val="0"/>
                <w:sz w:val="24"/>
                <w:lang w:eastAsia="zh-CN"/>
              </w:rPr>
              <w:t>）</w:t>
            </w:r>
            <w:r>
              <w:rPr>
                <w:rFonts w:hint="eastAsia"/>
                <w:snapToGrid w:val="0"/>
                <w:sz w:val="24"/>
              </w:rPr>
              <w:t>。</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19、设备可满足低温极限工作温度-10℃（可冷启动正常），高温极限工作温度50℃。设备可满足高温高湿工作环境为50℃&amp;85%RH。</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20、平均故障时间间隔（MTBF）≥300000小时，支持 365×≥24 小时的连续运行。</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21、支持双电源供电，支持热插拔或单体故障不断电功能。</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22、支持从输入采集到视频输出或LED显示输出的全链路4K级处理，搭配DP、HDMI超高清4K板卡，分辨率可达到 4096×2160P@60Hz，RGB4:4:4/YCbCr4:4:4，图像流畅、无卡顿。</w:t>
            </w:r>
          </w:p>
        </w:tc>
        <w:tc>
          <w:tcPr>
            <w:tcW w:w="1091" w:type="dxa"/>
            <w:tcBorders>
              <w:top w:val="single" w:color="000000" w:sz="2" w:space="0"/>
              <w:left w:val="single" w:color="auto" w:sz="4" w:space="0"/>
              <w:bottom w:val="single" w:color="000000" w:sz="2" w:space="0"/>
              <w:right w:val="single" w:color="000000" w:sz="2" w:space="0"/>
            </w:tcBorders>
            <w:noWrap w:val="0"/>
            <w:vAlign w:val="center"/>
          </w:tcPr>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4台</w:t>
            </w:r>
          </w:p>
        </w:tc>
      </w:tr>
      <w:tr>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16" w:type="dxa"/>
            <w:tcBorders>
              <w:top w:val="single" w:color="000000" w:sz="2" w:space="0"/>
              <w:left w:val="single" w:color="000000" w:sz="8" w:space="0"/>
              <w:bottom w:val="single" w:color="000000" w:sz="2" w:space="0"/>
              <w:right w:val="single" w:color="000000" w:sz="2" w:space="0"/>
            </w:tcBorders>
            <w:noWrap w:val="0"/>
            <w:vAlign w:val="center"/>
          </w:tcPr>
          <w:p>
            <w:pPr>
              <w:spacing w:line="360" w:lineRule="auto"/>
              <w:jc w:val="center"/>
              <w:rPr>
                <w:rFonts w:hint="eastAsia" w:ascii="宋体" w:hAnsi="宋体" w:eastAsia="宋体" w:cs="宋体"/>
                <w:snapToGrid w:val="0"/>
                <w:color w:val="000000"/>
                <w:kern w:val="28"/>
                <w:sz w:val="24"/>
                <w:lang w:eastAsia="zh-CN"/>
              </w:rPr>
            </w:pPr>
            <w:r>
              <w:rPr>
                <w:rFonts w:hint="eastAsia" w:ascii="宋体" w:hAnsi="宋体" w:cs="宋体"/>
                <w:snapToGrid w:val="0"/>
                <w:color w:val="000000"/>
                <w:kern w:val="28"/>
                <w:sz w:val="24"/>
                <w:lang w:val="en-US" w:eastAsia="zh-CN"/>
              </w:rPr>
              <w:t>5</w:t>
            </w:r>
          </w:p>
        </w:tc>
        <w:tc>
          <w:tcPr>
            <w:tcW w:w="1155" w:type="dxa"/>
            <w:tcBorders>
              <w:top w:val="single" w:color="000000" w:sz="2" w:space="0"/>
              <w:left w:val="single" w:color="000000" w:sz="2" w:space="0"/>
              <w:right w:val="single" w:color="000000" w:sz="2" w:space="0"/>
            </w:tcBorders>
            <w:noWrap w:val="0"/>
            <w:vAlign w:val="center"/>
          </w:tcPr>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无线同屏器</w:t>
            </w:r>
          </w:p>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（室内屏用）</w:t>
            </w:r>
          </w:p>
        </w:tc>
        <w:tc>
          <w:tcPr>
            <w:tcW w:w="6220" w:type="dxa"/>
            <w:gridSpan w:val="2"/>
            <w:tcBorders>
              <w:top w:val="single" w:color="000000" w:sz="2" w:space="0"/>
              <w:left w:val="single" w:color="000000" w:sz="2" w:space="0"/>
              <w:right w:val="single" w:color="auto" w:sz="4" w:space="0"/>
            </w:tcBorders>
            <w:noWrap w:val="0"/>
            <w:vAlign w:val="center"/>
          </w:tcPr>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1、支持系统类型：不局限于 windows 系统传屏，可同时支持苹果 iOS 系统以及安卓系统无线投；</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2、系统版本：Android 5.1，中央处理器：ARM Cortex A17 x 4，内存大小：1G DDR3；</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3、热点 WiFi 模块：802.11g/n/ac 2.4G/5G投屏连接所用；</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4、4入1出。</w:t>
            </w:r>
          </w:p>
        </w:tc>
        <w:tc>
          <w:tcPr>
            <w:tcW w:w="1091" w:type="dxa"/>
            <w:tcBorders>
              <w:top w:val="single" w:color="000000" w:sz="2" w:space="0"/>
              <w:left w:val="single" w:color="auto" w:sz="4" w:space="0"/>
              <w:right w:val="single" w:color="000000" w:sz="2" w:space="0"/>
            </w:tcBorders>
            <w:noWrap w:val="0"/>
            <w:vAlign w:val="center"/>
          </w:tcPr>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1台</w:t>
            </w:r>
          </w:p>
        </w:tc>
      </w:tr>
      <w:tr>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jc w:val="center"/>
        </w:trPr>
        <w:tc>
          <w:tcPr>
            <w:tcW w:w="616" w:type="dxa"/>
            <w:vMerge w:val="restart"/>
            <w:tcBorders>
              <w:left w:val="single" w:color="000000" w:sz="8" w:space="0"/>
              <w:right w:val="single" w:color="000000" w:sz="2" w:space="0"/>
            </w:tcBorders>
            <w:noWrap w:val="0"/>
            <w:vAlign w:val="center"/>
          </w:tcPr>
          <w:p>
            <w:pPr>
              <w:spacing w:line="360" w:lineRule="auto"/>
              <w:jc w:val="center"/>
              <w:rPr>
                <w:rFonts w:hint="eastAsia" w:ascii="宋体" w:hAnsi="宋体" w:eastAsia="宋体" w:cs="宋体"/>
                <w:snapToGrid w:val="0"/>
                <w:color w:val="000000"/>
                <w:kern w:val="28"/>
                <w:sz w:val="24"/>
                <w:lang w:eastAsia="zh-CN"/>
              </w:rPr>
            </w:pPr>
            <w:r>
              <w:rPr>
                <w:rFonts w:hint="eastAsia" w:ascii="宋体" w:hAnsi="宋体" w:cs="宋体"/>
                <w:snapToGrid w:val="0"/>
                <w:color w:val="000000"/>
                <w:kern w:val="28"/>
                <w:sz w:val="24"/>
                <w:lang w:val="en-US" w:eastAsia="zh-CN"/>
              </w:rPr>
              <w:t>6</w:t>
            </w:r>
          </w:p>
        </w:tc>
        <w:tc>
          <w:tcPr>
            <w:tcW w:w="1155" w:type="dxa"/>
            <w:vMerge w:val="restart"/>
            <w:tcBorders>
              <w:left w:val="single" w:color="000000" w:sz="2" w:space="0"/>
              <w:right w:val="single" w:color="000000" w:sz="2" w:space="0"/>
            </w:tcBorders>
            <w:noWrap w:val="0"/>
            <w:vAlign w:val="center"/>
          </w:tcPr>
          <w:p>
            <w:pPr>
              <w:spacing w:line="360" w:lineRule="auto"/>
              <w:jc w:val="center"/>
              <w:rPr>
                <w:rFonts w:hint="eastAsia" w:ascii="宋体" w:hAnsi="宋体" w:eastAsia="宋体" w:cs="宋体"/>
                <w:snapToGrid w:val="0"/>
                <w:color w:val="000000"/>
                <w:kern w:val="28"/>
                <w:sz w:val="24"/>
                <w:lang w:val="en-US" w:eastAsia="zh-CN"/>
              </w:rPr>
            </w:pPr>
            <w:r>
              <w:rPr>
                <w:rFonts w:hint="eastAsia" w:ascii="宋体" w:hAnsi="宋体"/>
                <w:color w:val="auto"/>
                <w:szCs w:val="21"/>
                <w:highlight w:val="none"/>
              </w:rPr>
              <w:t>通讯线缆敷设</w:t>
            </w:r>
          </w:p>
        </w:tc>
        <w:tc>
          <w:tcPr>
            <w:tcW w:w="1881" w:type="dxa"/>
            <w:tcBorders>
              <w:top w:val="single" w:color="000000" w:sz="2" w:space="0"/>
              <w:left w:val="single" w:color="000000" w:sz="2" w:space="0"/>
              <w:bottom w:val="single" w:color="000000" w:sz="2" w:space="0"/>
              <w:right w:val="single" w:color="auto" w:sz="4" w:space="0"/>
            </w:tcBorders>
            <w:noWrap w:val="0"/>
            <w:vAlign w:val="center"/>
          </w:tcPr>
          <w:p>
            <w:pPr>
              <w:tabs>
                <w:tab w:val="left" w:pos="5880"/>
              </w:tabs>
              <w:overflowPunct w:val="0"/>
              <w:spacing w:line="360" w:lineRule="auto"/>
              <w:ind w:left="191" w:leftChars="91" w:right="99" w:rightChars="47"/>
              <w:jc w:val="center"/>
              <w:textAlignment w:val="center"/>
              <w:rPr>
                <w:rFonts w:hint="eastAsia"/>
                <w:snapToGrid w:val="0"/>
                <w:sz w:val="24"/>
              </w:rPr>
            </w:pPr>
            <w:r>
              <w:rPr>
                <w:rFonts w:hint="eastAsia"/>
                <w:snapToGrid w:val="0"/>
                <w:sz w:val="24"/>
              </w:rPr>
              <w:t>校门口</w:t>
            </w:r>
          </w:p>
        </w:tc>
        <w:tc>
          <w:tcPr>
            <w:tcW w:w="4339" w:type="dxa"/>
            <w:tcBorders>
              <w:top w:val="single" w:color="000000" w:sz="2" w:space="0"/>
              <w:left w:val="single" w:color="000000" w:sz="2" w:space="0"/>
              <w:bottom w:val="single" w:color="000000" w:sz="2" w:space="0"/>
              <w:right w:val="single" w:color="auto" w:sz="4" w:space="0"/>
            </w:tcBorders>
            <w:noWrap w:val="0"/>
            <w:vAlign w:val="center"/>
          </w:tcPr>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电源线：10㎜²，5根，长度100米。</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通讯线：超六类网线长度小于70米，超过70米采用单模光纤144芯。</w:t>
            </w:r>
          </w:p>
        </w:tc>
        <w:tc>
          <w:tcPr>
            <w:tcW w:w="1091" w:type="dxa"/>
            <w:tcBorders>
              <w:top w:val="single" w:color="000000" w:sz="2" w:space="0"/>
              <w:left w:val="single" w:color="auto" w:sz="4" w:space="0"/>
              <w:bottom w:val="single" w:color="auto" w:sz="4" w:space="0"/>
              <w:right w:val="single" w:color="000000" w:sz="2" w:space="0"/>
            </w:tcBorders>
            <w:noWrap w:val="0"/>
            <w:vAlign w:val="center"/>
          </w:tcPr>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1套</w:t>
            </w:r>
          </w:p>
        </w:tc>
      </w:tr>
      <w:tr>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jc w:val="center"/>
        </w:trPr>
        <w:tc>
          <w:tcPr>
            <w:tcW w:w="616" w:type="dxa"/>
            <w:vMerge w:val="continue"/>
            <w:tcBorders>
              <w:left w:val="single" w:color="000000" w:sz="8" w:space="0"/>
              <w:right w:val="single" w:color="000000" w:sz="2" w:space="0"/>
            </w:tcBorders>
            <w:noWrap w:val="0"/>
            <w:vAlign w:val="center"/>
          </w:tcPr>
          <w:p>
            <w:pPr>
              <w:spacing w:line="360" w:lineRule="auto"/>
              <w:rPr>
                <w:rFonts w:hint="eastAsia" w:ascii="宋体" w:hAnsi="宋体" w:cs="宋体"/>
                <w:snapToGrid w:val="0"/>
                <w:color w:val="000000"/>
                <w:kern w:val="28"/>
                <w:sz w:val="24"/>
              </w:rPr>
            </w:pPr>
          </w:p>
        </w:tc>
        <w:tc>
          <w:tcPr>
            <w:tcW w:w="1155" w:type="dxa"/>
            <w:vMerge w:val="continue"/>
            <w:tcBorders>
              <w:left w:val="single" w:color="000000" w:sz="2" w:space="0"/>
              <w:right w:val="single" w:color="000000" w:sz="2" w:space="0"/>
            </w:tcBorders>
            <w:noWrap w:val="0"/>
            <w:vAlign w:val="center"/>
          </w:tcPr>
          <w:p>
            <w:pPr>
              <w:spacing w:line="360" w:lineRule="auto"/>
              <w:rPr>
                <w:rFonts w:hint="eastAsia" w:ascii="宋体" w:hAnsi="宋体" w:cs="宋体"/>
                <w:snapToGrid w:val="0"/>
                <w:color w:val="000000"/>
                <w:kern w:val="28"/>
                <w:sz w:val="24"/>
              </w:rPr>
            </w:pPr>
          </w:p>
        </w:tc>
        <w:tc>
          <w:tcPr>
            <w:tcW w:w="1881" w:type="dxa"/>
            <w:tcBorders>
              <w:top w:val="single" w:color="000000" w:sz="2" w:space="0"/>
              <w:left w:val="single" w:color="000000" w:sz="2" w:space="0"/>
              <w:bottom w:val="single" w:color="000000" w:sz="2" w:space="0"/>
              <w:right w:val="single" w:color="auto" w:sz="4" w:space="0"/>
            </w:tcBorders>
            <w:noWrap w:val="0"/>
            <w:vAlign w:val="center"/>
          </w:tcPr>
          <w:p>
            <w:pPr>
              <w:tabs>
                <w:tab w:val="left" w:pos="5880"/>
              </w:tabs>
              <w:overflowPunct w:val="0"/>
              <w:spacing w:line="360" w:lineRule="auto"/>
              <w:ind w:left="191" w:leftChars="91" w:right="99" w:rightChars="47"/>
              <w:jc w:val="center"/>
              <w:textAlignment w:val="center"/>
              <w:rPr>
                <w:rFonts w:hint="eastAsia"/>
                <w:snapToGrid w:val="0"/>
                <w:sz w:val="24"/>
              </w:rPr>
            </w:pPr>
            <w:r>
              <w:rPr>
                <w:rFonts w:hint="eastAsia"/>
                <w:snapToGrid w:val="0"/>
                <w:sz w:val="24"/>
              </w:rPr>
              <w:t>体育运动场</w:t>
            </w:r>
          </w:p>
        </w:tc>
        <w:tc>
          <w:tcPr>
            <w:tcW w:w="4339" w:type="dxa"/>
            <w:tcBorders>
              <w:top w:val="single" w:color="000000" w:sz="2" w:space="0"/>
              <w:left w:val="single" w:color="000000" w:sz="2" w:space="0"/>
              <w:bottom w:val="single" w:color="000000" w:sz="2" w:space="0"/>
              <w:right w:val="single" w:color="auto" w:sz="4" w:space="0"/>
            </w:tcBorders>
            <w:noWrap w:val="0"/>
            <w:vAlign w:val="center"/>
          </w:tcPr>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电源线：10㎜²，5根，长度200米。</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通讯线：超六类网线长度小于70米，超过70米采用单模光纤144芯。</w:t>
            </w:r>
          </w:p>
        </w:tc>
        <w:tc>
          <w:tcPr>
            <w:tcW w:w="1091" w:type="dxa"/>
            <w:tcBorders>
              <w:top w:val="single" w:color="000000" w:sz="2" w:space="0"/>
              <w:left w:val="single" w:color="auto" w:sz="4" w:space="0"/>
              <w:bottom w:val="single" w:color="000000" w:sz="2" w:space="0"/>
              <w:right w:val="single" w:color="000000" w:sz="2" w:space="0"/>
            </w:tcBorders>
            <w:noWrap w:val="0"/>
            <w:vAlign w:val="center"/>
          </w:tcPr>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1套</w:t>
            </w:r>
          </w:p>
        </w:tc>
      </w:tr>
      <w:tr>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540" w:hRule="atLeast"/>
          <w:jc w:val="center"/>
        </w:trPr>
        <w:tc>
          <w:tcPr>
            <w:tcW w:w="616" w:type="dxa"/>
            <w:vMerge w:val="continue"/>
            <w:tcBorders>
              <w:left w:val="single" w:color="000000" w:sz="8" w:space="0"/>
              <w:right w:val="single" w:color="000000" w:sz="2" w:space="0"/>
            </w:tcBorders>
            <w:noWrap w:val="0"/>
            <w:vAlign w:val="center"/>
          </w:tcPr>
          <w:p>
            <w:pPr>
              <w:spacing w:line="360" w:lineRule="auto"/>
              <w:rPr>
                <w:rFonts w:hint="eastAsia" w:ascii="宋体" w:hAnsi="宋体" w:cs="宋体"/>
                <w:snapToGrid w:val="0"/>
                <w:color w:val="000000"/>
                <w:kern w:val="28"/>
                <w:sz w:val="24"/>
              </w:rPr>
            </w:pPr>
          </w:p>
        </w:tc>
        <w:tc>
          <w:tcPr>
            <w:tcW w:w="1155" w:type="dxa"/>
            <w:vMerge w:val="continue"/>
            <w:tcBorders>
              <w:left w:val="single" w:color="000000" w:sz="2" w:space="0"/>
              <w:right w:val="single" w:color="000000" w:sz="2" w:space="0"/>
            </w:tcBorders>
            <w:noWrap w:val="0"/>
            <w:vAlign w:val="center"/>
          </w:tcPr>
          <w:p>
            <w:pPr>
              <w:spacing w:line="360" w:lineRule="auto"/>
              <w:rPr>
                <w:rFonts w:hint="eastAsia" w:ascii="宋体" w:hAnsi="宋体" w:cs="宋体"/>
                <w:snapToGrid w:val="0"/>
                <w:color w:val="000000"/>
                <w:kern w:val="28"/>
                <w:sz w:val="24"/>
              </w:rPr>
            </w:pPr>
          </w:p>
        </w:tc>
        <w:tc>
          <w:tcPr>
            <w:tcW w:w="1881" w:type="dxa"/>
            <w:tcBorders>
              <w:top w:val="single" w:color="000000" w:sz="2" w:space="0"/>
              <w:left w:val="single" w:color="000000" w:sz="2" w:space="0"/>
              <w:bottom w:val="single" w:color="000000" w:sz="2" w:space="0"/>
              <w:right w:val="single" w:color="auto" w:sz="4" w:space="0"/>
            </w:tcBorders>
            <w:noWrap w:val="0"/>
            <w:vAlign w:val="center"/>
          </w:tcPr>
          <w:p>
            <w:pPr>
              <w:tabs>
                <w:tab w:val="left" w:pos="5880"/>
              </w:tabs>
              <w:overflowPunct w:val="0"/>
              <w:spacing w:line="360" w:lineRule="auto"/>
              <w:ind w:left="191" w:leftChars="91" w:right="99" w:rightChars="47"/>
              <w:jc w:val="center"/>
              <w:textAlignment w:val="center"/>
              <w:rPr>
                <w:rFonts w:hint="eastAsia"/>
                <w:snapToGrid w:val="0"/>
                <w:sz w:val="24"/>
              </w:rPr>
            </w:pPr>
            <w:r>
              <w:rPr>
                <w:rFonts w:hint="eastAsia"/>
                <w:snapToGrid w:val="0"/>
                <w:sz w:val="24"/>
              </w:rPr>
              <w:t>报告厅</w:t>
            </w:r>
          </w:p>
        </w:tc>
        <w:tc>
          <w:tcPr>
            <w:tcW w:w="4339" w:type="dxa"/>
            <w:tcBorders>
              <w:top w:val="single" w:color="000000" w:sz="2" w:space="0"/>
              <w:left w:val="single" w:color="000000" w:sz="2" w:space="0"/>
              <w:bottom w:val="single" w:color="000000" w:sz="2" w:space="0"/>
              <w:right w:val="single" w:color="auto" w:sz="4" w:space="0"/>
            </w:tcBorders>
            <w:noWrap w:val="0"/>
            <w:vAlign w:val="center"/>
          </w:tcPr>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电源线：16㎜²，5根，长度200米。</w:t>
            </w:r>
          </w:p>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通讯线：超六类网线长度小于70米，超过70米采用单模光纤144芯。</w:t>
            </w:r>
          </w:p>
        </w:tc>
        <w:tc>
          <w:tcPr>
            <w:tcW w:w="1091" w:type="dxa"/>
            <w:tcBorders>
              <w:top w:val="single" w:color="000000" w:sz="2" w:space="0"/>
              <w:left w:val="single" w:color="auto" w:sz="4" w:space="0"/>
              <w:bottom w:val="single" w:color="000000" w:sz="2" w:space="0"/>
              <w:right w:val="single" w:color="000000" w:sz="2" w:space="0"/>
            </w:tcBorders>
            <w:noWrap w:val="0"/>
            <w:vAlign w:val="center"/>
          </w:tcPr>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1套</w:t>
            </w:r>
          </w:p>
        </w:tc>
      </w:tr>
      <w:tr>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616" w:type="dxa"/>
            <w:vMerge w:val="restart"/>
            <w:tcBorders>
              <w:left w:val="single" w:color="000000" w:sz="8" w:space="0"/>
              <w:right w:val="single" w:color="000000" w:sz="2" w:space="0"/>
            </w:tcBorders>
            <w:noWrap w:val="0"/>
            <w:vAlign w:val="center"/>
          </w:tcPr>
          <w:p>
            <w:pPr>
              <w:spacing w:line="360" w:lineRule="auto"/>
              <w:jc w:val="center"/>
              <w:rPr>
                <w:rFonts w:hint="eastAsia" w:ascii="宋体" w:hAnsi="宋体" w:eastAsia="宋体" w:cs="宋体"/>
                <w:snapToGrid w:val="0"/>
                <w:color w:val="000000"/>
                <w:kern w:val="28"/>
                <w:sz w:val="24"/>
                <w:lang w:eastAsia="zh-CN"/>
              </w:rPr>
            </w:pPr>
            <w:r>
              <w:rPr>
                <w:rFonts w:hint="eastAsia" w:ascii="宋体" w:hAnsi="宋体" w:cs="宋体"/>
                <w:snapToGrid w:val="0"/>
                <w:color w:val="000000"/>
                <w:kern w:val="28"/>
                <w:sz w:val="24"/>
                <w:lang w:val="en-US" w:eastAsia="zh-CN"/>
              </w:rPr>
              <w:t>7</w:t>
            </w:r>
          </w:p>
        </w:tc>
        <w:tc>
          <w:tcPr>
            <w:tcW w:w="1155" w:type="dxa"/>
            <w:vMerge w:val="restart"/>
            <w:tcBorders>
              <w:left w:val="single" w:color="000000" w:sz="2" w:space="0"/>
              <w:right w:val="single" w:color="000000" w:sz="2" w:space="0"/>
            </w:tcBorders>
            <w:noWrap w:val="0"/>
            <w:vAlign w:val="center"/>
          </w:tcPr>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框架</w:t>
            </w:r>
          </w:p>
        </w:tc>
        <w:tc>
          <w:tcPr>
            <w:tcW w:w="1881" w:type="dxa"/>
            <w:tcBorders>
              <w:top w:val="single" w:color="000000" w:sz="2" w:space="0"/>
              <w:left w:val="single" w:color="000000" w:sz="2" w:space="0"/>
              <w:right w:val="single" w:color="auto" w:sz="4" w:space="0"/>
            </w:tcBorders>
            <w:noWrap w:val="0"/>
            <w:vAlign w:val="center"/>
          </w:tcPr>
          <w:p>
            <w:pPr>
              <w:tabs>
                <w:tab w:val="left" w:pos="5880"/>
              </w:tabs>
              <w:overflowPunct w:val="0"/>
              <w:spacing w:line="360" w:lineRule="auto"/>
              <w:ind w:left="191" w:leftChars="91" w:right="99" w:rightChars="47"/>
              <w:jc w:val="center"/>
              <w:textAlignment w:val="center"/>
              <w:rPr>
                <w:rFonts w:hint="eastAsia"/>
                <w:snapToGrid w:val="0"/>
                <w:sz w:val="24"/>
              </w:rPr>
            </w:pPr>
            <w:r>
              <w:rPr>
                <w:rFonts w:hint="eastAsia"/>
                <w:snapToGrid w:val="0"/>
                <w:sz w:val="24"/>
              </w:rPr>
              <w:t>校门口</w:t>
            </w:r>
          </w:p>
        </w:tc>
        <w:tc>
          <w:tcPr>
            <w:tcW w:w="4339" w:type="dxa"/>
            <w:vMerge w:val="restart"/>
            <w:tcBorders>
              <w:top w:val="single" w:color="000000" w:sz="2" w:space="0"/>
              <w:left w:val="single" w:color="000000" w:sz="2" w:space="0"/>
              <w:right w:val="single" w:color="auto" w:sz="4" w:space="0"/>
            </w:tcBorders>
            <w:noWrap w:val="0"/>
            <w:vAlign w:val="center"/>
          </w:tcPr>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国标60X60，40X40镀锌方管,120镀锌槽钢焊接结构，1.2厚不锈钢或者3mm铝板包边。</w:t>
            </w:r>
          </w:p>
          <w:p>
            <w:pPr>
              <w:tabs>
                <w:tab w:val="left" w:pos="5880"/>
              </w:tabs>
              <w:overflowPunct w:val="0"/>
              <w:spacing w:line="360" w:lineRule="auto"/>
              <w:ind w:left="191" w:leftChars="91" w:right="99" w:rightChars="47"/>
              <w:jc w:val="left"/>
              <w:textAlignment w:val="center"/>
              <w:rPr>
                <w:rFonts w:hint="eastAsia"/>
              </w:rPr>
            </w:pPr>
            <w:r>
              <w:rPr>
                <w:rFonts w:hint="eastAsia" w:cs="Times New Roman"/>
                <w:b w:val="0"/>
                <w:bCs w:val="0"/>
                <w:snapToGrid w:val="0"/>
                <w:kern w:val="2"/>
                <w:sz w:val="24"/>
                <w:szCs w:val="24"/>
                <w:highlight w:val="none"/>
                <w:lang w:val="en-US" w:eastAsia="zh-CN" w:bidi="ar-SA"/>
              </w:rPr>
              <w:t>要求</w:t>
            </w:r>
            <w:r>
              <w:rPr>
                <w:rFonts w:hint="eastAsia" w:ascii="Times New Roman" w:hAnsi="Times New Roman" w:eastAsia="宋体" w:cs="Times New Roman"/>
                <w:b w:val="0"/>
                <w:bCs w:val="0"/>
                <w:snapToGrid w:val="0"/>
                <w:kern w:val="2"/>
                <w:sz w:val="24"/>
                <w:szCs w:val="24"/>
                <w:highlight w:val="none"/>
                <w:lang w:val="en-US" w:eastAsia="zh-CN" w:bidi="ar-SA"/>
              </w:rPr>
              <w:t>施工人员具备</w:t>
            </w:r>
            <w:r>
              <w:rPr>
                <w:rFonts w:hint="eastAsia" w:ascii="Times New Roman" w:hAnsi="Times New Roman" w:eastAsia="宋体" w:cs="Times New Roman"/>
                <w:b/>
                <w:bCs/>
                <w:snapToGrid w:val="0"/>
                <w:kern w:val="2"/>
                <w:sz w:val="24"/>
                <w:szCs w:val="24"/>
                <w:highlight w:val="none"/>
                <w:lang w:val="en-US" w:eastAsia="zh-CN" w:bidi="ar-SA"/>
              </w:rPr>
              <w:t>高空作业证</w:t>
            </w:r>
            <w:r>
              <w:rPr>
                <w:rFonts w:hint="eastAsia" w:cs="Times New Roman"/>
                <w:b/>
                <w:bCs/>
                <w:snapToGrid w:val="0"/>
                <w:kern w:val="2"/>
                <w:sz w:val="24"/>
                <w:szCs w:val="24"/>
                <w:highlight w:val="none"/>
                <w:lang w:val="en-US" w:eastAsia="zh-CN" w:bidi="ar-SA"/>
              </w:rPr>
              <w:t>、</w:t>
            </w:r>
            <w:r>
              <w:rPr>
                <w:rFonts w:hint="eastAsia" w:ascii="Times New Roman" w:hAnsi="Times New Roman" w:eastAsia="宋体" w:cs="Times New Roman"/>
                <w:b/>
                <w:bCs/>
                <w:snapToGrid w:val="0"/>
                <w:kern w:val="2"/>
                <w:sz w:val="24"/>
                <w:szCs w:val="24"/>
                <w:highlight w:val="none"/>
                <w:lang w:val="en-US" w:eastAsia="zh-CN" w:bidi="ar-SA"/>
              </w:rPr>
              <w:t>电焊证</w:t>
            </w:r>
            <w:r>
              <w:rPr>
                <w:rFonts w:hint="eastAsia" w:cs="Times New Roman"/>
                <w:b/>
                <w:bCs/>
                <w:snapToGrid w:val="0"/>
                <w:kern w:val="2"/>
                <w:sz w:val="24"/>
                <w:szCs w:val="24"/>
                <w:highlight w:val="none"/>
                <w:lang w:val="en-US" w:eastAsia="zh-CN" w:bidi="ar-SA"/>
              </w:rPr>
              <w:t>、</w:t>
            </w:r>
            <w:r>
              <w:rPr>
                <w:rFonts w:hint="eastAsia" w:ascii="Times New Roman" w:hAnsi="Times New Roman" w:eastAsia="宋体" w:cs="Times New Roman"/>
                <w:b/>
                <w:bCs/>
                <w:snapToGrid w:val="0"/>
                <w:kern w:val="2"/>
                <w:sz w:val="24"/>
                <w:szCs w:val="24"/>
                <w:highlight w:val="none"/>
                <w:lang w:val="en-US" w:eastAsia="zh-CN" w:bidi="ar-SA"/>
              </w:rPr>
              <w:t>电工证</w:t>
            </w:r>
            <w:r>
              <w:rPr>
                <w:rFonts w:hint="eastAsia" w:cs="Times New Roman"/>
                <w:b/>
                <w:bCs/>
                <w:snapToGrid w:val="0"/>
                <w:kern w:val="2"/>
                <w:sz w:val="24"/>
                <w:szCs w:val="24"/>
                <w:highlight w:val="none"/>
                <w:lang w:val="en-US" w:eastAsia="zh-CN" w:bidi="ar-SA"/>
              </w:rPr>
              <w:t>，</w:t>
            </w:r>
            <w:r>
              <w:rPr>
                <w:rFonts w:hint="eastAsia"/>
                <w:b/>
                <w:bCs/>
                <w:snapToGrid w:val="0"/>
                <w:color w:val="auto"/>
                <w:sz w:val="24"/>
              </w:rPr>
              <w:t>提供证书复印件和社保证明复印件</w:t>
            </w:r>
            <w:r>
              <w:rPr>
                <w:rFonts w:hint="eastAsia"/>
                <w:snapToGrid w:val="0"/>
                <w:color w:val="auto"/>
                <w:sz w:val="24"/>
              </w:rPr>
              <w:t>。</w:t>
            </w:r>
          </w:p>
        </w:tc>
        <w:tc>
          <w:tcPr>
            <w:tcW w:w="1091" w:type="dxa"/>
            <w:tcBorders>
              <w:top w:val="single" w:color="000000" w:sz="2" w:space="0"/>
              <w:left w:val="single" w:color="auto" w:sz="4" w:space="0"/>
              <w:right w:val="single" w:color="000000" w:sz="2" w:space="0"/>
            </w:tcBorders>
            <w:noWrap w:val="0"/>
            <w:vAlign w:val="center"/>
          </w:tcPr>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23.55㎡</w:t>
            </w:r>
          </w:p>
        </w:tc>
      </w:tr>
      <w:tr>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954" w:hRule="atLeast"/>
          <w:jc w:val="center"/>
        </w:trPr>
        <w:tc>
          <w:tcPr>
            <w:tcW w:w="616" w:type="dxa"/>
            <w:vMerge w:val="continue"/>
            <w:tcBorders>
              <w:left w:val="single" w:color="000000" w:sz="8" w:space="0"/>
              <w:right w:val="single" w:color="000000" w:sz="2" w:space="0"/>
            </w:tcBorders>
            <w:noWrap w:val="0"/>
            <w:vAlign w:val="center"/>
          </w:tcPr>
          <w:p>
            <w:pPr>
              <w:spacing w:line="360" w:lineRule="auto"/>
              <w:jc w:val="center"/>
              <w:rPr>
                <w:rFonts w:hint="eastAsia" w:ascii="宋体" w:hAnsi="宋体" w:cs="宋体"/>
                <w:snapToGrid w:val="0"/>
                <w:color w:val="000000"/>
                <w:kern w:val="28"/>
                <w:sz w:val="24"/>
              </w:rPr>
            </w:pPr>
          </w:p>
        </w:tc>
        <w:tc>
          <w:tcPr>
            <w:tcW w:w="1155" w:type="dxa"/>
            <w:vMerge w:val="continue"/>
            <w:tcBorders>
              <w:left w:val="single" w:color="000000" w:sz="2" w:space="0"/>
              <w:right w:val="single" w:color="000000" w:sz="2" w:space="0"/>
            </w:tcBorders>
            <w:noWrap w:val="0"/>
            <w:vAlign w:val="center"/>
          </w:tcPr>
          <w:p>
            <w:pPr>
              <w:spacing w:line="360" w:lineRule="auto"/>
              <w:jc w:val="center"/>
              <w:rPr>
                <w:rFonts w:hint="eastAsia" w:ascii="宋体" w:hAnsi="宋体" w:cs="宋体"/>
                <w:snapToGrid w:val="0"/>
                <w:color w:val="000000"/>
                <w:kern w:val="28"/>
                <w:sz w:val="24"/>
              </w:rPr>
            </w:pPr>
          </w:p>
        </w:tc>
        <w:tc>
          <w:tcPr>
            <w:tcW w:w="1881" w:type="dxa"/>
            <w:tcBorders>
              <w:top w:val="single" w:color="000000" w:sz="2" w:space="0"/>
              <w:left w:val="single" w:color="000000" w:sz="2" w:space="0"/>
              <w:right w:val="single" w:color="auto" w:sz="4" w:space="0"/>
            </w:tcBorders>
            <w:noWrap w:val="0"/>
            <w:vAlign w:val="center"/>
          </w:tcPr>
          <w:p>
            <w:pPr>
              <w:tabs>
                <w:tab w:val="left" w:pos="5880"/>
              </w:tabs>
              <w:overflowPunct w:val="0"/>
              <w:spacing w:line="360" w:lineRule="auto"/>
              <w:ind w:left="191" w:leftChars="91" w:right="99" w:rightChars="47"/>
              <w:jc w:val="center"/>
              <w:textAlignment w:val="center"/>
              <w:rPr>
                <w:rFonts w:hint="eastAsia"/>
                <w:snapToGrid w:val="0"/>
                <w:sz w:val="24"/>
              </w:rPr>
            </w:pPr>
            <w:r>
              <w:rPr>
                <w:rFonts w:hint="eastAsia"/>
                <w:snapToGrid w:val="0"/>
                <w:sz w:val="24"/>
              </w:rPr>
              <w:t>体育运动场</w:t>
            </w:r>
          </w:p>
        </w:tc>
        <w:tc>
          <w:tcPr>
            <w:tcW w:w="4339" w:type="dxa"/>
            <w:vMerge w:val="continue"/>
            <w:tcBorders>
              <w:left w:val="single" w:color="000000" w:sz="2" w:space="0"/>
              <w:right w:val="single" w:color="auto" w:sz="4" w:space="0"/>
            </w:tcBorders>
            <w:noWrap w:val="0"/>
            <w:vAlign w:val="center"/>
          </w:tcPr>
          <w:p>
            <w:pPr>
              <w:tabs>
                <w:tab w:val="left" w:pos="5880"/>
              </w:tabs>
              <w:overflowPunct w:val="0"/>
              <w:spacing w:line="360" w:lineRule="auto"/>
              <w:ind w:left="191" w:leftChars="91" w:right="99" w:rightChars="47"/>
              <w:jc w:val="left"/>
              <w:textAlignment w:val="center"/>
              <w:rPr>
                <w:rFonts w:hint="eastAsia"/>
                <w:snapToGrid w:val="0"/>
                <w:sz w:val="24"/>
              </w:rPr>
            </w:pPr>
          </w:p>
        </w:tc>
        <w:tc>
          <w:tcPr>
            <w:tcW w:w="1091" w:type="dxa"/>
            <w:tcBorders>
              <w:top w:val="single" w:color="000000" w:sz="2" w:space="0"/>
              <w:left w:val="single" w:color="auto" w:sz="4" w:space="0"/>
              <w:right w:val="single" w:color="000000" w:sz="2" w:space="0"/>
            </w:tcBorders>
            <w:noWrap w:val="0"/>
            <w:vAlign w:val="center"/>
          </w:tcPr>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34.5㎡</w:t>
            </w:r>
          </w:p>
        </w:tc>
      </w:tr>
      <w:tr>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trHeight w:val="954" w:hRule="atLeast"/>
          <w:jc w:val="center"/>
        </w:trPr>
        <w:tc>
          <w:tcPr>
            <w:tcW w:w="616" w:type="dxa"/>
            <w:vMerge w:val="continue"/>
            <w:tcBorders>
              <w:left w:val="single" w:color="000000" w:sz="8" w:space="0"/>
              <w:right w:val="single" w:color="000000" w:sz="2" w:space="0"/>
            </w:tcBorders>
            <w:noWrap w:val="0"/>
            <w:vAlign w:val="center"/>
          </w:tcPr>
          <w:p>
            <w:pPr>
              <w:spacing w:line="360" w:lineRule="auto"/>
              <w:jc w:val="center"/>
              <w:rPr>
                <w:rFonts w:hint="eastAsia" w:ascii="宋体" w:hAnsi="宋体" w:cs="宋体"/>
                <w:snapToGrid w:val="0"/>
                <w:color w:val="000000"/>
                <w:kern w:val="28"/>
                <w:sz w:val="24"/>
              </w:rPr>
            </w:pPr>
          </w:p>
        </w:tc>
        <w:tc>
          <w:tcPr>
            <w:tcW w:w="1155" w:type="dxa"/>
            <w:vMerge w:val="continue"/>
            <w:tcBorders>
              <w:left w:val="single" w:color="000000" w:sz="2" w:space="0"/>
              <w:right w:val="single" w:color="000000" w:sz="2" w:space="0"/>
            </w:tcBorders>
            <w:noWrap w:val="0"/>
            <w:vAlign w:val="center"/>
          </w:tcPr>
          <w:p>
            <w:pPr>
              <w:spacing w:line="360" w:lineRule="auto"/>
              <w:jc w:val="center"/>
              <w:rPr>
                <w:rFonts w:hint="eastAsia" w:ascii="宋体" w:hAnsi="宋体" w:cs="宋体"/>
                <w:snapToGrid w:val="0"/>
                <w:color w:val="000000"/>
                <w:kern w:val="28"/>
                <w:sz w:val="24"/>
              </w:rPr>
            </w:pPr>
          </w:p>
        </w:tc>
        <w:tc>
          <w:tcPr>
            <w:tcW w:w="1881" w:type="dxa"/>
            <w:tcBorders>
              <w:top w:val="single" w:color="000000" w:sz="2" w:space="0"/>
              <w:left w:val="single" w:color="000000" w:sz="2" w:space="0"/>
              <w:right w:val="single" w:color="auto" w:sz="4" w:space="0"/>
            </w:tcBorders>
            <w:noWrap w:val="0"/>
            <w:vAlign w:val="center"/>
          </w:tcPr>
          <w:p>
            <w:pPr>
              <w:tabs>
                <w:tab w:val="left" w:pos="5880"/>
              </w:tabs>
              <w:overflowPunct w:val="0"/>
              <w:spacing w:line="360" w:lineRule="auto"/>
              <w:ind w:left="191" w:leftChars="91" w:right="99" w:rightChars="47"/>
              <w:jc w:val="center"/>
              <w:textAlignment w:val="center"/>
              <w:rPr>
                <w:rFonts w:hint="eastAsia"/>
                <w:snapToGrid w:val="0"/>
                <w:sz w:val="24"/>
              </w:rPr>
            </w:pPr>
            <w:r>
              <w:rPr>
                <w:rFonts w:hint="eastAsia"/>
                <w:snapToGrid w:val="0"/>
                <w:sz w:val="24"/>
              </w:rPr>
              <w:t>报告厅</w:t>
            </w:r>
          </w:p>
        </w:tc>
        <w:tc>
          <w:tcPr>
            <w:tcW w:w="4339" w:type="dxa"/>
            <w:vMerge w:val="continue"/>
            <w:tcBorders>
              <w:left w:val="single" w:color="000000" w:sz="2" w:space="0"/>
              <w:right w:val="single" w:color="auto" w:sz="4" w:space="0"/>
            </w:tcBorders>
            <w:noWrap w:val="0"/>
            <w:vAlign w:val="center"/>
          </w:tcPr>
          <w:p>
            <w:pPr>
              <w:tabs>
                <w:tab w:val="left" w:pos="5880"/>
              </w:tabs>
              <w:overflowPunct w:val="0"/>
              <w:spacing w:line="360" w:lineRule="auto"/>
              <w:ind w:left="191" w:leftChars="91" w:right="99" w:rightChars="47"/>
              <w:jc w:val="left"/>
              <w:textAlignment w:val="center"/>
              <w:rPr>
                <w:rFonts w:hint="eastAsia"/>
                <w:snapToGrid w:val="0"/>
                <w:sz w:val="24"/>
              </w:rPr>
            </w:pPr>
          </w:p>
        </w:tc>
        <w:tc>
          <w:tcPr>
            <w:tcW w:w="1091" w:type="dxa"/>
            <w:tcBorders>
              <w:top w:val="single" w:color="000000" w:sz="2" w:space="0"/>
              <w:left w:val="single" w:color="auto" w:sz="4" w:space="0"/>
              <w:right w:val="single" w:color="000000" w:sz="2" w:space="0"/>
            </w:tcBorders>
            <w:noWrap w:val="0"/>
            <w:vAlign w:val="center"/>
          </w:tcPr>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66.56㎡</w:t>
            </w:r>
          </w:p>
        </w:tc>
      </w:tr>
      <w:tr>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jc w:val="center"/>
        </w:trPr>
        <w:tc>
          <w:tcPr>
            <w:tcW w:w="616" w:type="dxa"/>
            <w:tcBorders>
              <w:top w:val="single" w:color="000000" w:sz="2" w:space="0"/>
              <w:left w:val="single" w:color="000000" w:sz="8" w:space="0"/>
              <w:bottom w:val="single" w:color="000000" w:sz="2" w:space="0"/>
              <w:right w:val="single" w:color="000000" w:sz="2" w:space="0"/>
            </w:tcBorders>
            <w:noWrap w:val="0"/>
            <w:vAlign w:val="center"/>
          </w:tcPr>
          <w:p>
            <w:pPr>
              <w:spacing w:line="360" w:lineRule="auto"/>
              <w:jc w:val="center"/>
              <w:rPr>
                <w:rFonts w:hint="eastAsia" w:ascii="宋体" w:hAnsi="宋体" w:eastAsia="宋体" w:cs="宋体"/>
                <w:snapToGrid w:val="0"/>
                <w:color w:val="000000"/>
                <w:kern w:val="28"/>
                <w:sz w:val="24"/>
                <w:lang w:eastAsia="zh-CN"/>
              </w:rPr>
            </w:pPr>
            <w:r>
              <w:rPr>
                <w:rFonts w:hint="eastAsia" w:ascii="宋体" w:hAnsi="宋体" w:cs="宋体"/>
                <w:snapToGrid w:val="0"/>
                <w:color w:val="000000"/>
                <w:kern w:val="28"/>
                <w:sz w:val="24"/>
                <w:lang w:val="en-US" w:eastAsia="zh-CN"/>
              </w:rPr>
              <w:t>8</w:t>
            </w:r>
          </w:p>
        </w:tc>
        <w:tc>
          <w:tcPr>
            <w:tcW w:w="1155" w:type="dxa"/>
            <w:tcBorders>
              <w:top w:val="single" w:color="000000" w:sz="2" w:space="0"/>
              <w:left w:val="single" w:color="000000" w:sz="2" w:space="0"/>
              <w:bottom w:val="single" w:color="000000" w:sz="2" w:space="0"/>
              <w:right w:val="single" w:color="000000" w:sz="2" w:space="0"/>
            </w:tcBorders>
            <w:noWrap w:val="0"/>
            <w:vAlign w:val="center"/>
          </w:tcPr>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配电系统</w:t>
            </w:r>
          </w:p>
        </w:tc>
        <w:tc>
          <w:tcPr>
            <w:tcW w:w="6220" w:type="dxa"/>
            <w:gridSpan w:val="2"/>
            <w:tcBorders>
              <w:top w:val="single" w:color="000000" w:sz="2" w:space="0"/>
              <w:left w:val="single" w:color="000000" w:sz="2" w:space="0"/>
              <w:bottom w:val="single" w:color="000000" w:sz="2" w:space="0"/>
              <w:right w:val="single" w:color="auto" w:sz="4" w:space="0"/>
            </w:tcBorders>
            <w:noWrap w:val="0"/>
            <w:vAlign w:val="center"/>
          </w:tcPr>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配电管理系统含空开，交流接触器，防雷系统，间断上电等必须与屏幕无缝对接</w:t>
            </w:r>
            <w:r>
              <w:rPr>
                <w:rFonts w:hint="eastAsia"/>
                <w:b/>
                <w:bCs/>
                <w:snapToGrid w:val="0"/>
                <w:sz w:val="24"/>
              </w:rPr>
              <w:t>（提供3c证书复印件加盖公章）</w:t>
            </w:r>
          </w:p>
        </w:tc>
        <w:tc>
          <w:tcPr>
            <w:tcW w:w="1091" w:type="dxa"/>
            <w:tcBorders>
              <w:top w:val="single" w:color="000000" w:sz="2" w:space="0"/>
              <w:left w:val="single" w:color="auto" w:sz="4" w:space="0"/>
              <w:bottom w:val="single" w:color="000000" w:sz="2" w:space="0"/>
              <w:right w:val="single" w:color="000000" w:sz="2" w:space="0"/>
            </w:tcBorders>
            <w:noWrap w:val="0"/>
            <w:vAlign w:val="center"/>
          </w:tcPr>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3套</w:t>
            </w:r>
          </w:p>
        </w:tc>
      </w:tr>
      <w:tr>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jc w:val="center"/>
        </w:trPr>
        <w:tc>
          <w:tcPr>
            <w:tcW w:w="616" w:type="dxa"/>
            <w:vMerge w:val="restart"/>
            <w:tcBorders>
              <w:top w:val="single" w:color="000000" w:sz="2" w:space="0"/>
              <w:left w:val="single" w:color="000000" w:sz="8" w:space="0"/>
              <w:right w:val="single" w:color="000000" w:sz="2" w:space="0"/>
            </w:tcBorders>
            <w:noWrap w:val="0"/>
            <w:vAlign w:val="center"/>
          </w:tcPr>
          <w:p>
            <w:pPr>
              <w:spacing w:line="360" w:lineRule="auto"/>
              <w:ind w:firstLine="240" w:firstLineChars="100"/>
              <w:rPr>
                <w:rFonts w:hint="default" w:ascii="宋体" w:hAnsi="宋体" w:cs="宋体"/>
                <w:snapToGrid w:val="0"/>
                <w:color w:val="000000"/>
                <w:kern w:val="28"/>
                <w:sz w:val="24"/>
                <w:lang w:val="en-US" w:eastAsia="zh-CN"/>
              </w:rPr>
            </w:pPr>
            <w:r>
              <w:rPr>
                <w:rFonts w:hint="eastAsia" w:ascii="宋体" w:hAnsi="宋体" w:cs="宋体"/>
                <w:snapToGrid w:val="0"/>
                <w:color w:val="000000"/>
                <w:kern w:val="28"/>
                <w:sz w:val="24"/>
                <w:lang w:val="en-US" w:eastAsia="zh-CN"/>
              </w:rPr>
              <w:t>9</w:t>
            </w:r>
          </w:p>
        </w:tc>
        <w:tc>
          <w:tcPr>
            <w:tcW w:w="1155" w:type="dxa"/>
            <w:vMerge w:val="restart"/>
            <w:tcBorders>
              <w:top w:val="single" w:color="000000" w:sz="2" w:space="0"/>
              <w:left w:val="single" w:color="000000" w:sz="2" w:space="0"/>
              <w:right w:val="single" w:color="auto" w:sz="4" w:space="0"/>
            </w:tcBorders>
            <w:noWrap w:val="0"/>
            <w:vAlign w:val="center"/>
          </w:tcPr>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color w:val="auto"/>
                <w:sz w:val="24"/>
              </w:rPr>
              <w:t>家长接送区显示屏配套辅件</w:t>
            </w:r>
          </w:p>
        </w:tc>
        <w:tc>
          <w:tcPr>
            <w:tcW w:w="6220" w:type="dxa"/>
            <w:gridSpan w:val="2"/>
            <w:tcBorders>
              <w:top w:val="single" w:color="000000" w:sz="2" w:space="0"/>
              <w:left w:val="single" w:color="000000" w:sz="2" w:space="0"/>
              <w:bottom w:val="single" w:color="000000" w:sz="2" w:space="0"/>
              <w:right w:val="single" w:color="auto" w:sz="4" w:space="0"/>
            </w:tcBorders>
            <w:noWrap w:val="0"/>
            <w:vAlign w:val="center"/>
          </w:tcPr>
          <w:p>
            <w:pPr>
              <w:tabs>
                <w:tab w:val="left" w:pos="5880"/>
              </w:tabs>
              <w:overflowPunct w:val="0"/>
              <w:spacing w:line="360" w:lineRule="auto"/>
              <w:ind w:left="191" w:leftChars="91" w:right="99" w:rightChars="47"/>
              <w:jc w:val="left"/>
              <w:textAlignment w:val="center"/>
              <w:rPr>
                <w:rFonts w:hint="eastAsia"/>
                <w:snapToGrid w:val="0"/>
                <w:color w:val="auto"/>
                <w:sz w:val="24"/>
              </w:rPr>
            </w:pPr>
            <w:r>
              <w:rPr>
                <w:rFonts w:hint="eastAsia"/>
                <w:snapToGrid w:val="0"/>
                <w:color w:val="auto"/>
                <w:sz w:val="24"/>
              </w:rPr>
              <w:t>LED屏幕刷卡盒，控制卡、读头、网络模块、电源</w:t>
            </w:r>
          </w:p>
        </w:tc>
        <w:tc>
          <w:tcPr>
            <w:tcW w:w="1091" w:type="dxa"/>
            <w:tcBorders>
              <w:top w:val="single" w:color="000000" w:sz="2" w:space="0"/>
              <w:left w:val="single" w:color="auto" w:sz="4" w:space="0"/>
              <w:bottom w:val="single" w:color="000000" w:sz="2" w:space="0"/>
              <w:right w:val="single" w:color="000000" w:sz="2" w:space="0"/>
            </w:tcBorders>
            <w:noWrap w:val="0"/>
            <w:vAlign w:val="center"/>
          </w:tcPr>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1套</w:t>
            </w:r>
          </w:p>
        </w:tc>
      </w:tr>
      <w:tr>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jc w:val="center"/>
        </w:trPr>
        <w:tc>
          <w:tcPr>
            <w:tcW w:w="616" w:type="dxa"/>
            <w:vMerge w:val="continue"/>
            <w:tcBorders>
              <w:left w:val="single" w:color="000000" w:sz="8" w:space="0"/>
              <w:bottom w:val="single" w:color="000000" w:sz="2" w:space="0"/>
              <w:right w:val="single" w:color="000000" w:sz="2" w:space="0"/>
            </w:tcBorders>
            <w:noWrap w:val="0"/>
            <w:vAlign w:val="center"/>
          </w:tcPr>
          <w:p>
            <w:pPr>
              <w:spacing w:line="360" w:lineRule="auto"/>
              <w:ind w:firstLine="240" w:firstLineChars="100"/>
              <w:rPr>
                <w:rFonts w:hint="default" w:ascii="宋体" w:hAnsi="宋体" w:cs="宋体"/>
                <w:snapToGrid w:val="0"/>
                <w:color w:val="000000"/>
                <w:kern w:val="28"/>
                <w:sz w:val="24"/>
                <w:lang w:val="en-US" w:eastAsia="zh-CN"/>
              </w:rPr>
            </w:pPr>
          </w:p>
        </w:tc>
        <w:tc>
          <w:tcPr>
            <w:tcW w:w="1155" w:type="dxa"/>
            <w:vMerge w:val="continue"/>
            <w:tcBorders>
              <w:left w:val="single" w:color="000000" w:sz="2" w:space="0"/>
              <w:bottom w:val="single" w:color="000000" w:sz="2" w:space="0"/>
              <w:right w:val="single" w:color="auto" w:sz="4" w:space="0"/>
            </w:tcBorders>
            <w:noWrap w:val="0"/>
            <w:vAlign w:val="center"/>
          </w:tcPr>
          <w:p>
            <w:pPr>
              <w:tabs>
                <w:tab w:val="left" w:pos="5880"/>
              </w:tabs>
              <w:overflowPunct w:val="0"/>
              <w:spacing w:line="360" w:lineRule="auto"/>
              <w:ind w:left="191" w:leftChars="91" w:right="99" w:rightChars="47"/>
              <w:jc w:val="left"/>
              <w:textAlignment w:val="center"/>
              <w:rPr>
                <w:rFonts w:hint="eastAsia"/>
                <w:snapToGrid w:val="0"/>
                <w:sz w:val="24"/>
              </w:rPr>
            </w:pPr>
          </w:p>
        </w:tc>
        <w:tc>
          <w:tcPr>
            <w:tcW w:w="6220" w:type="dxa"/>
            <w:gridSpan w:val="2"/>
            <w:tcBorders>
              <w:top w:val="single" w:color="000000" w:sz="2" w:space="0"/>
              <w:left w:val="single" w:color="000000" w:sz="2" w:space="0"/>
              <w:bottom w:val="single" w:color="000000" w:sz="2" w:space="0"/>
              <w:right w:val="single" w:color="auto" w:sz="4" w:space="0"/>
            </w:tcBorders>
            <w:noWrap w:val="0"/>
            <w:vAlign w:val="center"/>
          </w:tcPr>
          <w:p>
            <w:pPr>
              <w:tabs>
                <w:tab w:val="left" w:pos="5880"/>
              </w:tabs>
              <w:overflowPunct w:val="0"/>
              <w:spacing w:line="360" w:lineRule="auto"/>
              <w:ind w:left="191" w:leftChars="91" w:right="99" w:rightChars="47"/>
              <w:jc w:val="left"/>
              <w:textAlignment w:val="center"/>
              <w:rPr>
                <w:rFonts w:hint="eastAsia"/>
                <w:snapToGrid w:val="0"/>
                <w:color w:val="auto"/>
                <w:sz w:val="24"/>
              </w:rPr>
            </w:pPr>
            <w:r>
              <w:rPr>
                <w:rFonts w:hint="eastAsia"/>
                <w:snapToGrid w:val="0"/>
                <w:color w:val="auto"/>
                <w:sz w:val="24"/>
              </w:rPr>
              <w:t>户外60W防水音箱2只，功放；定压200W</w:t>
            </w:r>
          </w:p>
        </w:tc>
        <w:tc>
          <w:tcPr>
            <w:tcW w:w="1091" w:type="dxa"/>
            <w:tcBorders>
              <w:top w:val="single" w:color="000000" w:sz="2" w:space="0"/>
              <w:left w:val="single" w:color="auto" w:sz="4" w:space="0"/>
              <w:bottom w:val="single" w:color="000000" w:sz="2" w:space="0"/>
              <w:right w:val="single" w:color="000000" w:sz="2" w:space="0"/>
            </w:tcBorders>
            <w:noWrap w:val="0"/>
            <w:vAlign w:val="center"/>
          </w:tcPr>
          <w:p>
            <w:pPr>
              <w:spacing w:line="360" w:lineRule="auto"/>
              <w:jc w:val="center"/>
              <w:rPr>
                <w:rFonts w:hint="eastAsia" w:ascii="宋体" w:hAnsi="宋体" w:eastAsia="宋体" w:cs="宋体"/>
                <w:snapToGrid w:val="0"/>
                <w:color w:val="000000"/>
                <w:kern w:val="28"/>
                <w:sz w:val="24"/>
                <w:lang w:val="en-US" w:eastAsia="zh-CN"/>
              </w:rPr>
            </w:pPr>
            <w:r>
              <w:rPr>
                <w:rFonts w:hint="default" w:ascii="宋体" w:hAnsi="宋体" w:cs="宋体"/>
                <w:snapToGrid w:val="0"/>
                <w:color w:val="000000"/>
                <w:kern w:val="28"/>
                <w:sz w:val="24"/>
                <w:lang w:val="en-US"/>
              </w:rPr>
              <w:t>2</w:t>
            </w:r>
            <w:r>
              <w:rPr>
                <w:rFonts w:hint="eastAsia" w:ascii="宋体" w:hAnsi="宋体" w:cs="宋体"/>
                <w:snapToGrid w:val="0"/>
                <w:color w:val="000000"/>
                <w:kern w:val="28"/>
                <w:sz w:val="24"/>
                <w:lang w:val="en-US" w:eastAsia="zh-CN"/>
              </w:rPr>
              <w:t>只</w:t>
            </w:r>
          </w:p>
        </w:tc>
      </w:tr>
      <w:tr>
        <w:tblPrEx>
          <w:tblBorders>
            <w:top w:val="single" w:color="000000" w:sz="8" w:space="0"/>
            <w:left w:val="single" w:color="000000" w:sz="8" w:space="0"/>
            <w:bottom w:val="single" w:color="000000" w:sz="8" w:space="0"/>
            <w:right w:val="single" w:color="000000" w:sz="8" w:space="0"/>
            <w:insideH w:val="single" w:color="000000" w:sz="2" w:space="0"/>
            <w:insideV w:val="single" w:color="000000" w:sz="2" w:space="0"/>
          </w:tblBorders>
          <w:tblCellMar>
            <w:top w:w="0" w:type="dxa"/>
            <w:left w:w="0" w:type="dxa"/>
            <w:bottom w:w="0" w:type="dxa"/>
            <w:right w:w="0" w:type="dxa"/>
          </w:tblCellMar>
        </w:tblPrEx>
        <w:trPr>
          <w:jc w:val="center"/>
        </w:trPr>
        <w:tc>
          <w:tcPr>
            <w:tcW w:w="616" w:type="dxa"/>
            <w:tcBorders>
              <w:top w:val="single" w:color="000000" w:sz="2" w:space="0"/>
              <w:left w:val="single" w:color="000000" w:sz="8" w:space="0"/>
              <w:bottom w:val="single" w:color="000000" w:sz="2" w:space="0"/>
              <w:right w:val="single" w:color="000000" w:sz="2" w:space="0"/>
            </w:tcBorders>
            <w:noWrap w:val="0"/>
            <w:vAlign w:val="center"/>
          </w:tcPr>
          <w:p>
            <w:pPr>
              <w:spacing w:line="360" w:lineRule="auto"/>
              <w:ind w:firstLine="240" w:firstLineChars="100"/>
              <w:rPr>
                <w:rFonts w:hint="default" w:ascii="宋体" w:hAnsi="宋体" w:eastAsia="宋体" w:cs="宋体"/>
                <w:snapToGrid w:val="0"/>
                <w:color w:val="000000"/>
                <w:kern w:val="28"/>
                <w:sz w:val="24"/>
                <w:lang w:val="en-US" w:eastAsia="zh-CN"/>
              </w:rPr>
            </w:pPr>
            <w:r>
              <w:rPr>
                <w:rFonts w:hint="eastAsia" w:ascii="宋体" w:hAnsi="宋体" w:cs="宋体"/>
                <w:snapToGrid w:val="0"/>
                <w:color w:val="000000"/>
                <w:kern w:val="28"/>
                <w:sz w:val="24"/>
                <w:lang w:val="en-US" w:eastAsia="zh-CN"/>
              </w:rPr>
              <w:t>1</w:t>
            </w:r>
            <w:r>
              <w:rPr>
                <w:rFonts w:hint="default" w:ascii="宋体" w:hAnsi="宋体" w:cs="宋体"/>
                <w:snapToGrid w:val="0"/>
                <w:color w:val="000000"/>
                <w:kern w:val="28"/>
                <w:sz w:val="24"/>
                <w:lang w:val="en-US" w:eastAsia="zh-CN"/>
              </w:rPr>
              <w:t>0</w:t>
            </w:r>
          </w:p>
        </w:tc>
        <w:tc>
          <w:tcPr>
            <w:tcW w:w="7375" w:type="dxa"/>
            <w:gridSpan w:val="3"/>
            <w:tcBorders>
              <w:top w:val="single" w:color="000000" w:sz="2" w:space="0"/>
              <w:left w:val="single" w:color="000000" w:sz="2" w:space="0"/>
              <w:bottom w:val="single" w:color="000000" w:sz="2" w:space="0"/>
              <w:right w:val="single" w:color="auto" w:sz="4" w:space="0"/>
            </w:tcBorders>
            <w:noWrap w:val="0"/>
            <w:vAlign w:val="center"/>
          </w:tcPr>
          <w:p>
            <w:pPr>
              <w:tabs>
                <w:tab w:val="left" w:pos="5880"/>
              </w:tabs>
              <w:overflowPunct w:val="0"/>
              <w:spacing w:line="360" w:lineRule="auto"/>
              <w:ind w:left="191" w:leftChars="91" w:right="99" w:rightChars="47"/>
              <w:jc w:val="left"/>
              <w:textAlignment w:val="center"/>
              <w:rPr>
                <w:rFonts w:hint="eastAsia"/>
                <w:snapToGrid w:val="0"/>
                <w:sz w:val="24"/>
              </w:rPr>
            </w:pPr>
            <w:r>
              <w:rPr>
                <w:rFonts w:hint="eastAsia"/>
                <w:snapToGrid w:val="0"/>
                <w:sz w:val="24"/>
              </w:rPr>
              <w:t>安装调试</w:t>
            </w:r>
          </w:p>
        </w:tc>
        <w:tc>
          <w:tcPr>
            <w:tcW w:w="1091" w:type="dxa"/>
            <w:tcBorders>
              <w:top w:val="single" w:color="000000" w:sz="2" w:space="0"/>
              <w:left w:val="single" w:color="auto" w:sz="4" w:space="0"/>
              <w:bottom w:val="single" w:color="000000" w:sz="2" w:space="0"/>
              <w:right w:val="single" w:color="000000" w:sz="2" w:space="0"/>
            </w:tcBorders>
            <w:noWrap w:val="0"/>
            <w:vAlign w:val="center"/>
          </w:tcPr>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1套</w:t>
            </w:r>
          </w:p>
        </w:tc>
      </w:tr>
    </w:tbl>
    <w:p>
      <w:pPr>
        <w:pStyle w:val="61"/>
        <w:rPr>
          <w:rFonts w:hint="eastAsia" w:ascii="宋体" w:hAnsi="宋体" w:cs="宋体"/>
          <w:color w:val="auto"/>
          <w:sz w:val="24"/>
        </w:rPr>
      </w:pPr>
    </w:p>
    <w:p>
      <w:pPr>
        <w:pStyle w:val="2"/>
        <w:keepNext w:val="0"/>
        <w:jc w:val="both"/>
        <w:rPr>
          <w:rFonts w:hint="eastAsia" w:ascii="宋体" w:hAnsi="宋体" w:eastAsia="宋体" w:cs="宋体"/>
        </w:rPr>
      </w:pPr>
      <w:r>
        <w:rPr>
          <w:rFonts w:hint="eastAsia" w:ascii="宋体" w:hAnsi="宋体" w:eastAsia="宋体" w:cs="宋体"/>
          <w:lang w:val="en-US"/>
        </w:rPr>
        <w:t>七</w:t>
      </w:r>
      <w:r>
        <w:rPr>
          <w:rFonts w:hint="eastAsia" w:ascii="宋体" w:hAnsi="宋体" w:eastAsia="宋体" w:cs="宋体"/>
        </w:rPr>
        <w:t>、相关产品技术参数要求：</w:t>
      </w:r>
    </w:p>
    <w:tbl>
      <w:tblPr>
        <w:tblStyle w:val="62"/>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1484"/>
        <w:gridCol w:w="1084"/>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noWrap w:val="0"/>
            <w:vAlign w:val="center"/>
          </w:tcPr>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序号</w:t>
            </w:r>
          </w:p>
        </w:tc>
        <w:tc>
          <w:tcPr>
            <w:tcW w:w="1484" w:type="dxa"/>
            <w:noWrap w:val="0"/>
            <w:vAlign w:val="center"/>
          </w:tcPr>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项目</w:t>
            </w:r>
          </w:p>
        </w:tc>
        <w:tc>
          <w:tcPr>
            <w:tcW w:w="1084" w:type="dxa"/>
            <w:noWrap w:val="0"/>
            <w:vAlign w:val="center"/>
          </w:tcPr>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名称</w:t>
            </w:r>
          </w:p>
        </w:tc>
        <w:tc>
          <w:tcPr>
            <w:tcW w:w="6030" w:type="dxa"/>
            <w:noWrap w:val="0"/>
            <w:vAlign w:val="center"/>
          </w:tcPr>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详细参数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9" w:type="dxa"/>
            <w:gridSpan w:val="4"/>
            <w:noWrap w:val="0"/>
            <w:vAlign w:val="center"/>
          </w:tcPr>
          <w:p>
            <w:pPr>
              <w:spacing w:line="360" w:lineRule="auto"/>
              <w:jc w:val="center"/>
              <w:rPr>
                <w:rFonts w:hint="eastAsia" w:ascii="宋体" w:hAnsi="宋体" w:cs="宋体"/>
                <w:b/>
                <w:snapToGrid w:val="0"/>
                <w:color w:val="000000"/>
                <w:kern w:val="28"/>
                <w:sz w:val="24"/>
              </w:rPr>
            </w:pPr>
            <w:r>
              <w:rPr>
                <w:rFonts w:hint="eastAsia" w:ascii="宋体" w:hAnsi="宋体" w:cs="宋体"/>
                <w:b/>
                <w:snapToGrid w:val="0"/>
                <w:color w:val="000000"/>
                <w:kern w:val="28"/>
                <w:sz w:val="24"/>
              </w:rPr>
              <w:t>一、户外P3系列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531" w:type="dxa"/>
            <w:vMerge w:val="restart"/>
            <w:noWrap w:val="0"/>
            <w:vAlign w:val="center"/>
          </w:tcPr>
          <w:p>
            <w:pPr>
              <w:spacing w:line="360" w:lineRule="auto"/>
              <w:rPr>
                <w:rFonts w:hint="eastAsia" w:ascii="宋体" w:hAnsi="宋体" w:cs="宋体"/>
                <w:snapToGrid w:val="0"/>
                <w:color w:val="000000"/>
                <w:kern w:val="28"/>
                <w:sz w:val="24"/>
              </w:rPr>
            </w:pPr>
            <w:r>
              <w:rPr>
                <w:rFonts w:hint="eastAsia" w:ascii="宋体" w:hAnsi="宋体" w:cs="宋体"/>
                <w:snapToGrid w:val="0"/>
                <w:color w:val="000000"/>
                <w:kern w:val="28"/>
                <w:sz w:val="24"/>
              </w:rPr>
              <w:t>1</w:t>
            </w:r>
          </w:p>
        </w:tc>
        <w:tc>
          <w:tcPr>
            <w:tcW w:w="1484" w:type="dxa"/>
            <w:vMerge w:val="restart"/>
            <w:noWrap w:val="0"/>
            <w:vAlign w:val="center"/>
          </w:tcPr>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户外显示屏</w:t>
            </w:r>
          </w:p>
        </w:tc>
        <w:tc>
          <w:tcPr>
            <w:tcW w:w="1084" w:type="dxa"/>
            <w:noWrap w:val="0"/>
            <w:vAlign w:val="center"/>
          </w:tcPr>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屏一</w:t>
            </w:r>
          </w:p>
        </w:tc>
        <w:tc>
          <w:tcPr>
            <w:tcW w:w="6030" w:type="dxa"/>
            <w:noWrap w:val="0"/>
            <w:vAlign w:val="center"/>
          </w:tcPr>
          <w:p>
            <w:pPr>
              <w:spacing w:line="360" w:lineRule="auto"/>
              <w:rPr>
                <w:rFonts w:hint="eastAsia" w:ascii="宋体" w:hAnsi="宋体" w:cs="宋体"/>
                <w:sz w:val="24"/>
              </w:rPr>
            </w:pPr>
            <w:r>
              <w:rPr>
                <w:rFonts w:hint="eastAsia" w:ascii="宋体" w:hAnsi="宋体" w:cs="宋体"/>
                <w:snapToGrid w:val="0"/>
                <w:color w:val="000000"/>
                <w:kern w:val="28"/>
                <w:sz w:val="24"/>
              </w:rPr>
              <w:t>校门口显示屏：</w:t>
            </w:r>
            <w:r>
              <w:rPr>
                <w:rFonts w:hint="eastAsia" w:ascii="宋体" w:hAnsi="宋体" w:cs="宋体"/>
                <w:sz w:val="24"/>
              </w:rPr>
              <w:t>宽6.4m*高3.68m=23.55</w:t>
            </w:r>
            <w:r>
              <w:rPr>
                <w:rFonts w:hint="eastAsia" w:ascii="宋体" w:hAnsi="宋体" w:cs="宋体"/>
                <w:snapToGrid w:val="0"/>
                <w:color w:val="000000"/>
                <w:kern w:val="28"/>
                <w:sz w:val="24"/>
              </w:rPr>
              <w:t>㎡（室外P3）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31" w:type="dxa"/>
            <w:vMerge w:val="continue"/>
            <w:noWrap w:val="0"/>
            <w:vAlign w:val="center"/>
          </w:tcPr>
          <w:p>
            <w:pPr>
              <w:spacing w:line="360" w:lineRule="auto"/>
              <w:rPr>
                <w:rFonts w:hint="eastAsia" w:ascii="宋体" w:hAnsi="宋体" w:cs="宋体"/>
                <w:snapToGrid w:val="0"/>
                <w:color w:val="000000"/>
                <w:kern w:val="28"/>
                <w:sz w:val="24"/>
              </w:rPr>
            </w:pPr>
          </w:p>
        </w:tc>
        <w:tc>
          <w:tcPr>
            <w:tcW w:w="1484" w:type="dxa"/>
            <w:vMerge w:val="continue"/>
            <w:noWrap w:val="0"/>
            <w:vAlign w:val="center"/>
          </w:tcPr>
          <w:p>
            <w:pPr>
              <w:spacing w:line="360" w:lineRule="auto"/>
              <w:jc w:val="center"/>
              <w:rPr>
                <w:rFonts w:hint="eastAsia" w:ascii="宋体" w:hAnsi="宋体" w:cs="宋体"/>
                <w:snapToGrid w:val="0"/>
                <w:color w:val="000000"/>
                <w:kern w:val="28"/>
                <w:sz w:val="24"/>
              </w:rPr>
            </w:pPr>
          </w:p>
        </w:tc>
        <w:tc>
          <w:tcPr>
            <w:tcW w:w="1084" w:type="dxa"/>
            <w:noWrap w:val="0"/>
            <w:vAlign w:val="center"/>
          </w:tcPr>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屏二</w:t>
            </w:r>
          </w:p>
        </w:tc>
        <w:tc>
          <w:tcPr>
            <w:tcW w:w="6030" w:type="dxa"/>
            <w:noWrap w:val="0"/>
            <w:vAlign w:val="center"/>
          </w:tcPr>
          <w:p>
            <w:pPr>
              <w:rPr>
                <w:rFonts w:hint="eastAsia" w:ascii="宋体" w:hAnsi="宋体" w:cs="宋体"/>
                <w:sz w:val="24"/>
              </w:rPr>
            </w:pPr>
            <w:r>
              <w:rPr>
                <w:rFonts w:hint="eastAsia" w:ascii="宋体" w:hAnsi="宋体" w:cs="宋体"/>
                <w:sz w:val="24"/>
              </w:rPr>
              <w:t>家长接送区显示屏：宽2.88m*高1.6m=4.6㎡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Merge w:val="continue"/>
            <w:noWrap w:val="0"/>
            <w:vAlign w:val="center"/>
          </w:tcPr>
          <w:p>
            <w:pPr>
              <w:spacing w:line="360" w:lineRule="auto"/>
              <w:rPr>
                <w:rFonts w:hint="eastAsia" w:ascii="宋体" w:hAnsi="宋体" w:cs="宋体"/>
                <w:snapToGrid w:val="0"/>
                <w:color w:val="000000"/>
                <w:kern w:val="28"/>
                <w:sz w:val="24"/>
              </w:rPr>
            </w:pPr>
          </w:p>
        </w:tc>
        <w:tc>
          <w:tcPr>
            <w:tcW w:w="1484" w:type="dxa"/>
            <w:vMerge w:val="continue"/>
            <w:noWrap w:val="0"/>
            <w:vAlign w:val="center"/>
          </w:tcPr>
          <w:p>
            <w:pPr>
              <w:spacing w:line="360" w:lineRule="auto"/>
              <w:jc w:val="center"/>
              <w:rPr>
                <w:rFonts w:hint="eastAsia" w:ascii="宋体" w:hAnsi="宋体" w:cs="宋体"/>
                <w:snapToGrid w:val="0"/>
                <w:color w:val="000000"/>
                <w:kern w:val="28"/>
                <w:sz w:val="24"/>
              </w:rPr>
            </w:pPr>
          </w:p>
        </w:tc>
        <w:tc>
          <w:tcPr>
            <w:tcW w:w="1084" w:type="dxa"/>
            <w:noWrap w:val="0"/>
            <w:vAlign w:val="center"/>
          </w:tcPr>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箱体</w:t>
            </w:r>
          </w:p>
        </w:tc>
        <w:tc>
          <w:tcPr>
            <w:tcW w:w="6030" w:type="dxa"/>
            <w:noWrap w:val="0"/>
            <w:vAlign w:val="center"/>
          </w:tcPr>
          <w:p>
            <w:pPr>
              <w:spacing w:line="360" w:lineRule="auto"/>
              <w:rPr>
                <w:rFonts w:hint="eastAsia" w:ascii="宋体" w:hAnsi="宋体" w:eastAsia="宋体" w:cs="宋体"/>
                <w:snapToGrid w:val="0"/>
                <w:color w:val="000000"/>
                <w:kern w:val="28"/>
                <w:sz w:val="24"/>
                <w:lang w:eastAsia="zh-CN"/>
              </w:rPr>
            </w:pPr>
            <w:r>
              <w:rPr>
                <w:rFonts w:hint="eastAsia" w:ascii="宋体" w:hAnsi="宋体" w:cs="宋体"/>
                <w:snapToGrid w:val="0"/>
                <w:color w:val="000000"/>
                <w:kern w:val="28"/>
                <w:sz w:val="24"/>
              </w:rPr>
              <w:t>★采用箱体为不锈钢箱体或者压铸铝箱体，可根据尺寸定制，严禁冷扎板箱体</w:t>
            </w:r>
            <w:r>
              <w:rPr>
                <w:rFonts w:hint="eastAsia" w:ascii="宋体" w:hAnsi="宋体" w:cs="宋体"/>
                <w:snapToGrid w:val="0"/>
                <w:color w:val="000000"/>
                <w:kern w:val="28"/>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1" w:type="dxa"/>
            <w:vMerge w:val="continue"/>
            <w:noWrap w:val="0"/>
            <w:vAlign w:val="center"/>
          </w:tcPr>
          <w:p>
            <w:pPr>
              <w:spacing w:line="360" w:lineRule="auto"/>
              <w:rPr>
                <w:rFonts w:hint="eastAsia" w:ascii="宋体" w:hAnsi="宋体" w:cs="宋体"/>
                <w:snapToGrid w:val="0"/>
                <w:color w:val="000000"/>
                <w:kern w:val="28"/>
                <w:sz w:val="24"/>
              </w:rPr>
            </w:pPr>
          </w:p>
        </w:tc>
        <w:tc>
          <w:tcPr>
            <w:tcW w:w="1484" w:type="dxa"/>
            <w:vMerge w:val="continue"/>
            <w:noWrap w:val="0"/>
            <w:vAlign w:val="center"/>
          </w:tcPr>
          <w:p>
            <w:pPr>
              <w:spacing w:line="360" w:lineRule="auto"/>
              <w:jc w:val="center"/>
              <w:rPr>
                <w:rFonts w:hint="eastAsia" w:ascii="宋体" w:hAnsi="宋体" w:cs="宋体"/>
                <w:snapToGrid w:val="0"/>
                <w:color w:val="000000"/>
                <w:kern w:val="28"/>
                <w:sz w:val="24"/>
              </w:rPr>
            </w:pPr>
          </w:p>
        </w:tc>
        <w:tc>
          <w:tcPr>
            <w:tcW w:w="1084" w:type="dxa"/>
            <w:noWrap w:val="0"/>
            <w:vAlign w:val="center"/>
          </w:tcPr>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其他技术指标</w:t>
            </w:r>
          </w:p>
        </w:tc>
        <w:tc>
          <w:tcPr>
            <w:tcW w:w="6030" w:type="dxa"/>
            <w:noWrap w:val="0"/>
            <w:vAlign w:val="center"/>
          </w:tcPr>
          <w:p>
            <w:pPr>
              <w:spacing w:line="360" w:lineRule="auto"/>
              <w:rPr>
                <w:rFonts w:hint="eastAsia" w:ascii="宋体" w:hAnsi="宋体" w:eastAsia="宋体" w:cs="宋体"/>
                <w:sz w:val="24"/>
                <w:lang w:eastAsia="zh-CN"/>
              </w:rPr>
            </w:pPr>
            <w:r>
              <w:rPr>
                <w:rFonts w:hint="eastAsia" w:ascii="宋体" w:hAnsi="宋体" w:cs="宋体"/>
                <w:sz w:val="24"/>
              </w:rPr>
              <w:t>1、像素点间距：≤3.0±0.076mm</w:t>
            </w:r>
            <w:r>
              <w:rPr>
                <w:rFonts w:hint="eastAsia" w:ascii="宋体" w:hAnsi="宋体" w:cs="宋体"/>
                <w:sz w:val="24"/>
                <w:lang w:eastAsia="zh-CN"/>
              </w:rPr>
              <w:t>；</w:t>
            </w:r>
          </w:p>
          <w:p>
            <w:pPr>
              <w:spacing w:line="360" w:lineRule="auto"/>
              <w:rPr>
                <w:rFonts w:hint="eastAsia" w:ascii="宋体" w:hAnsi="宋体" w:eastAsia="宋体" w:cs="宋体"/>
                <w:sz w:val="24"/>
                <w:lang w:eastAsia="zh-CN"/>
              </w:rPr>
            </w:pPr>
            <w:r>
              <w:rPr>
                <w:rFonts w:hint="eastAsia" w:ascii="宋体" w:hAnsi="宋体" w:cs="宋体"/>
                <w:sz w:val="24"/>
              </w:rPr>
              <w:t>2、单元板分辨率：≈5408 Dots</w:t>
            </w:r>
            <w:r>
              <w:rPr>
                <w:rFonts w:hint="eastAsia" w:ascii="宋体" w:hAnsi="宋体" w:cs="宋体"/>
                <w:sz w:val="24"/>
                <w:lang w:eastAsia="zh-CN"/>
              </w:rPr>
              <w:t>；</w:t>
            </w:r>
          </w:p>
          <w:p>
            <w:pPr>
              <w:spacing w:line="360" w:lineRule="auto"/>
              <w:rPr>
                <w:rFonts w:hint="eastAsia" w:ascii="宋体" w:hAnsi="宋体" w:eastAsia="宋体" w:cs="宋体"/>
                <w:sz w:val="24"/>
                <w:lang w:eastAsia="zh-CN"/>
              </w:rPr>
            </w:pPr>
            <w:r>
              <w:rPr>
                <w:rFonts w:hint="eastAsia" w:ascii="宋体" w:hAnsi="宋体" w:cs="宋体"/>
                <w:sz w:val="24"/>
              </w:rPr>
              <w:t>3、刷新率：≥4200Hz，支持通过配套控制软件调节刷新率设置选项</w:t>
            </w:r>
            <w:r>
              <w:rPr>
                <w:rFonts w:hint="eastAsia"/>
                <w:b/>
                <w:bCs/>
                <w:snapToGrid w:val="0"/>
                <w:sz w:val="24"/>
                <w:lang w:eastAsia="zh-CN"/>
              </w:rPr>
              <w:t>（</w:t>
            </w:r>
            <w:r>
              <w:rPr>
                <w:rFonts w:hint="eastAsia"/>
                <w:b/>
                <w:bCs/>
                <w:snapToGrid w:val="0"/>
                <w:sz w:val="24"/>
              </w:rPr>
              <w:t>提供</w:t>
            </w:r>
            <w:r>
              <w:rPr>
                <w:rFonts w:hint="eastAsia"/>
                <w:b/>
                <w:bCs/>
                <w:snapToGrid w:val="0"/>
                <w:sz w:val="24"/>
                <w:lang w:val="en-US" w:eastAsia="zh-CN"/>
              </w:rPr>
              <w:t>第三方</w:t>
            </w:r>
            <w:r>
              <w:rPr>
                <w:rFonts w:hint="eastAsia"/>
                <w:b/>
                <w:bCs/>
                <w:snapToGrid w:val="0"/>
                <w:sz w:val="24"/>
              </w:rPr>
              <w:t>权威</w:t>
            </w:r>
            <w:r>
              <w:rPr>
                <w:rFonts w:hint="eastAsia"/>
                <w:b/>
                <w:bCs/>
                <w:snapToGrid w:val="0"/>
                <w:sz w:val="24"/>
                <w:lang w:val="en-US" w:eastAsia="zh-CN"/>
              </w:rPr>
              <w:t>机构出具的</w:t>
            </w:r>
            <w:r>
              <w:rPr>
                <w:rFonts w:hint="eastAsia"/>
                <w:b/>
                <w:bCs/>
                <w:snapToGrid w:val="0"/>
                <w:sz w:val="24"/>
              </w:rPr>
              <w:t>检测报告</w:t>
            </w:r>
            <w:r>
              <w:rPr>
                <w:rFonts w:hint="eastAsia"/>
                <w:b/>
                <w:bCs/>
                <w:snapToGrid w:val="0"/>
                <w:sz w:val="24"/>
                <w:lang w:eastAsia="zh-CN"/>
              </w:rPr>
              <w:t>）</w:t>
            </w:r>
          </w:p>
          <w:p>
            <w:pPr>
              <w:spacing w:line="360" w:lineRule="auto"/>
              <w:rPr>
                <w:rFonts w:hint="eastAsia" w:ascii="宋体" w:hAnsi="宋体" w:eastAsia="宋体" w:cs="宋体"/>
                <w:sz w:val="24"/>
                <w:lang w:eastAsia="zh-CN"/>
              </w:rPr>
            </w:pPr>
            <w:r>
              <w:rPr>
                <w:rFonts w:hint="eastAsia" w:ascii="宋体" w:hAnsi="宋体" w:cs="宋体"/>
                <w:sz w:val="24"/>
              </w:rPr>
              <w:t>4、像素构成：1R、1G、1B</w:t>
            </w:r>
            <w:r>
              <w:rPr>
                <w:rFonts w:hint="eastAsia" w:ascii="宋体" w:hAnsi="宋体" w:cs="宋体"/>
                <w:sz w:val="24"/>
                <w:lang w:eastAsia="zh-CN"/>
              </w:rPr>
              <w:t>；</w:t>
            </w:r>
          </w:p>
          <w:p>
            <w:pPr>
              <w:spacing w:line="360" w:lineRule="auto"/>
              <w:rPr>
                <w:rFonts w:hint="eastAsia" w:ascii="宋体" w:hAnsi="宋体" w:eastAsia="宋体" w:cs="宋体"/>
                <w:sz w:val="24"/>
                <w:lang w:eastAsia="zh-CN"/>
              </w:rPr>
            </w:pPr>
            <w:r>
              <w:rPr>
                <w:rFonts w:hint="eastAsia" w:ascii="宋体" w:hAnsi="宋体" w:cs="宋体"/>
                <w:sz w:val="24"/>
              </w:rPr>
              <w:t>5、封装方式：SMD表贴三合一，铜线封装</w:t>
            </w:r>
            <w:r>
              <w:rPr>
                <w:rFonts w:hint="eastAsia" w:ascii="宋体" w:hAnsi="宋体" w:cs="宋体"/>
                <w:sz w:val="24"/>
                <w:lang w:eastAsia="zh-CN"/>
              </w:rPr>
              <w:t>；</w:t>
            </w:r>
          </w:p>
          <w:p>
            <w:pPr>
              <w:spacing w:line="360" w:lineRule="auto"/>
              <w:rPr>
                <w:rFonts w:hint="eastAsia" w:ascii="宋体" w:hAnsi="宋体" w:eastAsia="宋体" w:cs="宋体"/>
                <w:sz w:val="24"/>
                <w:lang w:eastAsia="zh-CN"/>
              </w:rPr>
            </w:pPr>
            <w:r>
              <w:rPr>
                <w:rFonts w:hint="eastAsia" w:ascii="宋体" w:hAnsi="宋体" w:cs="宋体"/>
                <w:sz w:val="24"/>
              </w:rPr>
              <w:t>6、驱动方式：恒流驱动</w:t>
            </w:r>
            <w:r>
              <w:rPr>
                <w:rFonts w:hint="eastAsia" w:ascii="宋体" w:hAnsi="宋体" w:cs="宋体"/>
                <w:sz w:val="24"/>
                <w:lang w:eastAsia="zh-CN"/>
              </w:rPr>
              <w:t>；</w:t>
            </w:r>
          </w:p>
          <w:p>
            <w:pPr>
              <w:spacing w:line="360" w:lineRule="auto"/>
              <w:rPr>
                <w:rFonts w:hint="eastAsia" w:ascii="宋体" w:hAnsi="宋体" w:eastAsia="宋体" w:cs="宋体"/>
                <w:sz w:val="24"/>
                <w:lang w:eastAsia="zh-CN"/>
              </w:rPr>
            </w:pPr>
            <w:r>
              <w:rPr>
                <w:rFonts w:hint="eastAsia" w:ascii="宋体" w:hAnsi="宋体" w:cs="宋体"/>
                <w:sz w:val="24"/>
              </w:rPr>
              <w:t>7、控制方式：同步控制系统</w:t>
            </w:r>
            <w:r>
              <w:rPr>
                <w:rFonts w:hint="eastAsia" w:ascii="宋体" w:hAnsi="宋体" w:cs="宋体"/>
                <w:sz w:val="24"/>
                <w:lang w:eastAsia="zh-CN"/>
              </w:rPr>
              <w:t>；</w:t>
            </w:r>
          </w:p>
          <w:p>
            <w:pPr>
              <w:spacing w:line="360" w:lineRule="auto"/>
              <w:rPr>
                <w:rFonts w:hint="eastAsia" w:ascii="宋体" w:hAnsi="宋体" w:eastAsia="宋体" w:cs="宋体"/>
                <w:sz w:val="24"/>
                <w:lang w:eastAsia="zh-CN"/>
              </w:rPr>
            </w:pPr>
            <w:r>
              <w:rPr>
                <w:rFonts w:hint="eastAsia" w:ascii="宋体" w:hAnsi="宋体" w:cs="宋体"/>
                <w:sz w:val="24"/>
              </w:rPr>
              <w:t>8、维护方式：前后双向维护</w:t>
            </w:r>
            <w:r>
              <w:rPr>
                <w:rFonts w:hint="eastAsia" w:ascii="宋体" w:hAnsi="宋体" w:cs="宋体"/>
                <w:sz w:val="24"/>
                <w:lang w:eastAsia="zh-CN"/>
              </w:rPr>
              <w:t>；</w:t>
            </w:r>
          </w:p>
          <w:p>
            <w:pPr>
              <w:spacing w:line="360" w:lineRule="auto"/>
              <w:rPr>
                <w:rFonts w:hint="eastAsia" w:ascii="宋体" w:hAnsi="宋体" w:eastAsia="宋体" w:cs="宋体"/>
                <w:sz w:val="24"/>
                <w:lang w:eastAsia="zh-CN"/>
              </w:rPr>
            </w:pPr>
            <w:r>
              <w:rPr>
                <w:rFonts w:hint="eastAsia" w:ascii="宋体" w:hAnsi="宋体" w:cs="宋体"/>
                <w:sz w:val="24"/>
              </w:rPr>
              <w:t>9、整屏平整度≤0.05mm</w:t>
            </w:r>
            <w:r>
              <w:rPr>
                <w:rFonts w:hint="eastAsia" w:ascii="宋体" w:hAnsi="宋体" w:cs="宋体"/>
                <w:sz w:val="24"/>
                <w:lang w:eastAsia="zh-CN"/>
              </w:rPr>
              <w:t>；</w:t>
            </w:r>
          </w:p>
          <w:p>
            <w:pPr>
              <w:spacing w:line="360" w:lineRule="auto"/>
              <w:rPr>
                <w:rFonts w:hint="eastAsia" w:ascii="宋体" w:hAnsi="宋体" w:eastAsia="宋体" w:cs="宋体"/>
                <w:sz w:val="24"/>
                <w:lang w:eastAsia="zh-CN"/>
              </w:rPr>
            </w:pPr>
            <w:r>
              <w:rPr>
                <w:rFonts w:hint="eastAsia" w:ascii="宋体" w:hAnsi="宋体" w:cs="宋体"/>
                <w:sz w:val="24"/>
              </w:rPr>
              <w:t>10、白平衡亮度：0-6500cd/㎡可调，亮度调节：0-100%亮度可调，256级手动/自动调节，屏幕亮度具有随环境照度的变化任意调整功能，亮度均匀性≥99%</w:t>
            </w:r>
            <w:r>
              <w:rPr>
                <w:rFonts w:hint="eastAsia" w:ascii="宋体" w:hAnsi="宋体" w:cs="宋体"/>
                <w:sz w:val="24"/>
                <w:lang w:eastAsia="zh-CN"/>
              </w:rPr>
              <w:t>，</w:t>
            </w:r>
            <w:r>
              <w:rPr>
                <w:rFonts w:hint="eastAsia" w:ascii="宋体" w:hAnsi="宋体" w:cs="宋体"/>
                <w:b/>
                <w:bCs/>
                <w:sz w:val="24"/>
                <w:lang w:eastAsia="zh-CN"/>
              </w:rPr>
              <w:t>提供第三方权威机构出具的检测报告</w:t>
            </w:r>
            <w:r>
              <w:rPr>
                <w:rFonts w:hint="eastAsia" w:ascii="宋体" w:hAnsi="宋体" w:cs="宋体"/>
                <w:sz w:val="24"/>
                <w:lang w:eastAsia="zh-CN"/>
              </w:rPr>
              <w:t>；</w:t>
            </w:r>
          </w:p>
          <w:p>
            <w:pPr>
              <w:spacing w:line="360" w:lineRule="auto"/>
              <w:rPr>
                <w:rFonts w:hint="eastAsia" w:ascii="宋体" w:hAnsi="宋体" w:eastAsia="宋体" w:cs="宋体"/>
                <w:sz w:val="24"/>
                <w:lang w:eastAsia="zh-CN"/>
              </w:rPr>
            </w:pPr>
            <w:r>
              <w:rPr>
                <w:rFonts w:hint="eastAsia" w:ascii="宋体" w:hAnsi="宋体" w:cs="宋体"/>
                <w:sz w:val="24"/>
              </w:rPr>
              <w:t>11、色温800K-20000K可调；白平衡状态下色温在6500K±5%；色温为6500K时，100%75%50%25%档电平白场调节色温误差≤100K</w:t>
            </w:r>
            <w:r>
              <w:rPr>
                <w:rFonts w:hint="eastAsia" w:ascii="宋体" w:hAnsi="宋体" w:cs="宋体"/>
                <w:sz w:val="24"/>
                <w:lang w:eastAsia="zh-CN"/>
              </w:rPr>
              <w:t>；</w:t>
            </w:r>
          </w:p>
          <w:p>
            <w:pPr>
              <w:spacing w:line="360" w:lineRule="auto"/>
              <w:rPr>
                <w:rFonts w:hint="eastAsia" w:ascii="宋体" w:hAnsi="宋体" w:eastAsia="宋体" w:cs="宋体"/>
                <w:sz w:val="24"/>
                <w:lang w:eastAsia="zh-CN"/>
              </w:rPr>
            </w:pPr>
            <w:r>
              <w:rPr>
                <w:rFonts w:hint="eastAsia" w:ascii="宋体" w:hAnsi="宋体" w:cs="宋体"/>
                <w:sz w:val="24"/>
              </w:rPr>
              <w:t>12、水平视角≥172°，垂直视角≥172°</w:t>
            </w:r>
            <w:r>
              <w:rPr>
                <w:rFonts w:hint="eastAsia" w:ascii="宋体" w:hAnsi="宋体" w:cs="宋体"/>
                <w:sz w:val="24"/>
                <w:lang w:eastAsia="zh-CN"/>
              </w:rPr>
              <w:t>；</w:t>
            </w:r>
          </w:p>
          <w:p>
            <w:pPr>
              <w:spacing w:line="360" w:lineRule="auto"/>
              <w:rPr>
                <w:rFonts w:hint="eastAsia" w:ascii="宋体" w:hAnsi="宋体" w:eastAsia="宋体" w:cs="宋体"/>
                <w:sz w:val="24"/>
                <w:lang w:eastAsia="zh-CN"/>
              </w:rPr>
            </w:pPr>
            <w:r>
              <w:rPr>
                <w:rFonts w:hint="eastAsia" w:ascii="宋体" w:hAnsi="宋体" w:cs="宋体"/>
                <w:sz w:val="24"/>
              </w:rPr>
              <w:t>13、对比度≥10000：1</w:t>
            </w:r>
            <w:r>
              <w:rPr>
                <w:rFonts w:hint="eastAsia" w:ascii="宋体" w:hAnsi="宋体" w:cs="宋体"/>
                <w:sz w:val="24"/>
                <w:lang w:eastAsia="zh-CN"/>
              </w:rPr>
              <w:t>；</w:t>
            </w:r>
          </w:p>
          <w:p>
            <w:pPr>
              <w:spacing w:line="360" w:lineRule="auto"/>
              <w:rPr>
                <w:rFonts w:hint="eastAsia" w:ascii="宋体" w:hAnsi="宋体" w:eastAsia="宋体" w:cs="宋体"/>
                <w:sz w:val="24"/>
                <w:lang w:eastAsia="zh-CN"/>
              </w:rPr>
            </w:pPr>
            <w:r>
              <w:rPr>
                <w:rFonts w:hint="eastAsia" w:ascii="宋体" w:hAnsi="宋体" w:cs="宋体"/>
                <w:sz w:val="24"/>
              </w:rPr>
              <w:t>14、灰度等级≥16bit，红绿蓝各256级，可达65536级；采用EPWM 灰阶控制技术提升低灰视觉效果，100%亮度时，16bit灰度；70%亮度，16bit灰度；50%亮度，16bit灰度；20%亮度，14bit灰度，显示画面无单列或单行像素失控现象；支持0-100%亮度时，8-16bits灰度自定义设置</w:t>
            </w:r>
            <w:r>
              <w:rPr>
                <w:rFonts w:hint="eastAsia" w:ascii="宋体" w:hAnsi="宋体" w:cs="宋体"/>
                <w:sz w:val="24"/>
                <w:lang w:eastAsia="zh-CN"/>
              </w:rPr>
              <w:t>；</w:t>
            </w:r>
          </w:p>
          <w:p>
            <w:pPr>
              <w:spacing w:line="360" w:lineRule="auto"/>
              <w:rPr>
                <w:rFonts w:hint="eastAsia" w:ascii="宋体" w:hAnsi="宋体" w:eastAsia="宋体" w:cs="宋体"/>
                <w:sz w:val="24"/>
                <w:lang w:eastAsia="zh-CN"/>
              </w:rPr>
            </w:pPr>
            <w:r>
              <w:rPr>
                <w:rFonts w:hint="eastAsia" w:ascii="宋体" w:hAnsi="宋体" w:cs="宋体"/>
                <w:sz w:val="24"/>
              </w:rPr>
              <w:t>15、峰值功耗≤500W/m²；平均功耗≤160W/m²</w:t>
            </w:r>
            <w:r>
              <w:rPr>
                <w:rFonts w:hint="eastAsia" w:ascii="宋体" w:hAnsi="宋体" w:cs="宋体"/>
                <w:sz w:val="24"/>
                <w:lang w:eastAsia="zh-CN"/>
              </w:rPr>
              <w:t>；</w:t>
            </w:r>
          </w:p>
          <w:p>
            <w:pPr>
              <w:spacing w:line="360" w:lineRule="auto"/>
              <w:rPr>
                <w:rFonts w:hint="eastAsia" w:ascii="宋体" w:hAnsi="宋体" w:eastAsia="宋体" w:cs="宋体"/>
                <w:sz w:val="24"/>
                <w:lang w:eastAsia="zh-CN"/>
              </w:rPr>
            </w:pPr>
            <w:r>
              <w:rPr>
                <w:rFonts w:hint="eastAsia" w:ascii="宋体" w:hAnsi="宋体" w:cs="宋体"/>
                <w:sz w:val="24"/>
              </w:rPr>
              <w:t>16、供电电源：在4.2*（1±10%）VDC～4.5*（1±10%）VDC范围内能正常工作</w:t>
            </w:r>
            <w:r>
              <w:rPr>
                <w:rFonts w:hint="eastAsia" w:ascii="宋体" w:hAnsi="宋体" w:cs="宋体"/>
                <w:sz w:val="24"/>
                <w:lang w:eastAsia="zh-CN"/>
              </w:rPr>
              <w:t>；</w:t>
            </w:r>
          </w:p>
          <w:p>
            <w:pPr>
              <w:spacing w:line="360" w:lineRule="auto"/>
              <w:rPr>
                <w:rFonts w:hint="eastAsia" w:ascii="宋体" w:hAnsi="宋体" w:eastAsia="宋体" w:cs="宋体"/>
                <w:sz w:val="24"/>
                <w:lang w:eastAsia="zh-CN"/>
              </w:rPr>
            </w:pPr>
            <w:r>
              <w:rPr>
                <w:rFonts w:hint="eastAsia" w:ascii="宋体" w:hAnsi="宋体" w:cs="宋体"/>
                <w:sz w:val="24"/>
              </w:rPr>
              <w:t>17、输入电压：支持宽压输入 在96-264VAC，支持窄压输入在200-240VAC，在该范围内能正常工作</w:t>
            </w:r>
            <w:r>
              <w:rPr>
                <w:rFonts w:hint="eastAsia" w:ascii="宋体" w:hAnsi="宋体" w:cs="宋体"/>
                <w:sz w:val="24"/>
                <w:lang w:eastAsia="zh-CN"/>
              </w:rPr>
              <w:t>；</w:t>
            </w:r>
          </w:p>
          <w:p>
            <w:pPr>
              <w:spacing w:line="360" w:lineRule="auto"/>
              <w:rPr>
                <w:rFonts w:hint="eastAsia" w:ascii="宋体" w:hAnsi="宋体" w:eastAsia="宋体" w:cs="宋体"/>
                <w:sz w:val="24"/>
                <w:lang w:eastAsia="zh-CN"/>
              </w:rPr>
            </w:pPr>
            <w:r>
              <w:rPr>
                <w:rFonts w:hint="eastAsia" w:ascii="宋体" w:hAnsi="宋体" w:cs="宋体"/>
                <w:sz w:val="24"/>
              </w:rPr>
              <w:t>18、防护性能：具有防静电、防电磁干扰、防腐蚀、防霉菌、防虫、防潮、抗震动、抗雷击等功能；具有电源过压、过流、断电保护、分布上电措施、防护等级达到IP65</w:t>
            </w:r>
            <w:r>
              <w:rPr>
                <w:rFonts w:hint="eastAsia" w:ascii="宋体" w:hAnsi="宋体" w:cs="宋体"/>
                <w:sz w:val="24"/>
                <w:lang w:eastAsia="zh-CN"/>
              </w:rPr>
              <w:t>；</w:t>
            </w:r>
          </w:p>
          <w:p>
            <w:pPr>
              <w:spacing w:line="360" w:lineRule="auto"/>
              <w:rPr>
                <w:rFonts w:hint="eastAsia" w:ascii="宋体" w:hAnsi="宋体" w:eastAsia="宋体" w:cs="宋体"/>
                <w:sz w:val="24"/>
                <w:lang w:eastAsia="zh-CN"/>
              </w:rPr>
            </w:pPr>
            <w:r>
              <w:rPr>
                <w:rFonts w:hint="eastAsia" w:ascii="宋体" w:hAnsi="宋体" w:cs="宋体"/>
                <w:sz w:val="24"/>
              </w:rPr>
              <w:t>19、为不影响屏体周边人员的健康，要求投标人所投LED显示屏在正常工作中，显示屏1m范围内，前后左右4个位置噪音不大于1.4dB；所投LED显示屏观看舒适度需符合：“人眼视觉舒适度(VICO)1级，基本无疲劳感。根据项目选择合适参数</w:t>
            </w:r>
            <w:r>
              <w:rPr>
                <w:rFonts w:hint="eastAsia" w:ascii="宋体" w:hAnsi="宋体" w:cs="宋体"/>
                <w:sz w:val="24"/>
                <w:lang w:eastAsia="zh-CN"/>
              </w:rPr>
              <w:t>，</w:t>
            </w:r>
            <w:r>
              <w:rPr>
                <w:rFonts w:hint="eastAsia" w:ascii="宋体" w:hAnsi="宋体" w:cs="宋体"/>
                <w:b/>
                <w:bCs/>
                <w:sz w:val="24"/>
                <w:lang w:eastAsia="zh-CN"/>
              </w:rPr>
              <w:t>提供第三方权威机构出具的检测报告</w:t>
            </w:r>
            <w:r>
              <w:rPr>
                <w:rFonts w:hint="eastAsia" w:ascii="宋体" w:hAnsi="宋体" w:cs="宋体"/>
                <w:sz w:val="24"/>
                <w:lang w:eastAsia="zh-CN"/>
              </w:rPr>
              <w:t>；</w:t>
            </w:r>
          </w:p>
          <w:p>
            <w:pPr>
              <w:spacing w:line="360" w:lineRule="auto"/>
              <w:rPr>
                <w:rFonts w:hint="eastAsia" w:ascii="宋体" w:hAnsi="宋体" w:eastAsia="宋体" w:cs="宋体"/>
                <w:sz w:val="24"/>
                <w:lang w:eastAsia="zh-CN"/>
              </w:rPr>
            </w:pPr>
            <w:r>
              <w:rPr>
                <w:rFonts w:hint="eastAsia" w:ascii="宋体" w:hAnsi="宋体" w:cs="宋体"/>
                <w:sz w:val="24"/>
              </w:rPr>
              <w:t>20、所投LED显示屏的灯管耐焊耐热：灯珠引脚无氧化,焊接正常,灯珠胶体正常,点亮正常；灯管抗静电(ESD)测试：HBM模式:ESD&gt;2000V,灯珠点亮无异常；灯管红墨水试验：纯红墨水常温浸泡24h,无渗透,灯管气密性良好</w:t>
            </w:r>
            <w:r>
              <w:rPr>
                <w:rFonts w:hint="eastAsia" w:ascii="宋体" w:hAnsi="宋体" w:cs="宋体"/>
                <w:sz w:val="24"/>
                <w:lang w:eastAsia="zh-CN"/>
              </w:rPr>
              <w:t>；</w:t>
            </w:r>
          </w:p>
          <w:p>
            <w:pPr>
              <w:spacing w:line="360" w:lineRule="auto"/>
              <w:rPr>
                <w:rFonts w:hint="eastAsia" w:ascii="宋体" w:hAnsi="宋体" w:eastAsia="宋体" w:cs="宋体"/>
                <w:sz w:val="24"/>
                <w:lang w:eastAsia="zh-CN"/>
              </w:rPr>
            </w:pPr>
            <w:r>
              <w:rPr>
                <w:rFonts w:hint="eastAsia" w:ascii="宋体" w:hAnsi="宋体" w:cs="宋体"/>
                <w:sz w:val="24"/>
              </w:rPr>
              <w:t>21、要求投标人所投LED显示屏支持DVI、VGA、SDI输入、支持HDMI视频输入、支持视频PAL/NTSC制式自适应、支持复合视频信号、支持USB输入、支持IP输入、支持CVBS/DP/HDBASE输入、支持光纤/网络等接口输入</w:t>
            </w:r>
            <w:r>
              <w:rPr>
                <w:rFonts w:hint="eastAsia" w:ascii="宋体" w:hAnsi="宋体" w:cs="宋体"/>
                <w:sz w:val="24"/>
                <w:lang w:eastAsia="zh-CN"/>
              </w:rPr>
              <w:t>；</w:t>
            </w:r>
            <w:r>
              <w:rPr>
                <w:rFonts w:hint="eastAsia" w:ascii="宋体" w:hAnsi="宋体" w:cs="宋体"/>
                <w:sz w:val="24"/>
              </w:rPr>
              <w:t>22、防电击等级依据GB4943.1标准，使用基本绝缘作为基本安全防护，同时使用保护连接和保护接地作为附加安全防护，达到防电击保护I类设备</w:t>
            </w:r>
            <w:r>
              <w:rPr>
                <w:rFonts w:hint="eastAsia" w:ascii="宋体" w:hAnsi="宋体" w:cs="宋体"/>
                <w:sz w:val="24"/>
                <w:lang w:eastAsia="zh-CN"/>
              </w:rPr>
              <w:t>；</w:t>
            </w:r>
          </w:p>
          <w:p>
            <w:pPr>
              <w:spacing w:line="360" w:lineRule="auto"/>
              <w:rPr>
                <w:rFonts w:hint="eastAsia" w:ascii="宋体" w:hAnsi="宋体" w:eastAsia="宋体" w:cs="宋体"/>
                <w:sz w:val="24"/>
                <w:lang w:eastAsia="zh-CN"/>
              </w:rPr>
            </w:pPr>
            <w:r>
              <w:rPr>
                <w:rFonts w:hint="eastAsia" w:ascii="宋体" w:hAnsi="宋体" w:cs="宋体"/>
                <w:sz w:val="24"/>
              </w:rPr>
              <w:t>★23、产品采用高端芯片，可智能调节正常工作与睡眠状态下的节能效果（动态节能，智能息屏），开启智能节电功能比没有开启，节能55%以上</w:t>
            </w:r>
            <w:r>
              <w:rPr>
                <w:rFonts w:hint="eastAsia" w:ascii="宋体" w:hAnsi="宋体" w:cs="宋体"/>
                <w:sz w:val="24"/>
                <w:lang w:eastAsia="zh-CN"/>
              </w:rPr>
              <w:t>。</w:t>
            </w:r>
            <w:r>
              <w:rPr>
                <w:rFonts w:hint="eastAsia" w:ascii="宋体" w:hAnsi="宋体" w:cs="宋体"/>
                <w:b/>
                <w:bCs/>
                <w:sz w:val="24"/>
                <w:lang w:eastAsia="zh-CN"/>
              </w:rPr>
              <w:t>提供第三方权威机构出具的检测报告</w:t>
            </w:r>
            <w:r>
              <w:rPr>
                <w:rFonts w:hint="eastAsia" w:ascii="宋体" w:hAnsi="宋体" w:cs="宋体"/>
                <w:sz w:val="24"/>
                <w:lang w:eastAsia="zh-CN"/>
              </w:rPr>
              <w:t>；</w:t>
            </w:r>
          </w:p>
          <w:p>
            <w:pPr>
              <w:spacing w:line="360" w:lineRule="auto"/>
              <w:rPr>
                <w:rFonts w:hint="eastAsia" w:ascii="宋体" w:hAnsi="宋体" w:eastAsia="宋体" w:cs="宋体"/>
                <w:sz w:val="24"/>
                <w:lang w:eastAsia="zh-CN"/>
              </w:rPr>
            </w:pPr>
            <w:r>
              <w:rPr>
                <w:rFonts w:hint="eastAsia" w:ascii="宋体" w:hAnsi="宋体" w:cs="宋体"/>
                <w:sz w:val="24"/>
              </w:rPr>
              <w:t>★24、长时间没有使用屏体，屏体自动切入除湿模式，通过预热灯珠，蒸发掉灯珠内部湿气，使屏体从10%到100%亮度逐步显示，达到保护LED灯</w:t>
            </w:r>
            <w:r>
              <w:rPr>
                <w:rFonts w:hint="eastAsia" w:ascii="宋体" w:hAnsi="宋体" w:cs="宋体"/>
                <w:sz w:val="24"/>
                <w:lang w:eastAsia="zh-CN"/>
              </w:rPr>
              <w:t>；</w:t>
            </w:r>
            <w:r>
              <w:rPr>
                <w:rFonts w:hint="eastAsia" w:ascii="宋体" w:hAnsi="宋体" w:cs="宋体"/>
                <w:b/>
                <w:bCs/>
                <w:sz w:val="24"/>
                <w:lang w:eastAsia="zh-CN"/>
              </w:rPr>
              <w:t>提供第三方权威机构出具的检测报告；</w:t>
            </w:r>
          </w:p>
          <w:p>
            <w:pPr>
              <w:spacing w:line="360" w:lineRule="auto"/>
              <w:rPr>
                <w:rFonts w:hint="eastAsia" w:ascii="宋体" w:hAnsi="宋体" w:eastAsia="宋体" w:cs="宋体"/>
                <w:sz w:val="24"/>
                <w:lang w:eastAsia="zh-CN"/>
              </w:rPr>
            </w:pPr>
            <w:r>
              <w:rPr>
                <w:rFonts w:hint="eastAsia" w:ascii="宋体" w:hAnsi="宋体" w:cs="宋体"/>
                <w:sz w:val="24"/>
              </w:rPr>
              <w:t>25、具有SELV电路，在SELV电路中任何两个导体之间或任何一个这样的导体和地之间的电压的限值为：正常工作条件下，不超过42.4V交流峰值或60V直流值单一故障条件下，在200ms后不超过42.4V（30V有效值）交流峰值或60V直流值，并且在200ms内其极限值不超过71V（50V有效值）交流峰值或120V直流值</w:t>
            </w:r>
            <w:r>
              <w:rPr>
                <w:rFonts w:hint="eastAsia" w:ascii="宋体" w:hAnsi="宋体" w:cs="宋体"/>
                <w:sz w:val="24"/>
                <w:lang w:eastAsia="zh-CN"/>
              </w:rPr>
              <w:t>；</w:t>
            </w:r>
            <w:r>
              <w:rPr>
                <w:rFonts w:hint="eastAsia" w:ascii="宋体" w:hAnsi="宋体" w:cs="宋体"/>
                <w:b/>
                <w:bCs/>
                <w:sz w:val="24"/>
                <w:lang w:eastAsia="zh-CN"/>
              </w:rPr>
              <w:t>提供第三方权威机构出具的检测报告；</w:t>
            </w:r>
          </w:p>
          <w:p>
            <w:pPr>
              <w:spacing w:line="360" w:lineRule="auto"/>
              <w:rPr>
                <w:rFonts w:hint="eastAsia" w:ascii="宋体" w:hAnsi="宋体" w:eastAsia="宋体" w:cs="宋体"/>
                <w:sz w:val="24"/>
                <w:lang w:eastAsia="zh-CN"/>
              </w:rPr>
            </w:pPr>
            <w:r>
              <w:rPr>
                <w:rFonts w:hint="eastAsia" w:ascii="宋体" w:hAnsi="宋体" w:cs="宋体"/>
                <w:sz w:val="24"/>
              </w:rPr>
              <w:t>26、LED显示屏保护地端子应有标记。进行标记耐久性试验后，标记牢固、清晰可辨。LED显示屏在熔断器和开关电源处应有警告标示。进行标记耐久性试验后，标记应牢固、清晰可辨</w:t>
            </w:r>
            <w:r>
              <w:rPr>
                <w:rFonts w:hint="eastAsia" w:ascii="宋体" w:hAnsi="宋体" w:cs="宋体"/>
                <w:sz w:val="24"/>
                <w:lang w:eastAsia="zh-CN"/>
              </w:rPr>
              <w:t>；</w:t>
            </w:r>
          </w:p>
          <w:p>
            <w:pPr>
              <w:spacing w:line="360" w:lineRule="auto"/>
              <w:rPr>
                <w:rFonts w:hint="eastAsia" w:ascii="宋体" w:hAnsi="宋体" w:eastAsia="宋体" w:cs="宋体"/>
                <w:sz w:val="24"/>
                <w:lang w:eastAsia="zh-CN"/>
              </w:rPr>
            </w:pPr>
            <w:r>
              <w:rPr>
                <w:rFonts w:hint="eastAsia" w:ascii="宋体" w:hAnsi="宋体" w:cs="宋体"/>
                <w:sz w:val="24"/>
              </w:rPr>
              <w:t>27、支持手机、平板可视化控制LED大屏，切换播放内容，定制播放计划等；支持手机添加LOGO、时间、日期、文字标语、滚动字幕、图片、视频窗口；支持分屏操作。支持任意比例拼接素材和多图层叠加；支持无线遥控、手机遥控，一键切换视频；支持与智能播控软件一键IP连接</w:t>
            </w:r>
            <w:r>
              <w:rPr>
                <w:rFonts w:hint="eastAsia" w:ascii="宋体" w:hAnsi="宋体" w:cs="宋体"/>
                <w:sz w:val="24"/>
                <w:lang w:eastAsia="zh-CN"/>
              </w:rPr>
              <w:t>；</w:t>
            </w:r>
          </w:p>
          <w:p>
            <w:pPr>
              <w:spacing w:line="360" w:lineRule="auto"/>
              <w:rPr>
                <w:rFonts w:hint="eastAsia" w:ascii="宋体" w:hAnsi="宋体" w:cs="宋体"/>
                <w:sz w:val="24"/>
              </w:rPr>
            </w:pPr>
            <w:r>
              <w:rPr>
                <w:rFonts w:hint="eastAsia" w:ascii="宋体" w:hAnsi="宋体" w:cs="宋体"/>
                <w:sz w:val="24"/>
              </w:rPr>
              <w:t>28、显示屏所使用的材料及元器件均符合《SJ/T11363-2016电子信息产品中有毒有害物质的限定要求》符合环保要求的相关声明，根据《GB/T27050.1-2006合格评定供方的符合性声明第1部分：通用要求》 和《GB/T27050.2-2006合格评定供方的符合性声明第2部分：支持性文件》</w:t>
            </w:r>
          </w:p>
          <w:p>
            <w:pPr>
              <w:spacing w:line="360" w:lineRule="auto"/>
              <w:rPr>
                <w:rFonts w:hint="eastAsia" w:ascii="宋体" w:hAnsi="宋体" w:eastAsia="宋体" w:cs="宋体"/>
                <w:sz w:val="24"/>
                <w:lang w:eastAsia="zh-CN"/>
              </w:rPr>
            </w:pPr>
            <w:r>
              <w:rPr>
                <w:rFonts w:hint="eastAsia" w:ascii="宋体" w:hAnsi="宋体" w:cs="宋体"/>
                <w:sz w:val="24"/>
              </w:rPr>
              <w:t>版本号：V1.0</w:t>
            </w:r>
            <w:r>
              <w:rPr>
                <w:rFonts w:hint="eastAsia" w:ascii="宋体" w:hAnsi="宋体" w:cs="宋体"/>
                <w:sz w:val="24"/>
                <w:lang w:eastAsia="zh-CN"/>
              </w:rPr>
              <w:t>；</w:t>
            </w:r>
          </w:p>
          <w:p>
            <w:pPr>
              <w:spacing w:line="360" w:lineRule="auto"/>
              <w:rPr>
                <w:rFonts w:hint="eastAsia" w:ascii="宋体" w:hAnsi="宋体" w:cs="宋体"/>
                <w:sz w:val="24"/>
              </w:rPr>
            </w:pPr>
            <w:r>
              <w:rPr>
                <w:rFonts w:hint="eastAsia" w:ascii="宋体" w:hAnsi="宋体" w:cs="宋体"/>
                <w:sz w:val="24"/>
              </w:rPr>
              <w:t>29、支持鬼影消除、首行暗亮消除、低灰偏色补偿、低灰均匀性、低灰横条纹消除、慢速开启、十字架消除、去坏点、毛毛虫消除、余辉消除、亮度缓慢变亮功能</w:t>
            </w:r>
          </w:p>
          <w:p>
            <w:pPr>
              <w:spacing w:line="360" w:lineRule="auto"/>
              <w:rPr>
                <w:rFonts w:hint="eastAsia" w:ascii="宋体" w:hAnsi="宋体" w:eastAsia="宋体" w:cs="宋体"/>
                <w:sz w:val="24"/>
                <w:lang w:eastAsia="zh-CN"/>
              </w:rPr>
            </w:pPr>
            <w:r>
              <w:rPr>
                <w:rFonts w:hint="eastAsia" w:ascii="宋体" w:hAnsi="宋体" w:cs="宋体"/>
                <w:sz w:val="24"/>
              </w:rPr>
              <w:t>30、为保证产品使用安全，静电电压衰减期（±1000-±100V）≤2S；摩擦起电电压|V|≤100V</w:t>
            </w:r>
            <w:r>
              <w:rPr>
                <w:rFonts w:hint="eastAsia" w:ascii="宋体" w:hAnsi="宋体" w:cs="宋体"/>
                <w:sz w:val="24"/>
                <w:lang w:eastAsia="zh-CN"/>
              </w:rPr>
              <w:t>；</w:t>
            </w:r>
            <w:r>
              <w:rPr>
                <w:rFonts w:hint="eastAsia" w:ascii="宋体" w:hAnsi="宋体" w:cs="宋体"/>
                <w:b/>
                <w:bCs/>
                <w:sz w:val="24"/>
                <w:lang w:eastAsia="zh-CN"/>
              </w:rPr>
              <w:t>提供第三方权威机构出具的检测报告；</w:t>
            </w:r>
          </w:p>
          <w:p>
            <w:pPr>
              <w:spacing w:line="360" w:lineRule="auto"/>
              <w:rPr>
                <w:rFonts w:hint="eastAsia" w:ascii="宋体" w:hAnsi="宋体" w:eastAsia="宋体" w:cs="宋体"/>
                <w:sz w:val="24"/>
                <w:lang w:eastAsia="zh-CN"/>
              </w:rPr>
            </w:pPr>
            <w:r>
              <w:rPr>
                <w:rFonts w:hint="eastAsia" w:ascii="宋体" w:hAnsi="宋体" w:cs="宋体"/>
                <w:sz w:val="24"/>
              </w:rPr>
              <w:t>31、为保证产品信息传输稳定性，辐射干扰和传导干扰，均需符合GB/T9254-2021 ClassB限值要求</w:t>
            </w:r>
            <w:r>
              <w:rPr>
                <w:rFonts w:hint="eastAsia" w:ascii="宋体" w:hAnsi="宋体" w:cs="宋体"/>
                <w:sz w:val="24"/>
                <w:lang w:eastAsia="zh-CN"/>
              </w:rPr>
              <w:t>；</w:t>
            </w:r>
          </w:p>
          <w:p>
            <w:pPr>
              <w:spacing w:line="360" w:lineRule="auto"/>
              <w:rPr>
                <w:rFonts w:hint="eastAsia" w:ascii="宋体" w:hAnsi="宋体" w:cs="宋体"/>
                <w:sz w:val="24"/>
              </w:rPr>
            </w:pPr>
            <w:r>
              <w:rPr>
                <w:rFonts w:hint="eastAsia" w:ascii="宋体" w:hAnsi="宋体" w:cs="宋体"/>
                <w:sz w:val="24"/>
              </w:rPr>
              <w:t>32、LED显示屏提供本产品的3C认证证书复印件或扫描件。</w:t>
            </w:r>
          </w:p>
          <w:p>
            <w:pPr>
              <w:spacing w:line="360" w:lineRule="auto"/>
              <w:rPr>
                <w:rFonts w:hint="eastAsia" w:ascii="宋体" w:hAnsi="宋体" w:cs="宋体"/>
                <w:sz w:val="24"/>
                <w:highlight w:val="none"/>
              </w:rPr>
            </w:pPr>
            <w:r>
              <w:rPr>
                <w:rFonts w:hint="eastAsia" w:ascii="宋体" w:hAnsi="宋体" w:cs="宋体"/>
                <w:sz w:val="24"/>
                <w:highlight w:val="none"/>
              </w:rPr>
              <w:t>33、为保证所提供产品来源正规，需承诺</w:t>
            </w:r>
            <w:r>
              <w:rPr>
                <w:rFonts w:hint="eastAsia" w:ascii="宋体" w:hAnsi="宋体" w:cs="宋体"/>
                <w:b/>
                <w:bCs/>
                <w:color w:val="auto"/>
                <w:sz w:val="24"/>
                <w:highlight w:val="none"/>
              </w:rPr>
              <w:t>中标后</w:t>
            </w:r>
            <w:r>
              <w:rPr>
                <w:rFonts w:hint="eastAsia" w:ascii="宋体" w:hAnsi="宋体" w:cs="宋体"/>
                <w:sz w:val="24"/>
                <w:highlight w:val="none"/>
              </w:rPr>
              <w:t>在签订合同时提供加盖制造商公章的授权、质保承诺书等（承诺格式自拟）</w:t>
            </w:r>
          </w:p>
          <w:p>
            <w:pPr>
              <w:spacing w:line="360" w:lineRule="auto"/>
              <w:rPr>
                <w:rFonts w:hint="eastAsia" w:ascii="宋体" w:hAnsi="宋体" w:cs="宋体"/>
                <w:sz w:val="24"/>
              </w:rPr>
            </w:pPr>
            <w:r>
              <w:rPr>
                <w:rFonts w:hint="eastAsia" w:ascii="宋体" w:hAnsi="宋体" w:cs="宋体"/>
                <w:sz w:val="24"/>
              </w:rPr>
              <w:t>34、为了防止LED光源对人眼的伤害，LED电子显示屏产品通过TUV莱茵低蓝光认证，无视网膜蓝光危害。</w:t>
            </w:r>
          </w:p>
          <w:p>
            <w:pPr>
              <w:spacing w:line="360" w:lineRule="auto"/>
              <w:rPr>
                <w:rFonts w:hint="eastAsia" w:ascii="宋体" w:hAnsi="宋体" w:eastAsia="宋体" w:cs="宋体"/>
                <w:sz w:val="24"/>
                <w:lang w:eastAsia="zh-CN"/>
              </w:rPr>
            </w:pPr>
            <w:r>
              <w:rPr>
                <w:rFonts w:hint="eastAsia" w:ascii="宋体" w:hAnsi="宋体" w:cs="宋体"/>
                <w:sz w:val="24"/>
                <w:highlight w:val="none"/>
              </w:rPr>
              <w:t>★3</w:t>
            </w:r>
            <w:r>
              <w:rPr>
                <w:rFonts w:hint="eastAsia" w:ascii="宋体" w:hAnsi="宋体" w:cs="宋体"/>
                <w:sz w:val="24"/>
                <w:highlight w:val="none"/>
                <w:lang w:val="en-US" w:eastAsia="zh-CN"/>
              </w:rPr>
              <w:t>5</w:t>
            </w:r>
            <w:r>
              <w:rPr>
                <w:rFonts w:hint="eastAsia" w:ascii="宋体" w:hAnsi="宋体" w:cs="宋体"/>
                <w:sz w:val="24"/>
                <w:highlight w:val="none"/>
              </w:rPr>
              <w:t>、产品中</w:t>
            </w:r>
            <w:r>
              <w:rPr>
                <w:rFonts w:hint="eastAsia" w:ascii="宋体" w:hAnsi="宋体" w:cs="宋体"/>
                <w:sz w:val="24"/>
                <w:highlight w:val="none"/>
                <w:lang w:val="en-US" w:eastAsia="zh-CN"/>
              </w:rPr>
              <w:t>不含</w:t>
            </w:r>
            <w:r>
              <w:rPr>
                <w:rFonts w:hint="eastAsia" w:ascii="宋体" w:hAnsi="宋体" w:cs="宋体"/>
                <w:sz w:val="24"/>
                <w:highlight w:val="none"/>
              </w:rPr>
              <w:t>铅、汞、镉、六价铬、多溴联苯和多溴二苯醚</w:t>
            </w:r>
            <w:r>
              <w:rPr>
                <w:rFonts w:hint="eastAsia" w:ascii="宋体" w:hAnsi="宋体" w:cs="宋体"/>
                <w:sz w:val="24"/>
                <w:highlight w:val="none"/>
                <w:lang w:val="en-US" w:eastAsia="zh-CN"/>
              </w:rPr>
              <w:t>等物质</w:t>
            </w:r>
            <w:bookmarkStart w:id="546" w:name="_GoBack"/>
            <w:r>
              <w:rPr>
                <w:rFonts w:hint="eastAsia" w:ascii="宋体" w:hAnsi="宋体" w:cs="宋体"/>
                <w:color w:val="auto"/>
                <w:sz w:val="24"/>
                <w:highlight w:val="none"/>
                <w:lang w:val="en-US" w:eastAsia="zh-CN"/>
              </w:rPr>
              <w:t>含量符合国家标准</w:t>
            </w:r>
            <w:bookmarkEnd w:id="546"/>
            <w:r>
              <w:rPr>
                <w:rFonts w:hint="eastAsia" w:ascii="宋体" w:hAnsi="宋体" w:cs="宋体"/>
                <w:b/>
                <w:bCs/>
                <w:sz w:val="24"/>
                <w:highlight w:val="none"/>
              </w:rPr>
              <w:t>（</w:t>
            </w:r>
            <w:r>
              <w:rPr>
                <w:rFonts w:hint="eastAsia" w:ascii="宋体" w:hAnsi="宋体" w:cs="宋体"/>
                <w:b/>
                <w:bCs/>
                <w:sz w:val="24"/>
                <w:lang w:eastAsia="zh-CN"/>
              </w:rPr>
              <w:t>提供第三方权威机构出具的检测报告）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129" w:type="dxa"/>
            <w:gridSpan w:val="4"/>
            <w:noWrap w:val="0"/>
            <w:vAlign w:val="center"/>
          </w:tcPr>
          <w:p>
            <w:pPr>
              <w:spacing w:line="360" w:lineRule="auto"/>
              <w:jc w:val="center"/>
              <w:rPr>
                <w:rFonts w:hint="eastAsia" w:ascii="宋体" w:hAnsi="宋体" w:cs="宋体"/>
                <w:snapToGrid w:val="0"/>
                <w:color w:val="000000"/>
                <w:kern w:val="28"/>
                <w:sz w:val="24"/>
              </w:rPr>
            </w:pPr>
            <w:r>
              <w:rPr>
                <w:rFonts w:hint="eastAsia" w:ascii="宋体" w:hAnsi="宋体" w:cs="宋体"/>
                <w:b/>
                <w:snapToGrid w:val="0"/>
                <w:color w:val="000000"/>
                <w:kern w:val="28"/>
                <w:sz w:val="24"/>
              </w:rPr>
              <w:t>二、室内P1.8系列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Merge w:val="restart"/>
            <w:noWrap w:val="0"/>
            <w:vAlign w:val="center"/>
          </w:tcPr>
          <w:p>
            <w:pPr>
              <w:spacing w:line="360" w:lineRule="auto"/>
              <w:rPr>
                <w:rFonts w:hint="eastAsia" w:ascii="宋体" w:hAnsi="宋体" w:cs="宋体"/>
                <w:snapToGrid w:val="0"/>
                <w:color w:val="000000"/>
                <w:kern w:val="28"/>
                <w:sz w:val="24"/>
              </w:rPr>
            </w:pPr>
            <w:r>
              <w:rPr>
                <w:rFonts w:hint="eastAsia" w:ascii="宋体" w:hAnsi="宋体" w:cs="宋体"/>
                <w:snapToGrid w:val="0"/>
                <w:color w:val="000000"/>
                <w:kern w:val="28"/>
                <w:sz w:val="24"/>
              </w:rPr>
              <w:t>2</w:t>
            </w:r>
          </w:p>
        </w:tc>
        <w:tc>
          <w:tcPr>
            <w:tcW w:w="1484" w:type="dxa"/>
            <w:vMerge w:val="restart"/>
            <w:noWrap w:val="0"/>
            <w:vAlign w:val="center"/>
          </w:tcPr>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报告厅室内显示主屏</w:t>
            </w:r>
          </w:p>
        </w:tc>
        <w:tc>
          <w:tcPr>
            <w:tcW w:w="1084" w:type="dxa"/>
            <w:noWrap w:val="0"/>
            <w:vAlign w:val="center"/>
          </w:tcPr>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尺寸</w:t>
            </w:r>
          </w:p>
        </w:tc>
        <w:tc>
          <w:tcPr>
            <w:tcW w:w="6030" w:type="dxa"/>
            <w:noWrap w:val="0"/>
            <w:vAlign w:val="center"/>
          </w:tcPr>
          <w:p>
            <w:pPr>
              <w:spacing w:line="360" w:lineRule="auto"/>
              <w:rPr>
                <w:rFonts w:hint="eastAsia" w:ascii="宋体" w:hAnsi="宋体" w:cs="宋体"/>
                <w:snapToGrid w:val="0"/>
                <w:color w:val="000000"/>
                <w:kern w:val="28"/>
                <w:sz w:val="24"/>
              </w:rPr>
            </w:pPr>
            <w:r>
              <w:rPr>
                <w:rFonts w:hint="eastAsia" w:ascii="宋体" w:hAnsi="宋体" w:cs="宋体"/>
                <w:snapToGrid w:val="0"/>
                <w:color w:val="000000"/>
                <w:kern w:val="28"/>
                <w:sz w:val="24"/>
              </w:rPr>
              <w:t>9.6m*高5.76m=55.3㎡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Merge w:val="continue"/>
            <w:noWrap w:val="0"/>
            <w:vAlign w:val="center"/>
          </w:tcPr>
          <w:p>
            <w:pPr>
              <w:spacing w:line="360" w:lineRule="auto"/>
              <w:rPr>
                <w:rFonts w:hint="eastAsia" w:ascii="宋体" w:hAnsi="宋体" w:cs="宋体"/>
                <w:snapToGrid w:val="0"/>
                <w:color w:val="000000"/>
                <w:kern w:val="28"/>
                <w:sz w:val="24"/>
              </w:rPr>
            </w:pPr>
          </w:p>
        </w:tc>
        <w:tc>
          <w:tcPr>
            <w:tcW w:w="1484" w:type="dxa"/>
            <w:vMerge w:val="continue"/>
            <w:noWrap w:val="0"/>
            <w:vAlign w:val="center"/>
          </w:tcPr>
          <w:p>
            <w:pPr>
              <w:spacing w:line="360" w:lineRule="auto"/>
              <w:jc w:val="center"/>
              <w:rPr>
                <w:rFonts w:hint="eastAsia" w:ascii="宋体" w:hAnsi="宋体" w:cs="宋体"/>
                <w:snapToGrid w:val="0"/>
                <w:color w:val="000000"/>
                <w:kern w:val="28"/>
                <w:sz w:val="24"/>
              </w:rPr>
            </w:pPr>
          </w:p>
        </w:tc>
        <w:tc>
          <w:tcPr>
            <w:tcW w:w="1084" w:type="dxa"/>
            <w:noWrap w:val="0"/>
            <w:vAlign w:val="center"/>
          </w:tcPr>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单元板</w:t>
            </w:r>
          </w:p>
        </w:tc>
        <w:tc>
          <w:tcPr>
            <w:tcW w:w="6030" w:type="dxa"/>
            <w:noWrap w:val="0"/>
            <w:vAlign w:val="center"/>
          </w:tcPr>
          <w:p>
            <w:pPr>
              <w:spacing w:line="360" w:lineRule="auto"/>
              <w:rPr>
                <w:rFonts w:hint="eastAsia" w:ascii="宋体" w:hAnsi="宋体" w:cs="宋体"/>
                <w:snapToGrid w:val="0"/>
                <w:color w:val="000000"/>
                <w:kern w:val="28"/>
                <w:sz w:val="24"/>
              </w:rPr>
            </w:pPr>
            <w:r>
              <w:rPr>
                <w:rFonts w:hint="eastAsia" w:ascii="宋体" w:hAnsi="宋体" w:cs="宋体"/>
                <w:snapToGrid w:val="0"/>
                <w:color w:val="000000"/>
                <w:kern w:val="28"/>
                <w:sz w:val="24"/>
              </w:rPr>
              <w:t xml:space="preserve">1、单元板尺寸：320mm× 160mm  </w:t>
            </w:r>
          </w:p>
          <w:p>
            <w:pPr>
              <w:spacing w:line="360" w:lineRule="auto"/>
              <w:rPr>
                <w:rFonts w:hint="eastAsia" w:ascii="宋体" w:hAnsi="宋体" w:cs="宋体"/>
                <w:snapToGrid w:val="0"/>
                <w:color w:val="000000"/>
                <w:kern w:val="28"/>
                <w:sz w:val="24"/>
              </w:rPr>
            </w:pPr>
            <w:r>
              <w:rPr>
                <w:rFonts w:hint="eastAsia" w:ascii="宋体" w:hAnsi="宋体" w:cs="宋体"/>
                <w:snapToGrid w:val="0"/>
                <w:color w:val="000000"/>
                <w:kern w:val="28"/>
                <w:sz w:val="24"/>
              </w:rPr>
              <w:t>★2、单元板（非箱体）原始设计具备信号双输入, 采用2个独立排针双数据输入接口</w:t>
            </w:r>
            <w:r>
              <w:rPr>
                <w:rFonts w:hint="eastAsia" w:ascii="宋体" w:hAnsi="宋体" w:cs="宋体"/>
                <w:b/>
                <w:bCs/>
                <w:snapToGrid w:val="0"/>
                <w:color w:val="000000"/>
                <w:kern w:val="28"/>
                <w:sz w:val="24"/>
              </w:rPr>
              <w:t>(提供单元板背面截图</w:t>
            </w:r>
            <w:r>
              <w:rPr>
                <w:rFonts w:hint="eastAsia" w:ascii="宋体" w:hAnsi="宋体" w:cs="宋体"/>
                <w:b/>
                <w:bCs/>
                <w:snapToGrid w:val="0"/>
                <w:color w:val="000000"/>
                <w:kern w:val="28"/>
                <w:sz w:val="24"/>
                <w:lang w:val="en-US" w:eastAsia="zh-CN"/>
              </w:rPr>
              <w:t>和</w:t>
            </w:r>
            <w:r>
              <w:rPr>
                <w:rFonts w:hint="eastAsia" w:ascii="宋体" w:hAnsi="宋体" w:cs="宋体"/>
                <w:b/>
                <w:bCs/>
                <w:snapToGrid w:val="0"/>
                <w:color w:val="000000"/>
                <w:kern w:val="28"/>
                <w:sz w:val="24"/>
              </w:rPr>
              <w:t>第三方权威机构</w:t>
            </w:r>
            <w:r>
              <w:rPr>
                <w:rFonts w:hint="eastAsia" w:ascii="宋体" w:hAnsi="宋体" w:cs="宋体"/>
                <w:b/>
                <w:bCs/>
                <w:snapToGrid w:val="0"/>
                <w:color w:val="000000"/>
                <w:kern w:val="28"/>
                <w:sz w:val="24"/>
                <w:lang w:val="en-US" w:eastAsia="zh-CN"/>
              </w:rPr>
              <w:t>出具的检测报告</w:t>
            </w:r>
            <w:r>
              <w:rPr>
                <w:rFonts w:hint="eastAsia" w:ascii="宋体" w:hAnsi="宋体" w:cs="宋体"/>
                <w:b/>
                <w:bCs/>
                <w:snapToGrid w:val="0"/>
                <w:color w:val="000000"/>
                <w:kern w:val="28"/>
                <w:sz w:val="24"/>
              </w:rPr>
              <w:t>复印件)</w:t>
            </w:r>
            <w:r>
              <w:rPr>
                <w:rFonts w:hint="eastAsia" w:ascii="宋体" w:hAnsi="宋体" w:cs="宋体"/>
                <w:snapToGrid w:val="0"/>
                <w:color w:val="000000"/>
                <w:kern w:val="28"/>
                <w:sz w:val="24"/>
              </w:rPr>
              <w:t xml:space="preserve"> </w:t>
            </w:r>
          </w:p>
          <w:p>
            <w:pPr>
              <w:spacing w:line="360" w:lineRule="auto"/>
              <w:rPr>
                <w:rFonts w:hint="eastAsia" w:ascii="宋体" w:hAnsi="宋体" w:cs="宋体"/>
                <w:snapToGrid w:val="0"/>
                <w:color w:val="000000"/>
                <w:kern w:val="28"/>
                <w:sz w:val="24"/>
              </w:rPr>
            </w:pPr>
            <w:r>
              <w:rPr>
                <w:rFonts w:hint="eastAsia" w:ascii="宋体" w:hAnsi="宋体" w:cs="宋体"/>
                <w:snapToGrid w:val="0"/>
                <w:color w:val="000000"/>
                <w:kern w:val="28"/>
                <w:sz w:val="24"/>
              </w:rPr>
              <w:t>★3、单元板（非箱体）原始设计具备信号双输出,采用2个独立排针双数据输出接口</w:t>
            </w:r>
            <w:r>
              <w:rPr>
                <w:rFonts w:hint="eastAsia" w:ascii="宋体" w:hAnsi="宋体" w:cs="宋体"/>
                <w:b/>
                <w:bCs/>
                <w:snapToGrid w:val="0"/>
                <w:color w:val="000000"/>
                <w:kern w:val="28"/>
                <w:sz w:val="24"/>
              </w:rPr>
              <w:t>(提供单元板背面截图</w:t>
            </w:r>
            <w:r>
              <w:rPr>
                <w:rFonts w:hint="eastAsia" w:ascii="宋体" w:hAnsi="宋体" w:cs="宋体"/>
                <w:b/>
                <w:bCs/>
                <w:snapToGrid w:val="0"/>
                <w:color w:val="000000"/>
                <w:kern w:val="28"/>
                <w:sz w:val="24"/>
                <w:lang w:val="en-US" w:eastAsia="zh-CN"/>
              </w:rPr>
              <w:t>和</w:t>
            </w:r>
            <w:r>
              <w:rPr>
                <w:rFonts w:hint="eastAsia" w:ascii="宋体" w:hAnsi="宋体" w:cs="宋体"/>
                <w:b/>
                <w:bCs/>
                <w:snapToGrid w:val="0"/>
                <w:color w:val="000000"/>
                <w:kern w:val="28"/>
                <w:sz w:val="24"/>
              </w:rPr>
              <w:t>第三方权威机构</w:t>
            </w:r>
            <w:r>
              <w:rPr>
                <w:rFonts w:hint="eastAsia" w:ascii="宋体" w:hAnsi="宋体" w:cs="宋体"/>
                <w:b/>
                <w:bCs/>
                <w:snapToGrid w:val="0"/>
                <w:color w:val="000000"/>
                <w:kern w:val="28"/>
                <w:sz w:val="24"/>
                <w:lang w:val="en-US" w:eastAsia="zh-CN"/>
              </w:rPr>
              <w:t>出具的检测报告</w:t>
            </w:r>
            <w:r>
              <w:rPr>
                <w:rFonts w:hint="eastAsia" w:ascii="宋体" w:hAnsi="宋体" w:cs="宋体"/>
                <w:b/>
                <w:bCs/>
                <w:snapToGrid w:val="0"/>
                <w:color w:val="000000"/>
                <w:kern w:val="28"/>
                <w:sz w:val="24"/>
              </w:rPr>
              <w:t>复印件)</w:t>
            </w:r>
            <w:r>
              <w:rPr>
                <w:rFonts w:hint="eastAsia" w:ascii="宋体" w:hAnsi="宋体" w:cs="宋体"/>
                <w:snapToGrid w:val="0"/>
                <w:color w:val="000000"/>
                <w:kern w:val="28"/>
                <w:sz w:val="24"/>
              </w:rPr>
              <w:t xml:space="preserve"> </w:t>
            </w:r>
          </w:p>
          <w:p>
            <w:pPr>
              <w:spacing w:line="360" w:lineRule="auto"/>
              <w:rPr>
                <w:rFonts w:hint="eastAsia" w:ascii="宋体" w:hAnsi="宋体" w:cs="宋体"/>
                <w:snapToGrid w:val="0"/>
                <w:color w:val="000000"/>
                <w:kern w:val="28"/>
                <w:sz w:val="24"/>
              </w:rPr>
            </w:pPr>
            <w:r>
              <w:rPr>
                <w:rFonts w:hint="eastAsia" w:ascii="宋体" w:hAnsi="宋体" w:cs="宋体"/>
                <w:snapToGrid w:val="0"/>
                <w:color w:val="000000"/>
                <w:kern w:val="28"/>
                <w:sz w:val="24"/>
              </w:rPr>
              <w:t>★4、单元板（非箱体）原始设计电源双备份功能,电源插件2个，支持热插拔</w:t>
            </w:r>
            <w:r>
              <w:rPr>
                <w:rFonts w:hint="eastAsia" w:ascii="宋体" w:hAnsi="宋体" w:cs="宋体"/>
                <w:b/>
                <w:bCs/>
                <w:snapToGrid w:val="0"/>
                <w:color w:val="000000"/>
                <w:kern w:val="28"/>
                <w:sz w:val="24"/>
              </w:rPr>
              <w:t>(提供单元板背面截图</w:t>
            </w:r>
            <w:r>
              <w:rPr>
                <w:rFonts w:hint="eastAsia" w:ascii="宋体" w:hAnsi="宋体" w:cs="宋体"/>
                <w:b/>
                <w:bCs/>
                <w:snapToGrid w:val="0"/>
                <w:color w:val="000000"/>
                <w:kern w:val="28"/>
                <w:sz w:val="24"/>
                <w:lang w:val="en-US" w:eastAsia="zh-CN"/>
              </w:rPr>
              <w:t>和</w:t>
            </w:r>
            <w:r>
              <w:rPr>
                <w:rFonts w:hint="eastAsia" w:ascii="宋体" w:hAnsi="宋体" w:cs="宋体"/>
                <w:b/>
                <w:bCs/>
                <w:snapToGrid w:val="0"/>
                <w:color w:val="000000"/>
                <w:kern w:val="28"/>
                <w:sz w:val="24"/>
              </w:rPr>
              <w:t>第三方权威机构</w:t>
            </w:r>
            <w:r>
              <w:rPr>
                <w:rFonts w:hint="eastAsia" w:ascii="宋体" w:hAnsi="宋体" w:cs="宋体"/>
                <w:b/>
                <w:bCs/>
                <w:snapToGrid w:val="0"/>
                <w:color w:val="000000"/>
                <w:kern w:val="28"/>
                <w:sz w:val="24"/>
                <w:lang w:val="en-US" w:eastAsia="zh-CN"/>
              </w:rPr>
              <w:t>出具的检测报告</w:t>
            </w:r>
            <w:r>
              <w:rPr>
                <w:rFonts w:hint="eastAsia" w:ascii="宋体" w:hAnsi="宋体" w:cs="宋体"/>
                <w:b/>
                <w:bCs/>
                <w:snapToGrid w:val="0"/>
                <w:color w:val="000000"/>
                <w:kern w:val="28"/>
                <w:sz w:val="24"/>
              </w:rPr>
              <w:t>复印件)</w:t>
            </w:r>
            <w:r>
              <w:rPr>
                <w:rFonts w:hint="eastAsia" w:ascii="宋体" w:hAnsi="宋体" w:cs="宋体"/>
                <w:snapToGrid w:val="0"/>
                <w:color w:val="000000"/>
                <w:kern w:val="28"/>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Merge w:val="continue"/>
            <w:noWrap w:val="0"/>
            <w:vAlign w:val="center"/>
          </w:tcPr>
          <w:p>
            <w:pPr>
              <w:spacing w:line="360" w:lineRule="auto"/>
              <w:rPr>
                <w:rFonts w:hint="eastAsia" w:ascii="宋体" w:hAnsi="宋体" w:cs="宋体"/>
                <w:snapToGrid w:val="0"/>
                <w:color w:val="000000"/>
                <w:kern w:val="28"/>
                <w:sz w:val="24"/>
              </w:rPr>
            </w:pPr>
          </w:p>
        </w:tc>
        <w:tc>
          <w:tcPr>
            <w:tcW w:w="1484" w:type="dxa"/>
            <w:vMerge w:val="continue"/>
            <w:noWrap w:val="0"/>
            <w:vAlign w:val="center"/>
          </w:tcPr>
          <w:p>
            <w:pPr>
              <w:spacing w:line="360" w:lineRule="auto"/>
              <w:jc w:val="center"/>
              <w:rPr>
                <w:rFonts w:hint="eastAsia" w:ascii="宋体" w:hAnsi="宋体" w:cs="宋体"/>
                <w:snapToGrid w:val="0"/>
                <w:color w:val="000000"/>
                <w:kern w:val="28"/>
                <w:sz w:val="24"/>
              </w:rPr>
            </w:pPr>
          </w:p>
        </w:tc>
        <w:tc>
          <w:tcPr>
            <w:tcW w:w="1084" w:type="dxa"/>
            <w:noWrap w:val="0"/>
            <w:vAlign w:val="center"/>
          </w:tcPr>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灯管合成</w:t>
            </w:r>
          </w:p>
        </w:tc>
        <w:tc>
          <w:tcPr>
            <w:tcW w:w="6030" w:type="dxa"/>
            <w:noWrap w:val="0"/>
            <w:vAlign w:val="center"/>
          </w:tcPr>
          <w:p>
            <w:pPr>
              <w:spacing w:line="360" w:lineRule="auto"/>
              <w:rPr>
                <w:rFonts w:hint="eastAsia" w:ascii="宋体" w:hAnsi="宋体" w:cs="宋体"/>
                <w:snapToGrid w:val="0"/>
                <w:color w:val="000000"/>
                <w:kern w:val="28"/>
                <w:sz w:val="24"/>
              </w:rPr>
            </w:pPr>
            <w:r>
              <w:rPr>
                <w:rFonts w:hint="eastAsia" w:ascii="宋体" w:hAnsi="宋体" w:cs="宋体"/>
                <w:snapToGrid w:val="0"/>
                <w:color w:val="000000"/>
                <w:kern w:val="28"/>
                <w:sz w:val="24"/>
              </w:rPr>
              <w:t>1、灯合成要求: SMD表贴封装方式</w:t>
            </w:r>
          </w:p>
          <w:p>
            <w:pPr>
              <w:spacing w:line="360" w:lineRule="auto"/>
              <w:rPr>
                <w:rFonts w:hint="eastAsia" w:ascii="宋体" w:hAnsi="宋体" w:cs="宋体"/>
                <w:snapToGrid w:val="0"/>
                <w:color w:val="000000"/>
                <w:kern w:val="28"/>
                <w:sz w:val="24"/>
              </w:rPr>
            </w:pPr>
            <w:r>
              <w:rPr>
                <w:rFonts w:hint="eastAsia" w:ascii="宋体" w:hAnsi="宋体" w:cs="宋体"/>
                <w:snapToGrid w:val="0"/>
                <w:color w:val="000000"/>
                <w:kern w:val="28"/>
                <w:sz w:val="24"/>
              </w:rPr>
              <w:t>2、发光点颜色组合：1R1G1B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Merge w:val="continue"/>
            <w:noWrap w:val="0"/>
            <w:vAlign w:val="center"/>
          </w:tcPr>
          <w:p>
            <w:pPr>
              <w:spacing w:line="360" w:lineRule="auto"/>
              <w:rPr>
                <w:rFonts w:hint="eastAsia" w:ascii="宋体" w:hAnsi="宋体" w:cs="宋体"/>
                <w:snapToGrid w:val="0"/>
                <w:color w:val="000000"/>
                <w:kern w:val="28"/>
                <w:sz w:val="24"/>
              </w:rPr>
            </w:pPr>
          </w:p>
        </w:tc>
        <w:tc>
          <w:tcPr>
            <w:tcW w:w="1484" w:type="dxa"/>
            <w:vMerge w:val="continue"/>
            <w:noWrap w:val="0"/>
            <w:vAlign w:val="center"/>
          </w:tcPr>
          <w:p>
            <w:pPr>
              <w:spacing w:line="360" w:lineRule="auto"/>
              <w:jc w:val="center"/>
              <w:rPr>
                <w:rFonts w:hint="eastAsia" w:ascii="宋体" w:hAnsi="宋体" w:cs="宋体"/>
                <w:snapToGrid w:val="0"/>
                <w:color w:val="000000"/>
                <w:kern w:val="28"/>
                <w:sz w:val="24"/>
              </w:rPr>
            </w:pPr>
          </w:p>
        </w:tc>
        <w:tc>
          <w:tcPr>
            <w:tcW w:w="1084" w:type="dxa"/>
            <w:noWrap w:val="0"/>
            <w:vAlign w:val="center"/>
          </w:tcPr>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箱体及安装方式</w:t>
            </w:r>
          </w:p>
        </w:tc>
        <w:tc>
          <w:tcPr>
            <w:tcW w:w="6030" w:type="dxa"/>
            <w:noWrap w:val="0"/>
            <w:vAlign w:val="center"/>
          </w:tcPr>
          <w:p>
            <w:pPr>
              <w:spacing w:line="360" w:lineRule="auto"/>
              <w:rPr>
                <w:rFonts w:hint="eastAsia" w:ascii="宋体" w:hAnsi="宋体" w:cs="宋体"/>
                <w:snapToGrid w:val="0"/>
                <w:color w:val="000000"/>
                <w:kern w:val="28"/>
                <w:sz w:val="24"/>
              </w:rPr>
            </w:pPr>
            <w:r>
              <w:rPr>
                <w:rFonts w:hint="eastAsia" w:ascii="宋体" w:hAnsi="宋体" w:cs="宋体"/>
                <w:snapToGrid w:val="0"/>
                <w:color w:val="000000"/>
                <w:kern w:val="28"/>
                <w:sz w:val="24"/>
              </w:rPr>
              <w:t>压铸铝箱体，主屏前后维护立坐式安装，辅屏壁挂式安装，可根据尺寸定制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31" w:type="dxa"/>
            <w:vMerge w:val="continue"/>
            <w:noWrap w:val="0"/>
            <w:vAlign w:val="center"/>
          </w:tcPr>
          <w:p>
            <w:pPr>
              <w:spacing w:line="360" w:lineRule="auto"/>
              <w:rPr>
                <w:rFonts w:hint="eastAsia" w:ascii="宋体" w:hAnsi="宋体" w:cs="宋体"/>
                <w:snapToGrid w:val="0"/>
                <w:color w:val="000000"/>
                <w:kern w:val="28"/>
                <w:sz w:val="24"/>
              </w:rPr>
            </w:pPr>
          </w:p>
        </w:tc>
        <w:tc>
          <w:tcPr>
            <w:tcW w:w="1484" w:type="dxa"/>
            <w:vMerge w:val="continue"/>
            <w:noWrap w:val="0"/>
            <w:vAlign w:val="center"/>
          </w:tcPr>
          <w:p>
            <w:pPr>
              <w:spacing w:line="360" w:lineRule="auto"/>
              <w:jc w:val="center"/>
              <w:rPr>
                <w:rFonts w:hint="eastAsia" w:ascii="宋体" w:hAnsi="宋体" w:cs="宋体"/>
                <w:snapToGrid w:val="0"/>
                <w:color w:val="000000"/>
                <w:kern w:val="28"/>
                <w:sz w:val="24"/>
              </w:rPr>
            </w:pPr>
          </w:p>
        </w:tc>
        <w:tc>
          <w:tcPr>
            <w:tcW w:w="1084" w:type="dxa"/>
            <w:noWrap w:val="0"/>
            <w:vAlign w:val="center"/>
          </w:tcPr>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其他技术指标</w:t>
            </w:r>
          </w:p>
        </w:tc>
        <w:tc>
          <w:tcPr>
            <w:tcW w:w="6030" w:type="dxa"/>
            <w:noWrap w:val="0"/>
            <w:vAlign w:val="center"/>
          </w:tcPr>
          <w:p>
            <w:pPr>
              <w:spacing w:line="360" w:lineRule="auto"/>
              <w:rPr>
                <w:rFonts w:hint="eastAsia" w:ascii="宋体" w:hAnsi="宋体" w:cs="宋体"/>
                <w:sz w:val="24"/>
              </w:rPr>
            </w:pPr>
            <w:r>
              <w:rPr>
                <w:rFonts w:hint="eastAsia" w:ascii="宋体" w:hAnsi="宋体" w:cs="宋体"/>
                <w:sz w:val="24"/>
              </w:rPr>
              <w:t>1、模组尺寸：320mm（宽）*160（高）</w:t>
            </w:r>
          </w:p>
          <w:p>
            <w:pPr>
              <w:spacing w:line="360" w:lineRule="auto"/>
              <w:rPr>
                <w:rFonts w:hint="eastAsia" w:ascii="宋体" w:hAnsi="宋体" w:cs="宋体"/>
                <w:sz w:val="24"/>
              </w:rPr>
            </w:pPr>
            <w:r>
              <w:rPr>
                <w:rFonts w:hint="eastAsia" w:ascii="宋体" w:hAnsi="宋体" w:cs="宋体"/>
                <w:sz w:val="24"/>
              </w:rPr>
              <w:t xml:space="preserve">2、模组平整度：≤0.08mm,像素中心距相对偏差：＜1.5%， </w:t>
            </w:r>
          </w:p>
          <w:p>
            <w:pPr>
              <w:spacing w:line="360" w:lineRule="auto"/>
              <w:rPr>
                <w:rFonts w:hint="eastAsia" w:ascii="宋体" w:hAnsi="宋体" w:cs="宋体"/>
                <w:sz w:val="24"/>
              </w:rPr>
            </w:pPr>
            <w:r>
              <w:rPr>
                <w:rFonts w:hint="eastAsia" w:ascii="宋体" w:hAnsi="宋体" w:cs="宋体"/>
                <w:sz w:val="24"/>
              </w:rPr>
              <w:t>3、水平视角/垂直视角：165°/165°，最高对比度 8000:1，支持亮度/色度校正，亮度均匀性：≥99%，色度均匀性 ±0.003  Cx,Cy之内</w:t>
            </w:r>
          </w:p>
          <w:p>
            <w:pPr>
              <w:spacing w:line="360" w:lineRule="auto"/>
              <w:rPr>
                <w:rFonts w:hint="eastAsia" w:ascii="宋体" w:hAnsi="宋体" w:cs="宋体"/>
                <w:sz w:val="24"/>
              </w:rPr>
            </w:pPr>
            <w:r>
              <w:rPr>
                <w:rFonts w:hint="eastAsia" w:ascii="宋体" w:hAnsi="宋体" w:cs="宋体"/>
                <w:sz w:val="24"/>
              </w:rPr>
              <w:t>4、★NTSC色域覆盖率：≥115%；驱动方式：恒流驱动，换帧频率：≥６０Ｈz</w:t>
            </w:r>
            <w:r>
              <w:rPr>
                <w:rFonts w:hint="eastAsia" w:ascii="宋体" w:hAnsi="宋体" w:cs="宋体"/>
                <w:b/>
                <w:bCs/>
                <w:sz w:val="24"/>
              </w:rPr>
              <w:t>（</w:t>
            </w:r>
            <w:r>
              <w:rPr>
                <w:rFonts w:hint="eastAsia" w:ascii="宋体" w:hAnsi="宋体" w:cs="宋体"/>
                <w:b/>
                <w:bCs/>
                <w:sz w:val="24"/>
                <w:lang w:eastAsia="zh-CN"/>
              </w:rPr>
              <w:t>提供第三方权威机构出具的检测报告</w:t>
            </w:r>
            <w:r>
              <w:rPr>
                <w:rFonts w:hint="eastAsia" w:ascii="宋体" w:hAnsi="宋体" w:cs="宋体"/>
                <w:b/>
                <w:bCs/>
                <w:sz w:val="24"/>
              </w:rPr>
              <w:t>）</w:t>
            </w:r>
          </w:p>
          <w:p>
            <w:pPr>
              <w:spacing w:line="360" w:lineRule="auto"/>
              <w:rPr>
                <w:rFonts w:hint="eastAsia" w:ascii="宋体" w:hAnsi="宋体" w:cs="宋体"/>
                <w:sz w:val="24"/>
              </w:rPr>
            </w:pPr>
            <w:r>
              <w:rPr>
                <w:rFonts w:hint="eastAsia" w:ascii="宋体" w:hAnsi="宋体" w:cs="宋体"/>
                <w:sz w:val="24"/>
              </w:rPr>
              <w:t>5、刷新频率：2800Ｈz/3840Hz</w:t>
            </w:r>
          </w:p>
          <w:p>
            <w:pPr>
              <w:spacing w:line="360" w:lineRule="auto"/>
              <w:rPr>
                <w:rFonts w:hint="eastAsia" w:ascii="宋体" w:hAnsi="宋体" w:cs="宋体"/>
                <w:sz w:val="24"/>
              </w:rPr>
            </w:pPr>
            <w:r>
              <w:rPr>
                <w:rFonts w:hint="eastAsia" w:ascii="宋体" w:hAnsi="宋体" w:cs="宋体"/>
                <w:sz w:val="24"/>
              </w:rPr>
              <w:t>6、★黑屏模式下节能40%以上；亮度可随环境亮度的变化自动调节，色温：2000Ｋ－18000Ｋ可调</w:t>
            </w:r>
            <w:r>
              <w:rPr>
                <w:rFonts w:hint="eastAsia" w:ascii="宋体" w:hAnsi="宋体" w:cs="宋体"/>
                <w:b/>
                <w:bCs/>
                <w:sz w:val="24"/>
              </w:rPr>
              <w:t>（</w:t>
            </w:r>
            <w:r>
              <w:rPr>
                <w:rFonts w:hint="eastAsia" w:ascii="宋体" w:hAnsi="宋体" w:cs="宋体"/>
                <w:b/>
                <w:bCs/>
                <w:sz w:val="24"/>
                <w:lang w:eastAsia="zh-CN"/>
              </w:rPr>
              <w:t>提供第三方权威机构出具的检测报告</w:t>
            </w:r>
            <w:r>
              <w:rPr>
                <w:rFonts w:hint="eastAsia" w:ascii="宋体" w:hAnsi="宋体" w:cs="宋体"/>
                <w:b/>
                <w:bCs/>
                <w:sz w:val="24"/>
              </w:rPr>
              <w:t>）</w:t>
            </w:r>
          </w:p>
          <w:p>
            <w:pPr>
              <w:spacing w:line="360" w:lineRule="auto"/>
              <w:rPr>
                <w:rFonts w:hint="eastAsia" w:ascii="宋体" w:hAnsi="宋体" w:cs="宋体"/>
                <w:sz w:val="24"/>
              </w:rPr>
            </w:pPr>
            <w:r>
              <w:rPr>
                <w:rFonts w:hint="eastAsia" w:ascii="宋体" w:hAnsi="宋体" w:cs="宋体"/>
                <w:sz w:val="24"/>
              </w:rPr>
              <w:t>7、峰值功耗：≤580W/ m²，平均功耗≤250W/ m²，LED使用寿命≥100000H</w:t>
            </w:r>
          </w:p>
          <w:p>
            <w:pPr>
              <w:spacing w:line="360" w:lineRule="auto"/>
              <w:rPr>
                <w:rFonts w:hint="eastAsia" w:ascii="宋体" w:hAnsi="宋体" w:cs="宋体"/>
                <w:sz w:val="24"/>
              </w:rPr>
            </w:pPr>
            <w:r>
              <w:rPr>
                <w:rFonts w:hint="eastAsia" w:ascii="宋体" w:hAnsi="宋体" w:cs="宋体"/>
                <w:sz w:val="24"/>
              </w:rPr>
              <w:t>8、PCB阻燃：V-0等级，抗干扰符合：IEC801执行标准，安全符合：GB4793执行标准，</w:t>
            </w:r>
          </w:p>
          <w:p>
            <w:pPr>
              <w:spacing w:line="360" w:lineRule="auto"/>
              <w:rPr>
                <w:rFonts w:hint="eastAsia" w:ascii="宋体" w:hAnsi="宋体" w:cs="宋体"/>
                <w:sz w:val="24"/>
              </w:rPr>
            </w:pPr>
            <w:r>
              <w:rPr>
                <w:rFonts w:hint="eastAsia" w:ascii="宋体" w:hAnsi="宋体" w:cs="宋体"/>
                <w:sz w:val="24"/>
              </w:rPr>
              <w:t>9、漏电容限值≤0.5mA，模组机械强度≥5MP，电流增益调节级别≥8位，运行环境温度：－１０℃～40℃</w:t>
            </w:r>
          </w:p>
          <w:p>
            <w:pPr>
              <w:spacing w:line="360" w:lineRule="auto"/>
              <w:rPr>
                <w:rFonts w:hint="eastAsia" w:ascii="宋体" w:hAnsi="宋体" w:cs="宋体"/>
                <w:sz w:val="24"/>
              </w:rPr>
            </w:pPr>
            <w:r>
              <w:rPr>
                <w:rFonts w:hint="eastAsia" w:ascii="宋体" w:hAnsi="宋体" w:cs="宋体"/>
                <w:sz w:val="24"/>
                <w:lang w:val="en-US" w:eastAsia="zh-CN"/>
              </w:rPr>
              <w:t>10、</w:t>
            </w:r>
            <w:r>
              <w:rPr>
                <w:rFonts w:hint="eastAsia" w:ascii="宋体" w:hAnsi="宋体" w:cs="宋体"/>
                <w:sz w:val="24"/>
              </w:rPr>
              <w:t>★产品视觉舒适度（VICO指数）范围在0-1级，对人眼基本无疲劳感，指标符合GB4943.1-2011/ISA9008-2014/CSA035.2-2017</w:t>
            </w:r>
            <w:r>
              <w:rPr>
                <w:rFonts w:hint="eastAsia" w:ascii="宋体" w:hAnsi="宋体" w:cs="宋体"/>
                <w:b/>
                <w:bCs/>
                <w:sz w:val="24"/>
              </w:rPr>
              <w:t>（</w:t>
            </w:r>
            <w:r>
              <w:rPr>
                <w:rFonts w:hint="eastAsia" w:ascii="宋体" w:hAnsi="宋体" w:cs="宋体"/>
                <w:b/>
                <w:bCs/>
                <w:sz w:val="24"/>
                <w:lang w:eastAsia="zh-CN"/>
              </w:rPr>
              <w:t>提供第三方权威机构出具的检测报告</w:t>
            </w:r>
            <w:r>
              <w:rPr>
                <w:rFonts w:hint="eastAsia" w:ascii="宋体" w:hAnsi="宋体" w:cs="宋体"/>
                <w:b/>
                <w:bCs/>
                <w:sz w:val="24"/>
              </w:rPr>
              <w:t>）</w:t>
            </w:r>
            <w:r>
              <w:rPr>
                <w:rFonts w:hint="eastAsia" w:ascii="宋体" w:hAnsi="宋体" w:cs="宋体"/>
                <w:sz w:val="24"/>
              </w:rPr>
              <w:t xml:space="preserve">                      </w:t>
            </w:r>
          </w:p>
          <w:p>
            <w:pPr>
              <w:spacing w:line="360" w:lineRule="auto"/>
              <w:rPr>
                <w:rFonts w:hint="eastAsia" w:ascii="宋体" w:hAnsi="宋体" w:cs="宋体"/>
                <w:sz w:val="24"/>
              </w:rPr>
            </w:pPr>
            <w:r>
              <w:rPr>
                <w:rFonts w:hint="eastAsia" w:ascii="宋体" w:hAnsi="宋体" w:cs="宋体"/>
                <w:sz w:val="24"/>
                <w:lang w:val="en-US" w:eastAsia="zh-CN"/>
              </w:rPr>
              <w:t>11、</w:t>
            </w:r>
            <w:r>
              <w:rPr>
                <w:rFonts w:hint="eastAsia" w:ascii="宋体" w:hAnsi="宋体" w:cs="宋体"/>
                <w:sz w:val="24"/>
              </w:rPr>
              <w:t>★PCB采用4层线路板设计，采用玻璃化温度Ｔg≥150℃的ＦＲ４覆铜板，铜厚为1盎司，表面沉金工艺，ＰＣＢ地分离，ＰＣＢ抗干扰设计，ＰＣＢ采用三防漆表面处理技术，ＰＣＢ防火阻燃等级为：UL94 V-0</w:t>
            </w:r>
            <w:r>
              <w:rPr>
                <w:rFonts w:hint="eastAsia" w:ascii="宋体" w:hAnsi="宋体" w:cs="宋体"/>
                <w:b/>
                <w:bCs/>
                <w:sz w:val="24"/>
              </w:rPr>
              <w:t>（</w:t>
            </w:r>
            <w:r>
              <w:rPr>
                <w:rFonts w:hint="eastAsia" w:ascii="宋体" w:hAnsi="宋体" w:cs="宋体"/>
                <w:b/>
                <w:bCs/>
                <w:sz w:val="24"/>
                <w:lang w:eastAsia="zh-CN"/>
              </w:rPr>
              <w:t>提供第三方权威机构出具的检测报告</w:t>
            </w:r>
            <w:r>
              <w:rPr>
                <w:rFonts w:hint="eastAsia" w:ascii="宋体" w:hAnsi="宋体" w:cs="宋体"/>
                <w:b/>
                <w:bCs/>
                <w:sz w:val="24"/>
              </w:rPr>
              <w:t>）</w:t>
            </w:r>
            <w:r>
              <w:rPr>
                <w:rFonts w:hint="eastAsia" w:ascii="宋体" w:hAnsi="宋体" w:cs="宋体"/>
                <w:sz w:val="24"/>
              </w:rPr>
              <w:t xml:space="preserve">         </w:t>
            </w:r>
          </w:p>
          <w:p>
            <w:pPr>
              <w:spacing w:line="360" w:lineRule="auto"/>
              <w:rPr>
                <w:rFonts w:hint="eastAsia" w:ascii="宋体" w:hAnsi="宋体" w:cs="宋体"/>
                <w:sz w:val="24"/>
              </w:rPr>
            </w:pPr>
            <w:r>
              <w:rPr>
                <w:rFonts w:hint="eastAsia" w:ascii="宋体" w:hAnsi="宋体" w:cs="宋体"/>
                <w:sz w:val="24"/>
                <w:lang w:val="en-US" w:eastAsia="zh-CN"/>
              </w:rPr>
              <w:t>12、</w:t>
            </w:r>
            <w:r>
              <w:rPr>
                <w:rFonts w:hint="eastAsia" w:ascii="宋体" w:hAnsi="宋体" w:cs="宋体"/>
                <w:sz w:val="24"/>
              </w:rPr>
              <w:t>★LED显示屏具有平均无故障时间≥60000H的检测报告</w:t>
            </w:r>
            <w:r>
              <w:rPr>
                <w:rFonts w:hint="eastAsia" w:ascii="宋体" w:hAnsi="宋体" w:cs="宋体"/>
                <w:b/>
                <w:bCs/>
                <w:sz w:val="24"/>
              </w:rPr>
              <w:t>（</w:t>
            </w:r>
            <w:r>
              <w:rPr>
                <w:rFonts w:hint="eastAsia" w:ascii="宋体" w:hAnsi="宋体" w:cs="宋体"/>
                <w:b/>
                <w:bCs/>
                <w:sz w:val="24"/>
                <w:lang w:eastAsia="zh-CN"/>
              </w:rPr>
              <w:t>提供第三方权威机构出具的检测报告</w:t>
            </w:r>
            <w:r>
              <w:rPr>
                <w:rFonts w:hint="eastAsia" w:ascii="宋体" w:hAnsi="宋体" w:cs="宋体"/>
                <w:b/>
                <w:bCs/>
                <w:sz w:val="24"/>
              </w:rPr>
              <w:t>）</w:t>
            </w:r>
          </w:p>
          <w:p>
            <w:pPr>
              <w:spacing w:line="360" w:lineRule="auto"/>
              <w:rPr>
                <w:rFonts w:hint="eastAsia" w:ascii="宋体" w:hAnsi="宋体" w:cs="宋体"/>
                <w:snapToGrid w:val="0"/>
                <w:color w:val="000000"/>
                <w:kern w:val="28"/>
                <w:sz w:val="24"/>
              </w:rPr>
            </w:pPr>
            <w:r>
              <w:rPr>
                <w:rFonts w:hint="eastAsia" w:ascii="宋体" w:hAnsi="宋体" w:cs="宋体"/>
                <w:sz w:val="24"/>
                <w:lang w:val="en-US" w:eastAsia="zh-CN"/>
              </w:rPr>
              <w:t>13、</w:t>
            </w:r>
            <w:r>
              <w:rPr>
                <w:rFonts w:hint="eastAsia" w:ascii="宋体" w:hAnsi="宋体" w:cs="宋体"/>
                <w:sz w:val="24"/>
              </w:rPr>
              <w:t>接地电阻不大于0.1Ω，电源端子与外壳裸露金属部件之间的绝缘电阻在正常大气条件下≥100ＭΩ，湿热条件下≥２ＭΩ，安全特性符合 GB4943.1. IEC 60950-R EN60950-1</w:t>
            </w:r>
            <w:r>
              <w:rPr>
                <w:rFonts w:hint="eastAsia" w:ascii="宋体" w:hAnsi="宋体" w:cs="宋体"/>
                <w:b/>
                <w:bCs/>
                <w:sz w:val="24"/>
              </w:rPr>
              <w:t>（</w:t>
            </w:r>
            <w:r>
              <w:rPr>
                <w:rFonts w:hint="eastAsia" w:ascii="宋体" w:hAnsi="宋体" w:cs="宋体"/>
                <w:b/>
                <w:bCs/>
                <w:sz w:val="24"/>
                <w:lang w:eastAsia="zh-CN"/>
              </w:rPr>
              <w:t>提供第三方权威机构出具的检测报告</w:t>
            </w:r>
            <w:r>
              <w:rPr>
                <w:rFonts w:hint="eastAsia" w:ascii="宋体" w:hAnsi="宋体" w:cs="宋体"/>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9" w:type="dxa"/>
            <w:gridSpan w:val="4"/>
            <w:noWrap w:val="0"/>
            <w:vAlign w:val="center"/>
          </w:tcPr>
          <w:p>
            <w:pPr>
              <w:spacing w:line="360" w:lineRule="auto"/>
              <w:jc w:val="center"/>
              <w:rPr>
                <w:rFonts w:hint="eastAsia" w:ascii="宋体" w:hAnsi="宋体" w:cs="宋体"/>
                <w:snapToGrid w:val="0"/>
                <w:kern w:val="28"/>
                <w:sz w:val="24"/>
              </w:rPr>
            </w:pPr>
            <w:r>
              <w:rPr>
                <w:rFonts w:hint="eastAsia" w:ascii="宋体" w:hAnsi="宋体" w:cs="宋体"/>
                <w:b/>
                <w:snapToGrid w:val="0"/>
                <w:color w:val="000000"/>
                <w:kern w:val="28"/>
                <w:sz w:val="24"/>
              </w:rPr>
              <w:t>三、室内P2.5系列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31" w:type="dxa"/>
            <w:vMerge w:val="restart"/>
            <w:noWrap w:val="0"/>
            <w:vAlign w:val="center"/>
          </w:tcPr>
          <w:p>
            <w:pPr>
              <w:spacing w:line="360" w:lineRule="auto"/>
              <w:rPr>
                <w:rFonts w:hint="eastAsia" w:ascii="宋体" w:hAnsi="宋体" w:cs="宋体"/>
                <w:snapToGrid w:val="0"/>
                <w:color w:val="000000"/>
                <w:kern w:val="28"/>
                <w:sz w:val="24"/>
              </w:rPr>
            </w:pPr>
            <w:r>
              <w:rPr>
                <w:rFonts w:hint="eastAsia" w:ascii="宋体" w:hAnsi="宋体" w:cs="宋体"/>
                <w:snapToGrid w:val="0"/>
                <w:color w:val="000000"/>
                <w:kern w:val="28"/>
                <w:sz w:val="24"/>
              </w:rPr>
              <w:t>2</w:t>
            </w:r>
          </w:p>
        </w:tc>
        <w:tc>
          <w:tcPr>
            <w:tcW w:w="1484" w:type="dxa"/>
            <w:noWrap w:val="0"/>
            <w:vAlign w:val="center"/>
          </w:tcPr>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体育运动场</w:t>
            </w:r>
          </w:p>
        </w:tc>
        <w:tc>
          <w:tcPr>
            <w:tcW w:w="1084" w:type="dxa"/>
            <w:noWrap w:val="0"/>
            <w:vAlign w:val="center"/>
          </w:tcPr>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尺寸</w:t>
            </w:r>
          </w:p>
        </w:tc>
        <w:tc>
          <w:tcPr>
            <w:tcW w:w="6030" w:type="dxa"/>
            <w:noWrap w:val="0"/>
            <w:vAlign w:val="center"/>
          </w:tcPr>
          <w:p>
            <w:pPr>
              <w:spacing w:line="360" w:lineRule="auto"/>
              <w:rPr>
                <w:rFonts w:hint="eastAsia" w:ascii="宋体" w:hAnsi="宋体" w:cs="宋体"/>
                <w:snapToGrid w:val="0"/>
                <w:kern w:val="28"/>
                <w:sz w:val="24"/>
              </w:rPr>
            </w:pPr>
            <w:r>
              <w:rPr>
                <w:rFonts w:hint="eastAsia" w:ascii="宋体" w:hAnsi="宋体" w:cs="宋体"/>
                <w:snapToGrid w:val="0"/>
                <w:color w:val="000000"/>
                <w:kern w:val="28"/>
                <w:sz w:val="24"/>
              </w:rPr>
              <w:t>尺寸为: 8m*高4.32m=34.5㎡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531" w:type="dxa"/>
            <w:vMerge w:val="continue"/>
            <w:noWrap w:val="0"/>
            <w:vAlign w:val="center"/>
          </w:tcPr>
          <w:p>
            <w:pPr>
              <w:spacing w:line="360" w:lineRule="auto"/>
              <w:rPr>
                <w:rFonts w:hint="eastAsia" w:ascii="宋体" w:hAnsi="宋体" w:cs="宋体"/>
                <w:snapToGrid w:val="0"/>
                <w:color w:val="000000"/>
                <w:kern w:val="28"/>
                <w:sz w:val="24"/>
              </w:rPr>
            </w:pPr>
          </w:p>
        </w:tc>
        <w:tc>
          <w:tcPr>
            <w:tcW w:w="1484" w:type="dxa"/>
            <w:noWrap w:val="0"/>
            <w:vAlign w:val="center"/>
          </w:tcPr>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报告厅横幅屏</w:t>
            </w:r>
          </w:p>
        </w:tc>
        <w:tc>
          <w:tcPr>
            <w:tcW w:w="1084" w:type="dxa"/>
            <w:noWrap w:val="0"/>
            <w:vAlign w:val="center"/>
          </w:tcPr>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尺寸</w:t>
            </w:r>
          </w:p>
        </w:tc>
        <w:tc>
          <w:tcPr>
            <w:tcW w:w="6030" w:type="dxa"/>
            <w:noWrap w:val="0"/>
            <w:vAlign w:val="center"/>
          </w:tcPr>
          <w:p>
            <w:pPr>
              <w:spacing w:line="360" w:lineRule="auto"/>
              <w:rPr>
                <w:rFonts w:hint="eastAsia" w:ascii="宋体" w:hAnsi="宋体" w:cs="宋体"/>
                <w:snapToGrid w:val="0"/>
                <w:color w:val="000000"/>
                <w:kern w:val="28"/>
                <w:sz w:val="24"/>
              </w:rPr>
            </w:pPr>
            <w:r>
              <w:rPr>
                <w:rFonts w:hint="eastAsia" w:ascii="宋体" w:hAnsi="宋体" w:cs="宋体"/>
                <w:snapToGrid w:val="0"/>
                <w:color w:val="000000"/>
                <w:kern w:val="28"/>
                <w:sz w:val="24"/>
              </w:rPr>
              <w:t>尺寸为: 14.08m*高0.8m=11.26㎡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noWrap w:val="0"/>
            <w:vAlign w:val="center"/>
          </w:tcPr>
          <w:p>
            <w:pPr>
              <w:spacing w:line="360" w:lineRule="auto"/>
              <w:rPr>
                <w:rFonts w:hint="eastAsia" w:ascii="宋体" w:hAnsi="宋体" w:cs="宋体"/>
                <w:snapToGrid w:val="0"/>
                <w:color w:val="000000"/>
                <w:kern w:val="28"/>
                <w:sz w:val="24"/>
              </w:rPr>
            </w:pPr>
          </w:p>
        </w:tc>
        <w:tc>
          <w:tcPr>
            <w:tcW w:w="1484" w:type="dxa"/>
            <w:noWrap w:val="0"/>
            <w:vAlign w:val="center"/>
          </w:tcPr>
          <w:p>
            <w:pPr>
              <w:spacing w:line="360" w:lineRule="auto"/>
              <w:jc w:val="center"/>
              <w:rPr>
                <w:rFonts w:hint="eastAsia" w:ascii="宋体" w:hAnsi="宋体" w:cs="宋体"/>
                <w:snapToGrid w:val="0"/>
                <w:color w:val="000000"/>
                <w:kern w:val="28"/>
                <w:sz w:val="24"/>
              </w:rPr>
            </w:pPr>
          </w:p>
        </w:tc>
        <w:tc>
          <w:tcPr>
            <w:tcW w:w="1084" w:type="dxa"/>
            <w:noWrap w:val="0"/>
            <w:vAlign w:val="center"/>
          </w:tcPr>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单元板</w:t>
            </w:r>
          </w:p>
        </w:tc>
        <w:tc>
          <w:tcPr>
            <w:tcW w:w="6030" w:type="dxa"/>
            <w:noWrap w:val="0"/>
            <w:vAlign w:val="center"/>
          </w:tcPr>
          <w:p>
            <w:pPr>
              <w:spacing w:line="360" w:lineRule="auto"/>
              <w:rPr>
                <w:rFonts w:hint="eastAsia" w:ascii="宋体" w:hAnsi="宋体" w:cs="宋体"/>
                <w:snapToGrid w:val="0"/>
                <w:color w:val="000000"/>
                <w:kern w:val="28"/>
                <w:sz w:val="24"/>
              </w:rPr>
            </w:pPr>
            <w:r>
              <w:rPr>
                <w:rFonts w:hint="eastAsia" w:ascii="宋体" w:hAnsi="宋体" w:cs="宋体"/>
                <w:snapToGrid w:val="0"/>
                <w:color w:val="000000"/>
                <w:kern w:val="28"/>
                <w:sz w:val="24"/>
              </w:rPr>
              <w:t xml:space="preserve">1、单元板尺寸：320mm× 160mm  </w:t>
            </w:r>
          </w:p>
          <w:p>
            <w:pPr>
              <w:spacing w:line="360" w:lineRule="auto"/>
              <w:rPr>
                <w:rFonts w:hint="eastAsia" w:ascii="宋体" w:hAnsi="宋体" w:eastAsia="宋体" w:cs="宋体"/>
                <w:snapToGrid w:val="0"/>
                <w:color w:val="000000"/>
                <w:kern w:val="28"/>
                <w:sz w:val="24"/>
                <w:lang w:eastAsia="zh-CN"/>
              </w:rPr>
            </w:pPr>
            <w:r>
              <w:rPr>
                <w:rFonts w:hint="eastAsia" w:ascii="宋体" w:hAnsi="宋体" w:cs="宋体"/>
                <w:snapToGrid w:val="0"/>
                <w:color w:val="000000"/>
                <w:kern w:val="28"/>
                <w:sz w:val="24"/>
              </w:rPr>
              <w:t>★2、单元板（非箱体）原始设计具备信号双输入, 采用2个独立排针双数据输入接口</w:t>
            </w:r>
            <w:r>
              <w:rPr>
                <w:rFonts w:hint="eastAsia" w:ascii="宋体" w:hAnsi="宋体" w:cs="宋体"/>
                <w:b/>
                <w:bCs/>
                <w:snapToGrid w:val="0"/>
                <w:color w:val="000000"/>
                <w:kern w:val="28"/>
                <w:sz w:val="24"/>
              </w:rPr>
              <w:t>(提供单元板背面截图</w:t>
            </w:r>
            <w:r>
              <w:rPr>
                <w:rFonts w:hint="eastAsia" w:ascii="宋体" w:hAnsi="宋体" w:cs="宋体"/>
                <w:b/>
                <w:bCs/>
                <w:snapToGrid w:val="0"/>
                <w:color w:val="000000"/>
                <w:kern w:val="28"/>
                <w:sz w:val="24"/>
                <w:lang w:val="en-US" w:eastAsia="zh-CN"/>
              </w:rPr>
              <w:t>和</w:t>
            </w:r>
            <w:r>
              <w:rPr>
                <w:rFonts w:hint="eastAsia" w:ascii="宋体" w:hAnsi="宋体" w:cs="宋体"/>
                <w:b/>
                <w:bCs/>
                <w:snapToGrid w:val="0"/>
                <w:color w:val="000000"/>
                <w:kern w:val="28"/>
                <w:sz w:val="24"/>
              </w:rPr>
              <w:t>第三方权威机构</w:t>
            </w:r>
            <w:r>
              <w:rPr>
                <w:rFonts w:hint="eastAsia" w:ascii="宋体" w:hAnsi="宋体" w:cs="宋体"/>
                <w:b/>
                <w:bCs/>
                <w:snapToGrid w:val="0"/>
                <w:color w:val="000000"/>
                <w:kern w:val="28"/>
                <w:sz w:val="24"/>
                <w:lang w:val="en-US" w:eastAsia="zh-CN"/>
              </w:rPr>
              <w:t>出具的检测报告</w:t>
            </w:r>
            <w:r>
              <w:rPr>
                <w:rFonts w:hint="eastAsia" w:ascii="宋体" w:hAnsi="宋体" w:cs="宋体"/>
                <w:b/>
                <w:bCs/>
                <w:snapToGrid w:val="0"/>
                <w:color w:val="000000"/>
                <w:kern w:val="28"/>
                <w:sz w:val="24"/>
              </w:rPr>
              <w:t>复印件)</w:t>
            </w:r>
            <w:r>
              <w:rPr>
                <w:rFonts w:hint="eastAsia" w:ascii="宋体" w:hAnsi="宋体" w:cs="宋体"/>
                <w:snapToGrid w:val="0"/>
                <w:color w:val="000000"/>
                <w:kern w:val="28"/>
                <w:sz w:val="24"/>
              </w:rPr>
              <w:t xml:space="preserve"> </w:t>
            </w:r>
            <w:r>
              <w:rPr>
                <w:rFonts w:hint="eastAsia" w:ascii="宋体" w:hAnsi="宋体" w:cs="宋体"/>
                <w:snapToGrid w:val="0"/>
                <w:color w:val="000000"/>
                <w:kern w:val="28"/>
                <w:sz w:val="24"/>
                <w:lang w:eastAsia="zh-CN"/>
              </w:rPr>
              <w:t>；</w:t>
            </w:r>
          </w:p>
          <w:p>
            <w:pPr>
              <w:spacing w:line="360" w:lineRule="auto"/>
              <w:rPr>
                <w:rFonts w:hint="eastAsia" w:ascii="宋体" w:hAnsi="宋体" w:eastAsia="宋体" w:cs="宋体"/>
                <w:snapToGrid w:val="0"/>
                <w:color w:val="000000"/>
                <w:kern w:val="28"/>
                <w:sz w:val="24"/>
                <w:highlight w:val="none"/>
                <w:lang w:eastAsia="zh-CN"/>
              </w:rPr>
            </w:pPr>
            <w:r>
              <w:rPr>
                <w:rFonts w:hint="eastAsia" w:ascii="宋体" w:hAnsi="宋体" w:cs="宋体"/>
                <w:snapToGrid w:val="0"/>
                <w:color w:val="000000"/>
                <w:kern w:val="28"/>
                <w:sz w:val="24"/>
              </w:rPr>
              <w:t>★3、单元板（非箱体）原始设计具备信号双输出,采用2个独立排针双数据输出接</w:t>
            </w:r>
            <w:r>
              <w:rPr>
                <w:rFonts w:hint="eastAsia" w:ascii="宋体" w:hAnsi="宋体" w:cs="宋体"/>
                <w:snapToGrid w:val="0"/>
                <w:color w:val="000000"/>
                <w:kern w:val="28"/>
                <w:sz w:val="24"/>
                <w:highlight w:val="none"/>
              </w:rPr>
              <w:t>口</w:t>
            </w:r>
            <w:r>
              <w:rPr>
                <w:rFonts w:hint="eastAsia" w:ascii="宋体" w:hAnsi="宋体" w:cs="宋体"/>
                <w:b/>
                <w:bCs/>
                <w:snapToGrid w:val="0"/>
                <w:color w:val="000000"/>
                <w:kern w:val="28"/>
                <w:sz w:val="24"/>
              </w:rPr>
              <w:t>(提供单元板背面截图</w:t>
            </w:r>
            <w:r>
              <w:rPr>
                <w:rFonts w:hint="eastAsia" w:ascii="宋体" w:hAnsi="宋体" w:cs="宋体"/>
                <w:b/>
                <w:bCs/>
                <w:snapToGrid w:val="0"/>
                <w:color w:val="000000"/>
                <w:kern w:val="28"/>
                <w:sz w:val="24"/>
                <w:lang w:val="en-US" w:eastAsia="zh-CN"/>
              </w:rPr>
              <w:t>和</w:t>
            </w:r>
            <w:r>
              <w:rPr>
                <w:rFonts w:hint="eastAsia" w:ascii="宋体" w:hAnsi="宋体" w:cs="宋体"/>
                <w:b/>
                <w:bCs/>
                <w:snapToGrid w:val="0"/>
                <w:color w:val="000000"/>
                <w:kern w:val="28"/>
                <w:sz w:val="24"/>
              </w:rPr>
              <w:t>第三方权威机构</w:t>
            </w:r>
            <w:r>
              <w:rPr>
                <w:rFonts w:hint="eastAsia" w:ascii="宋体" w:hAnsi="宋体" w:cs="宋体"/>
                <w:b/>
                <w:bCs/>
                <w:snapToGrid w:val="0"/>
                <w:color w:val="000000"/>
                <w:kern w:val="28"/>
                <w:sz w:val="24"/>
                <w:lang w:val="en-US" w:eastAsia="zh-CN"/>
              </w:rPr>
              <w:t>出具的检测报告</w:t>
            </w:r>
            <w:r>
              <w:rPr>
                <w:rFonts w:hint="eastAsia" w:ascii="宋体" w:hAnsi="宋体" w:cs="宋体"/>
                <w:b/>
                <w:bCs/>
                <w:snapToGrid w:val="0"/>
                <w:color w:val="000000"/>
                <w:kern w:val="28"/>
                <w:sz w:val="24"/>
              </w:rPr>
              <w:t>复印件)</w:t>
            </w:r>
            <w:r>
              <w:rPr>
                <w:rFonts w:hint="eastAsia" w:ascii="宋体" w:hAnsi="宋体" w:cs="宋体"/>
                <w:snapToGrid w:val="0"/>
                <w:color w:val="000000"/>
                <w:kern w:val="28"/>
                <w:sz w:val="24"/>
                <w:highlight w:val="none"/>
              </w:rPr>
              <w:t xml:space="preserve"> </w:t>
            </w:r>
            <w:r>
              <w:rPr>
                <w:rFonts w:hint="eastAsia" w:ascii="宋体" w:hAnsi="宋体" w:cs="宋体"/>
                <w:snapToGrid w:val="0"/>
                <w:color w:val="000000"/>
                <w:kern w:val="28"/>
                <w:sz w:val="24"/>
                <w:highlight w:val="none"/>
                <w:lang w:eastAsia="zh-CN"/>
              </w:rPr>
              <w:t>；</w:t>
            </w:r>
          </w:p>
          <w:p>
            <w:pPr>
              <w:spacing w:line="360" w:lineRule="auto"/>
              <w:rPr>
                <w:rFonts w:hint="eastAsia" w:ascii="宋体" w:hAnsi="宋体" w:eastAsia="宋体" w:cs="宋体"/>
                <w:snapToGrid w:val="0"/>
                <w:kern w:val="28"/>
                <w:sz w:val="24"/>
                <w:lang w:eastAsia="zh-CN"/>
              </w:rPr>
            </w:pPr>
            <w:r>
              <w:rPr>
                <w:rFonts w:hint="eastAsia" w:ascii="宋体" w:hAnsi="宋体" w:cs="宋体"/>
                <w:snapToGrid w:val="0"/>
                <w:color w:val="000000"/>
                <w:kern w:val="28"/>
                <w:sz w:val="24"/>
                <w:highlight w:val="none"/>
              </w:rPr>
              <w:t>★4、单元板（非箱体）原始设计电源双备份功能,电源插件2个，支持热插拔</w:t>
            </w:r>
            <w:r>
              <w:rPr>
                <w:rFonts w:hint="eastAsia" w:ascii="宋体" w:hAnsi="宋体" w:cs="宋体"/>
                <w:b/>
                <w:bCs/>
                <w:snapToGrid w:val="0"/>
                <w:color w:val="000000"/>
                <w:kern w:val="28"/>
                <w:sz w:val="24"/>
              </w:rPr>
              <w:t>(提供单元板背面截图</w:t>
            </w:r>
            <w:r>
              <w:rPr>
                <w:rFonts w:hint="eastAsia" w:ascii="宋体" w:hAnsi="宋体" w:cs="宋体"/>
                <w:b/>
                <w:bCs/>
                <w:snapToGrid w:val="0"/>
                <w:color w:val="000000"/>
                <w:kern w:val="28"/>
                <w:sz w:val="24"/>
                <w:lang w:val="en-US" w:eastAsia="zh-CN"/>
              </w:rPr>
              <w:t>和</w:t>
            </w:r>
            <w:r>
              <w:rPr>
                <w:rFonts w:hint="eastAsia" w:ascii="宋体" w:hAnsi="宋体" w:cs="宋体"/>
                <w:b/>
                <w:bCs/>
                <w:snapToGrid w:val="0"/>
                <w:color w:val="000000"/>
                <w:kern w:val="28"/>
                <w:sz w:val="24"/>
              </w:rPr>
              <w:t>第三方权威机构</w:t>
            </w:r>
            <w:r>
              <w:rPr>
                <w:rFonts w:hint="eastAsia" w:ascii="宋体" w:hAnsi="宋体" w:cs="宋体"/>
                <w:b/>
                <w:bCs/>
                <w:snapToGrid w:val="0"/>
                <w:color w:val="000000"/>
                <w:kern w:val="28"/>
                <w:sz w:val="24"/>
                <w:lang w:val="en-US" w:eastAsia="zh-CN"/>
              </w:rPr>
              <w:t>出具的检测报告</w:t>
            </w:r>
            <w:r>
              <w:rPr>
                <w:rFonts w:hint="eastAsia" w:ascii="宋体" w:hAnsi="宋体" w:cs="宋体"/>
                <w:b/>
                <w:bCs/>
                <w:snapToGrid w:val="0"/>
                <w:color w:val="000000"/>
                <w:kern w:val="28"/>
                <w:sz w:val="24"/>
              </w:rPr>
              <w:t>复印件)</w:t>
            </w:r>
            <w:r>
              <w:rPr>
                <w:rFonts w:hint="eastAsia" w:ascii="宋体" w:hAnsi="宋体" w:cs="宋体"/>
                <w:snapToGrid w:val="0"/>
                <w:kern w:val="28"/>
                <w:sz w:val="24"/>
                <w:highlight w:val="none"/>
              </w:rPr>
              <w:t xml:space="preserve"> </w:t>
            </w:r>
            <w:r>
              <w:rPr>
                <w:rFonts w:hint="eastAsia" w:ascii="宋体" w:hAnsi="宋体" w:cs="宋体"/>
                <w:snapToGrid w:val="0"/>
                <w:kern w:val="28"/>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noWrap w:val="0"/>
            <w:vAlign w:val="center"/>
          </w:tcPr>
          <w:p>
            <w:pPr>
              <w:spacing w:line="360" w:lineRule="auto"/>
              <w:rPr>
                <w:rFonts w:hint="eastAsia" w:ascii="宋体" w:hAnsi="宋体" w:cs="宋体"/>
                <w:snapToGrid w:val="0"/>
                <w:color w:val="000000"/>
                <w:kern w:val="28"/>
                <w:sz w:val="24"/>
              </w:rPr>
            </w:pPr>
          </w:p>
        </w:tc>
        <w:tc>
          <w:tcPr>
            <w:tcW w:w="1484" w:type="dxa"/>
            <w:noWrap w:val="0"/>
            <w:vAlign w:val="center"/>
          </w:tcPr>
          <w:p>
            <w:pPr>
              <w:spacing w:line="360" w:lineRule="auto"/>
              <w:jc w:val="center"/>
              <w:rPr>
                <w:rFonts w:hint="eastAsia" w:ascii="宋体" w:hAnsi="宋体" w:cs="宋体"/>
                <w:snapToGrid w:val="0"/>
                <w:color w:val="000000"/>
                <w:kern w:val="28"/>
                <w:sz w:val="24"/>
              </w:rPr>
            </w:pPr>
          </w:p>
        </w:tc>
        <w:tc>
          <w:tcPr>
            <w:tcW w:w="1084" w:type="dxa"/>
            <w:noWrap w:val="0"/>
            <w:vAlign w:val="center"/>
          </w:tcPr>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灯管合成</w:t>
            </w:r>
          </w:p>
        </w:tc>
        <w:tc>
          <w:tcPr>
            <w:tcW w:w="6030" w:type="dxa"/>
            <w:noWrap w:val="0"/>
            <w:vAlign w:val="center"/>
          </w:tcPr>
          <w:p>
            <w:pPr>
              <w:spacing w:line="360" w:lineRule="auto"/>
              <w:rPr>
                <w:rFonts w:hint="eastAsia" w:ascii="宋体" w:hAnsi="宋体" w:cs="宋体"/>
                <w:snapToGrid w:val="0"/>
                <w:color w:val="000000"/>
                <w:kern w:val="28"/>
                <w:sz w:val="24"/>
              </w:rPr>
            </w:pPr>
            <w:r>
              <w:rPr>
                <w:rFonts w:hint="eastAsia" w:ascii="宋体" w:hAnsi="宋体" w:cs="宋体"/>
                <w:snapToGrid w:val="0"/>
                <w:color w:val="000000"/>
                <w:kern w:val="28"/>
                <w:sz w:val="24"/>
              </w:rPr>
              <w:t>1、灯合成要求: SMD表贴封装方式</w:t>
            </w:r>
          </w:p>
          <w:p>
            <w:pPr>
              <w:spacing w:line="360" w:lineRule="auto"/>
              <w:rPr>
                <w:rFonts w:hint="eastAsia" w:ascii="宋体" w:hAnsi="宋体" w:cs="宋体"/>
                <w:snapToGrid w:val="0"/>
                <w:kern w:val="28"/>
                <w:sz w:val="24"/>
              </w:rPr>
            </w:pPr>
            <w:r>
              <w:rPr>
                <w:rFonts w:hint="eastAsia" w:ascii="宋体" w:hAnsi="宋体" w:cs="宋体"/>
                <w:snapToGrid w:val="0"/>
                <w:color w:val="000000"/>
                <w:kern w:val="28"/>
                <w:sz w:val="24"/>
              </w:rPr>
              <w:t>2、发光点颜色组合：1R1G1B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noWrap w:val="0"/>
            <w:vAlign w:val="center"/>
          </w:tcPr>
          <w:p>
            <w:pPr>
              <w:spacing w:line="360" w:lineRule="auto"/>
              <w:rPr>
                <w:rFonts w:hint="eastAsia" w:ascii="宋体" w:hAnsi="宋体" w:cs="宋体"/>
                <w:snapToGrid w:val="0"/>
                <w:color w:val="000000"/>
                <w:kern w:val="28"/>
                <w:sz w:val="24"/>
              </w:rPr>
            </w:pPr>
          </w:p>
        </w:tc>
        <w:tc>
          <w:tcPr>
            <w:tcW w:w="1484" w:type="dxa"/>
            <w:noWrap w:val="0"/>
            <w:vAlign w:val="center"/>
          </w:tcPr>
          <w:p>
            <w:pPr>
              <w:spacing w:line="360" w:lineRule="auto"/>
              <w:jc w:val="center"/>
              <w:rPr>
                <w:rFonts w:hint="eastAsia" w:ascii="宋体" w:hAnsi="宋体" w:cs="宋体"/>
                <w:snapToGrid w:val="0"/>
                <w:color w:val="000000"/>
                <w:kern w:val="28"/>
                <w:sz w:val="24"/>
              </w:rPr>
            </w:pPr>
          </w:p>
        </w:tc>
        <w:tc>
          <w:tcPr>
            <w:tcW w:w="1084" w:type="dxa"/>
            <w:noWrap w:val="0"/>
            <w:vAlign w:val="center"/>
          </w:tcPr>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箱体及安装方式</w:t>
            </w:r>
          </w:p>
        </w:tc>
        <w:tc>
          <w:tcPr>
            <w:tcW w:w="6030" w:type="dxa"/>
            <w:noWrap w:val="0"/>
            <w:vAlign w:val="center"/>
          </w:tcPr>
          <w:p>
            <w:pPr>
              <w:spacing w:line="360" w:lineRule="auto"/>
              <w:rPr>
                <w:rFonts w:hint="eastAsia" w:ascii="宋体" w:hAnsi="宋体" w:cs="宋体"/>
                <w:snapToGrid w:val="0"/>
                <w:kern w:val="28"/>
                <w:sz w:val="24"/>
              </w:rPr>
            </w:pPr>
            <w:r>
              <w:rPr>
                <w:rFonts w:hint="eastAsia" w:ascii="宋体" w:hAnsi="宋体" w:cs="宋体"/>
                <w:snapToGrid w:val="0"/>
                <w:color w:val="000000"/>
                <w:kern w:val="28"/>
                <w:sz w:val="24"/>
              </w:rPr>
              <w:t>压铸铝箱体，主屏前后维护立坐式安装，辅屏壁挂式安装，可根据尺寸定制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noWrap w:val="0"/>
            <w:vAlign w:val="center"/>
          </w:tcPr>
          <w:p>
            <w:pPr>
              <w:spacing w:line="360" w:lineRule="auto"/>
              <w:rPr>
                <w:rFonts w:hint="eastAsia" w:ascii="宋体" w:hAnsi="宋体" w:cs="宋体"/>
                <w:snapToGrid w:val="0"/>
                <w:color w:val="000000"/>
                <w:kern w:val="28"/>
                <w:sz w:val="24"/>
              </w:rPr>
            </w:pPr>
          </w:p>
        </w:tc>
        <w:tc>
          <w:tcPr>
            <w:tcW w:w="1484" w:type="dxa"/>
            <w:noWrap w:val="0"/>
            <w:vAlign w:val="center"/>
          </w:tcPr>
          <w:p>
            <w:pPr>
              <w:spacing w:line="360" w:lineRule="auto"/>
              <w:jc w:val="center"/>
              <w:rPr>
                <w:rFonts w:hint="eastAsia" w:ascii="宋体" w:hAnsi="宋体" w:cs="宋体"/>
                <w:snapToGrid w:val="0"/>
                <w:color w:val="000000"/>
                <w:kern w:val="28"/>
                <w:sz w:val="24"/>
              </w:rPr>
            </w:pPr>
          </w:p>
        </w:tc>
        <w:tc>
          <w:tcPr>
            <w:tcW w:w="1084" w:type="dxa"/>
            <w:noWrap w:val="0"/>
            <w:vAlign w:val="center"/>
          </w:tcPr>
          <w:p>
            <w:pPr>
              <w:spacing w:line="360" w:lineRule="auto"/>
              <w:jc w:val="center"/>
              <w:rPr>
                <w:rFonts w:hint="eastAsia" w:ascii="宋体" w:hAnsi="宋体" w:cs="宋体"/>
                <w:snapToGrid w:val="0"/>
                <w:color w:val="000000"/>
                <w:kern w:val="28"/>
                <w:sz w:val="24"/>
              </w:rPr>
            </w:pPr>
            <w:r>
              <w:rPr>
                <w:rFonts w:hint="eastAsia" w:ascii="宋体" w:hAnsi="宋体" w:cs="宋体"/>
                <w:snapToGrid w:val="0"/>
                <w:color w:val="000000"/>
                <w:kern w:val="28"/>
                <w:sz w:val="24"/>
              </w:rPr>
              <w:t>其他技术指标</w:t>
            </w:r>
          </w:p>
        </w:tc>
        <w:tc>
          <w:tcPr>
            <w:tcW w:w="6030" w:type="dxa"/>
            <w:noWrap w:val="0"/>
            <w:vAlign w:val="center"/>
          </w:tcPr>
          <w:p>
            <w:pPr>
              <w:spacing w:line="360" w:lineRule="auto"/>
              <w:rPr>
                <w:rFonts w:hint="eastAsia" w:ascii="宋体" w:hAnsi="宋体" w:cs="宋体"/>
                <w:sz w:val="24"/>
              </w:rPr>
            </w:pPr>
            <w:r>
              <w:rPr>
                <w:rFonts w:hint="eastAsia" w:ascii="宋体" w:hAnsi="宋体" w:cs="宋体"/>
                <w:sz w:val="24"/>
              </w:rPr>
              <w:t>1、物理密度  ≥160000点/㎡,</w:t>
            </w:r>
          </w:p>
          <w:p>
            <w:pPr>
              <w:spacing w:line="360" w:lineRule="auto"/>
              <w:rPr>
                <w:rFonts w:hint="eastAsia" w:ascii="宋体" w:hAnsi="宋体" w:cs="宋体"/>
                <w:sz w:val="24"/>
              </w:rPr>
            </w:pPr>
            <w:r>
              <w:rPr>
                <w:rFonts w:hint="eastAsia" w:ascii="宋体" w:hAnsi="宋体" w:cs="宋体"/>
                <w:sz w:val="24"/>
              </w:rPr>
              <w:t>模组尺寸：320mm（宽）*160（高）</w:t>
            </w:r>
          </w:p>
          <w:p>
            <w:pPr>
              <w:spacing w:line="360" w:lineRule="auto"/>
              <w:rPr>
                <w:rFonts w:hint="eastAsia" w:ascii="宋体" w:hAnsi="宋体" w:cs="宋体"/>
                <w:sz w:val="24"/>
              </w:rPr>
            </w:pPr>
            <w:r>
              <w:rPr>
                <w:rFonts w:hint="eastAsia" w:ascii="宋体" w:hAnsi="宋体" w:cs="宋体"/>
                <w:sz w:val="24"/>
              </w:rPr>
              <w:t xml:space="preserve">2、模组平整度：≤0.08mm,像素中心距相对偏差：＜1.5%， </w:t>
            </w:r>
          </w:p>
          <w:p>
            <w:pPr>
              <w:spacing w:line="360" w:lineRule="auto"/>
              <w:rPr>
                <w:rFonts w:hint="eastAsia" w:ascii="宋体" w:hAnsi="宋体" w:cs="宋体"/>
                <w:sz w:val="24"/>
              </w:rPr>
            </w:pPr>
            <w:r>
              <w:rPr>
                <w:rFonts w:hint="eastAsia" w:ascii="宋体" w:hAnsi="宋体" w:cs="宋体"/>
                <w:sz w:val="24"/>
              </w:rPr>
              <w:t>3、水平视角/垂直视角： 165°/165°，最高对比度 8000:1，支持亮度/色度校正，亮度均匀性： ≥99%，色度均匀性 ±0.003  Cx,Cy之内，</w:t>
            </w:r>
          </w:p>
          <w:p>
            <w:pPr>
              <w:spacing w:line="360" w:lineRule="auto"/>
              <w:rPr>
                <w:rFonts w:hint="eastAsia" w:ascii="宋体" w:hAnsi="宋体" w:cs="宋体"/>
                <w:sz w:val="24"/>
              </w:rPr>
            </w:pPr>
            <w:r>
              <w:rPr>
                <w:rFonts w:hint="eastAsia" w:ascii="宋体" w:hAnsi="宋体" w:cs="宋体"/>
                <w:sz w:val="24"/>
              </w:rPr>
              <w:t>4、NTSC色域覆盖率：≥115%；驱动方式：恒流驱动，换帧频率：≥６０Ｈz，</w:t>
            </w:r>
          </w:p>
          <w:p>
            <w:pPr>
              <w:spacing w:line="360" w:lineRule="auto"/>
              <w:rPr>
                <w:rFonts w:hint="eastAsia" w:ascii="宋体" w:hAnsi="宋体" w:cs="宋体"/>
                <w:sz w:val="24"/>
              </w:rPr>
            </w:pPr>
            <w:r>
              <w:rPr>
                <w:rFonts w:hint="eastAsia" w:ascii="宋体" w:hAnsi="宋体" w:cs="宋体"/>
                <w:sz w:val="24"/>
              </w:rPr>
              <w:t>5、刷新频率：2800Ｈz/3840Hz</w:t>
            </w:r>
          </w:p>
          <w:p>
            <w:pPr>
              <w:spacing w:line="360" w:lineRule="auto"/>
              <w:rPr>
                <w:rFonts w:hint="eastAsia" w:ascii="宋体" w:hAnsi="宋体" w:cs="宋体"/>
                <w:sz w:val="24"/>
              </w:rPr>
            </w:pPr>
            <w:r>
              <w:rPr>
                <w:rFonts w:hint="eastAsia" w:ascii="宋体" w:hAnsi="宋体" w:cs="宋体"/>
                <w:sz w:val="24"/>
              </w:rPr>
              <w:t>6、黑屏模式下节能40%以上；亮度可随环境亮度的变化自动调节，色温：2000Ｋ－18000Ｋ可调，</w:t>
            </w:r>
          </w:p>
          <w:p>
            <w:pPr>
              <w:spacing w:line="360" w:lineRule="auto"/>
              <w:rPr>
                <w:rFonts w:hint="eastAsia" w:ascii="宋体" w:hAnsi="宋体" w:cs="宋体"/>
                <w:sz w:val="24"/>
              </w:rPr>
            </w:pPr>
            <w:r>
              <w:rPr>
                <w:rFonts w:hint="eastAsia" w:ascii="宋体" w:hAnsi="宋体" w:cs="宋体"/>
                <w:sz w:val="24"/>
              </w:rPr>
              <w:t>7、峰值功耗：≤580W/ m²，平均功耗≤250W/ m²，LED使用寿命≥100000H，</w:t>
            </w:r>
          </w:p>
          <w:p>
            <w:pPr>
              <w:spacing w:line="360" w:lineRule="auto"/>
              <w:rPr>
                <w:rFonts w:hint="eastAsia" w:ascii="宋体" w:hAnsi="宋体" w:cs="宋体"/>
                <w:sz w:val="24"/>
              </w:rPr>
            </w:pPr>
            <w:r>
              <w:rPr>
                <w:rFonts w:hint="eastAsia" w:ascii="宋体" w:hAnsi="宋体" w:cs="宋体"/>
                <w:sz w:val="24"/>
              </w:rPr>
              <w:t>8、PCB阻燃：V-0等级，抗干扰符合：IEC801执行标准，安全符合：GB4793执行标准，</w:t>
            </w:r>
          </w:p>
          <w:p>
            <w:pPr>
              <w:spacing w:line="360" w:lineRule="auto"/>
              <w:rPr>
                <w:rFonts w:hint="eastAsia" w:ascii="宋体" w:hAnsi="宋体" w:cs="宋体"/>
                <w:sz w:val="24"/>
              </w:rPr>
            </w:pPr>
            <w:r>
              <w:rPr>
                <w:rFonts w:hint="eastAsia" w:ascii="宋体" w:hAnsi="宋体" w:cs="宋体"/>
                <w:sz w:val="24"/>
              </w:rPr>
              <w:t>9、漏电容限值≤0.5mA，模组机械强度≥5MP，电流增益调节级别≥8位，运行环境温度：－１０℃～40℃</w:t>
            </w:r>
          </w:p>
          <w:p>
            <w:pPr>
              <w:spacing w:line="360" w:lineRule="auto"/>
              <w:rPr>
                <w:rFonts w:hint="eastAsia" w:ascii="宋体" w:hAnsi="宋体" w:cs="宋体"/>
                <w:sz w:val="24"/>
              </w:rPr>
            </w:pPr>
            <w:r>
              <w:rPr>
                <w:rFonts w:hint="eastAsia" w:ascii="宋体" w:hAnsi="宋体" w:cs="宋体"/>
                <w:sz w:val="24"/>
              </w:rPr>
              <w:t>10、为保证产品质量，以上参数需提供具有CMA、CNAS标识的，第三方产品检测报告。</w:t>
            </w:r>
          </w:p>
          <w:p>
            <w:pPr>
              <w:spacing w:line="360" w:lineRule="auto"/>
              <w:rPr>
                <w:rFonts w:hint="eastAsia" w:ascii="宋体" w:hAnsi="宋体" w:cs="宋体"/>
                <w:sz w:val="24"/>
              </w:rPr>
            </w:pPr>
            <w:r>
              <w:rPr>
                <w:rFonts w:hint="eastAsia" w:ascii="宋体" w:hAnsi="宋体" w:cs="宋体"/>
                <w:sz w:val="24"/>
                <w:lang w:val="en-US" w:eastAsia="zh-CN"/>
              </w:rPr>
              <w:t>11、</w:t>
            </w:r>
            <w:r>
              <w:rPr>
                <w:rFonts w:hint="eastAsia" w:ascii="宋体" w:hAnsi="宋体" w:cs="宋体"/>
                <w:sz w:val="24"/>
              </w:rPr>
              <w:t>产品视觉舒适度（VICO指数）范围在0-1级，对人眼基本无疲劳感，指标符合GB4943.1-2011/ISA9008-2014/CSA035.2-2017</w:t>
            </w:r>
            <w:r>
              <w:rPr>
                <w:rFonts w:hint="eastAsia" w:ascii="宋体" w:hAnsi="宋体" w:cs="宋体"/>
                <w:sz w:val="24"/>
                <w:lang w:eastAsia="zh-CN"/>
              </w:rPr>
              <w:t>（</w:t>
            </w:r>
            <w:r>
              <w:rPr>
                <w:rFonts w:hint="eastAsia" w:ascii="宋体" w:hAnsi="宋体" w:cs="宋体"/>
                <w:b/>
                <w:bCs/>
                <w:sz w:val="24"/>
                <w:lang w:eastAsia="zh-CN"/>
              </w:rPr>
              <w:t>提供第三方权威机构出具的检测报告</w:t>
            </w:r>
            <w:r>
              <w:rPr>
                <w:rFonts w:hint="eastAsia" w:ascii="宋体" w:hAnsi="宋体" w:cs="宋体"/>
                <w:sz w:val="24"/>
                <w:lang w:eastAsia="zh-CN"/>
              </w:rPr>
              <w:t>）</w:t>
            </w:r>
          </w:p>
          <w:p>
            <w:pPr>
              <w:spacing w:line="360" w:lineRule="auto"/>
              <w:rPr>
                <w:rFonts w:hint="eastAsia" w:ascii="宋体" w:hAnsi="宋体" w:cs="宋体"/>
                <w:sz w:val="24"/>
              </w:rPr>
            </w:pPr>
            <w:r>
              <w:rPr>
                <w:rFonts w:hint="eastAsia" w:ascii="宋体" w:hAnsi="宋体" w:cs="宋体"/>
                <w:b/>
                <w:bCs/>
                <w:sz w:val="24"/>
                <w:lang w:val="en-US" w:eastAsia="zh-CN"/>
              </w:rPr>
              <w:t>12、</w:t>
            </w:r>
            <w:r>
              <w:rPr>
                <w:rFonts w:hint="eastAsia" w:ascii="宋体" w:hAnsi="宋体" w:cs="宋体"/>
                <w:b/>
                <w:bCs/>
                <w:sz w:val="24"/>
              </w:rPr>
              <w:t>LED显示屏具有除湿设计</w:t>
            </w:r>
            <w:r>
              <w:rPr>
                <w:rFonts w:hint="eastAsia" w:ascii="宋体" w:hAnsi="宋体" w:cs="宋体"/>
                <w:b/>
                <w:bCs/>
                <w:sz w:val="24"/>
                <w:lang w:eastAsia="zh-CN"/>
              </w:rPr>
              <w:t>（提供第三方权威机构出具的检测报告）</w:t>
            </w:r>
            <w:r>
              <w:rPr>
                <w:rFonts w:hint="eastAsia" w:ascii="宋体" w:hAnsi="宋体" w:cs="宋体"/>
                <w:sz w:val="24"/>
              </w:rPr>
              <w:t xml:space="preserve">。                       </w:t>
            </w:r>
          </w:p>
          <w:p>
            <w:pPr>
              <w:spacing w:line="360" w:lineRule="auto"/>
              <w:rPr>
                <w:rFonts w:hint="eastAsia" w:ascii="宋体" w:hAnsi="宋体" w:cs="宋体"/>
                <w:sz w:val="24"/>
              </w:rPr>
            </w:pPr>
            <w:r>
              <w:rPr>
                <w:rFonts w:hint="eastAsia" w:ascii="宋体" w:hAnsi="宋体" w:cs="宋体"/>
                <w:sz w:val="24"/>
                <w:lang w:val="en-US" w:eastAsia="zh-CN"/>
              </w:rPr>
              <w:t>13、</w:t>
            </w:r>
            <w:r>
              <w:rPr>
                <w:rFonts w:hint="eastAsia" w:ascii="宋体" w:hAnsi="宋体" w:cs="宋体"/>
                <w:sz w:val="24"/>
              </w:rPr>
              <w:t>PCB采用4层线路板设计，采用玻璃化温度Ｔg≥150℃的ＦＲ４覆铜板，铜厚为1盎司，表面沉金工艺，ＰＣＢ地分离，ＰＣＢ抗干扰设计，ＰＣＢ采用三防漆表面处理技术，ＰＣＢ防火阻燃等级为：UL94 V-0</w:t>
            </w:r>
            <w:r>
              <w:rPr>
                <w:rFonts w:hint="eastAsia" w:ascii="宋体" w:hAnsi="宋体" w:cs="宋体"/>
                <w:b/>
                <w:bCs/>
                <w:sz w:val="24"/>
              </w:rPr>
              <w:t>（</w:t>
            </w:r>
            <w:r>
              <w:rPr>
                <w:rFonts w:hint="eastAsia" w:ascii="宋体" w:hAnsi="宋体" w:cs="宋体"/>
                <w:b/>
                <w:bCs/>
                <w:sz w:val="24"/>
                <w:lang w:eastAsia="zh-CN"/>
              </w:rPr>
              <w:t>提供第三方权威机构出具的检测报告</w:t>
            </w:r>
            <w:r>
              <w:rPr>
                <w:rFonts w:hint="eastAsia" w:ascii="宋体" w:hAnsi="宋体" w:cs="宋体"/>
                <w:b/>
                <w:bCs/>
                <w:sz w:val="24"/>
              </w:rPr>
              <w:t>）</w:t>
            </w:r>
            <w:r>
              <w:rPr>
                <w:rFonts w:hint="eastAsia" w:ascii="宋体" w:hAnsi="宋体" w:cs="宋体"/>
                <w:sz w:val="24"/>
              </w:rPr>
              <w:t xml:space="preserve">。              </w:t>
            </w:r>
          </w:p>
          <w:p>
            <w:pPr>
              <w:spacing w:line="360" w:lineRule="auto"/>
              <w:rPr>
                <w:rFonts w:hint="eastAsia" w:ascii="宋体" w:hAnsi="宋体" w:cs="宋体"/>
                <w:sz w:val="24"/>
              </w:rPr>
            </w:pPr>
            <w:r>
              <w:rPr>
                <w:rFonts w:hint="eastAsia" w:ascii="宋体" w:hAnsi="宋体" w:cs="宋体"/>
                <w:sz w:val="24"/>
                <w:lang w:val="en-US" w:eastAsia="zh-CN"/>
              </w:rPr>
              <w:t>14、</w:t>
            </w:r>
            <w:r>
              <w:rPr>
                <w:rFonts w:hint="eastAsia" w:ascii="宋体" w:hAnsi="宋体" w:cs="宋体"/>
                <w:sz w:val="24"/>
              </w:rPr>
              <w:t>LED显示屏具有平均无故障时间≥60000H的检测报告</w:t>
            </w:r>
            <w:r>
              <w:rPr>
                <w:rFonts w:hint="eastAsia" w:ascii="宋体" w:hAnsi="宋体" w:cs="宋体"/>
                <w:b/>
                <w:bCs/>
                <w:sz w:val="24"/>
              </w:rPr>
              <w:t>（</w:t>
            </w:r>
            <w:r>
              <w:rPr>
                <w:rFonts w:hint="eastAsia" w:ascii="宋体" w:hAnsi="宋体" w:cs="宋体"/>
                <w:b/>
                <w:bCs/>
                <w:sz w:val="24"/>
                <w:lang w:eastAsia="zh-CN"/>
              </w:rPr>
              <w:t>提供第三方权威机构出具的检测报告</w:t>
            </w:r>
            <w:r>
              <w:rPr>
                <w:rFonts w:hint="eastAsia" w:ascii="宋体" w:hAnsi="宋体" w:cs="宋体"/>
                <w:b/>
                <w:bCs/>
                <w:sz w:val="24"/>
              </w:rPr>
              <w:t>）</w:t>
            </w:r>
            <w:r>
              <w:rPr>
                <w:rFonts w:hint="eastAsia" w:ascii="宋体" w:hAnsi="宋体" w:cs="宋体"/>
                <w:sz w:val="24"/>
              </w:rPr>
              <w:t>。</w:t>
            </w:r>
          </w:p>
          <w:p>
            <w:pPr>
              <w:spacing w:line="360" w:lineRule="auto"/>
              <w:rPr>
                <w:rFonts w:hint="eastAsia" w:ascii="宋体" w:hAnsi="宋体" w:cs="宋体"/>
                <w:snapToGrid w:val="0"/>
                <w:kern w:val="28"/>
                <w:sz w:val="24"/>
              </w:rPr>
            </w:pPr>
            <w:r>
              <w:rPr>
                <w:rFonts w:hint="eastAsia" w:ascii="宋体" w:hAnsi="宋体" w:cs="宋体"/>
                <w:sz w:val="24"/>
                <w:lang w:val="en-US" w:eastAsia="zh-CN"/>
              </w:rPr>
              <w:t>15、</w:t>
            </w:r>
            <w:r>
              <w:rPr>
                <w:rFonts w:hint="eastAsia" w:ascii="宋体" w:hAnsi="宋体" w:cs="宋体"/>
                <w:sz w:val="24"/>
              </w:rPr>
              <w:t>接地电阻不大于0.1Ω，电源端子与外壳裸露金属部件之间的绝缘电阻在正常大气条件下≥100ＭΩ，湿热条件下≥２ＭΩ，安全特性符合 GB4943.1. IEC 60950-R EN60950-1</w:t>
            </w:r>
            <w:r>
              <w:rPr>
                <w:rFonts w:hint="eastAsia" w:ascii="宋体" w:hAnsi="宋体" w:cs="宋体"/>
                <w:b/>
                <w:bCs/>
                <w:sz w:val="24"/>
              </w:rPr>
              <w:t>（</w:t>
            </w:r>
            <w:r>
              <w:rPr>
                <w:rFonts w:hint="eastAsia" w:ascii="宋体" w:hAnsi="宋体" w:cs="宋体"/>
                <w:b/>
                <w:bCs/>
                <w:sz w:val="24"/>
                <w:lang w:eastAsia="zh-CN"/>
              </w:rPr>
              <w:t>提供第三方权威机构出具的检测报告</w:t>
            </w:r>
            <w:r>
              <w:rPr>
                <w:rFonts w:hint="eastAsia" w:ascii="宋体" w:hAnsi="宋体" w:cs="宋体"/>
                <w:b/>
                <w:bCs/>
                <w:sz w:val="24"/>
              </w:rPr>
              <w:t>）</w:t>
            </w:r>
            <w:r>
              <w:rPr>
                <w:rFonts w:hint="eastAsia" w:ascii="宋体" w:hAnsi="宋体" w:cs="宋体"/>
                <w:sz w:val="24"/>
              </w:rPr>
              <w:t xml:space="preserve">。 </w:t>
            </w:r>
          </w:p>
        </w:tc>
      </w:tr>
    </w:tbl>
    <w:p>
      <w:pPr>
        <w:jc w:val="both"/>
        <w:rPr>
          <w:rFonts w:hint="eastAsia" w:ascii="宋体" w:hAnsi="宋体" w:cs="宋体"/>
          <w:b/>
          <w:color w:val="auto"/>
          <w:sz w:val="36"/>
          <w:szCs w:val="36"/>
        </w:rPr>
      </w:pPr>
    </w:p>
    <w:p>
      <w:pPr>
        <w:jc w:val="center"/>
        <w:rPr>
          <w:rFonts w:ascii="宋体" w:hAnsi="宋体" w:cs="宋体"/>
          <w:b/>
          <w:color w:val="auto"/>
          <w:sz w:val="36"/>
          <w:szCs w:val="36"/>
        </w:rPr>
      </w:pPr>
      <w:r>
        <w:rPr>
          <w:rFonts w:hint="eastAsia" w:ascii="宋体" w:hAnsi="宋体" w:cs="宋体"/>
          <w:b/>
          <w:color w:val="auto"/>
          <w:sz w:val="36"/>
          <w:szCs w:val="36"/>
        </w:rPr>
        <w:t xml:space="preserve">第四部分   </w:t>
      </w:r>
      <w:bookmarkStart w:id="32" w:name="_Toc184312102"/>
      <w:bookmarkEnd w:id="32"/>
      <w:bookmarkStart w:id="33" w:name="_Toc184308065"/>
      <w:bookmarkEnd w:id="33"/>
      <w:bookmarkStart w:id="34" w:name="_Toc184310286"/>
      <w:bookmarkEnd w:id="34"/>
      <w:bookmarkStart w:id="35" w:name="_Toc184314466"/>
      <w:bookmarkEnd w:id="35"/>
      <w:bookmarkStart w:id="36" w:name="_Toc184312126"/>
      <w:bookmarkEnd w:id="36"/>
      <w:bookmarkStart w:id="37" w:name="_Toc184310313"/>
      <w:bookmarkEnd w:id="37"/>
      <w:bookmarkStart w:id="38" w:name="_Toc184313275"/>
      <w:bookmarkEnd w:id="38"/>
      <w:bookmarkStart w:id="39" w:name="_Toc184308107"/>
      <w:bookmarkEnd w:id="39"/>
      <w:bookmarkStart w:id="40" w:name="_Toc184312111"/>
      <w:bookmarkEnd w:id="40"/>
      <w:bookmarkStart w:id="41" w:name="_Toc184314430"/>
      <w:bookmarkEnd w:id="41"/>
      <w:bookmarkStart w:id="42" w:name="_Toc184312118"/>
      <w:bookmarkEnd w:id="42"/>
      <w:bookmarkStart w:id="43" w:name="_Toc184310296"/>
      <w:bookmarkEnd w:id="43"/>
      <w:bookmarkStart w:id="44" w:name="_Toc184314422"/>
      <w:bookmarkEnd w:id="44"/>
      <w:bookmarkStart w:id="45" w:name="_Toc184314471"/>
      <w:bookmarkEnd w:id="45"/>
      <w:bookmarkStart w:id="46" w:name="_Toc184310319"/>
      <w:bookmarkEnd w:id="46"/>
      <w:bookmarkStart w:id="47" w:name="_Toc184310311"/>
      <w:bookmarkEnd w:id="47"/>
      <w:bookmarkStart w:id="48" w:name="_Toc184314413"/>
      <w:bookmarkEnd w:id="48"/>
      <w:bookmarkStart w:id="49" w:name="_Toc184312129"/>
      <w:bookmarkEnd w:id="49"/>
      <w:bookmarkStart w:id="50" w:name="_Toc184314410"/>
      <w:bookmarkEnd w:id="50"/>
      <w:bookmarkStart w:id="51" w:name="_Toc184310279"/>
      <w:bookmarkEnd w:id="51"/>
      <w:bookmarkStart w:id="52" w:name="_Toc184314455"/>
      <w:bookmarkEnd w:id="52"/>
      <w:bookmarkStart w:id="53" w:name="_Toc184308068"/>
      <w:bookmarkEnd w:id="53"/>
      <w:bookmarkStart w:id="54" w:name="_Toc184313297"/>
      <w:bookmarkEnd w:id="54"/>
      <w:bookmarkStart w:id="55" w:name="_Toc184314417"/>
      <w:bookmarkEnd w:id="55"/>
      <w:bookmarkStart w:id="56" w:name="_Toc184313286"/>
      <w:bookmarkEnd w:id="56"/>
      <w:bookmarkStart w:id="57" w:name="_Toc184313302"/>
      <w:bookmarkEnd w:id="57"/>
      <w:bookmarkStart w:id="58" w:name="_Toc184314462"/>
      <w:bookmarkEnd w:id="58"/>
      <w:bookmarkStart w:id="59" w:name="_Toc184313307"/>
      <w:bookmarkEnd w:id="59"/>
      <w:bookmarkStart w:id="60" w:name="_Toc184313255"/>
      <w:bookmarkEnd w:id="60"/>
      <w:bookmarkStart w:id="61" w:name="_Toc184313282"/>
      <w:bookmarkEnd w:id="61"/>
      <w:bookmarkStart w:id="62" w:name="_Toc184308054"/>
      <w:bookmarkEnd w:id="62"/>
      <w:bookmarkStart w:id="63" w:name="_Toc184313250"/>
      <w:bookmarkEnd w:id="63"/>
      <w:bookmarkStart w:id="64" w:name="_Toc184314480"/>
      <w:bookmarkEnd w:id="64"/>
      <w:bookmarkStart w:id="65" w:name="_Toc184310277"/>
      <w:bookmarkEnd w:id="65"/>
      <w:bookmarkStart w:id="66" w:name="_Toc184314445"/>
      <w:bookmarkEnd w:id="66"/>
      <w:bookmarkStart w:id="67" w:name="_Toc184314411"/>
      <w:bookmarkEnd w:id="67"/>
      <w:bookmarkStart w:id="68" w:name="_Toc184310327"/>
      <w:bookmarkEnd w:id="68"/>
      <w:bookmarkStart w:id="69" w:name="_Toc184308091"/>
      <w:bookmarkEnd w:id="69"/>
      <w:bookmarkStart w:id="70" w:name="_Toc184310315"/>
      <w:bookmarkEnd w:id="70"/>
      <w:bookmarkStart w:id="71" w:name="_Toc184314447"/>
      <w:bookmarkEnd w:id="71"/>
      <w:bookmarkStart w:id="72" w:name="_Toc184314474"/>
      <w:bookmarkEnd w:id="72"/>
      <w:bookmarkStart w:id="73" w:name="_Toc184314423"/>
      <w:bookmarkEnd w:id="73"/>
      <w:bookmarkStart w:id="74" w:name="_Toc184313253"/>
      <w:bookmarkEnd w:id="74"/>
      <w:bookmarkStart w:id="75" w:name="_Toc184310314"/>
      <w:bookmarkEnd w:id="75"/>
      <w:bookmarkStart w:id="76" w:name="_Toc184314434"/>
      <w:bookmarkEnd w:id="76"/>
      <w:bookmarkStart w:id="77" w:name="_Toc184313267"/>
      <w:bookmarkEnd w:id="77"/>
      <w:bookmarkStart w:id="78" w:name="_Toc184308101"/>
      <w:bookmarkEnd w:id="78"/>
      <w:bookmarkStart w:id="79" w:name="_Toc184313271"/>
      <w:bookmarkEnd w:id="79"/>
      <w:bookmarkStart w:id="80" w:name="_Toc184313266"/>
      <w:bookmarkEnd w:id="80"/>
      <w:bookmarkStart w:id="81" w:name="_Toc184310344"/>
      <w:bookmarkEnd w:id="81"/>
      <w:bookmarkStart w:id="82" w:name="_Toc184310330"/>
      <w:bookmarkEnd w:id="82"/>
      <w:bookmarkStart w:id="83" w:name="_Toc184312067"/>
      <w:bookmarkEnd w:id="83"/>
      <w:bookmarkStart w:id="84" w:name="_Toc184310288"/>
      <w:bookmarkEnd w:id="84"/>
      <w:bookmarkStart w:id="85" w:name="_Toc184313249"/>
      <w:bookmarkEnd w:id="85"/>
      <w:bookmarkStart w:id="86" w:name="_Toc184312127"/>
      <w:bookmarkEnd w:id="86"/>
      <w:bookmarkStart w:id="87" w:name="_Toc184312090"/>
      <w:bookmarkEnd w:id="87"/>
      <w:bookmarkStart w:id="88" w:name="_Toc184313293"/>
      <w:bookmarkEnd w:id="88"/>
      <w:bookmarkStart w:id="89" w:name="_Toc184310312"/>
      <w:bookmarkEnd w:id="89"/>
      <w:bookmarkStart w:id="90" w:name="_Toc184312084"/>
      <w:bookmarkEnd w:id="90"/>
      <w:bookmarkStart w:id="91" w:name="_Toc184313287"/>
      <w:bookmarkEnd w:id="91"/>
      <w:bookmarkStart w:id="92" w:name="_Toc184314426"/>
      <w:bookmarkEnd w:id="92"/>
      <w:bookmarkStart w:id="93" w:name="_Toc184308038"/>
      <w:bookmarkEnd w:id="93"/>
      <w:bookmarkStart w:id="94" w:name="_Toc184312092"/>
      <w:bookmarkEnd w:id="94"/>
      <w:bookmarkStart w:id="95" w:name="_Toc184310342"/>
      <w:bookmarkEnd w:id="95"/>
      <w:bookmarkStart w:id="96" w:name="_Toc184308094"/>
      <w:bookmarkEnd w:id="96"/>
      <w:bookmarkStart w:id="97" w:name="_Toc184312107"/>
      <w:bookmarkEnd w:id="97"/>
      <w:bookmarkStart w:id="98" w:name="_Toc184313290"/>
      <w:bookmarkEnd w:id="98"/>
      <w:bookmarkStart w:id="99" w:name="_Toc184313301"/>
      <w:bookmarkEnd w:id="99"/>
      <w:bookmarkStart w:id="100" w:name="_Toc184308058"/>
      <w:bookmarkEnd w:id="100"/>
      <w:bookmarkStart w:id="101" w:name="_Toc184308099"/>
      <w:bookmarkEnd w:id="101"/>
      <w:bookmarkStart w:id="102" w:name="_Toc184308040"/>
      <w:bookmarkEnd w:id="102"/>
      <w:bookmarkStart w:id="103" w:name="_Toc184308056"/>
      <w:bookmarkEnd w:id="103"/>
      <w:bookmarkStart w:id="104" w:name="_Toc184313295"/>
      <w:bookmarkEnd w:id="104"/>
      <w:bookmarkStart w:id="105" w:name="_Toc184314446"/>
      <w:bookmarkEnd w:id="105"/>
      <w:bookmarkStart w:id="106" w:name="_Toc184313254"/>
      <w:bookmarkEnd w:id="106"/>
      <w:bookmarkStart w:id="107" w:name="_Toc184313246"/>
      <w:bookmarkEnd w:id="107"/>
      <w:bookmarkStart w:id="108" w:name="_Toc184308106"/>
      <w:bookmarkEnd w:id="108"/>
      <w:bookmarkStart w:id="109" w:name="_Toc184308061"/>
      <w:bookmarkEnd w:id="109"/>
      <w:bookmarkStart w:id="110" w:name="_Toc184310291"/>
      <w:bookmarkEnd w:id="110"/>
      <w:bookmarkStart w:id="111" w:name="_Toc184313309"/>
      <w:bookmarkEnd w:id="111"/>
      <w:bookmarkStart w:id="112" w:name="_Toc184310295"/>
      <w:bookmarkEnd w:id="112"/>
      <w:bookmarkStart w:id="113" w:name="_Toc184312095"/>
      <w:bookmarkEnd w:id="113"/>
      <w:bookmarkStart w:id="114" w:name="_Toc184312125"/>
      <w:bookmarkEnd w:id="114"/>
      <w:bookmarkStart w:id="115" w:name="_Toc184308047"/>
      <w:bookmarkEnd w:id="115"/>
      <w:bookmarkStart w:id="116" w:name="_Toc184313264"/>
      <w:bookmarkEnd w:id="116"/>
      <w:bookmarkStart w:id="117" w:name="_Toc184310281"/>
      <w:bookmarkEnd w:id="117"/>
      <w:bookmarkStart w:id="118" w:name="_Toc184314481"/>
      <w:bookmarkEnd w:id="118"/>
      <w:bookmarkStart w:id="119" w:name="_Toc184310310"/>
      <w:bookmarkEnd w:id="119"/>
      <w:bookmarkStart w:id="120" w:name="_Toc184312101"/>
      <w:bookmarkEnd w:id="120"/>
      <w:bookmarkStart w:id="121" w:name="_Toc184310326"/>
      <w:bookmarkEnd w:id="121"/>
      <w:bookmarkStart w:id="122" w:name="_Toc184313247"/>
      <w:bookmarkEnd w:id="122"/>
      <w:bookmarkStart w:id="123" w:name="_Toc184314448"/>
      <w:bookmarkEnd w:id="123"/>
      <w:bookmarkStart w:id="124" w:name="_Toc184308103"/>
      <w:bookmarkEnd w:id="124"/>
      <w:bookmarkStart w:id="125" w:name="_Toc184312093"/>
      <w:bookmarkEnd w:id="125"/>
      <w:bookmarkStart w:id="126" w:name="_Toc184310293"/>
      <w:bookmarkEnd w:id="126"/>
      <w:bookmarkStart w:id="127" w:name="_Toc184308057"/>
      <w:bookmarkEnd w:id="127"/>
      <w:bookmarkStart w:id="128" w:name="_Toc184313289"/>
      <w:bookmarkEnd w:id="128"/>
      <w:bookmarkStart w:id="129" w:name="_Toc184308082"/>
      <w:bookmarkEnd w:id="129"/>
      <w:bookmarkStart w:id="130" w:name="_Toc184314454"/>
      <w:bookmarkEnd w:id="130"/>
      <w:bookmarkStart w:id="131" w:name="_Toc184308077"/>
      <w:bookmarkEnd w:id="131"/>
      <w:bookmarkStart w:id="132" w:name="_Toc184313239"/>
      <w:bookmarkEnd w:id="132"/>
      <w:bookmarkStart w:id="133" w:name="_Toc184313245"/>
      <w:bookmarkEnd w:id="133"/>
      <w:bookmarkStart w:id="134" w:name="_Toc184310274"/>
      <w:bookmarkEnd w:id="134"/>
      <w:bookmarkStart w:id="135" w:name="_Toc184312136"/>
      <w:bookmarkEnd w:id="135"/>
      <w:bookmarkStart w:id="136" w:name="_Toc184310282"/>
      <w:bookmarkEnd w:id="136"/>
      <w:bookmarkStart w:id="137" w:name="_Toc184308074"/>
      <w:bookmarkEnd w:id="137"/>
      <w:bookmarkStart w:id="138" w:name="_Toc184312109"/>
      <w:bookmarkEnd w:id="138"/>
      <w:bookmarkStart w:id="139" w:name="_Toc184313305"/>
      <w:bookmarkEnd w:id="139"/>
      <w:bookmarkStart w:id="140" w:name="_Toc184313273"/>
      <w:bookmarkEnd w:id="140"/>
      <w:bookmarkStart w:id="141" w:name="_Toc184312089"/>
      <w:bookmarkEnd w:id="141"/>
      <w:bookmarkStart w:id="142" w:name="_Toc184310309"/>
      <w:bookmarkEnd w:id="142"/>
      <w:bookmarkStart w:id="143" w:name="_Toc184310273"/>
      <w:bookmarkEnd w:id="143"/>
      <w:bookmarkStart w:id="144" w:name="_Toc184310339"/>
      <w:bookmarkEnd w:id="144"/>
      <w:bookmarkStart w:id="145" w:name="_Toc184312071"/>
      <w:bookmarkEnd w:id="145"/>
      <w:bookmarkStart w:id="146" w:name="_Toc184308083"/>
      <w:bookmarkEnd w:id="146"/>
      <w:bookmarkStart w:id="147" w:name="_Toc184308086"/>
      <w:bookmarkEnd w:id="147"/>
      <w:bookmarkStart w:id="148" w:name="_Toc184314479"/>
      <w:bookmarkEnd w:id="148"/>
      <w:bookmarkStart w:id="149" w:name="_Toc184308067"/>
      <w:bookmarkEnd w:id="149"/>
      <w:bookmarkStart w:id="150" w:name="_Toc184313294"/>
      <w:bookmarkEnd w:id="150"/>
      <w:bookmarkStart w:id="151" w:name="_Toc184313279"/>
      <w:bookmarkEnd w:id="151"/>
      <w:bookmarkStart w:id="152" w:name="_Toc184310304"/>
      <w:bookmarkEnd w:id="152"/>
      <w:bookmarkStart w:id="153" w:name="_Toc184314440"/>
      <w:bookmarkEnd w:id="153"/>
      <w:bookmarkStart w:id="154" w:name="_Toc184308037"/>
      <w:bookmarkEnd w:id="154"/>
      <w:bookmarkStart w:id="155" w:name="_Toc184312087"/>
      <w:bookmarkEnd w:id="155"/>
      <w:bookmarkStart w:id="156" w:name="_Toc184312103"/>
      <w:bookmarkEnd w:id="156"/>
      <w:bookmarkStart w:id="157" w:name="_Toc184314456"/>
      <w:bookmarkEnd w:id="157"/>
      <w:bookmarkStart w:id="158" w:name="_Toc184310336"/>
      <w:bookmarkEnd w:id="158"/>
      <w:bookmarkStart w:id="159" w:name="_Toc184308044"/>
      <w:bookmarkEnd w:id="159"/>
      <w:bookmarkStart w:id="160" w:name="_Toc184314433"/>
      <w:bookmarkEnd w:id="160"/>
      <w:bookmarkStart w:id="161" w:name="_Toc184308087"/>
      <w:bookmarkEnd w:id="161"/>
      <w:bookmarkStart w:id="162" w:name="_Toc184310290"/>
      <w:bookmarkEnd w:id="162"/>
      <w:bookmarkStart w:id="163" w:name="_Toc184308042"/>
      <w:bookmarkEnd w:id="163"/>
      <w:bookmarkStart w:id="164" w:name="_Toc184314418"/>
      <w:bookmarkEnd w:id="164"/>
      <w:bookmarkStart w:id="165" w:name="_Toc184310334"/>
      <w:bookmarkEnd w:id="165"/>
      <w:bookmarkStart w:id="166" w:name="_Toc184310320"/>
      <w:bookmarkEnd w:id="166"/>
      <w:bookmarkStart w:id="167" w:name="_Toc184308052"/>
      <w:bookmarkEnd w:id="167"/>
      <w:bookmarkStart w:id="168" w:name="_Toc184312110"/>
      <w:bookmarkEnd w:id="168"/>
      <w:bookmarkStart w:id="169" w:name="_Toc184308045"/>
      <w:bookmarkEnd w:id="169"/>
      <w:bookmarkStart w:id="170" w:name="_Toc184308073"/>
      <w:bookmarkEnd w:id="170"/>
      <w:bookmarkStart w:id="171" w:name="_Toc184308055"/>
      <w:bookmarkEnd w:id="171"/>
      <w:bookmarkStart w:id="172" w:name="_Toc184314469"/>
      <w:bookmarkEnd w:id="172"/>
      <w:bookmarkStart w:id="173" w:name="_Toc184308098"/>
      <w:bookmarkEnd w:id="173"/>
      <w:bookmarkStart w:id="174" w:name="_Toc184310278"/>
      <w:bookmarkEnd w:id="174"/>
      <w:bookmarkStart w:id="175" w:name="_Toc184313291"/>
      <w:bookmarkEnd w:id="175"/>
      <w:bookmarkStart w:id="176" w:name="_Toc184312098"/>
      <w:bookmarkEnd w:id="176"/>
      <w:bookmarkStart w:id="177" w:name="_Toc184312099"/>
      <w:bookmarkEnd w:id="177"/>
      <w:bookmarkStart w:id="178" w:name="_Toc184313261"/>
      <w:bookmarkEnd w:id="178"/>
      <w:bookmarkStart w:id="179" w:name="_Toc184312133"/>
      <w:bookmarkEnd w:id="179"/>
      <w:bookmarkStart w:id="180" w:name="_Toc184313272"/>
      <w:bookmarkEnd w:id="180"/>
      <w:bookmarkStart w:id="181" w:name="_Toc184313262"/>
      <w:bookmarkEnd w:id="181"/>
      <w:bookmarkStart w:id="182" w:name="_Toc184312113"/>
      <w:bookmarkEnd w:id="182"/>
      <w:bookmarkStart w:id="183" w:name="_Toc184308097"/>
      <w:bookmarkEnd w:id="183"/>
      <w:bookmarkStart w:id="184" w:name="_Toc184310294"/>
      <w:bookmarkEnd w:id="184"/>
      <w:bookmarkStart w:id="185" w:name="_Toc184308075"/>
      <w:bookmarkEnd w:id="185"/>
      <w:bookmarkStart w:id="186" w:name="_Toc184314436"/>
      <w:bookmarkEnd w:id="186"/>
      <w:bookmarkStart w:id="187" w:name="_Toc184308084"/>
      <w:bookmarkEnd w:id="187"/>
      <w:bookmarkStart w:id="188" w:name="_Toc184312081"/>
      <w:bookmarkEnd w:id="188"/>
      <w:bookmarkStart w:id="189" w:name="_Toc184314424"/>
      <w:bookmarkEnd w:id="189"/>
      <w:bookmarkStart w:id="190" w:name="_Toc184313269"/>
      <w:bookmarkEnd w:id="190"/>
      <w:bookmarkStart w:id="191" w:name="_Toc184313274"/>
      <w:bookmarkEnd w:id="191"/>
      <w:bookmarkStart w:id="192" w:name="_Toc184310340"/>
      <w:bookmarkEnd w:id="192"/>
      <w:bookmarkStart w:id="193" w:name="_Toc184310306"/>
      <w:bookmarkEnd w:id="193"/>
      <w:bookmarkStart w:id="194" w:name="_Toc184308070"/>
      <w:bookmarkEnd w:id="194"/>
      <w:bookmarkStart w:id="195" w:name="_Toc184313263"/>
      <w:bookmarkEnd w:id="195"/>
      <w:bookmarkStart w:id="196" w:name="_Toc184308102"/>
      <w:bookmarkEnd w:id="196"/>
      <w:bookmarkStart w:id="197" w:name="_Toc184314452"/>
      <w:bookmarkEnd w:id="197"/>
      <w:bookmarkStart w:id="198" w:name="_Toc184312069"/>
      <w:bookmarkEnd w:id="198"/>
      <w:bookmarkStart w:id="199" w:name="_Toc184312112"/>
      <w:bookmarkEnd w:id="199"/>
      <w:bookmarkStart w:id="200" w:name="_Toc184308071"/>
      <w:bookmarkEnd w:id="200"/>
      <w:bookmarkStart w:id="201" w:name="_Toc184314437"/>
      <w:bookmarkEnd w:id="201"/>
      <w:bookmarkStart w:id="202" w:name="_Toc184313303"/>
      <w:bookmarkEnd w:id="202"/>
      <w:bookmarkStart w:id="203" w:name="_Toc184308104"/>
      <w:bookmarkEnd w:id="203"/>
      <w:bookmarkStart w:id="204" w:name="_Toc184314443"/>
      <w:bookmarkEnd w:id="204"/>
      <w:bookmarkStart w:id="205" w:name="_Toc184314425"/>
      <w:bookmarkEnd w:id="205"/>
      <w:bookmarkStart w:id="206" w:name="_Toc184310338"/>
      <w:bookmarkEnd w:id="206"/>
      <w:bookmarkStart w:id="207" w:name="_Toc184312072"/>
      <w:bookmarkEnd w:id="207"/>
      <w:bookmarkStart w:id="208" w:name="_Toc184312115"/>
      <w:bookmarkEnd w:id="208"/>
      <w:bookmarkStart w:id="209" w:name="_Toc184314427"/>
      <w:bookmarkEnd w:id="209"/>
      <w:bookmarkStart w:id="210" w:name="_Toc184312108"/>
      <w:bookmarkEnd w:id="210"/>
      <w:bookmarkStart w:id="211" w:name="_Toc184310280"/>
      <w:bookmarkEnd w:id="211"/>
      <w:bookmarkStart w:id="212" w:name="_Toc184314458"/>
      <w:bookmarkEnd w:id="212"/>
      <w:bookmarkStart w:id="213" w:name="_Toc184312094"/>
      <w:bookmarkEnd w:id="213"/>
      <w:bookmarkStart w:id="214" w:name="_Toc184308080"/>
      <w:bookmarkEnd w:id="214"/>
      <w:bookmarkStart w:id="215" w:name="_Toc184313240"/>
      <w:bookmarkEnd w:id="215"/>
      <w:bookmarkStart w:id="216" w:name="_Toc184312079"/>
      <w:bookmarkEnd w:id="216"/>
      <w:bookmarkStart w:id="217" w:name="_Toc184314453"/>
      <w:bookmarkEnd w:id="217"/>
      <w:bookmarkStart w:id="218" w:name="_Toc184313238"/>
      <w:bookmarkEnd w:id="218"/>
      <w:bookmarkStart w:id="219" w:name="_Toc184310321"/>
      <w:bookmarkEnd w:id="219"/>
      <w:bookmarkStart w:id="220" w:name="_Toc184310329"/>
      <w:bookmarkEnd w:id="220"/>
      <w:bookmarkStart w:id="221" w:name="_Toc184312139"/>
      <w:bookmarkEnd w:id="221"/>
      <w:bookmarkStart w:id="222" w:name="_Toc184314476"/>
      <w:bookmarkEnd w:id="222"/>
      <w:bookmarkStart w:id="223" w:name="_Toc184308039"/>
      <w:bookmarkEnd w:id="223"/>
      <w:bookmarkStart w:id="224" w:name="_Toc184314441"/>
      <w:bookmarkEnd w:id="224"/>
      <w:bookmarkStart w:id="225" w:name="_Toc184313304"/>
      <w:bookmarkEnd w:id="225"/>
      <w:bookmarkStart w:id="226" w:name="_Toc184308064"/>
      <w:bookmarkEnd w:id="226"/>
      <w:bookmarkStart w:id="227" w:name="_Toc184310303"/>
      <w:bookmarkEnd w:id="227"/>
      <w:bookmarkStart w:id="228" w:name="_Toc184312117"/>
      <w:bookmarkEnd w:id="228"/>
      <w:bookmarkStart w:id="229" w:name="_Toc184310276"/>
      <w:bookmarkEnd w:id="229"/>
      <w:bookmarkStart w:id="230" w:name="_Toc184308105"/>
      <w:bookmarkEnd w:id="230"/>
      <w:bookmarkStart w:id="231" w:name="_Toc184313296"/>
      <w:bookmarkEnd w:id="231"/>
      <w:bookmarkStart w:id="232" w:name="_Toc184312083"/>
      <w:bookmarkEnd w:id="232"/>
      <w:bookmarkStart w:id="233" w:name="_Toc184310307"/>
      <w:bookmarkEnd w:id="233"/>
      <w:bookmarkStart w:id="234" w:name="_Toc184312075"/>
      <w:bookmarkEnd w:id="234"/>
      <w:bookmarkStart w:id="235" w:name="_Toc184312121"/>
      <w:bookmarkEnd w:id="235"/>
      <w:bookmarkStart w:id="236" w:name="_Toc184313242"/>
      <w:bookmarkEnd w:id="236"/>
      <w:bookmarkStart w:id="237" w:name="_Toc184313251"/>
      <w:bookmarkEnd w:id="237"/>
      <w:bookmarkStart w:id="238" w:name="_Toc184312131"/>
      <w:bookmarkEnd w:id="238"/>
      <w:bookmarkStart w:id="239" w:name="_Toc184314465"/>
      <w:bookmarkEnd w:id="239"/>
      <w:bookmarkStart w:id="240" w:name="_Toc184312091"/>
      <w:bookmarkEnd w:id="240"/>
      <w:bookmarkStart w:id="241" w:name="_Toc184308090"/>
      <w:bookmarkEnd w:id="241"/>
      <w:bookmarkStart w:id="242" w:name="_Toc184308085"/>
      <w:bookmarkEnd w:id="242"/>
      <w:bookmarkStart w:id="243" w:name="_Toc184312135"/>
      <w:bookmarkEnd w:id="243"/>
      <w:bookmarkStart w:id="244" w:name="_Toc184308043"/>
      <w:bookmarkEnd w:id="244"/>
      <w:bookmarkStart w:id="245" w:name="_Toc184313298"/>
      <w:bookmarkEnd w:id="245"/>
      <w:bookmarkStart w:id="246" w:name="_Toc184314482"/>
      <w:bookmarkEnd w:id="246"/>
      <w:bookmarkStart w:id="247" w:name="_Toc184308053"/>
      <w:bookmarkEnd w:id="247"/>
      <w:bookmarkStart w:id="248" w:name="_Toc184310275"/>
      <w:bookmarkEnd w:id="248"/>
      <w:bookmarkStart w:id="249" w:name="_Toc184310289"/>
      <w:bookmarkEnd w:id="249"/>
      <w:bookmarkStart w:id="250" w:name="_Toc184313310"/>
      <w:bookmarkEnd w:id="250"/>
      <w:bookmarkStart w:id="251" w:name="_Toc184314412"/>
      <w:bookmarkEnd w:id="251"/>
      <w:bookmarkStart w:id="252" w:name="_Toc184314429"/>
      <w:bookmarkEnd w:id="252"/>
      <w:bookmarkStart w:id="253" w:name="_Toc184310300"/>
      <w:bookmarkEnd w:id="253"/>
      <w:bookmarkStart w:id="254" w:name="_Toc184310305"/>
      <w:bookmarkEnd w:id="254"/>
      <w:bookmarkStart w:id="255" w:name="_Toc184310308"/>
      <w:bookmarkEnd w:id="255"/>
      <w:bookmarkStart w:id="256" w:name="_Toc184313277"/>
      <w:bookmarkEnd w:id="256"/>
      <w:bookmarkStart w:id="257" w:name="_Toc184310322"/>
      <w:bookmarkEnd w:id="257"/>
      <w:bookmarkStart w:id="258" w:name="_Toc184310298"/>
      <w:bookmarkEnd w:id="258"/>
      <w:bookmarkStart w:id="259" w:name="_Toc184313288"/>
      <w:bookmarkEnd w:id="259"/>
      <w:bookmarkStart w:id="260" w:name="_Toc184313285"/>
      <w:bookmarkEnd w:id="260"/>
      <w:bookmarkStart w:id="261" w:name="_Toc184313268"/>
      <w:bookmarkEnd w:id="261"/>
      <w:bookmarkStart w:id="262" w:name="_Toc184308078"/>
      <w:bookmarkEnd w:id="262"/>
      <w:bookmarkStart w:id="263" w:name="_Toc184310324"/>
      <w:bookmarkEnd w:id="263"/>
      <w:bookmarkStart w:id="264" w:name="_Toc184312114"/>
      <w:bookmarkEnd w:id="264"/>
      <w:bookmarkStart w:id="265" w:name="_Toc184308072"/>
      <w:bookmarkEnd w:id="265"/>
      <w:bookmarkStart w:id="266" w:name="_Toc184314451"/>
      <w:bookmarkEnd w:id="266"/>
      <w:bookmarkStart w:id="267" w:name="_Toc184308049"/>
      <w:bookmarkEnd w:id="267"/>
      <w:bookmarkStart w:id="268" w:name="_Toc184308100"/>
      <w:bookmarkEnd w:id="268"/>
      <w:bookmarkStart w:id="269" w:name="_Toc184312076"/>
      <w:bookmarkEnd w:id="269"/>
      <w:bookmarkStart w:id="270" w:name="_Toc184314477"/>
      <w:bookmarkEnd w:id="270"/>
      <w:bookmarkStart w:id="271" w:name="_Toc184312138"/>
      <w:bookmarkEnd w:id="271"/>
      <w:bookmarkStart w:id="272" w:name="_Toc184314470"/>
      <w:bookmarkEnd w:id="272"/>
      <w:bookmarkStart w:id="273" w:name="_Toc184314431"/>
      <w:bookmarkEnd w:id="273"/>
      <w:bookmarkStart w:id="274" w:name="_Toc184310332"/>
      <w:bookmarkEnd w:id="274"/>
      <w:bookmarkStart w:id="275" w:name="_Toc184314459"/>
      <w:bookmarkEnd w:id="275"/>
      <w:bookmarkStart w:id="276" w:name="_Toc184313257"/>
      <w:bookmarkEnd w:id="276"/>
      <w:bookmarkStart w:id="277" w:name="_Toc184314461"/>
      <w:bookmarkEnd w:id="277"/>
      <w:bookmarkStart w:id="278" w:name="_Toc184312097"/>
      <w:bookmarkEnd w:id="278"/>
      <w:bookmarkStart w:id="279" w:name="_Toc184314419"/>
      <w:bookmarkEnd w:id="279"/>
      <w:bookmarkStart w:id="280" w:name="_Toc184310301"/>
      <w:bookmarkEnd w:id="280"/>
      <w:bookmarkStart w:id="281" w:name="_Toc184313280"/>
      <w:bookmarkEnd w:id="281"/>
      <w:bookmarkStart w:id="282" w:name="_Toc184310335"/>
      <w:bookmarkEnd w:id="282"/>
      <w:bookmarkStart w:id="283" w:name="_Toc184314435"/>
      <w:bookmarkEnd w:id="283"/>
      <w:bookmarkStart w:id="284" w:name="_Toc184313278"/>
      <w:bookmarkEnd w:id="284"/>
      <w:bookmarkStart w:id="285" w:name="_Toc184313276"/>
      <w:bookmarkEnd w:id="285"/>
      <w:bookmarkStart w:id="286" w:name="_Toc184314473"/>
      <w:bookmarkEnd w:id="286"/>
      <w:bookmarkStart w:id="287" w:name="_Toc184308062"/>
      <w:bookmarkEnd w:id="287"/>
      <w:bookmarkStart w:id="288" w:name="_Toc184312124"/>
      <w:bookmarkEnd w:id="288"/>
      <w:bookmarkStart w:id="289" w:name="_Toc184313252"/>
      <w:bookmarkEnd w:id="289"/>
      <w:bookmarkStart w:id="290" w:name="_Toc184314475"/>
      <w:bookmarkEnd w:id="290"/>
      <w:bookmarkStart w:id="291" w:name="_Toc184314438"/>
      <w:bookmarkEnd w:id="291"/>
      <w:bookmarkStart w:id="292" w:name="_Toc184312082"/>
      <w:bookmarkEnd w:id="292"/>
      <w:bookmarkStart w:id="293" w:name="_Toc184313292"/>
      <w:bookmarkEnd w:id="293"/>
      <w:bookmarkStart w:id="294" w:name="_Toc184308050"/>
      <w:bookmarkEnd w:id="294"/>
      <w:bookmarkStart w:id="295" w:name="_Toc184312120"/>
      <w:bookmarkEnd w:id="295"/>
      <w:bookmarkStart w:id="296" w:name="_Toc184310325"/>
      <w:bookmarkEnd w:id="296"/>
      <w:bookmarkStart w:id="297" w:name="_Toc184312137"/>
      <w:bookmarkEnd w:id="297"/>
      <w:bookmarkStart w:id="298" w:name="_Toc184314467"/>
      <w:bookmarkEnd w:id="298"/>
      <w:bookmarkStart w:id="299" w:name="_Toc184313284"/>
      <w:bookmarkEnd w:id="299"/>
      <w:bookmarkStart w:id="300" w:name="_Toc184310317"/>
      <w:bookmarkEnd w:id="300"/>
      <w:bookmarkStart w:id="301" w:name="_Toc184312123"/>
      <w:bookmarkEnd w:id="301"/>
      <w:bookmarkStart w:id="302" w:name="_Toc184308093"/>
      <w:bookmarkEnd w:id="302"/>
      <w:bookmarkStart w:id="303" w:name="_Toc184308069"/>
      <w:bookmarkEnd w:id="303"/>
      <w:bookmarkStart w:id="304" w:name="_Toc184308095"/>
      <w:bookmarkEnd w:id="304"/>
      <w:bookmarkStart w:id="305" w:name="_Toc184312088"/>
      <w:bookmarkEnd w:id="305"/>
      <w:bookmarkStart w:id="306" w:name="_Toc184312130"/>
      <w:bookmarkEnd w:id="306"/>
      <w:bookmarkStart w:id="307" w:name="_Toc184308076"/>
      <w:bookmarkEnd w:id="307"/>
      <w:bookmarkStart w:id="308" w:name="_Toc184308048"/>
      <w:bookmarkEnd w:id="308"/>
      <w:bookmarkStart w:id="309" w:name="_Toc184310285"/>
      <w:bookmarkEnd w:id="309"/>
      <w:bookmarkStart w:id="310" w:name="_Toc184312128"/>
      <w:bookmarkEnd w:id="310"/>
      <w:bookmarkStart w:id="311" w:name="_Toc184310337"/>
      <w:bookmarkEnd w:id="311"/>
      <w:bookmarkStart w:id="312" w:name="_Toc184310283"/>
      <w:bookmarkEnd w:id="312"/>
      <w:bookmarkStart w:id="313" w:name="_Toc184314457"/>
      <w:bookmarkEnd w:id="313"/>
      <w:bookmarkStart w:id="314" w:name="_Toc184313281"/>
      <w:bookmarkEnd w:id="314"/>
      <w:bookmarkStart w:id="315" w:name="_Toc184310287"/>
      <w:bookmarkEnd w:id="315"/>
      <w:bookmarkStart w:id="316" w:name="_Toc184313258"/>
      <w:bookmarkEnd w:id="316"/>
      <w:bookmarkStart w:id="317" w:name="_Toc184308081"/>
      <w:bookmarkEnd w:id="317"/>
      <w:bookmarkStart w:id="318" w:name="_Toc184312068"/>
      <w:bookmarkEnd w:id="318"/>
      <w:bookmarkStart w:id="319" w:name="_Toc184310328"/>
      <w:bookmarkEnd w:id="319"/>
      <w:bookmarkStart w:id="320" w:name="_Toc184312106"/>
      <w:bookmarkEnd w:id="320"/>
      <w:bookmarkStart w:id="321" w:name="_Toc184312122"/>
      <w:bookmarkEnd w:id="321"/>
      <w:bookmarkStart w:id="322" w:name="_Toc184310292"/>
      <w:bookmarkEnd w:id="322"/>
      <w:bookmarkStart w:id="323" w:name="_Toc184310284"/>
      <w:bookmarkEnd w:id="323"/>
      <w:bookmarkStart w:id="324" w:name="_Toc184313248"/>
      <w:bookmarkEnd w:id="324"/>
      <w:bookmarkStart w:id="325" w:name="_Toc184314421"/>
      <w:bookmarkEnd w:id="325"/>
      <w:bookmarkStart w:id="326" w:name="_Toc184308041"/>
      <w:bookmarkEnd w:id="326"/>
      <w:bookmarkStart w:id="327" w:name="_Toc184314414"/>
      <w:bookmarkEnd w:id="327"/>
      <w:bookmarkStart w:id="328" w:name="_Toc184308096"/>
      <w:bookmarkEnd w:id="328"/>
      <w:bookmarkStart w:id="329" w:name="_Toc184308059"/>
      <w:bookmarkEnd w:id="329"/>
      <w:bookmarkStart w:id="330" w:name="_Toc184308092"/>
      <w:bookmarkEnd w:id="330"/>
      <w:bookmarkStart w:id="331" w:name="_Toc184310343"/>
      <w:bookmarkEnd w:id="331"/>
      <w:bookmarkStart w:id="332" w:name="_Toc184312105"/>
      <w:bookmarkEnd w:id="332"/>
      <w:bookmarkStart w:id="333" w:name="_Toc184312085"/>
      <w:bookmarkEnd w:id="333"/>
      <w:bookmarkStart w:id="334" w:name="_Toc184314442"/>
      <w:bookmarkEnd w:id="334"/>
      <w:bookmarkStart w:id="335" w:name="_Toc184310299"/>
      <w:bookmarkEnd w:id="335"/>
      <w:bookmarkStart w:id="336" w:name="_Toc184314450"/>
      <w:bookmarkEnd w:id="336"/>
      <w:bookmarkStart w:id="337" w:name="_Toc184314463"/>
      <w:bookmarkEnd w:id="337"/>
      <w:bookmarkStart w:id="338" w:name="_Toc184313300"/>
      <w:bookmarkEnd w:id="338"/>
      <w:bookmarkStart w:id="339" w:name="_Toc184308063"/>
      <w:bookmarkEnd w:id="339"/>
      <w:bookmarkStart w:id="340" w:name="_Toc184312080"/>
      <w:bookmarkEnd w:id="340"/>
      <w:bookmarkStart w:id="341" w:name="_Toc184310318"/>
      <w:bookmarkEnd w:id="341"/>
      <w:bookmarkStart w:id="342" w:name="_Toc184312078"/>
      <w:bookmarkEnd w:id="342"/>
      <w:bookmarkStart w:id="343" w:name="_Toc184314420"/>
      <w:bookmarkEnd w:id="343"/>
      <w:bookmarkStart w:id="344" w:name="_Toc184312073"/>
      <w:bookmarkEnd w:id="344"/>
      <w:bookmarkStart w:id="345" w:name="_Toc184312086"/>
      <w:bookmarkEnd w:id="345"/>
      <w:bookmarkStart w:id="346" w:name="_Toc184314468"/>
      <w:bookmarkEnd w:id="346"/>
      <w:bookmarkStart w:id="347" w:name="_Toc184312074"/>
      <w:bookmarkEnd w:id="347"/>
      <w:bookmarkStart w:id="348" w:name="_Toc184308089"/>
      <w:bookmarkEnd w:id="348"/>
      <w:bookmarkStart w:id="349" w:name="_Toc184314432"/>
      <w:bookmarkEnd w:id="349"/>
      <w:bookmarkStart w:id="350" w:name="_Toc184313308"/>
      <w:bookmarkEnd w:id="350"/>
      <w:bookmarkStart w:id="351" w:name="_Toc184313241"/>
      <w:bookmarkEnd w:id="351"/>
      <w:bookmarkStart w:id="352" w:name="_Toc184312104"/>
      <w:bookmarkEnd w:id="352"/>
      <w:bookmarkStart w:id="353" w:name="_Toc184314428"/>
      <w:bookmarkEnd w:id="353"/>
      <w:bookmarkStart w:id="354" w:name="_Toc184313256"/>
      <w:bookmarkEnd w:id="354"/>
      <w:bookmarkStart w:id="355" w:name="_Toc184310272"/>
      <w:bookmarkEnd w:id="355"/>
      <w:bookmarkStart w:id="356" w:name="_Toc184308088"/>
      <w:bookmarkEnd w:id="356"/>
      <w:bookmarkStart w:id="357" w:name="_Toc184308051"/>
      <w:bookmarkEnd w:id="357"/>
      <w:bookmarkStart w:id="358" w:name="_Toc184308036"/>
      <w:bookmarkEnd w:id="358"/>
      <w:bookmarkStart w:id="359" w:name="_Toc184310302"/>
      <w:bookmarkEnd w:id="359"/>
      <w:bookmarkStart w:id="360" w:name="_Toc184314472"/>
      <w:bookmarkEnd w:id="360"/>
      <w:bookmarkStart w:id="361" w:name="_Toc184308060"/>
      <w:bookmarkEnd w:id="361"/>
      <w:bookmarkStart w:id="362" w:name="_Toc184314464"/>
      <w:bookmarkEnd w:id="362"/>
      <w:bookmarkStart w:id="363" w:name="_Toc184308046"/>
      <w:bookmarkEnd w:id="363"/>
      <w:bookmarkStart w:id="364" w:name="_Toc184313259"/>
      <w:bookmarkEnd w:id="364"/>
      <w:bookmarkStart w:id="365" w:name="_Toc184312070"/>
      <w:bookmarkEnd w:id="365"/>
      <w:bookmarkStart w:id="366" w:name="_Toc184312100"/>
      <w:bookmarkEnd w:id="366"/>
      <w:bookmarkStart w:id="367" w:name="_Toc184314415"/>
      <w:bookmarkEnd w:id="367"/>
      <w:bookmarkStart w:id="368" w:name="_Toc184313265"/>
      <w:bookmarkEnd w:id="368"/>
      <w:bookmarkStart w:id="369" w:name="_Toc184310316"/>
      <w:bookmarkEnd w:id="369"/>
      <w:bookmarkStart w:id="370" w:name="_Toc184310341"/>
      <w:bookmarkEnd w:id="370"/>
      <w:bookmarkStart w:id="371" w:name="_Toc184313299"/>
      <w:bookmarkEnd w:id="371"/>
      <w:bookmarkStart w:id="372" w:name="_Toc184308066"/>
      <w:bookmarkEnd w:id="372"/>
      <w:bookmarkStart w:id="373" w:name="_Toc184313260"/>
      <w:bookmarkEnd w:id="373"/>
      <w:bookmarkStart w:id="374" w:name="_Toc184314449"/>
      <w:bookmarkEnd w:id="374"/>
      <w:bookmarkStart w:id="375" w:name="_Toc184314460"/>
      <w:bookmarkEnd w:id="375"/>
      <w:bookmarkStart w:id="376" w:name="_Toc184313270"/>
      <w:bookmarkEnd w:id="376"/>
      <w:bookmarkStart w:id="377" w:name="_Toc184312116"/>
      <w:bookmarkEnd w:id="377"/>
      <w:bookmarkStart w:id="378" w:name="_Toc184310297"/>
      <w:bookmarkEnd w:id="378"/>
      <w:bookmarkStart w:id="379" w:name="_Toc184313283"/>
      <w:bookmarkEnd w:id="379"/>
      <w:bookmarkStart w:id="380" w:name="_Toc184310323"/>
      <w:bookmarkEnd w:id="380"/>
      <w:bookmarkStart w:id="381" w:name="_Toc184312134"/>
      <w:bookmarkEnd w:id="381"/>
      <w:bookmarkStart w:id="382" w:name="_Toc184312119"/>
      <w:bookmarkEnd w:id="382"/>
      <w:bookmarkStart w:id="383" w:name="_Toc184313306"/>
      <w:bookmarkEnd w:id="383"/>
      <w:bookmarkStart w:id="384" w:name="_Toc184310333"/>
      <w:bookmarkEnd w:id="384"/>
      <w:bookmarkStart w:id="385" w:name="_Toc184308079"/>
      <w:bookmarkEnd w:id="385"/>
      <w:bookmarkStart w:id="386" w:name="_Toc184312096"/>
      <w:bookmarkEnd w:id="386"/>
      <w:bookmarkStart w:id="387" w:name="_Toc184312132"/>
      <w:bookmarkEnd w:id="387"/>
      <w:bookmarkStart w:id="388" w:name="_Toc184312077"/>
      <w:bookmarkEnd w:id="388"/>
      <w:bookmarkStart w:id="389" w:name="_Toc184310331"/>
      <w:bookmarkEnd w:id="389"/>
      <w:bookmarkStart w:id="390" w:name="_Toc184313243"/>
      <w:bookmarkEnd w:id="390"/>
      <w:bookmarkStart w:id="391" w:name="_Toc184308108"/>
      <w:bookmarkEnd w:id="391"/>
      <w:bookmarkStart w:id="392" w:name="_Toc184314416"/>
      <w:bookmarkEnd w:id="392"/>
      <w:bookmarkStart w:id="393" w:name="_Toc184314444"/>
      <w:bookmarkEnd w:id="393"/>
      <w:bookmarkStart w:id="394" w:name="_Toc184313244"/>
      <w:bookmarkEnd w:id="394"/>
      <w:bookmarkStart w:id="395" w:name="_Toc184314439"/>
      <w:bookmarkEnd w:id="395"/>
      <w:bookmarkStart w:id="396" w:name="_Toc184314478"/>
      <w:bookmarkEnd w:id="396"/>
      <w:r>
        <w:rPr>
          <w:rFonts w:hint="eastAsia" w:ascii="宋体" w:hAnsi="宋体" w:cs="宋体"/>
          <w:b/>
          <w:color w:val="auto"/>
          <w:sz w:val="36"/>
          <w:szCs w:val="36"/>
        </w:rPr>
        <w:t>评标办法</w:t>
      </w:r>
    </w:p>
    <w:p>
      <w:pPr>
        <w:snapToGrid w:val="0"/>
        <w:spacing w:line="360" w:lineRule="auto"/>
        <w:jc w:val="center"/>
        <w:rPr>
          <w:rFonts w:ascii="宋体" w:hAnsi="宋体" w:cs="宋体"/>
          <w:b/>
          <w:color w:val="auto"/>
          <w:sz w:val="32"/>
          <w:szCs w:val="20"/>
        </w:rPr>
      </w:pPr>
      <w:r>
        <w:rPr>
          <w:rFonts w:hint="eastAsia" w:ascii="宋体" w:hAnsi="宋体" w:cs="宋体"/>
          <w:b/>
          <w:color w:val="auto"/>
          <w:sz w:val="32"/>
          <w:szCs w:val="20"/>
        </w:rPr>
        <w:t>评标办法前附表</w:t>
      </w:r>
    </w:p>
    <w:tbl>
      <w:tblPr>
        <w:tblStyle w:val="6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5675"/>
        <w:gridCol w:w="732"/>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snapToGrid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序号</w:t>
            </w:r>
          </w:p>
        </w:tc>
        <w:tc>
          <w:tcPr>
            <w:tcW w:w="3419" w:type="pct"/>
            <w:vAlign w:val="center"/>
          </w:tcPr>
          <w:p>
            <w:pPr>
              <w:snapToGrid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评标标准</w:t>
            </w:r>
          </w:p>
        </w:tc>
        <w:tc>
          <w:tcPr>
            <w:tcW w:w="441" w:type="pct"/>
            <w:vAlign w:val="center"/>
          </w:tcPr>
          <w:p>
            <w:pPr>
              <w:snapToGrid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权重（分值）</w:t>
            </w:r>
          </w:p>
        </w:tc>
        <w:tc>
          <w:tcPr>
            <w:tcW w:w="823" w:type="pct"/>
          </w:tcPr>
          <w:p>
            <w:pPr>
              <w:snapToGrid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bCs/>
                <w:color w:val="auto"/>
                <w:sz w:val="24"/>
              </w:rPr>
              <w:t>投标文件中评标标准相应的商务技术资料目录*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snapToGrid w:val="0"/>
              <w:spacing w:line="360" w:lineRule="auto"/>
              <w:jc w:val="center"/>
              <w:rPr>
                <w:rFonts w:hint="eastAsia" w:cs="仿宋_GB2312" w:asciiTheme="minorEastAsia" w:hAnsiTheme="minorEastAsia" w:eastAsiaTheme="minorEastAsia"/>
                <w:color w:val="auto"/>
                <w:sz w:val="24"/>
                <w:lang w:eastAsia="zh-CN"/>
              </w:rPr>
            </w:pPr>
            <w:r>
              <w:rPr>
                <w:rFonts w:hint="eastAsia" w:cs="仿宋_GB2312" w:asciiTheme="minorEastAsia" w:hAnsiTheme="minorEastAsia" w:eastAsiaTheme="minorEastAsia"/>
                <w:color w:val="auto"/>
                <w:sz w:val="24"/>
                <w:lang w:val="en-US" w:eastAsia="zh-CN"/>
              </w:rPr>
              <w:t>1</w:t>
            </w:r>
          </w:p>
        </w:tc>
        <w:tc>
          <w:tcPr>
            <w:tcW w:w="3419" w:type="pct"/>
          </w:tcPr>
          <w:p>
            <w:pPr>
              <w:snapToGrid w:val="0"/>
              <w:spacing w:line="360" w:lineRule="auto"/>
              <w:jc w:val="left"/>
              <w:rPr>
                <w:rFonts w:cs="仿宋_GB2312" w:asciiTheme="minorEastAsia" w:hAnsiTheme="minorEastAsia" w:eastAsiaTheme="minorEastAsia"/>
                <w:color w:val="auto"/>
                <w:sz w:val="24"/>
              </w:rPr>
            </w:pPr>
            <w:r>
              <w:rPr>
                <w:rFonts w:ascii="宋体" w:hAnsi="宋体" w:cs="宋体"/>
                <w:color w:val="auto"/>
                <w:sz w:val="24"/>
                <w:highlight w:val="none"/>
              </w:rPr>
              <w:t>投标人</w:t>
            </w:r>
            <w:r>
              <w:rPr>
                <w:rFonts w:hint="eastAsia" w:ascii="宋体" w:hAnsi="宋体" w:cs="宋体"/>
                <w:color w:val="auto"/>
                <w:sz w:val="24"/>
                <w:highlight w:val="none"/>
              </w:rPr>
              <w:t>投标截止时间前三年内（以合同签订时间为准）的同类案例，每个案例需提供</w:t>
            </w:r>
            <w:r>
              <w:rPr>
                <w:rFonts w:hint="eastAsia" w:ascii="宋体" w:hAnsi="宋体" w:cs="宋体"/>
                <w:b/>
                <w:bCs/>
                <w:color w:val="auto"/>
                <w:sz w:val="24"/>
                <w:highlight w:val="none"/>
              </w:rPr>
              <w:t>合同复印件</w:t>
            </w:r>
            <w:r>
              <w:rPr>
                <w:rFonts w:hint="eastAsia" w:ascii="宋体" w:hAnsi="宋体" w:cs="宋体"/>
                <w:b/>
                <w:bCs/>
                <w:color w:val="auto"/>
                <w:sz w:val="24"/>
                <w:highlight w:val="none"/>
                <w:lang w:eastAsia="zh-CN"/>
              </w:rPr>
              <w:t>和验收报告</w:t>
            </w:r>
            <w:r>
              <w:rPr>
                <w:rFonts w:hint="eastAsia" w:ascii="宋体" w:hAnsi="宋体" w:cs="宋体"/>
                <w:color w:val="auto"/>
                <w:sz w:val="24"/>
                <w:highlight w:val="none"/>
                <w:lang w:eastAsia="zh-CN"/>
              </w:rPr>
              <w:t>复印件</w:t>
            </w:r>
            <w:r>
              <w:rPr>
                <w:rFonts w:hint="eastAsia" w:ascii="宋体" w:hAnsi="宋体" w:cs="宋体"/>
                <w:color w:val="auto"/>
                <w:sz w:val="24"/>
                <w:highlight w:val="none"/>
              </w:rPr>
              <w:t>，每个案例得</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分，最高得3分（缺一不得分，同类案例是指与采购标的同品类的产品案例）。</w:t>
            </w:r>
          </w:p>
        </w:tc>
        <w:tc>
          <w:tcPr>
            <w:tcW w:w="441" w:type="pct"/>
            <w:vAlign w:val="center"/>
          </w:tcPr>
          <w:p>
            <w:pPr>
              <w:snapToGrid w:val="0"/>
              <w:spacing w:line="360" w:lineRule="auto"/>
              <w:jc w:val="center"/>
              <w:rPr>
                <w:rFonts w:cs="仿宋_GB2312" w:asciiTheme="minorEastAsia" w:hAnsiTheme="minorEastAsia" w:eastAsiaTheme="minorEastAsia"/>
                <w:color w:val="auto"/>
                <w:sz w:val="24"/>
              </w:rPr>
            </w:pPr>
            <w:r>
              <w:rPr>
                <w:rFonts w:cs="仿宋_GB2312" w:asciiTheme="minorEastAsia" w:hAnsiTheme="minorEastAsia" w:eastAsiaTheme="minorEastAsia"/>
                <w:color w:val="auto"/>
                <w:sz w:val="24"/>
              </w:rPr>
              <w:t>3</w:t>
            </w:r>
          </w:p>
        </w:tc>
        <w:tc>
          <w:tcPr>
            <w:tcW w:w="823" w:type="pct"/>
            <w:vAlign w:val="center"/>
          </w:tcPr>
          <w:p>
            <w:pPr>
              <w:snapToGrid w:val="0"/>
              <w:spacing w:line="360" w:lineRule="auto"/>
              <w:jc w:val="center"/>
              <w:rPr>
                <w:rFonts w:cs="仿宋_GB2312" w:asciiTheme="minorEastAsia" w:hAnsiTheme="minorEastAsia" w:eastAsiaTheme="minorEastAsia"/>
                <w:color w:val="auto"/>
                <w:sz w:val="24"/>
              </w:rPr>
            </w:pPr>
            <w:r>
              <w:rPr>
                <w:rFonts w:hint="eastAsia" w:ascii="宋体" w:hAnsi="宋体" w:cs="宋体"/>
                <w:color w:val="auto"/>
                <w:kern w:val="0"/>
                <w:sz w:val="24"/>
              </w:rPr>
              <w:t>（</w:t>
            </w:r>
            <w:r>
              <w:rPr>
                <w:rFonts w:hint="eastAsia" w:ascii="宋体" w:hAnsi="宋体" w:cs="宋体"/>
                <w:color w:val="auto"/>
                <w:kern w:val="0"/>
                <w:sz w:val="24"/>
                <w:lang w:val="en-US" w:eastAsia="zh-CN"/>
              </w:rPr>
              <w:t>一</w:t>
            </w:r>
            <w:r>
              <w:rPr>
                <w:rFonts w:hint="eastAsia" w:ascii="宋体" w:hAnsi="宋体" w:cs="宋体"/>
                <w:color w:val="auto"/>
                <w:kern w:val="0"/>
                <w:sz w:val="24"/>
              </w:rPr>
              <w:t>）投标人业绩情况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snapToGrid w:val="0"/>
              <w:spacing w:line="360" w:lineRule="auto"/>
              <w:jc w:val="center"/>
              <w:rPr>
                <w:rFonts w:hint="eastAsia" w:cs="仿宋_GB2312" w:asciiTheme="minorEastAsia" w:hAnsiTheme="minorEastAsia" w:eastAsiaTheme="minorEastAsia"/>
                <w:color w:val="auto"/>
                <w:sz w:val="24"/>
                <w:lang w:eastAsia="zh-CN"/>
              </w:rPr>
            </w:pPr>
            <w:r>
              <w:rPr>
                <w:rFonts w:hint="eastAsia" w:cs="仿宋_GB2312" w:asciiTheme="minorEastAsia" w:hAnsiTheme="minorEastAsia" w:eastAsiaTheme="minorEastAsia"/>
                <w:color w:val="auto"/>
                <w:sz w:val="24"/>
                <w:lang w:val="en-US" w:eastAsia="zh-CN"/>
              </w:rPr>
              <w:t>2</w:t>
            </w:r>
          </w:p>
        </w:tc>
        <w:tc>
          <w:tcPr>
            <w:tcW w:w="3419" w:type="pct"/>
          </w:tcPr>
          <w:p>
            <w:pPr>
              <w:spacing w:line="360" w:lineRule="auto"/>
              <w:outlineLvl w:val="0"/>
              <w:rPr>
                <w:rFonts w:ascii="宋体" w:hAnsi="宋体" w:cs="宋体"/>
                <w:color w:val="auto"/>
                <w:kern w:val="0"/>
                <w:sz w:val="24"/>
                <w:highlight w:val="none"/>
              </w:rPr>
            </w:pPr>
            <w:r>
              <w:rPr>
                <w:rFonts w:hint="eastAsia" w:ascii="宋体" w:hAnsi="宋体" w:cs="宋体"/>
                <w:color w:val="auto"/>
                <w:kern w:val="0"/>
                <w:sz w:val="24"/>
                <w:highlight w:val="none"/>
              </w:rPr>
              <w:t>产品列入财政部、发展改革委发布的节能产品品目清单的，提供国家市场监督管理总局公布的《参与实施政府采购节能产品认证机构名录》内的认证机构出具的、处于有效期之内的节能标志产品认证证书的，得1分。</w:t>
            </w:r>
          </w:p>
          <w:p>
            <w:pPr>
              <w:spacing w:line="360" w:lineRule="auto"/>
              <w:jc w:val="left"/>
              <w:rPr>
                <w:rFonts w:ascii="宋体" w:hAnsi="宋体"/>
                <w:color w:val="auto"/>
                <w:sz w:val="24"/>
              </w:rPr>
            </w:pPr>
            <w:r>
              <w:rPr>
                <w:rFonts w:hint="eastAsia" w:ascii="宋体" w:hAnsi="宋体" w:cs="宋体"/>
                <w:color w:val="auto"/>
                <w:kern w:val="0"/>
                <w:sz w:val="24"/>
              </w:rPr>
              <w:t>产品列入财政部、生态环境部发布的环境标志产品品目清单的，提供国家市场监督管理总局公布的《参与实施政府采购环境标志产品认证机构名录》内的认证机构出具的、处于有效期之内的环境标志产品认证证书，得1分。</w:t>
            </w:r>
          </w:p>
        </w:tc>
        <w:tc>
          <w:tcPr>
            <w:tcW w:w="441" w:type="pct"/>
            <w:vAlign w:val="center"/>
          </w:tcPr>
          <w:p>
            <w:pPr>
              <w:snapToGrid w:val="0"/>
              <w:spacing w:line="360" w:lineRule="auto"/>
              <w:jc w:val="center"/>
              <w:rPr>
                <w:rFonts w:cs="仿宋_GB2312" w:asciiTheme="minorEastAsia" w:hAnsiTheme="minorEastAsia" w:eastAsiaTheme="minorEastAsia"/>
                <w:color w:val="auto"/>
                <w:sz w:val="24"/>
              </w:rPr>
            </w:pPr>
            <w:r>
              <w:rPr>
                <w:rFonts w:cs="仿宋_GB2312" w:asciiTheme="minorEastAsia" w:hAnsiTheme="minorEastAsia" w:eastAsiaTheme="minorEastAsia"/>
                <w:color w:val="auto"/>
                <w:sz w:val="24"/>
                <w:highlight w:val="none"/>
              </w:rPr>
              <w:t>2</w:t>
            </w:r>
          </w:p>
        </w:tc>
        <w:tc>
          <w:tcPr>
            <w:tcW w:w="823" w:type="pct"/>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二</w:t>
            </w:r>
            <w:r>
              <w:rPr>
                <w:rFonts w:hint="eastAsia" w:ascii="宋体" w:hAnsi="宋体" w:cs="宋体"/>
                <w:color w:val="auto"/>
                <w:sz w:val="24"/>
              </w:rPr>
              <w:t>）节能环保产品标志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snapToGrid w:val="0"/>
              <w:spacing w:line="360" w:lineRule="auto"/>
              <w:jc w:val="center"/>
              <w:rPr>
                <w:rFonts w:hint="eastAsia" w:cs="仿宋_GB2312" w:asciiTheme="minorEastAsia" w:hAnsiTheme="minorEastAsia" w:eastAsiaTheme="minorEastAsia"/>
                <w:color w:val="auto"/>
                <w:sz w:val="24"/>
                <w:lang w:eastAsia="zh-CN"/>
              </w:rPr>
            </w:pPr>
            <w:r>
              <w:rPr>
                <w:rFonts w:hint="eastAsia" w:cs="仿宋_GB2312" w:asciiTheme="minorEastAsia" w:hAnsiTheme="minorEastAsia" w:eastAsiaTheme="minorEastAsia"/>
                <w:color w:val="auto"/>
                <w:sz w:val="24"/>
                <w:lang w:val="en-US" w:eastAsia="zh-CN"/>
              </w:rPr>
              <w:t>3</w:t>
            </w:r>
          </w:p>
        </w:tc>
        <w:tc>
          <w:tcPr>
            <w:tcW w:w="3419" w:type="pct"/>
          </w:tcPr>
          <w:p>
            <w:pPr>
              <w:snapToGrid w:val="0"/>
              <w:spacing w:line="360" w:lineRule="auto"/>
              <w:jc w:val="left"/>
              <w:rPr>
                <w:rFonts w:ascii="宋体" w:hAnsi="宋体" w:cs="宋体"/>
                <w:color w:val="auto"/>
                <w:sz w:val="24"/>
              </w:rPr>
            </w:pPr>
            <w:r>
              <w:rPr>
                <w:rFonts w:hint="eastAsia" w:ascii="宋体" w:hAnsi="宋体" w:cs="宋体"/>
                <w:color w:val="auto"/>
                <w:sz w:val="24"/>
              </w:rPr>
              <w:t>投标产品的基本功能、技术指标与需求的吻合程度和偏差情况：招标文件中要求提供的相关证明材料，必须提供，否则一律视为负偏离。</w:t>
            </w:r>
          </w:p>
          <w:p>
            <w:pPr>
              <w:spacing w:line="360" w:lineRule="auto"/>
              <w:jc w:val="left"/>
              <w:rPr>
                <w:rFonts w:cs="仿宋_GB2312" w:asciiTheme="minorEastAsia" w:hAnsiTheme="minorEastAsia" w:eastAsiaTheme="minorEastAsia"/>
                <w:color w:val="auto"/>
                <w:sz w:val="24"/>
              </w:rPr>
            </w:pPr>
            <w:r>
              <w:rPr>
                <w:rFonts w:hint="eastAsia" w:ascii="宋体" w:hAnsi="宋体"/>
                <w:color w:val="auto"/>
                <w:sz w:val="24"/>
              </w:rPr>
              <w:t>对于带“★”的技术指标负偏离每一项扣减</w:t>
            </w:r>
            <w:r>
              <w:rPr>
                <w:rFonts w:ascii="宋体" w:hAnsi="宋体"/>
                <w:color w:val="auto"/>
                <w:sz w:val="24"/>
              </w:rPr>
              <w:t>2分</w:t>
            </w:r>
            <w:r>
              <w:rPr>
                <w:rFonts w:hint="eastAsia" w:ascii="宋体" w:hAnsi="宋体"/>
                <w:color w:val="auto"/>
                <w:sz w:val="24"/>
              </w:rPr>
              <w:t>；其他技术指标负偏离每一项扣减1分，扣完为止。</w:t>
            </w:r>
          </w:p>
        </w:tc>
        <w:tc>
          <w:tcPr>
            <w:tcW w:w="441" w:type="pct"/>
            <w:vAlign w:val="center"/>
          </w:tcPr>
          <w:p>
            <w:pPr>
              <w:snapToGrid w:val="0"/>
              <w:spacing w:line="360" w:lineRule="auto"/>
              <w:jc w:val="center"/>
              <w:rPr>
                <w:rFonts w:hint="default" w:cs="仿宋_GB2312" w:asciiTheme="minorEastAsia" w:hAnsiTheme="minorEastAsia" w:eastAsiaTheme="minorEastAsia"/>
                <w:color w:val="auto"/>
                <w:sz w:val="24"/>
                <w:lang w:val="en-US" w:eastAsia="zh-CN"/>
              </w:rPr>
            </w:pPr>
            <w:r>
              <w:rPr>
                <w:rFonts w:hint="eastAsia" w:cs="仿宋_GB2312" w:asciiTheme="minorEastAsia" w:hAnsiTheme="minorEastAsia" w:eastAsiaTheme="minorEastAsia"/>
                <w:color w:val="auto"/>
                <w:sz w:val="24"/>
                <w:lang w:val="en-US" w:eastAsia="zh-CN"/>
              </w:rPr>
              <w:t>32</w:t>
            </w:r>
          </w:p>
        </w:tc>
        <w:tc>
          <w:tcPr>
            <w:tcW w:w="823" w:type="pct"/>
            <w:vAlign w:val="center"/>
          </w:tcPr>
          <w:p>
            <w:pPr>
              <w:snapToGrid w:val="0"/>
              <w:spacing w:line="360" w:lineRule="auto"/>
              <w:jc w:val="center"/>
              <w:rPr>
                <w:rFonts w:cs="仿宋_GB2312" w:asciiTheme="minorEastAsia" w:hAnsiTheme="minorEastAsia" w:eastAsiaTheme="minorEastAsia"/>
                <w:color w:val="auto"/>
                <w:sz w:val="24"/>
              </w:rPr>
            </w:pPr>
            <w:r>
              <w:rPr>
                <w:rFonts w:hint="eastAsia" w:ascii="宋体" w:hAnsi="宋体" w:cs="宋体"/>
                <w:color w:val="auto"/>
                <w:sz w:val="24"/>
              </w:rPr>
              <w:t>（</w:t>
            </w:r>
            <w:r>
              <w:rPr>
                <w:rFonts w:hint="eastAsia" w:ascii="宋体" w:hAnsi="宋体" w:cs="宋体"/>
                <w:color w:val="auto"/>
                <w:sz w:val="24"/>
                <w:lang w:val="en-US" w:eastAsia="zh-CN"/>
              </w:rPr>
              <w:t>三</w:t>
            </w:r>
            <w:r>
              <w:rPr>
                <w:rFonts w:hint="eastAsia" w:ascii="宋体" w:hAnsi="宋体" w:cs="宋体"/>
                <w:color w:val="auto"/>
                <w:sz w:val="24"/>
              </w:rPr>
              <w:t>）投标产品的性能和功能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snapToGrid w:val="0"/>
              <w:spacing w:line="360" w:lineRule="auto"/>
              <w:jc w:val="center"/>
              <w:rPr>
                <w:rFonts w:hint="eastAsia" w:cs="仿宋_GB2312" w:asciiTheme="minorEastAsia" w:hAnsiTheme="minorEastAsia" w:eastAsiaTheme="minorEastAsia"/>
                <w:color w:val="auto"/>
                <w:sz w:val="24"/>
                <w:lang w:eastAsia="zh-CN"/>
              </w:rPr>
            </w:pPr>
            <w:r>
              <w:rPr>
                <w:rFonts w:hint="eastAsia" w:cs="仿宋_GB2312" w:asciiTheme="minorEastAsia" w:hAnsiTheme="minorEastAsia" w:eastAsiaTheme="minorEastAsia"/>
                <w:color w:val="auto"/>
                <w:sz w:val="24"/>
                <w:lang w:val="en-US" w:eastAsia="zh-CN"/>
              </w:rPr>
              <w:t>4</w:t>
            </w:r>
          </w:p>
        </w:tc>
        <w:tc>
          <w:tcPr>
            <w:tcW w:w="3419" w:type="pct"/>
            <w:vAlign w:val="center"/>
          </w:tcPr>
          <w:p>
            <w:pPr>
              <w:snapToGrid w:val="0"/>
              <w:spacing w:line="360" w:lineRule="auto"/>
              <w:jc w:val="left"/>
              <w:rPr>
                <w:rFonts w:ascii="宋体" w:hAnsi="宋体" w:cs="宋体"/>
                <w:color w:val="auto"/>
                <w:sz w:val="24"/>
              </w:rPr>
            </w:pPr>
            <w:r>
              <w:rPr>
                <w:rFonts w:hint="eastAsia" w:ascii="宋体" w:hAnsi="宋体" w:cs="宋体"/>
                <w:sz w:val="24"/>
              </w:rPr>
              <w:t>项目实施方案：包括①项目实施计划进度②项目</w:t>
            </w:r>
            <w:r>
              <w:rPr>
                <w:rFonts w:hint="eastAsia" w:ascii="宋体" w:hAnsi="宋体" w:cs="宋体"/>
                <w:sz w:val="24"/>
                <w:highlight w:val="none"/>
              </w:rPr>
              <w:t>实施保障措施③项目实施培训方案④项目验收方案。方案完整、合理，针对性强，视为符合，每一项完全符合得</w:t>
            </w:r>
            <w:r>
              <w:rPr>
                <w:rFonts w:ascii="宋体" w:hAnsi="宋体" w:cs="宋体"/>
                <w:sz w:val="24"/>
                <w:highlight w:val="none"/>
              </w:rPr>
              <w:t>1</w:t>
            </w:r>
            <w:r>
              <w:rPr>
                <w:rFonts w:hint="eastAsia" w:ascii="宋体" w:hAnsi="宋体" w:cs="宋体"/>
                <w:sz w:val="24"/>
                <w:highlight w:val="none"/>
              </w:rPr>
              <w:t>分，部分符合得0.5分，不符合不得分，总分</w:t>
            </w:r>
            <w:r>
              <w:rPr>
                <w:rFonts w:ascii="宋体" w:hAnsi="宋体" w:cs="宋体"/>
                <w:sz w:val="24"/>
                <w:highlight w:val="none"/>
              </w:rPr>
              <w:t>4</w:t>
            </w:r>
            <w:r>
              <w:rPr>
                <w:rFonts w:hint="eastAsia" w:ascii="宋体" w:hAnsi="宋体" w:cs="宋体"/>
                <w:sz w:val="24"/>
                <w:highlight w:val="none"/>
              </w:rPr>
              <w:t>分。</w:t>
            </w:r>
          </w:p>
        </w:tc>
        <w:tc>
          <w:tcPr>
            <w:tcW w:w="441" w:type="pct"/>
            <w:vAlign w:val="center"/>
          </w:tcPr>
          <w:p>
            <w:pPr>
              <w:snapToGrid w:val="0"/>
              <w:spacing w:line="360" w:lineRule="auto"/>
              <w:jc w:val="center"/>
              <w:rPr>
                <w:rFonts w:ascii="宋体" w:hAnsi="宋体" w:cs="宋体"/>
                <w:color w:val="auto"/>
                <w:sz w:val="24"/>
              </w:rPr>
            </w:pPr>
            <w:r>
              <w:rPr>
                <w:rFonts w:ascii="宋体" w:hAnsi="宋体" w:cs="宋体"/>
                <w:color w:val="auto"/>
                <w:sz w:val="24"/>
              </w:rPr>
              <w:t>4</w:t>
            </w:r>
          </w:p>
        </w:tc>
        <w:tc>
          <w:tcPr>
            <w:tcW w:w="823" w:type="pct"/>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四</w:t>
            </w:r>
            <w:r>
              <w:rPr>
                <w:rFonts w:hint="eastAsia" w:ascii="宋体" w:hAnsi="宋体" w:cs="宋体"/>
                <w:color w:val="auto"/>
                <w:sz w:val="24"/>
              </w:rPr>
              <w:t>）项目实施方案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6" w:type="pct"/>
            <w:vAlign w:val="center"/>
          </w:tcPr>
          <w:p>
            <w:pPr>
              <w:snapToGrid w:val="0"/>
              <w:spacing w:line="360" w:lineRule="auto"/>
              <w:jc w:val="center"/>
              <w:rPr>
                <w:rFonts w:hint="eastAsia" w:cs="仿宋_GB2312" w:asciiTheme="minorEastAsia" w:hAnsiTheme="minorEastAsia" w:eastAsiaTheme="minorEastAsia"/>
                <w:color w:val="auto"/>
                <w:sz w:val="24"/>
                <w:lang w:val="en-US" w:eastAsia="zh-CN"/>
              </w:rPr>
            </w:pPr>
            <w:r>
              <w:rPr>
                <w:rFonts w:hint="eastAsia" w:cs="仿宋_GB2312" w:asciiTheme="minorEastAsia" w:hAnsiTheme="minorEastAsia" w:eastAsiaTheme="minorEastAsia"/>
                <w:color w:val="auto"/>
                <w:sz w:val="24"/>
                <w:lang w:val="en-US" w:eastAsia="zh-CN"/>
              </w:rPr>
              <w:t>5</w:t>
            </w:r>
          </w:p>
        </w:tc>
        <w:tc>
          <w:tcPr>
            <w:tcW w:w="3419" w:type="pct"/>
            <w:vAlign w:val="center"/>
          </w:tcPr>
          <w:p>
            <w:pPr>
              <w:snapToGrid w:val="0"/>
              <w:spacing w:line="360" w:lineRule="auto"/>
              <w:jc w:val="left"/>
              <w:rPr>
                <w:rFonts w:hint="eastAsia" w:ascii="宋体" w:hAnsi="宋体" w:cs="宋体"/>
                <w:color w:val="auto"/>
                <w:sz w:val="24"/>
              </w:rPr>
            </w:pPr>
            <w:r>
              <w:rPr>
                <w:rFonts w:hint="eastAsia"/>
                <w:sz w:val="24"/>
              </w:rPr>
              <w:t>投标人提供的安装服务实施方案：包括①项目交付工期②根据项目交付时间节点，送货安装时间、人员安排、设备调试等情况的落实情况。</w:t>
            </w:r>
            <w:r>
              <w:rPr>
                <w:rFonts w:hint="eastAsia" w:ascii="宋体" w:hAnsi="宋体" w:cs="宋体"/>
                <w:sz w:val="24"/>
                <w:highlight w:val="none"/>
              </w:rPr>
              <w:t>方案完整、合理，针对性强，视为符合，每一项完全符合得2分，部分符合得1分，不符合不得分，总分</w:t>
            </w:r>
            <w:r>
              <w:rPr>
                <w:rFonts w:ascii="宋体" w:hAnsi="宋体" w:cs="宋体"/>
                <w:sz w:val="24"/>
                <w:highlight w:val="none"/>
              </w:rPr>
              <w:t>4</w:t>
            </w:r>
            <w:r>
              <w:rPr>
                <w:rFonts w:hint="eastAsia" w:ascii="宋体" w:hAnsi="宋体" w:cs="宋体"/>
                <w:sz w:val="24"/>
                <w:highlight w:val="none"/>
              </w:rPr>
              <w:t>分。</w:t>
            </w:r>
          </w:p>
        </w:tc>
        <w:tc>
          <w:tcPr>
            <w:tcW w:w="441" w:type="pct"/>
            <w:vAlign w:val="center"/>
          </w:tcPr>
          <w:p>
            <w:pPr>
              <w:snapToGrid w:val="0"/>
              <w:spacing w:line="360" w:lineRule="auto"/>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4</w:t>
            </w:r>
          </w:p>
        </w:tc>
        <w:tc>
          <w:tcPr>
            <w:tcW w:w="823" w:type="pct"/>
            <w:vAlign w:val="center"/>
          </w:tcPr>
          <w:p>
            <w:pPr>
              <w:snapToGrid w:val="0"/>
              <w:spacing w:line="360" w:lineRule="auto"/>
              <w:jc w:val="center"/>
              <w:rPr>
                <w:rFonts w:hint="eastAsia" w:ascii="宋体" w:hAnsi="宋体" w:cs="宋体"/>
                <w:color w:val="auto"/>
                <w:sz w:val="24"/>
              </w:rPr>
            </w:pPr>
            <w:r>
              <w:rPr>
                <w:rFonts w:hint="eastAsia"/>
                <w:b w:val="0"/>
                <w:bCs w:val="0"/>
                <w:sz w:val="24"/>
                <w:lang w:eastAsia="zh-CN"/>
              </w:rPr>
              <w:t>（</w:t>
            </w:r>
            <w:r>
              <w:rPr>
                <w:rFonts w:hint="eastAsia"/>
                <w:b w:val="0"/>
                <w:bCs w:val="0"/>
                <w:sz w:val="24"/>
                <w:lang w:val="en-US" w:eastAsia="zh-CN"/>
              </w:rPr>
              <w:t>五</w:t>
            </w:r>
            <w:r>
              <w:rPr>
                <w:rFonts w:hint="eastAsia"/>
                <w:b w:val="0"/>
                <w:bCs w:val="0"/>
                <w:sz w:val="24"/>
                <w:lang w:eastAsia="zh-CN"/>
              </w:rPr>
              <w:t>）</w:t>
            </w:r>
            <w:r>
              <w:rPr>
                <w:rFonts w:hint="eastAsia"/>
                <w:b w:val="0"/>
                <w:bCs w:val="0"/>
                <w:sz w:val="24"/>
              </w:rPr>
              <w:t>安装服务实施方案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6" w:type="pct"/>
            <w:vAlign w:val="center"/>
          </w:tcPr>
          <w:p>
            <w:pPr>
              <w:snapToGrid w:val="0"/>
              <w:spacing w:line="360" w:lineRule="auto"/>
              <w:jc w:val="center"/>
              <w:rPr>
                <w:rFonts w:cs="仿宋_GB2312" w:asciiTheme="minorEastAsia" w:hAnsiTheme="minorEastAsia" w:eastAsiaTheme="minorEastAsia"/>
                <w:color w:val="auto"/>
                <w:sz w:val="24"/>
              </w:rPr>
            </w:pPr>
            <w:r>
              <w:rPr>
                <w:rFonts w:cs="仿宋_GB2312" w:asciiTheme="minorEastAsia" w:hAnsiTheme="minorEastAsia" w:eastAsiaTheme="minorEastAsia"/>
                <w:color w:val="auto"/>
                <w:sz w:val="24"/>
              </w:rPr>
              <w:t>6</w:t>
            </w:r>
          </w:p>
        </w:tc>
        <w:tc>
          <w:tcPr>
            <w:tcW w:w="3419" w:type="pct"/>
            <w:vAlign w:val="center"/>
          </w:tcPr>
          <w:p>
            <w:pPr>
              <w:snapToGrid w:val="0"/>
              <w:spacing w:line="360" w:lineRule="auto"/>
              <w:jc w:val="left"/>
              <w:rPr>
                <w:rFonts w:ascii="宋体" w:hAnsi="宋体" w:cs="宋体"/>
                <w:color w:val="auto"/>
                <w:sz w:val="24"/>
              </w:rPr>
            </w:pPr>
            <w:r>
              <w:rPr>
                <w:rFonts w:hint="eastAsia" w:ascii="宋体" w:hAnsi="宋体" w:cs="宋体"/>
                <w:color w:val="auto"/>
                <w:sz w:val="24"/>
              </w:rPr>
              <w:t>投标人提供科学、合理、可操作的具体项目培训方案，包括①对操作人员和管理人员进行应用培训，使其达到使用无障碍，并提供详细的培训方案②使其能对设备进行日常的维护保养及能对一般故障进行维修，并向培训人员提供详细的技术维修及调试参数资料。</w:t>
            </w:r>
          </w:p>
          <w:p>
            <w:pPr>
              <w:snapToGrid w:val="0"/>
              <w:spacing w:line="360" w:lineRule="auto"/>
              <w:jc w:val="left"/>
              <w:rPr>
                <w:rFonts w:ascii="宋体" w:hAnsi="宋体" w:cs="宋体"/>
                <w:color w:val="auto"/>
                <w:sz w:val="24"/>
              </w:rPr>
            </w:pPr>
            <w:r>
              <w:rPr>
                <w:rFonts w:hint="eastAsia" w:ascii="宋体" w:hAnsi="宋体" w:cs="宋体"/>
                <w:sz w:val="24"/>
                <w:highlight w:val="none"/>
              </w:rPr>
              <w:t>方案完整、合理，针对性强，视为符合，每一项完全符合得1分，部分符合得0.5分，不符合不得分，总分2分。</w:t>
            </w:r>
          </w:p>
        </w:tc>
        <w:tc>
          <w:tcPr>
            <w:tcW w:w="441" w:type="pct"/>
            <w:vAlign w:val="center"/>
          </w:tcPr>
          <w:p>
            <w:pPr>
              <w:snapToGrid w:val="0"/>
              <w:spacing w:line="360" w:lineRule="auto"/>
              <w:jc w:val="center"/>
              <w:rPr>
                <w:rFonts w:ascii="宋体" w:hAnsi="宋体" w:cs="宋体"/>
                <w:color w:val="auto"/>
                <w:sz w:val="24"/>
              </w:rPr>
            </w:pPr>
            <w:r>
              <w:rPr>
                <w:rFonts w:ascii="宋体" w:hAnsi="宋体" w:cs="宋体"/>
                <w:color w:val="auto"/>
                <w:sz w:val="24"/>
              </w:rPr>
              <w:t>2</w:t>
            </w:r>
          </w:p>
        </w:tc>
        <w:tc>
          <w:tcPr>
            <w:tcW w:w="823" w:type="pct"/>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（六）培训方案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316" w:type="pct"/>
            <w:vMerge w:val="restart"/>
            <w:vAlign w:val="center"/>
          </w:tcPr>
          <w:p>
            <w:pPr>
              <w:snapToGrid w:val="0"/>
              <w:spacing w:line="360" w:lineRule="auto"/>
              <w:jc w:val="center"/>
              <w:rPr>
                <w:rFonts w:cs="仿宋_GB2312" w:asciiTheme="minorEastAsia" w:hAnsiTheme="minorEastAsia" w:eastAsiaTheme="minorEastAsia"/>
                <w:color w:val="auto"/>
                <w:sz w:val="24"/>
              </w:rPr>
            </w:pPr>
            <w:r>
              <w:rPr>
                <w:rFonts w:cs="仿宋_GB2312" w:asciiTheme="minorEastAsia" w:hAnsiTheme="minorEastAsia" w:eastAsiaTheme="minorEastAsia"/>
                <w:color w:val="auto"/>
                <w:sz w:val="24"/>
              </w:rPr>
              <w:t>7</w:t>
            </w:r>
          </w:p>
        </w:tc>
        <w:tc>
          <w:tcPr>
            <w:tcW w:w="3419" w:type="pct"/>
            <w:vAlign w:val="center"/>
          </w:tcPr>
          <w:p>
            <w:pPr>
              <w:snapToGrid w:val="0"/>
              <w:spacing w:line="360" w:lineRule="auto"/>
              <w:jc w:val="left"/>
              <w:rPr>
                <w:rFonts w:ascii="宋体" w:hAnsi="宋体" w:cs="宋体"/>
                <w:color w:val="auto"/>
                <w:sz w:val="24"/>
              </w:rPr>
            </w:pPr>
            <w:r>
              <w:rPr>
                <w:rFonts w:hint="eastAsia" w:ascii="宋体" w:hAnsi="宋体" w:cs="宋体"/>
                <w:color w:val="auto"/>
                <w:sz w:val="24"/>
                <w:highlight w:val="none"/>
              </w:rPr>
              <w:t>根据投标人提供完善的售后服务方案，主要包括①售后服务承诺可操作性、②维修服务响应、③备品备件、④定期巡检方案。</w:t>
            </w:r>
            <w:r>
              <w:rPr>
                <w:rFonts w:hint="eastAsia" w:ascii="宋体" w:hAnsi="宋体" w:cs="宋体"/>
                <w:sz w:val="24"/>
                <w:highlight w:val="none"/>
              </w:rPr>
              <w:t>方案完整、合理，针对性强，视为符合，每一项完全符合得</w:t>
            </w:r>
            <w:r>
              <w:rPr>
                <w:rFonts w:ascii="宋体" w:hAnsi="宋体" w:cs="宋体"/>
                <w:sz w:val="24"/>
                <w:highlight w:val="none"/>
              </w:rPr>
              <w:t>1</w:t>
            </w:r>
            <w:r>
              <w:rPr>
                <w:rFonts w:hint="eastAsia" w:ascii="宋体" w:hAnsi="宋体" w:cs="宋体"/>
                <w:sz w:val="24"/>
                <w:highlight w:val="none"/>
              </w:rPr>
              <w:t>分，部分符合得0.5分，不符合不得分，总分</w:t>
            </w:r>
            <w:r>
              <w:rPr>
                <w:rFonts w:ascii="宋体" w:hAnsi="宋体" w:cs="宋体"/>
                <w:sz w:val="24"/>
                <w:highlight w:val="none"/>
              </w:rPr>
              <w:t>4</w:t>
            </w:r>
            <w:r>
              <w:rPr>
                <w:rFonts w:hint="eastAsia" w:ascii="宋体" w:hAnsi="宋体" w:cs="宋体"/>
                <w:sz w:val="24"/>
                <w:highlight w:val="none"/>
              </w:rPr>
              <w:t>分。</w:t>
            </w:r>
          </w:p>
        </w:tc>
        <w:tc>
          <w:tcPr>
            <w:tcW w:w="441" w:type="pct"/>
            <w:vMerge w:val="restart"/>
            <w:vAlign w:val="center"/>
          </w:tcPr>
          <w:p>
            <w:pPr>
              <w:snapToGrid w:val="0"/>
              <w:spacing w:line="360" w:lineRule="auto"/>
              <w:jc w:val="center"/>
              <w:rPr>
                <w:rFonts w:ascii="宋体" w:hAnsi="宋体" w:cs="宋体"/>
                <w:color w:val="auto"/>
                <w:sz w:val="24"/>
              </w:rPr>
            </w:pPr>
          </w:p>
          <w:p>
            <w:pPr>
              <w:snapToGrid w:val="0"/>
              <w:spacing w:line="360" w:lineRule="auto"/>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5</w:t>
            </w:r>
          </w:p>
        </w:tc>
        <w:tc>
          <w:tcPr>
            <w:tcW w:w="823" w:type="pct"/>
            <w:vMerge w:val="restart"/>
            <w:vAlign w:val="center"/>
          </w:tcPr>
          <w:p>
            <w:pPr>
              <w:spacing w:line="360" w:lineRule="auto"/>
              <w:outlineLvl w:val="0"/>
              <w:rPr>
                <w:rFonts w:cs="仿宋_GB2312" w:asciiTheme="minorEastAsia" w:hAnsiTheme="minorEastAsia" w:eastAsiaTheme="minorEastAsia"/>
                <w:color w:val="auto"/>
                <w:sz w:val="24"/>
              </w:rPr>
            </w:pPr>
            <w:r>
              <w:rPr>
                <w:rFonts w:hint="eastAsia" w:ascii="宋体" w:hAnsi="宋体" w:cs="宋体"/>
                <w:color w:val="auto"/>
                <w:sz w:val="24"/>
              </w:rPr>
              <w:t>（七）售后服务方案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316" w:type="pct"/>
            <w:vMerge w:val="continue"/>
            <w:vAlign w:val="center"/>
          </w:tcPr>
          <w:p>
            <w:pPr>
              <w:snapToGrid w:val="0"/>
              <w:spacing w:line="360" w:lineRule="auto"/>
              <w:jc w:val="left"/>
            </w:pPr>
          </w:p>
        </w:tc>
        <w:tc>
          <w:tcPr>
            <w:tcW w:w="3419" w:type="pct"/>
            <w:vAlign w:val="center"/>
          </w:tcPr>
          <w:p>
            <w:pPr>
              <w:snapToGrid w:val="0"/>
              <w:spacing w:line="360" w:lineRule="auto"/>
              <w:jc w:val="left"/>
              <w:rPr>
                <w:rFonts w:hint="eastAsia" w:ascii="宋体" w:hAnsi="宋体" w:cs="宋体"/>
                <w:color w:val="auto"/>
                <w:sz w:val="24"/>
                <w:highlight w:val="none"/>
              </w:rPr>
            </w:pPr>
            <w:r>
              <w:rPr>
                <w:rFonts w:hint="eastAsia" w:ascii="宋体" w:hAnsi="宋体" w:cs="宋体"/>
                <w:sz w:val="24"/>
              </w:rPr>
              <w:t>投标人是否承诺提供不少于3年的设备质保期，承诺得1分，不承诺不得分。</w:t>
            </w:r>
          </w:p>
        </w:tc>
        <w:tc>
          <w:tcPr>
            <w:tcW w:w="441" w:type="pct"/>
            <w:vMerge w:val="continue"/>
            <w:vAlign w:val="center"/>
          </w:tcPr>
          <w:p>
            <w:pPr>
              <w:snapToGrid w:val="0"/>
              <w:spacing w:line="360" w:lineRule="auto"/>
              <w:jc w:val="left"/>
              <w:rPr>
                <w:rFonts w:hint="eastAsia" w:ascii="宋体" w:hAnsi="宋体" w:cs="宋体"/>
                <w:color w:val="auto"/>
                <w:sz w:val="24"/>
                <w:highlight w:val="none"/>
              </w:rPr>
            </w:pPr>
          </w:p>
        </w:tc>
        <w:tc>
          <w:tcPr>
            <w:tcW w:w="823" w:type="pct"/>
            <w:vMerge w:val="continue"/>
            <w:vAlign w:val="center"/>
          </w:tcPr>
          <w:p>
            <w:pPr>
              <w:snapToGrid w:val="0"/>
              <w:spacing w:line="360" w:lineRule="auto"/>
              <w:jc w:val="lef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16" w:type="pct"/>
            <w:vAlign w:val="center"/>
          </w:tcPr>
          <w:p>
            <w:pPr>
              <w:snapToGrid w:val="0"/>
              <w:spacing w:line="360" w:lineRule="auto"/>
              <w:jc w:val="center"/>
              <w:rPr>
                <w:rFonts w:hint="default" w:cs="仿宋_GB2312" w:asciiTheme="minorEastAsia" w:hAnsiTheme="minorEastAsia" w:eastAsiaTheme="minorEastAsia"/>
                <w:color w:val="auto"/>
                <w:sz w:val="24"/>
                <w:lang w:val="en-US" w:eastAsia="zh-CN"/>
              </w:rPr>
            </w:pPr>
            <w:r>
              <w:rPr>
                <w:rFonts w:hint="eastAsia" w:cs="仿宋_GB2312" w:asciiTheme="minorEastAsia" w:hAnsiTheme="minorEastAsia" w:eastAsiaTheme="minorEastAsia"/>
                <w:color w:val="auto"/>
                <w:sz w:val="24"/>
                <w:lang w:val="en-US" w:eastAsia="zh-CN"/>
              </w:rPr>
              <w:t>8</w:t>
            </w:r>
          </w:p>
        </w:tc>
        <w:tc>
          <w:tcPr>
            <w:tcW w:w="3419" w:type="pct"/>
          </w:tcPr>
          <w:p>
            <w:pPr>
              <w:spacing w:line="360" w:lineRule="auto"/>
              <w:rPr>
                <w:rFonts w:hint="default" w:ascii="宋体" w:hAnsi="宋体" w:eastAsia="宋体" w:cs="宋体"/>
                <w:color w:val="auto"/>
                <w:sz w:val="24"/>
                <w:highlight w:val="none"/>
                <w:lang w:val="en-US" w:eastAsia="zh-CN"/>
              </w:rPr>
            </w:pPr>
            <w:r>
              <w:rPr>
                <w:rFonts w:hint="eastAsia" w:ascii="宋体" w:hAnsi="宋体" w:cs="宋体"/>
                <w:sz w:val="24"/>
                <w:highlight w:val="none"/>
                <w:lang w:val="en-US" w:eastAsia="zh-CN"/>
              </w:rPr>
              <w:t>投标人是否提供</w:t>
            </w:r>
            <w:r>
              <w:rPr>
                <w:rFonts w:hint="eastAsia" w:ascii="宋体" w:hAnsi="宋体" w:cs="宋体"/>
                <w:sz w:val="24"/>
                <w:highlight w:val="none"/>
              </w:rPr>
              <w:t>承诺</w:t>
            </w:r>
            <w:r>
              <w:rPr>
                <w:rFonts w:hint="eastAsia" w:ascii="宋体" w:hAnsi="宋体" w:cs="宋体"/>
                <w:b/>
                <w:bCs/>
                <w:sz w:val="24"/>
                <w:highlight w:val="none"/>
              </w:rPr>
              <w:t>中标后</w:t>
            </w:r>
            <w:r>
              <w:rPr>
                <w:rFonts w:hint="eastAsia" w:ascii="宋体" w:hAnsi="宋体" w:cs="宋体"/>
                <w:sz w:val="24"/>
                <w:highlight w:val="none"/>
              </w:rPr>
              <w:t>在签订合同时提供加盖制造商公章的授权、质保承诺书等（承诺</w:t>
            </w:r>
            <w:r>
              <w:rPr>
                <w:rFonts w:hint="eastAsia" w:ascii="宋体" w:hAnsi="宋体" w:cs="宋体"/>
                <w:sz w:val="24"/>
                <w:highlight w:val="none"/>
                <w:lang w:val="en-US" w:eastAsia="zh-CN"/>
              </w:rPr>
              <w:t>书</w:t>
            </w:r>
            <w:r>
              <w:rPr>
                <w:rFonts w:hint="eastAsia" w:ascii="宋体" w:hAnsi="宋体" w:cs="宋体"/>
                <w:sz w:val="24"/>
                <w:highlight w:val="none"/>
              </w:rPr>
              <w:t>格式自拟）</w:t>
            </w:r>
            <w:r>
              <w:rPr>
                <w:rFonts w:hint="eastAsia" w:ascii="宋体" w:hAnsi="宋体" w:cs="宋体"/>
                <w:sz w:val="24"/>
                <w:highlight w:val="none"/>
                <w:lang w:eastAsia="zh-CN"/>
              </w:rPr>
              <w:t>，</w:t>
            </w:r>
            <w:r>
              <w:rPr>
                <w:rFonts w:hint="eastAsia" w:ascii="宋体" w:hAnsi="宋体" w:cs="宋体"/>
                <w:sz w:val="24"/>
                <w:highlight w:val="none"/>
                <w:lang w:val="en-US" w:eastAsia="zh-CN"/>
              </w:rPr>
              <w:t>提供承诺函并加盖公章得2分，否则不得分。</w:t>
            </w:r>
          </w:p>
        </w:tc>
        <w:tc>
          <w:tcPr>
            <w:tcW w:w="441" w:type="pct"/>
            <w:vAlign w:val="center"/>
          </w:tcPr>
          <w:p>
            <w:pPr>
              <w:spacing w:line="360" w:lineRule="auto"/>
              <w:ind w:firstLine="240" w:firstLineChars="100"/>
              <w:outlineLvl w:val="0"/>
              <w:rPr>
                <w:rFonts w:hint="default" w:cs="仿宋_GB2312" w:asciiTheme="minorEastAsia" w:hAnsiTheme="minorEastAsia" w:eastAsiaTheme="minorEastAsia"/>
                <w:color w:val="auto"/>
                <w:sz w:val="24"/>
                <w:lang w:val="en-US" w:eastAsia="zh-CN"/>
              </w:rPr>
            </w:pPr>
            <w:r>
              <w:rPr>
                <w:rFonts w:hint="eastAsia" w:cs="仿宋_GB2312" w:asciiTheme="minorEastAsia" w:hAnsiTheme="minorEastAsia" w:eastAsiaTheme="minorEastAsia"/>
                <w:color w:val="auto"/>
                <w:sz w:val="24"/>
                <w:lang w:val="en-US" w:eastAsia="zh-CN"/>
              </w:rPr>
              <w:t>2</w:t>
            </w:r>
          </w:p>
        </w:tc>
        <w:tc>
          <w:tcPr>
            <w:tcW w:w="823" w:type="pct"/>
            <w:vAlign w:val="center"/>
          </w:tcPr>
          <w:p>
            <w:pPr>
              <w:spacing w:line="360" w:lineRule="auto"/>
              <w:jc w:val="both"/>
              <w:outlineLvl w:val="0"/>
              <w:rPr>
                <w:rFonts w:hint="default" w:ascii="宋体" w:hAnsi="宋体" w:eastAsia="宋体" w:cs="仿宋"/>
                <w:color w:val="auto"/>
                <w:sz w:val="24"/>
                <w:lang w:val="en-US" w:eastAsia="zh-CN"/>
              </w:rPr>
            </w:pPr>
            <w:r>
              <w:rPr>
                <w:rFonts w:hint="eastAsia" w:ascii="宋体" w:hAnsi="宋体" w:cs="仿宋"/>
                <w:color w:val="auto"/>
                <w:sz w:val="24"/>
                <w:lang w:eastAsia="zh-CN"/>
              </w:rPr>
              <w:t>（</w:t>
            </w:r>
            <w:r>
              <w:rPr>
                <w:rFonts w:hint="eastAsia" w:ascii="宋体" w:hAnsi="宋体" w:cs="仿宋"/>
                <w:color w:val="auto"/>
                <w:sz w:val="24"/>
                <w:lang w:val="en-US" w:eastAsia="zh-CN"/>
              </w:rPr>
              <w:t>八</w:t>
            </w:r>
            <w:r>
              <w:rPr>
                <w:rFonts w:hint="eastAsia" w:ascii="宋体" w:hAnsi="宋体" w:cs="仿宋"/>
                <w:color w:val="auto"/>
                <w:sz w:val="24"/>
                <w:lang w:eastAsia="zh-CN"/>
              </w:rPr>
              <w:t>）</w:t>
            </w:r>
            <w:r>
              <w:rPr>
                <w:rFonts w:hint="eastAsia" w:ascii="宋体" w:hAnsi="宋体" w:cs="仿宋"/>
                <w:color w:val="auto"/>
                <w:sz w:val="24"/>
                <w:lang w:val="en-US" w:eastAsia="zh-CN"/>
              </w:rPr>
              <w:t>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16" w:type="pct"/>
            <w:vMerge w:val="restart"/>
            <w:vAlign w:val="center"/>
          </w:tcPr>
          <w:p>
            <w:pPr>
              <w:snapToGrid w:val="0"/>
              <w:spacing w:line="360" w:lineRule="auto"/>
              <w:jc w:val="center"/>
              <w:rPr>
                <w:rFonts w:hint="eastAsia" w:cs="仿宋_GB2312" w:asciiTheme="minorEastAsia" w:hAnsiTheme="minorEastAsia" w:eastAsiaTheme="minorEastAsia"/>
                <w:color w:val="auto"/>
                <w:sz w:val="24"/>
                <w:lang w:eastAsia="zh-CN"/>
              </w:rPr>
            </w:pPr>
            <w:r>
              <w:rPr>
                <w:rFonts w:hint="eastAsia" w:cs="仿宋_GB2312" w:asciiTheme="minorEastAsia" w:hAnsiTheme="minorEastAsia" w:eastAsiaTheme="minorEastAsia"/>
                <w:color w:val="auto"/>
                <w:sz w:val="24"/>
                <w:lang w:val="en-US" w:eastAsia="zh-CN"/>
              </w:rPr>
              <w:t>9</w:t>
            </w:r>
          </w:p>
        </w:tc>
        <w:tc>
          <w:tcPr>
            <w:tcW w:w="3419" w:type="pct"/>
          </w:tcPr>
          <w:p>
            <w:pPr>
              <w:numPr>
                <w:ilvl w:val="0"/>
                <w:numId w:val="0"/>
              </w:num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①</w:t>
            </w:r>
            <w:r>
              <w:rPr>
                <w:rFonts w:hint="eastAsia" w:ascii="宋体" w:hAnsi="宋体" w:cs="宋体"/>
                <w:color w:val="auto"/>
                <w:sz w:val="24"/>
                <w:highlight w:val="none"/>
              </w:rPr>
              <w:t>拟担任本项目负责人需具备</w:t>
            </w:r>
            <w:r>
              <w:rPr>
                <w:rFonts w:hint="eastAsia" w:ascii="宋体" w:hAnsi="宋体" w:cs="宋体"/>
                <w:color w:val="auto"/>
                <w:sz w:val="24"/>
                <w:highlight w:val="none"/>
                <w:lang w:val="en-US" w:eastAsia="zh-CN"/>
              </w:rPr>
              <w:t>本行业10年及以上项目管理经验</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符合</w:t>
            </w:r>
            <w:r>
              <w:rPr>
                <w:rFonts w:hint="eastAsia" w:ascii="宋体" w:hAnsi="宋体" w:cs="宋体"/>
                <w:color w:val="auto"/>
                <w:sz w:val="24"/>
                <w:highlight w:val="none"/>
              </w:rPr>
              <w:t>得</w:t>
            </w:r>
            <w:r>
              <w:rPr>
                <w:rFonts w:ascii="宋体" w:hAnsi="宋体" w:cs="宋体"/>
                <w:color w:val="auto"/>
                <w:sz w:val="24"/>
                <w:highlight w:val="none"/>
              </w:rPr>
              <w:t>1</w:t>
            </w:r>
            <w:r>
              <w:rPr>
                <w:rFonts w:hint="eastAsia" w:ascii="宋体" w:hAnsi="宋体" w:cs="宋体"/>
                <w:color w:val="auto"/>
                <w:sz w:val="24"/>
                <w:highlight w:val="none"/>
              </w:rPr>
              <w:t>分，</w:t>
            </w:r>
            <w:r>
              <w:rPr>
                <w:rFonts w:hint="eastAsia" w:ascii="宋体" w:hAnsi="宋体" w:cs="宋体"/>
                <w:color w:val="auto"/>
                <w:sz w:val="24"/>
                <w:highlight w:val="none"/>
                <w:lang w:val="en-US" w:eastAsia="zh-CN"/>
              </w:rPr>
              <w:t>否则</w:t>
            </w:r>
            <w:r>
              <w:rPr>
                <w:rFonts w:hint="eastAsia" w:ascii="宋体" w:hAnsi="宋体" w:cs="宋体"/>
                <w:color w:val="auto"/>
                <w:sz w:val="24"/>
                <w:highlight w:val="none"/>
              </w:rPr>
              <w:t>不得分</w:t>
            </w:r>
            <w:r>
              <w:rPr>
                <w:rFonts w:hint="eastAsia" w:ascii="宋体" w:hAnsi="宋体" w:cs="宋体"/>
                <w:b/>
                <w:bCs/>
                <w:color w:val="auto"/>
                <w:sz w:val="24"/>
                <w:highlight w:val="none"/>
                <w:lang w:eastAsia="zh-CN"/>
              </w:rPr>
              <w:t>（</w:t>
            </w:r>
            <w:r>
              <w:rPr>
                <w:rFonts w:hint="eastAsia" w:ascii="宋体" w:hAnsi="宋体" w:eastAsia="宋体" w:cs="宋体"/>
                <w:b/>
                <w:bCs/>
                <w:color w:val="auto"/>
                <w:sz w:val="24"/>
                <w:szCs w:val="24"/>
                <w:highlight w:val="none"/>
              </w:rPr>
              <w:t>同时提供</w:t>
            </w:r>
            <w:r>
              <w:rPr>
                <w:rFonts w:hint="eastAsia" w:ascii="宋体" w:hAnsi="宋体" w:cs="宋体"/>
                <w:b/>
                <w:bCs/>
                <w:color w:val="auto"/>
                <w:sz w:val="24"/>
                <w:szCs w:val="24"/>
                <w:highlight w:val="none"/>
                <w:lang w:val="en-US" w:eastAsia="zh-CN"/>
              </w:rPr>
              <w:t>工作经验证明材料</w:t>
            </w:r>
            <w:r>
              <w:rPr>
                <w:rFonts w:hint="eastAsia" w:ascii="宋体" w:hAnsi="宋体" w:eastAsia="宋体" w:cs="宋体"/>
                <w:b/>
                <w:bCs/>
                <w:color w:val="auto"/>
                <w:sz w:val="24"/>
                <w:szCs w:val="24"/>
                <w:highlight w:val="none"/>
              </w:rPr>
              <w:t>和</w:t>
            </w:r>
            <w:r>
              <w:rPr>
                <w:rFonts w:hint="eastAsia" w:ascii="宋体" w:hAnsi="宋体" w:eastAsia="宋体" w:cs="宋体"/>
                <w:b/>
                <w:bCs/>
                <w:color w:val="auto"/>
                <w:sz w:val="24"/>
                <w:szCs w:val="24"/>
                <w:highlight w:val="none"/>
                <w:lang w:val="en-US" w:eastAsia="zh-CN"/>
              </w:rPr>
              <w:t>本单位的</w:t>
            </w:r>
            <w:r>
              <w:rPr>
                <w:rFonts w:hint="eastAsia" w:ascii="宋体" w:hAnsi="宋体" w:eastAsia="宋体" w:cs="宋体"/>
                <w:b/>
                <w:bCs/>
                <w:color w:val="auto"/>
                <w:sz w:val="24"/>
                <w:szCs w:val="24"/>
                <w:highlight w:val="none"/>
              </w:rPr>
              <w:t>社保缴纳证明</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否则不得分</w:t>
            </w:r>
            <w:r>
              <w:rPr>
                <w:rFonts w:hint="eastAsia" w:ascii="宋体" w:hAnsi="宋体" w:cs="宋体"/>
                <w:b/>
                <w:bCs/>
                <w:color w:val="auto"/>
                <w:sz w:val="24"/>
                <w:highlight w:val="none"/>
                <w:lang w:eastAsia="zh-CN"/>
              </w:rPr>
              <w:t>）</w:t>
            </w:r>
            <w:r>
              <w:rPr>
                <w:rFonts w:hint="eastAsia" w:ascii="宋体" w:hAnsi="宋体" w:cs="宋体"/>
                <w:color w:val="auto"/>
                <w:sz w:val="24"/>
                <w:highlight w:val="none"/>
              </w:rPr>
              <w:t>。</w:t>
            </w:r>
          </w:p>
          <w:p>
            <w:pPr>
              <w:numPr>
                <w:ilvl w:val="0"/>
                <w:numId w:val="0"/>
              </w:numPr>
              <w:snapToGrid w:val="0"/>
              <w:spacing w:line="360" w:lineRule="auto"/>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②</w:t>
            </w:r>
            <w:r>
              <w:rPr>
                <w:rFonts w:hint="eastAsia" w:ascii="Times New Roman" w:hAnsi="Times New Roman" w:eastAsia="宋体" w:cs="Times New Roman"/>
                <w:color w:val="auto"/>
                <w:kern w:val="2"/>
                <w:sz w:val="24"/>
                <w:szCs w:val="20"/>
                <w:lang w:val="en-US" w:eastAsia="zh-CN" w:bidi="ar-SA"/>
              </w:rPr>
              <w:t>项目组实施人员要求</w:t>
            </w:r>
            <w:r>
              <w:rPr>
                <w:rFonts w:hint="eastAsia" w:cs="Times New Roman"/>
                <w:color w:val="auto"/>
                <w:kern w:val="2"/>
                <w:sz w:val="24"/>
                <w:szCs w:val="20"/>
                <w:lang w:val="en-US" w:eastAsia="zh-CN" w:bidi="ar-SA"/>
              </w:rPr>
              <w:t>不少于3人，并</w:t>
            </w:r>
            <w:r>
              <w:rPr>
                <w:rFonts w:hint="eastAsia" w:ascii="Times New Roman" w:hAnsi="Times New Roman" w:eastAsia="宋体" w:cs="Times New Roman"/>
                <w:color w:val="auto"/>
                <w:kern w:val="2"/>
                <w:sz w:val="24"/>
                <w:szCs w:val="20"/>
                <w:lang w:val="en-US" w:eastAsia="zh-CN" w:bidi="ar-SA"/>
              </w:rPr>
              <w:t>具备本行业</w:t>
            </w:r>
            <w:r>
              <w:rPr>
                <w:rFonts w:hint="eastAsia" w:cs="Times New Roman"/>
                <w:color w:val="auto"/>
                <w:kern w:val="2"/>
                <w:sz w:val="24"/>
                <w:szCs w:val="20"/>
                <w:highlight w:val="none"/>
                <w:lang w:val="en-US" w:eastAsia="zh-CN" w:bidi="ar-SA"/>
              </w:rPr>
              <w:t>5</w:t>
            </w:r>
            <w:r>
              <w:rPr>
                <w:rFonts w:hint="eastAsia" w:ascii="Times New Roman" w:hAnsi="Times New Roman" w:eastAsia="宋体" w:cs="Times New Roman"/>
                <w:color w:val="auto"/>
                <w:kern w:val="2"/>
                <w:sz w:val="24"/>
                <w:szCs w:val="20"/>
                <w:lang w:val="en-US" w:eastAsia="zh-CN" w:bidi="ar-SA"/>
              </w:rPr>
              <w:t>年及以上的从业经验</w:t>
            </w:r>
            <w:r>
              <w:rPr>
                <w:rFonts w:hint="eastAsia" w:cs="Times New Roman"/>
                <w:color w:val="auto"/>
                <w:kern w:val="2"/>
                <w:sz w:val="24"/>
                <w:szCs w:val="20"/>
                <w:lang w:val="en-US" w:eastAsia="zh-CN" w:bidi="ar-SA"/>
              </w:rPr>
              <w:t>，每人符合得</w:t>
            </w:r>
            <w:r>
              <w:rPr>
                <w:rFonts w:hint="default" w:cs="Times New Roman"/>
                <w:color w:val="auto"/>
                <w:kern w:val="2"/>
                <w:sz w:val="24"/>
                <w:szCs w:val="20"/>
                <w:lang w:val="en-US" w:eastAsia="zh-CN" w:bidi="ar-SA"/>
              </w:rPr>
              <w:t>1</w:t>
            </w:r>
            <w:r>
              <w:rPr>
                <w:rFonts w:hint="eastAsia" w:cs="Times New Roman"/>
                <w:color w:val="auto"/>
                <w:kern w:val="2"/>
                <w:sz w:val="24"/>
                <w:szCs w:val="20"/>
                <w:lang w:val="en-US" w:eastAsia="zh-CN" w:bidi="ar-SA"/>
              </w:rPr>
              <w:t>分，最高得</w:t>
            </w:r>
            <w:r>
              <w:rPr>
                <w:rFonts w:hint="default" w:cs="Times New Roman"/>
                <w:color w:val="auto"/>
                <w:kern w:val="2"/>
                <w:sz w:val="24"/>
                <w:szCs w:val="20"/>
                <w:lang w:val="en-US" w:eastAsia="zh-CN" w:bidi="ar-SA"/>
              </w:rPr>
              <w:t>3</w:t>
            </w:r>
            <w:r>
              <w:rPr>
                <w:rFonts w:hint="eastAsia" w:cs="Times New Roman"/>
                <w:color w:val="auto"/>
                <w:kern w:val="2"/>
                <w:sz w:val="24"/>
                <w:szCs w:val="20"/>
                <w:lang w:val="en-US" w:eastAsia="zh-CN" w:bidi="ar-SA"/>
              </w:rPr>
              <w:t>分，</w:t>
            </w:r>
            <w:r>
              <w:rPr>
                <w:rFonts w:hint="eastAsia" w:ascii="宋体" w:hAnsi="宋体" w:cs="宋体"/>
                <w:b/>
                <w:bCs/>
                <w:color w:val="auto"/>
                <w:sz w:val="24"/>
                <w:lang w:val="en-US" w:eastAsia="zh-CN"/>
              </w:rPr>
              <w:t>（同时</w:t>
            </w:r>
            <w:r>
              <w:rPr>
                <w:rFonts w:hint="eastAsia" w:ascii="Times New Roman" w:hAnsi="Times New Roman" w:eastAsia="宋体" w:cs="Times New Roman"/>
                <w:b/>
                <w:bCs/>
                <w:color w:val="auto"/>
                <w:kern w:val="2"/>
                <w:sz w:val="24"/>
                <w:szCs w:val="20"/>
                <w:lang w:val="en-US" w:eastAsia="zh-CN" w:bidi="ar-SA"/>
              </w:rPr>
              <w:t>提供工作经验证明材料和本单位的</w:t>
            </w:r>
            <w:r>
              <w:rPr>
                <w:rFonts w:hint="eastAsia" w:ascii="宋体" w:hAnsi="宋体" w:eastAsia="宋体" w:cs="宋体"/>
                <w:b/>
                <w:bCs/>
                <w:color w:val="auto"/>
                <w:kern w:val="0"/>
                <w:sz w:val="24"/>
                <w:szCs w:val="24"/>
                <w:highlight w:val="none"/>
              </w:rPr>
              <w:t>社保缴纳证明</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否则不得分</w:t>
            </w:r>
            <w:r>
              <w:rPr>
                <w:rFonts w:hint="eastAsia" w:ascii="宋体" w:hAnsi="宋体" w:cs="宋体"/>
                <w:b/>
                <w:bCs/>
                <w:color w:val="auto"/>
                <w:sz w:val="24"/>
                <w:lang w:val="en-US" w:eastAsia="zh-CN"/>
              </w:rPr>
              <w:t>）</w:t>
            </w:r>
            <w:r>
              <w:rPr>
                <w:rFonts w:hint="eastAsia" w:ascii="Times New Roman" w:hAnsi="Times New Roman" w:eastAsia="宋体" w:cs="Times New Roman"/>
                <w:color w:val="auto"/>
                <w:kern w:val="2"/>
                <w:sz w:val="24"/>
                <w:szCs w:val="20"/>
                <w:lang w:val="en-US" w:eastAsia="zh-CN" w:bidi="ar-SA"/>
              </w:rPr>
              <w:t>。</w:t>
            </w:r>
          </w:p>
        </w:tc>
        <w:tc>
          <w:tcPr>
            <w:tcW w:w="441" w:type="pct"/>
            <w:vAlign w:val="center"/>
          </w:tcPr>
          <w:p>
            <w:pPr>
              <w:spacing w:line="360" w:lineRule="auto"/>
              <w:ind w:firstLine="240" w:firstLineChars="100"/>
              <w:outlineLvl w:val="0"/>
              <w:rPr>
                <w:rFonts w:hint="default" w:cs="仿宋_GB2312" w:asciiTheme="minorEastAsia" w:hAnsiTheme="minorEastAsia" w:eastAsiaTheme="minorEastAsia"/>
                <w:color w:val="auto"/>
                <w:sz w:val="24"/>
                <w:lang w:val="en-US"/>
              </w:rPr>
            </w:pPr>
          </w:p>
          <w:p>
            <w:pPr>
              <w:spacing w:line="360" w:lineRule="auto"/>
              <w:ind w:firstLine="240" w:firstLineChars="100"/>
              <w:outlineLvl w:val="0"/>
              <w:rPr>
                <w:rFonts w:hint="default" w:cs="仿宋_GB2312" w:asciiTheme="minorEastAsia" w:hAnsiTheme="minorEastAsia" w:eastAsiaTheme="minorEastAsia"/>
                <w:color w:val="auto"/>
                <w:sz w:val="24"/>
                <w:lang w:val="en-US"/>
              </w:rPr>
            </w:pPr>
          </w:p>
          <w:p>
            <w:pPr>
              <w:spacing w:line="360" w:lineRule="auto"/>
              <w:ind w:firstLine="240" w:firstLineChars="100"/>
              <w:outlineLvl w:val="0"/>
              <w:rPr>
                <w:rFonts w:hint="eastAsia" w:cs="仿宋_GB2312" w:asciiTheme="minorEastAsia" w:hAnsiTheme="minorEastAsia" w:eastAsiaTheme="minorEastAsia"/>
                <w:color w:val="auto"/>
                <w:sz w:val="24"/>
                <w:lang w:val="en-US" w:eastAsia="zh-CN"/>
              </w:rPr>
            </w:pPr>
            <w:r>
              <w:rPr>
                <w:rFonts w:hint="eastAsia" w:cs="仿宋_GB2312" w:asciiTheme="minorEastAsia" w:hAnsiTheme="minorEastAsia" w:eastAsiaTheme="minorEastAsia"/>
                <w:color w:val="auto"/>
                <w:sz w:val="24"/>
                <w:lang w:val="en-US" w:eastAsia="zh-CN"/>
              </w:rPr>
              <w:t>4</w:t>
            </w:r>
          </w:p>
        </w:tc>
        <w:tc>
          <w:tcPr>
            <w:tcW w:w="823" w:type="pct"/>
            <w:vMerge w:val="restart"/>
            <w:vAlign w:val="center"/>
          </w:tcPr>
          <w:p>
            <w:pPr>
              <w:spacing w:line="360" w:lineRule="auto"/>
              <w:jc w:val="center"/>
              <w:outlineLvl w:val="0"/>
              <w:rPr>
                <w:rFonts w:hint="eastAsia" w:ascii="宋体" w:hAnsi="宋体" w:cs="仿宋"/>
                <w:color w:val="auto"/>
                <w:sz w:val="24"/>
              </w:rPr>
            </w:pPr>
          </w:p>
          <w:p>
            <w:pPr>
              <w:spacing w:line="360" w:lineRule="auto"/>
              <w:jc w:val="center"/>
              <w:outlineLvl w:val="0"/>
              <w:rPr>
                <w:rFonts w:hint="eastAsia" w:ascii="宋体" w:hAnsi="宋体" w:cs="仿宋"/>
                <w:color w:val="auto"/>
                <w:sz w:val="24"/>
              </w:rPr>
            </w:pPr>
          </w:p>
          <w:p>
            <w:pPr>
              <w:spacing w:line="360" w:lineRule="auto"/>
              <w:jc w:val="both"/>
              <w:outlineLvl w:val="0"/>
              <w:rPr>
                <w:rFonts w:ascii="宋体" w:hAnsi="宋体" w:cs="仿宋"/>
                <w:color w:val="auto"/>
                <w:sz w:val="24"/>
              </w:rPr>
            </w:pPr>
            <w:r>
              <w:rPr>
                <w:rFonts w:hint="eastAsia" w:ascii="宋体" w:hAnsi="宋体" w:cs="仿宋"/>
                <w:color w:val="auto"/>
                <w:sz w:val="24"/>
              </w:rPr>
              <w:t>（</w:t>
            </w:r>
            <w:r>
              <w:rPr>
                <w:rFonts w:hint="eastAsia" w:ascii="宋体" w:hAnsi="宋体" w:cs="仿宋"/>
                <w:color w:val="auto"/>
                <w:sz w:val="24"/>
                <w:lang w:val="en-US" w:eastAsia="zh-CN"/>
              </w:rPr>
              <w:t>九</w:t>
            </w:r>
            <w:r>
              <w:rPr>
                <w:rFonts w:hint="eastAsia" w:ascii="宋体" w:hAnsi="宋体" w:cs="仿宋"/>
                <w:color w:val="auto"/>
                <w:sz w:val="24"/>
              </w:rPr>
              <w:t>）项目团队情况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16" w:type="pct"/>
            <w:vAlign w:val="center"/>
          </w:tcPr>
          <w:p>
            <w:pPr>
              <w:snapToGrid w:val="0"/>
              <w:spacing w:line="360" w:lineRule="auto"/>
              <w:jc w:val="center"/>
              <w:rPr>
                <w:rFonts w:cs="仿宋_GB2312" w:asciiTheme="minorEastAsia" w:hAnsiTheme="minorEastAsia" w:eastAsiaTheme="minorEastAsia"/>
                <w:color w:val="auto"/>
                <w:sz w:val="24"/>
              </w:rPr>
            </w:pPr>
          </w:p>
          <w:p>
            <w:pPr>
              <w:snapToGrid w:val="0"/>
              <w:spacing w:line="360" w:lineRule="auto"/>
              <w:jc w:val="center"/>
              <w:rPr>
                <w:rFonts w:hint="default" w:cs="仿宋_GB2312" w:asciiTheme="minorEastAsia" w:hAnsiTheme="minorEastAsia" w:eastAsiaTheme="minorEastAsia"/>
                <w:color w:val="auto"/>
                <w:sz w:val="24"/>
                <w:lang w:val="en-US" w:eastAsia="zh-CN"/>
              </w:rPr>
            </w:pPr>
            <w:r>
              <w:rPr>
                <w:rFonts w:hint="eastAsia" w:cs="仿宋_GB2312" w:asciiTheme="minorEastAsia" w:hAnsiTheme="minorEastAsia" w:eastAsiaTheme="minorEastAsia"/>
                <w:color w:val="auto"/>
                <w:sz w:val="24"/>
                <w:lang w:val="en-US" w:eastAsia="zh-CN"/>
              </w:rPr>
              <w:t>10</w:t>
            </w:r>
          </w:p>
        </w:tc>
        <w:tc>
          <w:tcPr>
            <w:tcW w:w="3419" w:type="pct"/>
            <w:vAlign w:val="center"/>
          </w:tcPr>
          <w:p>
            <w:pPr>
              <w:spacing w:line="360" w:lineRule="auto"/>
              <w:jc w:val="left"/>
              <w:rPr>
                <w:rFonts w:hint="eastAsia" w:ascii="宋体" w:hAnsi="宋体" w:cs="仿宋_GB2312"/>
                <w:b/>
                <w:bCs/>
                <w:sz w:val="24"/>
                <w:highlight w:val="none"/>
              </w:rPr>
            </w:pPr>
            <w:r>
              <w:rPr>
                <w:rFonts w:hint="eastAsia" w:ascii="宋体" w:hAnsi="宋体" w:cs="仿宋_GB2312"/>
                <w:b/>
                <w:bCs/>
                <w:sz w:val="24"/>
                <w:highlight w:val="none"/>
              </w:rPr>
              <w:t>现场提供投标产品同规格型号的演示屏各一块（室内P2.5和室内</w:t>
            </w:r>
            <w:r>
              <w:rPr>
                <w:rFonts w:hint="eastAsia" w:ascii="宋体" w:hAnsi="宋体" w:cs="仿宋_GB2312"/>
                <w:b/>
                <w:bCs/>
                <w:sz w:val="24"/>
                <w:highlight w:val="none"/>
                <w:lang w:val="en-US" w:eastAsia="zh-CN"/>
              </w:rPr>
              <w:t>P</w:t>
            </w:r>
            <w:r>
              <w:rPr>
                <w:rFonts w:hint="eastAsia" w:ascii="宋体" w:hAnsi="宋体" w:cs="仿宋_GB2312"/>
                <w:b/>
                <w:bCs/>
                <w:sz w:val="24"/>
                <w:highlight w:val="none"/>
              </w:rPr>
              <w:t>1.8）</w:t>
            </w:r>
            <w:r>
              <w:rPr>
                <w:rFonts w:hint="eastAsia" w:ascii="宋体" w:hAnsi="宋体" w:cs="仿宋_GB2312"/>
                <w:b/>
                <w:bCs/>
                <w:sz w:val="24"/>
                <w:highlight w:val="none"/>
                <w:lang w:eastAsia="zh-CN"/>
              </w:rPr>
              <w:t>，</w:t>
            </w:r>
            <w:r>
              <w:rPr>
                <w:rFonts w:hint="eastAsia" w:ascii="宋体" w:hAnsi="宋体" w:cs="仿宋_GB2312"/>
                <w:b/>
                <w:bCs/>
                <w:sz w:val="24"/>
                <w:highlight w:val="none"/>
              </w:rPr>
              <w:t>未提供演示屏，或者提供的演示屏不符合要求的不得分：</w:t>
            </w:r>
          </w:p>
          <w:p>
            <w:pPr>
              <w:spacing w:line="360" w:lineRule="auto"/>
              <w:jc w:val="left"/>
              <w:rPr>
                <w:rFonts w:hint="eastAsia" w:ascii="宋体" w:hAnsi="宋体" w:cs="仿宋_GB2312"/>
                <w:sz w:val="24"/>
                <w:highlight w:val="none"/>
              </w:rPr>
            </w:pPr>
            <w:r>
              <w:rPr>
                <w:rFonts w:hint="eastAsia" w:ascii="宋体" w:hAnsi="宋体" w:cs="仿宋_GB2312"/>
                <w:sz w:val="24"/>
                <w:highlight w:val="none"/>
              </w:rPr>
              <w:t>演示屏必须同时满足①单元板（非箱体）原始设计为双电源备份,数据信号双输入、双输出的单元板；②每个单元板2个独立排针双数据输入接口、2个独立排针双数据输出出口、电源备份插件2个；③支持热插拔；④同时现场须拆下一块单元板演示相关功能，不能拆下的视作不符合要求。</w:t>
            </w:r>
            <w:r>
              <w:rPr>
                <w:rFonts w:hint="eastAsia" w:ascii="宋体" w:hAnsi="宋体" w:cs="仿宋_GB2312"/>
                <w:b/>
                <w:bCs/>
                <w:sz w:val="24"/>
                <w:highlight w:val="none"/>
              </w:rPr>
              <w:t>以上要求和功能任意有一项不符合的，整体不得分，符合以上基本需求条件后评分如下：</w:t>
            </w:r>
          </w:p>
          <w:p>
            <w:pPr>
              <w:pStyle w:val="711"/>
              <w:widowControl w:val="0"/>
              <w:ind w:left="0" w:leftChars="0" w:firstLine="0" w:firstLineChars="0"/>
              <w:jc w:val="both"/>
              <w:rPr>
                <w:rFonts w:hint="default"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1、尺寸：≤640MM * 480MM（或面积≤0.31平方米），每块屏符合得1分，共2分；</w:t>
            </w:r>
          </w:p>
          <w:p>
            <w:pPr>
              <w:pStyle w:val="711"/>
              <w:widowControl w:val="0"/>
              <w:ind w:left="0" w:leftChars="0" w:firstLine="0" w:firstLineChars="0"/>
              <w:jc w:val="both"/>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2、工艺：细腻、不毛糙等，每块屏完全符合得1分，部分符合得0.5分，共2分；</w:t>
            </w:r>
          </w:p>
          <w:p>
            <w:pPr>
              <w:pStyle w:val="711"/>
              <w:widowControl w:val="0"/>
              <w:ind w:left="0" w:leftChars="0" w:firstLine="0" w:firstLineChars="0"/>
              <w:jc w:val="both"/>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3、平整度：拼接缝隙小于1MM的，每块屏符合得1分，共2分；</w:t>
            </w:r>
          </w:p>
          <w:p>
            <w:pPr>
              <w:pStyle w:val="711"/>
              <w:widowControl w:val="0"/>
              <w:ind w:left="0" w:leftChars="0" w:firstLine="0" w:firstLineChars="0"/>
              <w:jc w:val="both"/>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4、墨色一致，无马赛克现象，每块屏完全符合得1分，部分符合得0.5分，共2分；</w:t>
            </w:r>
          </w:p>
          <w:p>
            <w:pPr>
              <w:pStyle w:val="711"/>
              <w:widowControl w:val="0"/>
              <w:ind w:left="0" w:leftChars="0" w:firstLine="0" w:firstLineChars="0"/>
              <w:jc w:val="both"/>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5、根据亮度和对比度在动态范围和图像细节上的显示效果，色彩均匀性一致，每块屏完全符合得1分，部分符合得0.5分，共2分；</w:t>
            </w:r>
          </w:p>
          <w:p>
            <w:pPr>
              <w:pStyle w:val="711"/>
              <w:widowControl w:val="0"/>
              <w:ind w:left="0" w:leftChars="0" w:firstLine="0" w:firstLineChars="0"/>
              <w:jc w:val="both"/>
              <w:rPr>
                <w:color w:val="auto"/>
              </w:rPr>
            </w:pPr>
            <w:r>
              <w:rPr>
                <w:rFonts w:hint="eastAsia" w:ascii="宋体" w:hAnsi="宋体" w:eastAsia="宋体" w:cs="仿宋_GB2312"/>
                <w:kern w:val="2"/>
                <w:sz w:val="24"/>
                <w:szCs w:val="24"/>
                <w:highlight w:val="none"/>
                <w:lang w:val="en-US" w:eastAsia="zh-CN" w:bidi="ar-SA"/>
              </w:rPr>
              <w:t>6、盲点率：零盲点，每块屏符合得1分，共2分。</w:t>
            </w:r>
          </w:p>
        </w:tc>
        <w:tc>
          <w:tcPr>
            <w:tcW w:w="441" w:type="pct"/>
            <w:vAlign w:val="center"/>
          </w:tcPr>
          <w:p>
            <w:pPr>
              <w:spacing w:line="360" w:lineRule="auto"/>
              <w:jc w:val="center"/>
              <w:outlineLvl w:val="0"/>
              <w:rPr>
                <w:rFonts w:hint="default" w:cs="仿宋_GB2312" w:asciiTheme="minorEastAsia" w:hAnsiTheme="minorEastAsia" w:eastAsiaTheme="minorEastAsia"/>
                <w:color w:val="auto"/>
                <w:sz w:val="24"/>
                <w:lang w:val="en-US" w:eastAsia="zh-CN"/>
              </w:rPr>
            </w:pPr>
            <w:r>
              <w:rPr>
                <w:rFonts w:hint="eastAsia" w:cs="仿宋_GB2312" w:asciiTheme="minorEastAsia" w:hAnsiTheme="minorEastAsia" w:eastAsiaTheme="minorEastAsia"/>
                <w:color w:val="auto"/>
                <w:sz w:val="24"/>
                <w:lang w:val="en-US" w:eastAsia="zh-CN"/>
              </w:rPr>
              <w:t>12</w:t>
            </w:r>
          </w:p>
        </w:tc>
        <w:tc>
          <w:tcPr>
            <w:tcW w:w="823" w:type="pct"/>
            <w:vAlign w:val="center"/>
          </w:tcPr>
          <w:p>
            <w:pPr>
              <w:spacing w:line="360" w:lineRule="auto"/>
              <w:jc w:val="center"/>
              <w:outlineLvl w:val="0"/>
              <w:rPr>
                <w:rFonts w:ascii="宋体" w:hAnsi="宋体" w:cs="宋体"/>
                <w:color w:val="auto"/>
                <w:kern w:val="0"/>
                <w:sz w:val="24"/>
              </w:rPr>
            </w:pPr>
          </w:p>
          <w:p>
            <w:pPr>
              <w:spacing w:line="360" w:lineRule="auto"/>
              <w:jc w:val="center"/>
              <w:outlineLvl w:val="0"/>
              <w:rPr>
                <w:rFonts w:cs="仿宋_GB2312" w:asciiTheme="minorEastAsia" w:hAnsiTheme="minorEastAsia"/>
                <w:color w:val="auto"/>
                <w:sz w:val="24"/>
              </w:rPr>
            </w:pPr>
            <w:r>
              <w:rPr>
                <w:rFonts w:hint="eastAsia" w:ascii="宋体" w:hAnsi="宋体" w:cs="宋体"/>
                <w:b/>
                <w:bCs/>
                <w:color w:val="auto"/>
                <w:kern w:val="0"/>
                <w:sz w:val="24"/>
              </w:rPr>
              <w:t>（</w:t>
            </w:r>
            <w:r>
              <w:rPr>
                <w:rFonts w:hint="eastAsia" w:ascii="宋体" w:hAnsi="宋体" w:cs="宋体"/>
                <w:b/>
                <w:bCs/>
                <w:color w:val="auto"/>
                <w:kern w:val="0"/>
                <w:sz w:val="24"/>
                <w:lang w:val="en-US" w:eastAsia="zh-CN"/>
              </w:rPr>
              <w:t>十</w:t>
            </w:r>
            <w:r>
              <w:rPr>
                <w:rFonts w:hint="eastAsia" w:ascii="宋体" w:hAnsi="宋体" w:cs="宋体"/>
                <w:b/>
                <w:bCs/>
                <w:color w:val="auto"/>
                <w:kern w:val="0"/>
                <w:sz w:val="24"/>
              </w:rPr>
              <w:t>）演示分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snapToGrid w:val="0"/>
              <w:spacing w:line="360" w:lineRule="auto"/>
              <w:jc w:val="center"/>
              <w:rPr>
                <w:rFonts w:hint="default" w:cs="仿宋_GB2312" w:asciiTheme="minorEastAsia" w:hAnsiTheme="minorEastAsia" w:eastAsiaTheme="minorEastAsia"/>
                <w:color w:val="auto"/>
                <w:sz w:val="24"/>
                <w:lang w:val="en-US" w:eastAsia="zh-CN"/>
              </w:rPr>
            </w:pPr>
            <w:r>
              <w:rPr>
                <w:rFonts w:hint="eastAsia" w:cs="仿宋_GB2312" w:asciiTheme="minorEastAsia" w:hAnsiTheme="minorEastAsia" w:eastAsiaTheme="minorEastAsia"/>
                <w:color w:val="auto"/>
                <w:sz w:val="24"/>
                <w:lang w:val="en-US" w:eastAsia="zh-CN"/>
              </w:rPr>
              <w:t>11</w:t>
            </w:r>
          </w:p>
        </w:tc>
        <w:tc>
          <w:tcPr>
            <w:tcW w:w="3419" w:type="pct"/>
          </w:tcPr>
          <w:p>
            <w:pPr>
              <w:spacing w:line="360" w:lineRule="auto"/>
              <w:ind w:firstLine="480" w:firstLineChars="200"/>
              <w:jc w:val="left"/>
              <w:outlineLvl w:val="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有效投标报价的最低价作为评标基准价，其最低报价为满分；按［投标报价得分</w:t>
            </w:r>
            <w:r>
              <w:rPr>
                <w:rFonts w:cs="仿宋_GB2312" w:asciiTheme="minorEastAsia" w:hAnsiTheme="minorEastAsia" w:eastAsiaTheme="minorEastAsia"/>
                <w:color w:val="auto"/>
                <w:sz w:val="24"/>
              </w:rPr>
              <w:t>=（评标基准价/投标报价）*</w:t>
            </w:r>
            <w:r>
              <w:rPr>
                <w:rFonts w:hint="eastAsia" w:cs="仿宋_GB2312" w:asciiTheme="minorEastAsia" w:hAnsiTheme="minorEastAsia" w:eastAsiaTheme="minorEastAsia"/>
                <w:color w:val="auto"/>
                <w:sz w:val="24"/>
                <w:lang w:val="en-US" w:eastAsia="zh-CN"/>
              </w:rPr>
              <w:t>30</w:t>
            </w:r>
            <w:r>
              <w:rPr>
                <w:rFonts w:cs="仿宋_GB2312" w:asciiTheme="minorEastAsia" w:hAnsiTheme="minorEastAsia" w:eastAsiaTheme="minorEastAsia"/>
                <w:color w:val="auto"/>
                <w:sz w:val="24"/>
              </w:rPr>
              <w:t>］的计算公式计算。</w:t>
            </w:r>
          </w:p>
          <w:p>
            <w:pPr>
              <w:spacing w:line="360" w:lineRule="auto"/>
              <w:ind w:firstLine="480" w:firstLineChars="200"/>
              <w:jc w:val="left"/>
              <w:outlineLvl w:val="0"/>
              <w:rPr>
                <w:rFonts w:cs="仿宋_GB2312" w:asciiTheme="minorEastAsia" w:hAnsiTheme="minorEastAsia" w:eastAsiaTheme="minorEastAsia"/>
                <w:color w:val="auto"/>
                <w:sz w:val="24"/>
              </w:rPr>
            </w:pPr>
            <w:r>
              <w:rPr>
                <w:rFonts w:cs="仿宋_GB2312" w:asciiTheme="minorEastAsia" w:hAnsiTheme="minorEastAsia" w:eastAsiaTheme="minorEastAsia"/>
                <w:color w:val="auto"/>
                <w:sz w:val="24"/>
              </w:rPr>
              <w:t>评标过程中，不得去掉报价中的最高报价和最低报价。</w:t>
            </w:r>
          </w:p>
          <w:p>
            <w:pPr>
              <w:widowControl/>
              <w:shd w:val="clear" w:color="auto" w:fill="FFFFFF"/>
              <w:adjustRightInd/>
              <w:spacing w:after="225" w:line="360" w:lineRule="auto"/>
              <w:ind w:firstLine="420"/>
              <w:jc w:val="left"/>
              <w:rPr>
                <w:rFonts w:asciiTheme="minorEastAsia" w:hAnsiTheme="minorEastAsia" w:eastAsiaTheme="minorEastAsia"/>
                <w:color w:val="auto"/>
                <w:sz w:val="24"/>
              </w:rPr>
            </w:pPr>
            <w:r>
              <w:rPr>
                <w:rFonts w:hint="eastAsia" w:cs="仿宋_GB2312" w:asciiTheme="minorEastAsia" w:hAnsiTheme="minorEastAsia" w:eastAsiaTheme="minorEastAsia"/>
                <w:color w:val="auto"/>
                <w:sz w:val="24"/>
              </w:rPr>
              <w:t>对于未预留份额专门面向中小企业的政府采购服务项目，以及预留份额政府采购服务项目中的非预留部分标项，对小型和微型企业的投标报价给予</w:t>
            </w:r>
            <w:r>
              <w:rPr>
                <w:rFonts w:cs="仿宋_GB2312" w:asciiTheme="minorEastAsia" w:hAnsiTheme="minorEastAsia" w:eastAsiaTheme="minorEastAsia"/>
                <w:b/>
                <w:color w:val="auto"/>
                <w:sz w:val="24"/>
                <w:u w:val="single"/>
              </w:rPr>
              <w:t>20%</w:t>
            </w:r>
            <w:r>
              <w:rPr>
                <w:rFonts w:hint="eastAsia" w:cs="仿宋_GB2312" w:asciiTheme="minorEastAsia" w:hAnsiTheme="minorEastAsia" w:eastAsiaTheme="minorEastAsia"/>
                <w:color w:val="auto"/>
                <w:sz w:val="24"/>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cs="仿宋_GB2312" w:asciiTheme="minorEastAsia" w:hAnsiTheme="minorEastAsia" w:eastAsiaTheme="minorEastAsia"/>
                <w:b/>
                <w:color w:val="auto"/>
                <w:sz w:val="24"/>
                <w:u w:val="single"/>
              </w:rPr>
              <w:t>6%</w:t>
            </w:r>
            <w:r>
              <w:rPr>
                <w:rFonts w:hint="eastAsia" w:cs="仿宋_GB2312" w:asciiTheme="minorEastAsia" w:hAnsiTheme="minorEastAsia" w:eastAsiaTheme="minorEastAsia"/>
                <w:color w:val="auto"/>
                <w:sz w:val="24"/>
              </w:rPr>
              <w:t>的扣除，用扣除后的价格参加评审</w:t>
            </w:r>
            <w:r>
              <w:rPr>
                <w:rFonts w:cs="仿宋_GB2312" w:asciiTheme="minorEastAsia" w:hAnsiTheme="minorEastAsia" w:eastAsiaTheme="minorEastAsia"/>
                <w:color w:val="auto"/>
                <w:sz w:val="24"/>
              </w:rPr>
              <w:t>。</w:t>
            </w:r>
          </w:p>
        </w:tc>
        <w:tc>
          <w:tcPr>
            <w:tcW w:w="441" w:type="pct"/>
            <w:vAlign w:val="center"/>
          </w:tcPr>
          <w:p>
            <w:pPr>
              <w:spacing w:line="360" w:lineRule="auto"/>
              <w:jc w:val="center"/>
              <w:outlineLvl w:val="0"/>
              <w:rPr>
                <w:rFonts w:hint="default" w:cs="仿宋_GB2312" w:asciiTheme="minorEastAsia" w:hAnsiTheme="minorEastAsia" w:eastAsiaTheme="minorEastAsia"/>
                <w:color w:val="auto"/>
                <w:sz w:val="24"/>
                <w:lang w:val="en-US" w:eastAsia="zh-CN"/>
              </w:rPr>
            </w:pPr>
            <w:r>
              <w:rPr>
                <w:rFonts w:hint="eastAsia" w:cs="仿宋_GB2312" w:asciiTheme="minorEastAsia" w:hAnsiTheme="minorEastAsia" w:eastAsiaTheme="minorEastAsia"/>
                <w:color w:val="auto"/>
                <w:sz w:val="24"/>
                <w:lang w:val="en-US" w:eastAsia="zh-CN"/>
              </w:rPr>
              <w:t>30</w:t>
            </w:r>
          </w:p>
        </w:tc>
        <w:tc>
          <w:tcPr>
            <w:tcW w:w="823" w:type="pct"/>
            <w:vAlign w:val="center"/>
          </w:tcPr>
          <w:p>
            <w:pPr>
              <w:spacing w:line="360" w:lineRule="auto"/>
              <w:jc w:val="center"/>
              <w:outlineLvl w:val="0"/>
              <w:rPr>
                <w:rFonts w:cs="仿宋_GB2312" w:asciiTheme="minorEastAsia" w:hAnsiTheme="minorEastAsia" w:eastAsiaTheme="minorEastAsia"/>
                <w:color w:val="auto"/>
                <w:sz w:val="24"/>
              </w:rPr>
            </w:pPr>
            <w:r>
              <w:rPr>
                <w:rFonts w:cs="仿宋_GB2312" w:asciiTheme="minorEastAsia" w:hAnsiTheme="minorEastAsia" w:eastAsiaTheme="minorEastAsia"/>
                <w:color w:val="auto"/>
                <w:sz w:val="24"/>
              </w:rPr>
              <w:t>/</w:t>
            </w:r>
          </w:p>
        </w:tc>
      </w:tr>
    </w:tbl>
    <w:p>
      <w:pPr>
        <w:jc w:val="center"/>
        <w:rPr>
          <w:color w:val="auto"/>
        </w:rPr>
      </w:pPr>
    </w:p>
    <w:p>
      <w:pPr>
        <w:snapToGrid w:val="0"/>
        <w:spacing w:line="360" w:lineRule="auto"/>
        <w:rPr>
          <w:rFonts w:ascii="宋体" w:hAnsi="宋体" w:cs="宋体"/>
          <w:b/>
          <w:color w:val="auto"/>
          <w:sz w:val="24"/>
        </w:rPr>
      </w:pPr>
      <w:r>
        <w:rPr>
          <w:rFonts w:hint="eastAsia" w:ascii="宋体" w:hAnsi="宋体" w:cs="宋体"/>
          <w:color w:val="auto"/>
          <w:sz w:val="20"/>
          <w:szCs w:val="20"/>
          <w:shd w:val="clear" w:color="auto" w:fill="FFFFFF"/>
        </w:rPr>
        <w:t> *</w:t>
      </w:r>
      <w:r>
        <w:rPr>
          <w:rFonts w:hint="eastAsia" w:ascii="宋体" w:hAnsi="宋体" w:cs="宋体"/>
          <w:b/>
          <w:color w:val="auto"/>
          <w:sz w:val="24"/>
        </w:rPr>
        <w:t>备注：</w:t>
      </w:r>
      <w:r>
        <w:rPr>
          <w:rFonts w:hint="eastAsia" w:ascii="宋体" w:hAnsi="宋体" w:cs="宋体"/>
          <w:color w:val="auto"/>
          <w:sz w:val="24"/>
        </w:rPr>
        <w:t>投标人编制投标文件（商务技术文件部分）时，建议按此目录（序号和内容）提供评标标准相应的商务技术资料。 </w:t>
      </w:r>
    </w:p>
    <w:p>
      <w:pPr>
        <w:snapToGrid w:val="0"/>
        <w:spacing w:line="360" w:lineRule="auto"/>
        <w:rPr>
          <w:rFonts w:ascii="宋体" w:hAnsi="宋体" w:cs="宋体"/>
          <w:b/>
          <w:color w:val="auto"/>
          <w:sz w:val="28"/>
          <w:szCs w:val="28"/>
        </w:rPr>
      </w:pPr>
      <w:r>
        <w:rPr>
          <w:rFonts w:hint="eastAsia" w:ascii="宋体" w:hAnsi="宋体" w:cs="宋体"/>
          <w:b/>
          <w:color w:val="auto"/>
          <w:sz w:val="32"/>
        </w:rPr>
        <w:t>一、评标方法</w:t>
      </w:r>
    </w:p>
    <w:p>
      <w:pPr>
        <w:adjustRightInd/>
        <w:spacing w:line="360" w:lineRule="auto"/>
        <w:ind w:firstLine="472" w:firstLineChars="196"/>
        <w:rPr>
          <w:rFonts w:ascii="宋体" w:hAnsi="宋体" w:cs="宋体"/>
          <w:color w:val="auto"/>
          <w:kern w:val="0"/>
          <w:sz w:val="24"/>
        </w:rPr>
      </w:pPr>
      <w:r>
        <w:rPr>
          <w:rFonts w:hint="eastAsia" w:ascii="宋体" w:hAnsi="宋体" w:cs="宋体"/>
          <w:b/>
          <w:color w:val="auto"/>
          <w:kern w:val="0"/>
          <w:sz w:val="24"/>
        </w:rPr>
        <w:t>1.本项目采用综合评分法。</w:t>
      </w:r>
      <w:r>
        <w:rPr>
          <w:rFonts w:hint="eastAsia" w:ascii="宋体" w:hAnsi="宋体" w:cs="宋体"/>
          <w:color w:val="auto"/>
          <w:kern w:val="0"/>
          <w:sz w:val="24"/>
        </w:rPr>
        <w:t>综合评分法，是指投标文件满足招标文件全部实质性要求，且按照评审因素的量化指标评审得分最高的投标人为中标候选人的评标方法。</w:t>
      </w:r>
    </w:p>
    <w:p>
      <w:pPr>
        <w:adjustRightInd/>
        <w:spacing w:line="360" w:lineRule="auto"/>
        <w:rPr>
          <w:rFonts w:ascii="宋体" w:hAnsi="宋体" w:cs="宋体"/>
          <w:kern w:val="0"/>
          <w:sz w:val="24"/>
        </w:rPr>
      </w:pPr>
      <w:r>
        <w:rPr>
          <w:rFonts w:hint="eastAsia" w:ascii="宋体" w:hAnsi="宋体" w:cs="宋体"/>
          <w:b/>
          <w:color w:val="auto"/>
          <w:sz w:val="32"/>
        </w:rPr>
        <w:t>二、评标标准</w:t>
      </w:r>
    </w:p>
    <w:p>
      <w:pPr>
        <w:spacing w:line="360" w:lineRule="auto"/>
        <w:ind w:firstLine="472" w:firstLineChars="196"/>
        <w:rPr>
          <w:rFonts w:ascii="宋体" w:hAnsi="宋体" w:cs="宋体"/>
          <w:b/>
          <w:sz w:val="24"/>
        </w:rPr>
      </w:pPr>
      <w:r>
        <w:rPr>
          <w:rFonts w:hint="eastAsia" w:ascii="宋体" w:hAnsi="宋体" w:cs="宋体"/>
          <w:b/>
          <w:sz w:val="24"/>
        </w:rPr>
        <w:t>2.</w:t>
      </w:r>
      <w:r>
        <w:rPr>
          <w:rFonts w:hint="eastAsia" w:ascii="宋体" w:hAnsi="宋体" w:cs="宋体"/>
        </w:rPr>
        <w:t xml:space="preserve"> </w:t>
      </w:r>
      <w:r>
        <w:rPr>
          <w:rFonts w:hint="eastAsia" w:ascii="宋体" w:hAnsi="宋体" w:cs="宋体"/>
          <w:b/>
          <w:sz w:val="24"/>
        </w:rPr>
        <w:t>评标标准：</w:t>
      </w:r>
      <w:r>
        <w:rPr>
          <w:rFonts w:hint="eastAsia" w:ascii="宋体" w:hAnsi="宋体" w:cs="宋体"/>
          <w:kern w:val="0"/>
          <w:sz w:val="24"/>
        </w:rPr>
        <w:t>见评标办法前附表。</w:t>
      </w:r>
    </w:p>
    <w:p>
      <w:pPr>
        <w:spacing w:line="360" w:lineRule="auto"/>
        <w:outlineLvl w:val="0"/>
        <w:rPr>
          <w:rFonts w:ascii="宋体" w:hAnsi="宋体" w:cs="宋体"/>
          <w:b/>
          <w:sz w:val="36"/>
          <w:szCs w:val="36"/>
        </w:rPr>
      </w:pPr>
      <w:r>
        <w:rPr>
          <w:rFonts w:hint="eastAsia" w:ascii="宋体" w:hAnsi="宋体" w:cs="宋体"/>
          <w:b/>
          <w:sz w:val="36"/>
          <w:szCs w:val="36"/>
        </w:rPr>
        <w:t>三、评标程序</w:t>
      </w:r>
    </w:p>
    <w:p>
      <w:pPr>
        <w:spacing w:line="360" w:lineRule="auto"/>
        <w:ind w:firstLine="472" w:firstLineChars="196"/>
        <w:rPr>
          <w:rFonts w:ascii="宋体" w:hAnsi="宋体" w:cs="宋体"/>
          <w:kern w:val="0"/>
          <w:sz w:val="24"/>
        </w:rPr>
      </w:pPr>
      <w:r>
        <w:rPr>
          <w:rFonts w:hint="eastAsia" w:ascii="宋体" w:hAnsi="宋体" w:cs="宋体"/>
          <w:b/>
          <w:kern w:val="0"/>
          <w:sz w:val="24"/>
        </w:rPr>
        <w:t>3.1符合性审查。</w:t>
      </w:r>
      <w:r>
        <w:rPr>
          <w:rFonts w:hint="eastAsia" w:ascii="宋体" w:hAnsi="宋体" w:cs="宋体"/>
          <w:kern w:val="0"/>
          <w:sz w:val="24"/>
        </w:rPr>
        <w:t>评标委员会应当对符合资格的投标人的投标文件进行符合性审查，以确定其是否满足招标文件的实质性要求。不满足招标文件的实质性要求的，投标无效。</w:t>
      </w:r>
    </w:p>
    <w:p>
      <w:pPr>
        <w:spacing w:line="360" w:lineRule="auto"/>
        <w:ind w:firstLine="472" w:firstLineChars="196"/>
        <w:rPr>
          <w:rFonts w:ascii="宋体" w:hAnsi="宋体" w:cs="宋体"/>
          <w:kern w:val="0"/>
          <w:sz w:val="24"/>
        </w:rPr>
      </w:pPr>
      <w:r>
        <w:rPr>
          <w:rFonts w:hint="eastAsia" w:ascii="宋体" w:hAnsi="宋体" w:cs="宋体"/>
          <w:b/>
          <w:kern w:val="0"/>
          <w:sz w:val="24"/>
        </w:rPr>
        <w:t>3.2 比较与评价。</w:t>
      </w:r>
      <w:r>
        <w:rPr>
          <w:rFonts w:hint="eastAsia" w:ascii="宋体" w:hAnsi="宋体" w:cs="宋体"/>
          <w:kern w:val="0"/>
          <w:sz w:val="24"/>
        </w:rPr>
        <w:t>评标委员会应当按照招标文件中规定的评标方法和标准，对符合性审查合格的投标文件进行商务和技术评估，综合比较与评价。</w:t>
      </w:r>
    </w:p>
    <w:p>
      <w:pPr>
        <w:spacing w:line="360" w:lineRule="auto"/>
        <w:ind w:firstLine="472" w:firstLineChars="196"/>
        <w:rPr>
          <w:rFonts w:ascii="宋体" w:hAnsi="宋体" w:cs="宋体"/>
          <w:kern w:val="0"/>
          <w:sz w:val="24"/>
        </w:rPr>
      </w:pPr>
      <w:r>
        <w:rPr>
          <w:rFonts w:hint="eastAsia" w:ascii="宋体" w:hAnsi="宋体" w:cs="宋体"/>
          <w:b/>
          <w:kern w:val="0"/>
          <w:sz w:val="24"/>
        </w:rPr>
        <w:t>3.3汇总商务技术得分。</w:t>
      </w:r>
      <w:r>
        <w:rPr>
          <w:rFonts w:hint="eastAsia" w:ascii="宋体" w:hAnsi="宋体" w:cs="宋体"/>
          <w:kern w:val="0"/>
          <w:sz w:val="24"/>
        </w:rPr>
        <w:t>评标委员会各成员应当独立对每个投标人的商务和技术文件进行评价，并汇总商务技术得分情况。</w:t>
      </w:r>
    </w:p>
    <w:p>
      <w:pPr>
        <w:spacing w:line="360" w:lineRule="auto"/>
        <w:ind w:firstLine="472" w:firstLineChars="196"/>
        <w:rPr>
          <w:rFonts w:ascii="宋体" w:hAnsi="宋体" w:cs="宋体"/>
          <w:b/>
          <w:kern w:val="0"/>
          <w:sz w:val="24"/>
        </w:rPr>
      </w:pPr>
      <w:r>
        <w:rPr>
          <w:rFonts w:hint="eastAsia" w:ascii="宋体" w:hAnsi="宋体" w:cs="宋体"/>
          <w:b/>
          <w:kern w:val="0"/>
          <w:sz w:val="24"/>
        </w:rPr>
        <w:t>3.4报价评审。</w:t>
      </w:r>
    </w:p>
    <w:p>
      <w:pPr>
        <w:pStyle w:val="129"/>
        <w:spacing w:before="0"/>
        <w:ind w:firstLine="508" w:firstLineChars="212"/>
        <w:rPr>
          <w:rFonts w:ascii="宋体" w:hAnsi="宋体" w:cs="宋体"/>
          <w:kern w:val="0"/>
        </w:rPr>
      </w:pPr>
      <w:r>
        <w:rPr>
          <w:rFonts w:hint="eastAsia" w:ascii="宋体" w:hAnsi="宋体" w:cs="宋体"/>
          <w:kern w:val="0"/>
        </w:rPr>
        <w:t>3.4.1投标文件报价出现前后不一致的，按照下列规定修正：</w:t>
      </w:r>
    </w:p>
    <w:p>
      <w:pPr>
        <w:pStyle w:val="129"/>
        <w:spacing w:before="0"/>
        <w:ind w:firstLine="480"/>
        <w:rPr>
          <w:rFonts w:ascii="宋体" w:hAnsi="宋体" w:cs="宋体"/>
          <w:kern w:val="0"/>
          <w:szCs w:val="24"/>
        </w:rPr>
      </w:pPr>
      <w:r>
        <w:rPr>
          <w:rFonts w:hint="eastAsia" w:ascii="宋体" w:hAnsi="宋体" w:cs="宋体"/>
          <w:kern w:val="0"/>
          <w:szCs w:val="24"/>
        </w:rPr>
        <w:t>3.4.1.1投标文件中开标一览表(报价表)内容与投标文件中相应内容不一致的，以开标一览表(报价表)为准;</w:t>
      </w:r>
    </w:p>
    <w:p>
      <w:pPr>
        <w:pStyle w:val="129"/>
        <w:spacing w:before="0"/>
        <w:ind w:firstLine="480"/>
        <w:rPr>
          <w:rFonts w:ascii="宋体" w:hAnsi="宋体" w:cs="宋体"/>
          <w:kern w:val="0"/>
          <w:szCs w:val="24"/>
        </w:rPr>
      </w:pPr>
      <w:r>
        <w:rPr>
          <w:rFonts w:hint="eastAsia" w:ascii="宋体" w:hAnsi="宋体" w:cs="宋体"/>
          <w:kern w:val="0"/>
          <w:szCs w:val="24"/>
        </w:rPr>
        <w:t>3.4.1.2大写金额和小写金额不一致的，以大写金额为准;</w:t>
      </w:r>
    </w:p>
    <w:p>
      <w:pPr>
        <w:pStyle w:val="129"/>
        <w:spacing w:before="0"/>
        <w:ind w:firstLine="480"/>
        <w:rPr>
          <w:rFonts w:ascii="宋体" w:hAnsi="宋体" w:cs="宋体"/>
          <w:kern w:val="0"/>
          <w:szCs w:val="24"/>
        </w:rPr>
      </w:pPr>
      <w:r>
        <w:rPr>
          <w:rFonts w:hint="eastAsia" w:ascii="宋体" w:hAnsi="宋体" w:cs="宋体"/>
          <w:kern w:val="0"/>
          <w:szCs w:val="24"/>
        </w:rPr>
        <w:t>3.4.1.3单价金额小数点或者百分比有明显错位的，以开标一览表的总价为准，并修改单价;</w:t>
      </w:r>
    </w:p>
    <w:p>
      <w:pPr>
        <w:pStyle w:val="129"/>
        <w:spacing w:before="0"/>
        <w:ind w:firstLine="480"/>
        <w:rPr>
          <w:rFonts w:ascii="宋体" w:hAnsi="宋体" w:cs="宋体"/>
          <w:kern w:val="0"/>
          <w:szCs w:val="24"/>
        </w:rPr>
      </w:pPr>
      <w:r>
        <w:rPr>
          <w:rFonts w:hint="eastAsia" w:ascii="宋体" w:hAnsi="宋体" w:cs="宋体"/>
          <w:kern w:val="0"/>
          <w:szCs w:val="24"/>
        </w:rPr>
        <w:t>3.4.1.4总价金额与按单价汇总金额不一致的，以单价金额计算结果为准。</w:t>
      </w:r>
    </w:p>
    <w:p>
      <w:pPr>
        <w:pStyle w:val="129"/>
        <w:spacing w:before="0"/>
        <w:ind w:firstLine="480"/>
        <w:rPr>
          <w:rFonts w:ascii="宋体" w:hAnsi="宋体" w:cs="宋体"/>
          <w:kern w:val="0"/>
          <w:szCs w:val="24"/>
        </w:rPr>
      </w:pPr>
      <w:r>
        <w:rPr>
          <w:rFonts w:hint="eastAsia" w:ascii="宋体" w:hAnsi="宋体" w:cs="宋体"/>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3.4.2投标文件出现不是唯一的、有选择性投标报价的，投标无效。</w:t>
      </w:r>
    </w:p>
    <w:p>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3.4.3投标报价超过招标文件中规定的预算金额或者最高限价的，投标无效。</w:t>
      </w:r>
    </w:p>
    <w:p>
      <w:pPr>
        <w:pStyle w:val="129"/>
        <w:spacing w:before="0"/>
        <w:ind w:firstLine="480"/>
        <w:rPr>
          <w:rFonts w:ascii="宋体" w:hAnsi="宋体" w:cs="宋体"/>
          <w:kern w:val="0"/>
          <w:szCs w:val="24"/>
        </w:rPr>
      </w:pPr>
      <w:r>
        <w:rPr>
          <w:rFonts w:hint="eastAsia" w:ascii="宋体" w:hAnsi="宋体" w:cs="宋体"/>
          <w:kern w:val="0"/>
          <w:szCs w:val="24"/>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pPr>
        <w:pStyle w:val="129"/>
        <w:spacing w:before="0"/>
        <w:ind w:firstLine="480"/>
        <w:rPr>
          <w:rFonts w:ascii="宋体" w:hAnsi="宋体" w:cs="宋体"/>
          <w:kern w:val="0"/>
          <w:szCs w:val="24"/>
        </w:rPr>
      </w:pPr>
      <w:r>
        <w:rPr>
          <w:rFonts w:hint="eastAsia" w:ascii="宋体" w:hAnsi="宋体" w:cs="宋体"/>
          <w:kern w:val="0"/>
          <w:szCs w:val="24"/>
        </w:rPr>
        <w:t>3.4.5对于未预留份额专门面向中小企业的政府采购货物项目，以及预留份额政府采购货物项目中的非预留部分标项，对小型和微型企业的投标报价给予</w:t>
      </w:r>
      <w:r>
        <w:rPr>
          <w:rFonts w:ascii="宋体" w:hAnsi="宋体" w:cs="宋体"/>
          <w:kern w:val="0"/>
          <w:szCs w:val="24"/>
        </w:rPr>
        <w:t>20</w:t>
      </w:r>
      <w:r>
        <w:rPr>
          <w:rFonts w:hint="eastAsia" w:ascii="宋体" w:hAnsi="宋体" w:cs="宋体"/>
          <w:kern w:val="0"/>
          <w:szCs w:val="24"/>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w:t>
      </w:r>
      <w:r>
        <w:rPr>
          <w:rFonts w:ascii="宋体" w:hAnsi="宋体" w:cs="宋体"/>
          <w:kern w:val="0"/>
          <w:szCs w:val="24"/>
        </w:rPr>
        <w:t>6</w:t>
      </w:r>
      <w:r>
        <w:rPr>
          <w:rFonts w:hint="eastAsia" w:ascii="宋体" w:hAnsi="宋体" w:cs="宋体"/>
          <w:kern w:val="0"/>
          <w:szCs w:val="24"/>
        </w:rPr>
        <w:t>%的扣除，用扣除后的价格参加评审。组成联合体或者接受分包的小微企业与联合体内其他企业、分包企业之间存在直接控股、管理关系的，不享受价格扣除优惠政策。</w:t>
      </w:r>
    </w:p>
    <w:p>
      <w:pPr>
        <w:spacing w:line="360" w:lineRule="auto"/>
        <w:ind w:firstLine="482" w:firstLineChars="200"/>
        <w:rPr>
          <w:rFonts w:ascii="宋体" w:hAnsi="宋体" w:cs="宋体"/>
          <w:kern w:val="0"/>
          <w:sz w:val="24"/>
        </w:rPr>
      </w:pPr>
      <w:r>
        <w:rPr>
          <w:rFonts w:hint="eastAsia" w:ascii="宋体" w:hAnsi="宋体" w:cs="宋体"/>
          <w:b/>
          <w:kern w:val="0"/>
          <w:sz w:val="24"/>
        </w:rPr>
        <w:t>3.5排序与推荐。</w:t>
      </w:r>
      <w:r>
        <w:rPr>
          <w:rFonts w:hint="eastAsia" w:ascii="宋体" w:hAnsi="宋体" w:cs="宋体"/>
          <w:kern w:val="0"/>
          <w:sz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80" w:firstLineChars="200"/>
        <w:rPr>
          <w:rFonts w:ascii="宋体" w:hAnsi="宋体" w:cs="宋体"/>
          <w:b/>
          <w:kern w:val="0"/>
          <w:sz w:val="24"/>
        </w:rPr>
      </w:pPr>
      <w:r>
        <w:rPr>
          <w:rFonts w:hint="eastAsia" w:ascii="宋体" w:hAnsi="宋体" w:cs="宋体"/>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pPr>
        <w:spacing w:line="360" w:lineRule="auto"/>
        <w:ind w:firstLine="472" w:firstLineChars="196"/>
        <w:rPr>
          <w:rFonts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widowControl/>
        <w:shd w:val="clear" w:color="auto" w:fill="FFFFFF"/>
        <w:adjustRightInd/>
        <w:spacing w:after="225" w:line="315" w:lineRule="atLeast"/>
        <w:jc w:val="left"/>
        <w:rPr>
          <w:rFonts w:ascii="宋体" w:hAnsi="宋体" w:cs="宋体"/>
          <w:b/>
          <w:sz w:val="32"/>
        </w:rPr>
      </w:pPr>
      <w:r>
        <w:rPr>
          <w:rFonts w:hint="eastAsia" w:ascii="宋体" w:hAnsi="宋体" w:cs="宋体"/>
          <w:b/>
          <w:sz w:val="32"/>
        </w:rPr>
        <w:t>四、评标中的其他事项</w:t>
      </w:r>
    </w:p>
    <w:p>
      <w:pPr>
        <w:pStyle w:val="129"/>
        <w:spacing w:before="0"/>
        <w:ind w:firstLine="472" w:firstLineChars="196"/>
        <w:rPr>
          <w:rFonts w:ascii="宋体" w:hAnsi="宋体" w:cs="宋体"/>
          <w:kern w:val="0"/>
          <w:szCs w:val="24"/>
        </w:rPr>
      </w:pPr>
      <w:r>
        <w:rPr>
          <w:rFonts w:hint="eastAsia" w:ascii="宋体" w:hAnsi="宋体" w:cs="宋体"/>
          <w:b/>
          <w:kern w:val="0"/>
          <w:szCs w:val="24"/>
        </w:rPr>
        <w:t>4.1投标人澄清、说明或者补正。</w:t>
      </w:r>
      <w:r>
        <w:rPr>
          <w:rFonts w:hint="eastAsia" w:ascii="宋体" w:hAnsi="宋体"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pPr>
        <w:pStyle w:val="24"/>
        <w:spacing w:line="360" w:lineRule="auto"/>
        <w:ind w:left="954" w:leftChars="226" w:hanging="479" w:firstLineChars="0"/>
        <w:rPr>
          <w:rFonts w:cs="宋体"/>
          <w:szCs w:val="21"/>
        </w:rPr>
      </w:pPr>
      <w:r>
        <w:rPr>
          <w:rFonts w:hint="eastAsia" w:cs="宋体"/>
          <w:b/>
          <w:kern w:val="0"/>
        </w:rPr>
        <w:t>4.2投标无效。</w:t>
      </w:r>
      <w:r>
        <w:rPr>
          <w:rFonts w:hint="eastAsia" w:cs="宋体"/>
          <w:szCs w:val="21"/>
        </w:rPr>
        <w:t>有下列情形之一的，投标无效：</w:t>
      </w:r>
    </w:p>
    <w:p>
      <w:pPr>
        <w:spacing w:line="360" w:lineRule="auto"/>
        <w:ind w:firstLine="480" w:firstLineChars="200"/>
        <w:rPr>
          <w:rFonts w:ascii="宋体" w:hAnsi="宋体" w:cs="宋体"/>
          <w:kern w:val="0"/>
          <w:sz w:val="24"/>
        </w:rPr>
      </w:pPr>
      <w:r>
        <w:rPr>
          <w:rFonts w:hint="eastAsia" w:ascii="宋体" w:hAnsi="宋体" w:cs="宋体"/>
          <w:kern w:val="0"/>
          <w:sz w:val="24"/>
        </w:rPr>
        <w:t>4.2.1投标人不具备招标文件中规定的资格要求的（投标人未提供有效的资格文件的，视为投标人不具备招标文件中规定的资格要求）；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4.2.2投标文件未按照招标文件要求签署、盖章的；</w:t>
      </w:r>
    </w:p>
    <w:p>
      <w:pPr>
        <w:spacing w:line="360" w:lineRule="auto"/>
        <w:ind w:firstLine="480" w:firstLineChars="200"/>
        <w:rPr>
          <w:rFonts w:ascii="宋体" w:hAnsi="宋体" w:cs="宋体"/>
          <w:kern w:val="0"/>
          <w:sz w:val="24"/>
        </w:rPr>
      </w:pPr>
      <w:r>
        <w:rPr>
          <w:rFonts w:hint="eastAsia" w:ascii="宋体" w:hAnsi="宋体" w:cs="宋体"/>
          <w:kern w:val="0"/>
          <w:sz w:val="24"/>
        </w:rPr>
        <w:t>4.2.3采购人拟采购的产品属于政府强制采购的节能产品品目清单范围的，投标人相应的投标产品未获得国家确定的认证机构出具的、处于有效期之内的节能产品认证证书的；</w:t>
      </w:r>
    </w:p>
    <w:p>
      <w:pPr>
        <w:spacing w:line="360" w:lineRule="auto"/>
        <w:ind w:firstLine="480" w:firstLineChars="200"/>
        <w:rPr>
          <w:rFonts w:ascii="宋体" w:hAnsi="宋体" w:cs="宋体"/>
          <w:kern w:val="0"/>
          <w:sz w:val="24"/>
        </w:rPr>
      </w:pPr>
      <w:r>
        <w:rPr>
          <w:rFonts w:hint="eastAsia" w:ascii="宋体" w:hAnsi="宋体" w:cs="宋体"/>
          <w:kern w:val="0"/>
          <w:sz w:val="24"/>
        </w:rPr>
        <w:t>4.2.4投标文件含有采购人不能接受的附加条件的；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4.2.5投标文件中承诺的投标有效期少于招标文件中载明的投标有效期的；</w:t>
      </w:r>
    </w:p>
    <w:p>
      <w:pPr>
        <w:snapToGrid w:val="0"/>
        <w:spacing w:line="360" w:lineRule="auto"/>
        <w:ind w:firstLine="120" w:firstLineChars="50"/>
        <w:jc w:val="left"/>
        <w:rPr>
          <w:rFonts w:ascii="宋体" w:hAnsi="宋体" w:cs="宋体"/>
          <w:kern w:val="0"/>
          <w:sz w:val="24"/>
        </w:rPr>
      </w:pPr>
      <w:r>
        <w:rPr>
          <w:rFonts w:hint="eastAsia" w:ascii="宋体" w:hAnsi="宋体" w:cs="宋体"/>
          <w:kern w:val="0"/>
          <w:sz w:val="24"/>
        </w:rPr>
        <w:t xml:space="preserve">   4.2.6投标文件出现不是唯一的、有选择性投标报价的;</w:t>
      </w:r>
    </w:p>
    <w:p>
      <w:pPr>
        <w:spacing w:line="360" w:lineRule="auto"/>
        <w:ind w:firstLine="480" w:firstLineChars="200"/>
        <w:rPr>
          <w:rFonts w:ascii="宋体" w:hAnsi="宋体" w:cs="宋体"/>
          <w:kern w:val="0"/>
          <w:sz w:val="24"/>
        </w:rPr>
      </w:pPr>
      <w:r>
        <w:rPr>
          <w:rFonts w:hint="eastAsia" w:ascii="宋体" w:hAnsi="宋体" w:cs="宋体"/>
          <w:kern w:val="0"/>
          <w:sz w:val="24"/>
        </w:rPr>
        <w:t>4.2.7投标报价超过招标文件中规定的预算金额或者最高限价的;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4.2.8报价明显低于其他通过符合性审查投标人的报价，有可能影响产品质量或者不能诚信履约的，未能按要求提供书面说明或者提交相关证明材料，不能证明其报价合理性的;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4.2.9投标人对根据修正原则修正后的报价不确认的；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4.2.10投标人提供虚假材料投标的；</w:t>
      </w:r>
    </w:p>
    <w:p>
      <w:pPr>
        <w:spacing w:line="360" w:lineRule="auto"/>
        <w:ind w:firstLine="240" w:firstLineChars="100"/>
        <w:rPr>
          <w:rFonts w:ascii="宋体" w:hAnsi="宋体" w:cs="宋体"/>
          <w:kern w:val="0"/>
          <w:sz w:val="24"/>
        </w:rPr>
      </w:pPr>
      <w:r>
        <w:rPr>
          <w:rFonts w:hint="eastAsia" w:ascii="宋体" w:hAnsi="宋体" w:cs="宋体"/>
          <w:kern w:val="0"/>
          <w:sz w:val="24"/>
        </w:rPr>
        <w:t xml:space="preserve">  4.2.11投标人有恶意串通、妨碍其他投标人的竞争行为、损害采购人或者其他投标人的合法权益情形的；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4.2.12投标人仅提交备份投标文件，未在电子交易平台传输递交投标文件的，投标无效；</w:t>
      </w:r>
    </w:p>
    <w:p>
      <w:pPr>
        <w:spacing w:line="360" w:lineRule="auto"/>
        <w:ind w:firstLine="480" w:firstLineChars="200"/>
        <w:rPr>
          <w:rFonts w:ascii="宋体" w:hAnsi="宋体" w:cs="宋体"/>
          <w:kern w:val="0"/>
          <w:sz w:val="24"/>
        </w:rPr>
      </w:pPr>
      <w:r>
        <w:rPr>
          <w:rFonts w:hint="eastAsia" w:ascii="宋体" w:hAnsi="宋体" w:cs="宋体"/>
          <w:kern w:val="0"/>
          <w:sz w:val="24"/>
        </w:rPr>
        <w:t>4.2.13投标人未提供样品或提供的样品不满足采购需求实质性条件的，投标无效；</w:t>
      </w:r>
    </w:p>
    <w:p>
      <w:pPr>
        <w:spacing w:line="360" w:lineRule="auto"/>
        <w:ind w:firstLine="480" w:firstLineChars="200"/>
        <w:rPr>
          <w:rFonts w:ascii="宋体" w:hAnsi="宋体" w:cs="宋体"/>
          <w:kern w:val="0"/>
          <w:sz w:val="24"/>
        </w:rPr>
      </w:pPr>
      <w:r>
        <w:rPr>
          <w:rFonts w:hint="eastAsia" w:ascii="宋体" w:hAnsi="宋体" w:cs="宋体"/>
          <w:kern w:val="0"/>
          <w:sz w:val="24"/>
        </w:rPr>
        <w:t>4.2.14 投标文件不满足招标文件的其它实质性要求的；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4.2.15法律、法规、规章（适用本市的）及省级以上规范性文件（适用本市的）规定的其他无效情形。</w:t>
      </w:r>
    </w:p>
    <w:p>
      <w:pPr>
        <w:pStyle w:val="24"/>
        <w:snapToGrid w:val="0"/>
        <w:spacing w:line="360" w:lineRule="auto"/>
        <w:ind w:firstLine="472" w:firstLineChars="196"/>
        <w:rPr>
          <w:rFonts w:cs="宋体"/>
        </w:rPr>
      </w:pPr>
      <w:r>
        <w:rPr>
          <w:rFonts w:hint="eastAsia" w:cs="宋体"/>
          <w:b/>
        </w:rPr>
        <w:t>5.废标。</w:t>
      </w:r>
      <w:r>
        <w:rPr>
          <w:rFonts w:hint="eastAsia" w:cs="宋体"/>
        </w:rPr>
        <w:t>根据《中华人民共和国政府采购法》第三十六条之规定，在采购中，出现下列情形之一的，应予废标：</w:t>
      </w:r>
    </w:p>
    <w:p>
      <w:pPr>
        <w:pStyle w:val="24"/>
        <w:snapToGrid w:val="0"/>
        <w:spacing w:line="360" w:lineRule="auto"/>
        <w:rPr>
          <w:rFonts w:cs="宋体"/>
        </w:rPr>
      </w:pPr>
      <w:r>
        <w:rPr>
          <w:rFonts w:hint="eastAsia" w:cs="宋体"/>
        </w:rPr>
        <w:t>5.1符合专业条件的供应商或者对招标文件作实质响应的供应商不足3家的；</w:t>
      </w:r>
    </w:p>
    <w:p>
      <w:pPr>
        <w:pStyle w:val="24"/>
        <w:snapToGrid w:val="0"/>
        <w:spacing w:line="360" w:lineRule="auto"/>
        <w:rPr>
          <w:rFonts w:cs="宋体"/>
        </w:rPr>
      </w:pPr>
      <w:r>
        <w:rPr>
          <w:rFonts w:hint="eastAsia" w:cs="宋体"/>
        </w:rPr>
        <w:t>5.2出现影响采购公正的违法、违规行为的；</w:t>
      </w:r>
    </w:p>
    <w:p>
      <w:pPr>
        <w:pStyle w:val="24"/>
        <w:snapToGrid w:val="0"/>
        <w:spacing w:line="360" w:lineRule="auto"/>
        <w:rPr>
          <w:rFonts w:cs="宋体"/>
        </w:rPr>
      </w:pPr>
      <w:r>
        <w:rPr>
          <w:rFonts w:hint="eastAsia" w:cs="宋体"/>
        </w:rPr>
        <w:t>5.3投标人的报价均超过了采购预算，采购人不能支付的；</w:t>
      </w:r>
    </w:p>
    <w:p>
      <w:pPr>
        <w:pStyle w:val="24"/>
        <w:snapToGrid w:val="0"/>
        <w:spacing w:line="360" w:lineRule="auto"/>
        <w:rPr>
          <w:rFonts w:cs="宋体"/>
        </w:rPr>
      </w:pPr>
      <w:r>
        <w:rPr>
          <w:rFonts w:hint="eastAsia" w:cs="宋体"/>
        </w:rPr>
        <w:t>5.4因重大变故，采购任务取消的。</w:t>
      </w:r>
    </w:p>
    <w:p>
      <w:pPr>
        <w:pStyle w:val="24"/>
        <w:snapToGrid w:val="0"/>
        <w:spacing w:line="360" w:lineRule="auto"/>
        <w:rPr>
          <w:rFonts w:cs="宋体"/>
        </w:rPr>
      </w:pPr>
      <w:r>
        <w:rPr>
          <w:rFonts w:hint="eastAsia" w:cs="宋体"/>
        </w:rPr>
        <w:t>废标后，采购机构应当将废标理由通知所有投标人。</w:t>
      </w:r>
    </w:p>
    <w:p>
      <w:pPr>
        <w:pStyle w:val="24"/>
        <w:snapToGrid w:val="0"/>
        <w:spacing w:line="360" w:lineRule="auto"/>
        <w:ind w:firstLine="590" w:firstLineChars="245"/>
        <w:rPr>
          <w:rFonts w:cs="宋体"/>
        </w:rPr>
      </w:pPr>
      <w:r>
        <w:rPr>
          <w:rFonts w:hint="eastAsia" w:cs="宋体"/>
          <w:b/>
        </w:rPr>
        <w:t>6.修改招标文件，重新组织采购活动。</w:t>
      </w:r>
      <w:r>
        <w:rPr>
          <w:rFonts w:hint="eastAsia" w:cs="宋体"/>
        </w:rPr>
        <w:t>评标委员会发现招标文件存在歧义、重大缺陷导致评标工作无法进行，或者招标文件内容违反国家有关强制性规定的，将停止评标工作，并与采购人、采购机构沟通并作书面记录。采购人、采购机构确认后，将修改招标文件，重新组织采购活动。</w:t>
      </w:r>
    </w:p>
    <w:p>
      <w:pPr>
        <w:pStyle w:val="24"/>
        <w:snapToGrid w:val="0"/>
        <w:spacing w:line="360" w:lineRule="auto"/>
        <w:ind w:firstLine="482"/>
        <w:rPr>
          <w:rFonts w:cs="宋体"/>
        </w:rPr>
      </w:pPr>
      <w:r>
        <w:rPr>
          <w:rFonts w:hint="eastAsia" w:cs="宋体"/>
          <w:b/>
          <w:kern w:val="0"/>
        </w:rPr>
        <w:t>7.重新开展采购。</w:t>
      </w:r>
      <w:r>
        <w:rPr>
          <w:rFonts w:hint="eastAsia" w:cs="宋体"/>
        </w:rPr>
        <w:t>有政府采购法第七十一条、第七十二条规定的违法行为之一，影响或者可能影响中标结果的，依照下列规定处理：</w:t>
      </w:r>
    </w:p>
    <w:p>
      <w:pPr>
        <w:pStyle w:val="24"/>
        <w:snapToGrid w:val="0"/>
        <w:spacing w:line="360" w:lineRule="auto"/>
        <w:rPr>
          <w:rFonts w:cs="宋体"/>
        </w:rPr>
      </w:pPr>
      <w:r>
        <w:rPr>
          <w:rFonts w:hint="eastAsia" w:cs="宋体"/>
        </w:rPr>
        <w:t>7.1未确定中标供应商的，终止本次政府采购活动，重新开展政府采购活动。</w:t>
      </w:r>
    </w:p>
    <w:p>
      <w:pPr>
        <w:pStyle w:val="24"/>
        <w:snapToGrid w:val="0"/>
        <w:spacing w:line="360" w:lineRule="auto"/>
        <w:rPr>
          <w:rFonts w:cs="宋体"/>
        </w:rPr>
      </w:pPr>
      <w:r>
        <w:rPr>
          <w:rFonts w:hint="eastAsia" w:cs="宋体"/>
        </w:rPr>
        <w:t>7.2已确定中标供应商但尚未签订政府采购合同的，中标结果无效，从合格的中标候选人中另行确定中标供应商；没有合格的中标候选人的，重新开展政府采购活动。</w:t>
      </w:r>
    </w:p>
    <w:p>
      <w:pPr>
        <w:pStyle w:val="24"/>
        <w:snapToGrid w:val="0"/>
        <w:spacing w:line="360" w:lineRule="auto"/>
        <w:rPr>
          <w:rFonts w:cs="宋体"/>
        </w:rPr>
      </w:pPr>
      <w:r>
        <w:rPr>
          <w:rFonts w:hint="eastAsia" w:cs="宋体"/>
        </w:rPr>
        <w:t>7.3政府采购合同已签订但尚未履行的，撤销合同，从合格的中标候选人中另行确定中标供应商；没有合格的中标候选人的，重新开展政府采购活动。</w:t>
      </w:r>
    </w:p>
    <w:p>
      <w:pPr>
        <w:pStyle w:val="24"/>
        <w:snapToGrid w:val="0"/>
        <w:spacing w:line="360" w:lineRule="auto"/>
        <w:rPr>
          <w:rFonts w:cs="宋体"/>
        </w:rPr>
      </w:pPr>
      <w:r>
        <w:rPr>
          <w:rFonts w:hint="eastAsia" w:cs="宋体"/>
        </w:rPr>
        <w:t>7.4政府采购合同已经履行，给采购人、供应商造成损失的，由责任人承担赔偿责任。</w:t>
      </w:r>
    </w:p>
    <w:p>
      <w:pPr>
        <w:pStyle w:val="24"/>
        <w:snapToGrid w:val="0"/>
        <w:spacing w:line="360" w:lineRule="auto"/>
        <w:rPr>
          <w:rFonts w:hint="eastAsia" w:cs="宋体"/>
        </w:rPr>
      </w:pPr>
      <w:r>
        <w:rPr>
          <w:rFonts w:hint="eastAsia" w:cs="宋体"/>
        </w:rPr>
        <w:t>7.5政府采购当事人有其他违反政府采购法或者政府采购法实施条例等法律法规规定的行为，经改正后仍然影响或者可能影响中标结果或者依法被认定为中标无效的，依照7.1-7.4规定处理。</w:t>
      </w:r>
      <w:bookmarkEnd w:id="31"/>
      <w:bookmarkStart w:id="397" w:name="第五部分"/>
      <w:bookmarkStart w:id="398" w:name="_Toc86217003"/>
    </w:p>
    <w:p>
      <w:pPr>
        <w:pStyle w:val="25"/>
        <w:rPr>
          <w:rFonts w:hint="eastAsia" w:cs="宋体"/>
        </w:rPr>
      </w:pPr>
    </w:p>
    <w:p>
      <w:pPr>
        <w:rPr>
          <w:rFonts w:hint="eastAsia" w:cs="宋体"/>
        </w:rPr>
      </w:pPr>
    </w:p>
    <w:p>
      <w:pPr>
        <w:pStyle w:val="23"/>
        <w:rPr>
          <w:rFonts w:hint="eastAsia" w:cs="宋体"/>
        </w:rPr>
      </w:pPr>
    </w:p>
    <w:p>
      <w:pPr>
        <w:pStyle w:val="61"/>
        <w:rPr>
          <w:rFonts w:hint="eastAsia" w:cs="宋体"/>
        </w:rPr>
      </w:pPr>
    </w:p>
    <w:p>
      <w:pPr>
        <w:pStyle w:val="61"/>
        <w:rPr>
          <w:rFonts w:hint="eastAsia" w:cs="宋体"/>
        </w:rPr>
      </w:pPr>
    </w:p>
    <w:p>
      <w:pPr>
        <w:pStyle w:val="61"/>
        <w:rPr>
          <w:rFonts w:hint="eastAsia" w:cs="宋体"/>
        </w:rPr>
      </w:pPr>
    </w:p>
    <w:p>
      <w:pPr>
        <w:pStyle w:val="61"/>
        <w:rPr>
          <w:rFonts w:hint="eastAsia" w:cs="宋体"/>
        </w:rPr>
      </w:pPr>
    </w:p>
    <w:p>
      <w:pPr>
        <w:pStyle w:val="61"/>
        <w:rPr>
          <w:rFonts w:hint="eastAsia" w:cs="宋体"/>
        </w:rPr>
      </w:pPr>
    </w:p>
    <w:p>
      <w:pPr>
        <w:pStyle w:val="61"/>
        <w:rPr>
          <w:rFonts w:hint="eastAsia" w:cs="宋体"/>
        </w:rPr>
      </w:pPr>
    </w:p>
    <w:p>
      <w:pPr>
        <w:pStyle w:val="61"/>
        <w:rPr>
          <w:rFonts w:hint="eastAsia" w:cs="宋体"/>
        </w:rPr>
      </w:pPr>
    </w:p>
    <w:p>
      <w:pPr>
        <w:pStyle w:val="61"/>
        <w:rPr>
          <w:rFonts w:hint="eastAsia" w:cs="宋体"/>
        </w:rPr>
      </w:pPr>
    </w:p>
    <w:p>
      <w:pPr>
        <w:pStyle w:val="61"/>
        <w:rPr>
          <w:rFonts w:hint="eastAsia" w:cs="宋体"/>
        </w:rPr>
      </w:pPr>
    </w:p>
    <w:p>
      <w:pPr>
        <w:pStyle w:val="61"/>
        <w:rPr>
          <w:rFonts w:hint="eastAsia" w:cs="宋体"/>
        </w:rPr>
      </w:pPr>
    </w:p>
    <w:p>
      <w:pPr>
        <w:pStyle w:val="61"/>
        <w:rPr>
          <w:rFonts w:hint="eastAsia" w:cs="宋体"/>
        </w:rPr>
      </w:pPr>
    </w:p>
    <w:p>
      <w:pPr>
        <w:pStyle w:val="61"/>
        <w:rPr>
          <w:rFonts w:hint="eastAsia" w:cs="宋体"/>
        </w:rPr>
      </w:pPr>
    </w:p>
    <w:p>
      <w:pPr>
        <w:pStyle w:val="61"/>
        <w:rPr>
          <w:rFonts w:hint="eastAsia" w:cs="宋体"/>
        </w:rPr>
      </w:pPr>
    </w:p>
    <w:p>
      <w:pPr>
        <w:pStyle w:val="61"/>
        <w:rPr>
          <w:rFonts w:hint="eastAsia" w:cs="宋体"/>
        </w:rPr>
      </w:pPr>
    </w:p>
    <w:p>
      <w:pPr>
        <w:pStyle w:val="61"/>
        <w:rPr>
          <w:rFonts w:hint="eastAsia" w:cs="宋体"/>
        </w:rPr>
      </w:pPr>
    </w:p>
    <w:p>
      <w:pPr>
        <w:pStyle w:val="61"/>
        <w:rPr>
          <w:rFonts w:hint="eastAsia" w:cs="宋体"/>
        </w:rPr>
      </w:pPr>
    </w:p>
    <w:p>
      <w:pPr>
        <w:pStyle w:val="61"/>
        <w:rPr>
          <w:rFonts w:hint="eastAsia" w:cs="宋体"/>
        </w:rPr>
      </w:pPr>
    </w:p>
    <w:p>
      <w:pPr>
        <w:pStyle w:val="61"/>
        <w:rPr>
          <w:rFonts w:hint="eastAsia" w:cs="宋体"/>
        </w:rPr>
      </w:pPr>
    </w:p>
    <w:p>
      <w:pPr>
        <w:pStyle w:val="61"/>
        <w:rPr>
          <w:rFonts w:hint="eastAsia" w:cs="宋体"/>
        </w:rPr>
      </w:pPr>
    </w:p>
    <w:p>
      <w:pPr>
        <w:pStyle w:val="61"/>
        <w:rPr>
          <w:rFonts w:hint="eastAsia" w:cs="宋体"/>
        </w:rPr>
      </w:pPr>
    </w:p>
    <w:p>
      <w:pPr>
        <w:pStyle w:val="24"/>
        <w:snapToGrid w:val="0"/>
        <w:spacing w:line="360" w:lineRule="auto"/>
        <w:jc w:val="center"/>
        <w:rPr>
          <w:rFonts w:ascii="宋体" w:hAnsi="宋体" w:cs="宋体"/>
          <w:b/>
          <w:sz w:val="36"/>
          <w:szCs w:val="36"/>
        </w:rPr>
      </w:pPr>
      <w:r>
        <w:rPr>
          <w:rFonts w:hint="eastAsia" w:ascii="宋体" w:hAnsi="宋体" w:cs="宋体"/>
          <w:b/>
          <w:sz w:val="36"/>
          <w:szCs w:val="36"/>
        </w:rPr>
        <w:t>第五部分 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rPr>
        <w:t>政府采购合同参考范本</w:t>
      </w:r>
    </w:p>
    <w:p>
      <w:pPr>
        <w:spacing w:line="480" w:lineRule="auto"/>
        <w:jc w:val="center"/>
        <w:rPr>
          <w:rFonts w:ascii="宋体" w:hAnsi="宋体" w:cs="宋体"/>
          <w:b/>
          <w:sz w:val="36"/>
          <w:szCs w:val="36"/>
        </w:rPr>
      </w:pPr>
      <w:r>
        <w:rPr>
          <w:rFonts w:hint="eastAsia" w:ascii="宋体" w:hAnsi="宋体" w:cs="宋体"/>
          <w:b/>
          <w:sz w:val="36"/>
          <w:szCs w:val="36"/>
        </w:rPr>
        <w:t>（货物类）</w:t>
      </w:r>
    </w:p>
    <w:p>
      <w:pPr>
        <w:pStyle w:val="700"/>
        <w:rPr>
          <w:rFonts w:ascii="宋体" w:hAnsi="宋体" w:cs="宋体"/>
          <w:szCs w:val="24"/>
        </w:rPr>
      </w:pPr>
    </w:p>
    <w:p>
      <w:pPr>
        <w:pStyle w:val="700"/>
        <w:rPr>
          <w:rFonts w:ascii="宋体" w:hAnsi="宋体" w:cs="宋体"/>
          <w:szCs w:val="24"/>
        </w:rPr>
      </w:pPr>
    </w:p>
    <w:p>
      <w:pPr>
        <w:pStyle w:val="700"/>
        <w:rPr>
          <w:rFonts w:ascii="宋体" w:hAnsi="宋体" w:cs="宋体"/>
          <w:szCs w:val="24"/>
        </w:rPr>
      </w:pPr>
    </w:p>
    <w:p>
      <w:pPr>
        <w:spacing w:before="120" w:line="22" w:lineRule="atLeast"/>
        <w:rPr>
          <w:rFonts w:ascii="宋体" w:hAnsi="宋体" w:cs="宋体"/>
          <w:sz w:val="24"/>
        </w:rPr>
      </w:pPr>
    </w:p>
    <w:p>
      <w:pPr>
        <w:spacing w:before="120" w:line="22" w:lineRule="atLeast"/>
        <w:ind w:left="960"/>
        <w:rPr>
          <w:rFonts w:hint="eastAsia"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p>
    <w:p>
      <w:pPr>
        <w:spacing w:before="120" w:line="22" w:lineRule="atLeast"/>
        <w:ind w:left="960"/>
        <w:rPr>
          <w:rFonts w:ascii="宋体" w:hAnsi="宋体" w:eastAsia="宋体" w:cs="宋体"/>
          <w:sz w:val="24"/>
        </w:rPr>
      </w:pPr>
      <w:r>
        <w:rPr>
          <w:rFonts w:hint="eastAsia" w:ascii="宋体" w:hAnsi="宋体" w:eastAsia="宋体" w:cs="宋体"/>
          <w:sz w:val="24"/>
        </w:rPr>
        <w:t>项目</w:t>
      </w:r>
      <w:r>
        <w:rPr>
          <w:rFonts w:hint="eastAsia" w:ascii="宋体" w:hAnsi="宋体" w:eastAsia="宋体" w:cs="宋体"/>
          <w:sz w:val="24"/>
          <w:lang w:val="en-US" w:eastAsia="zh-CN"/>
        </w:rPr>
        <w:t>编号</w:t>
      </w:r>
      <w:r>
        <w:rPr>
          <w:rFonts w:hint="eastAsia" w:ascii="宋体" w:hAnsi="宋体" w:eastAsia="宋体" w:cs="宋体"/>
          <w:sz w:val="24"/>
        </w:rPr>
        <w:t>：</w:t>
      </w:r>
      <w:r>
        <w:rPr>
          <w:rFonts w:hint="eastAsia" w:ascii="宋体" w:hAnsi="宋体" w:eastAsia="宋体" w:cs="宋体"/>
          <w:sz w:val="24"/>
          <w:u w:val="single"/>
        </w:rPr>
        <w:t xml:space="preserve">                                   </w:t>
      </w:r>
    </w:p>
    <w:p>
      <w:pPr>
        <w:pStyle w:val="23"/>
      </w:pPr>
    </w:p>
    <w:p>
      <w:pPr>
        <w:pStyle w:val="597"/>
        <w:spacing w:before="120" w:line="22" w:lineRule="atLeast"/>
        <w:rPr>
          <w:rFonts w:ascii="宋体" w:hAnsi="宋体" w:eastAsia="宋体" w:cs="宋体"/>
          <w:szCs w:val="24"/>
        </w:rPr>
      </w:pPr>
    </w:p>
    <w:p>
      <w:pPr>
        <w:pStyle w:val="597"/>
        <w:spacing w:before="120" w:line="22" w:lineRule="atLeast"/>
        <w:rPr>
          <w:rFonts w:ascii="宋体" w:hAnsi="宋体" w:eastAsia="宋体" w:cs="宋体"/>
          <w:szCs w:val="24"/>
        </w:rPr>
      </w:pP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p>
    <w:p>
      <w:pPr>
        <w:spacing w:line="560" w:lineRule="exact"/>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color w:val="auto"/>
          <w:sz w:val="24"/>
          <w:u w:val="single"/>
        </w:rPr>
        <w:t xml:space="preserve">  </w:t>
      </w:r>
      <w:r>
        <w:rPr>
          <w:rFonts w:hint="eastAsia" w:ascii="宋体" w:hAnsi="宋体" w:cs="宋体"/>
          <w:color w:val="auto"/>
          <w:sz w:val="24"/>
          <w:u w:val="single"/>
          <w:lang w:eastAsia="zh-CN"/>
        </w:rPr>
        <w:t>杭州市转塘小学</w:t>
      </w:r>
      <w:r>
        <w:rPr>
          <w:rFonts w:hint="eastAsia" w:ascii="宋体" w:hAnsi="宋体" w:cs="宋体"/>
          <w:color w:val="auto"/>
          <w:sz w:val="24"/>
          <w:u w:val="single"/>
        </w:rPr>
        <w:t xml:space="preserve"> </w:t>
      </w:r>
      <w:r>
        <w:rPr>
          <w:rFonts w:hint="eastAsia" w:ascii="宋体" w:hAnsi="宋体" w:cs="宋体"/>
          <w:color w:val="auto"/>
          <w:sz w:val="24"/>
        </w:rPr>
        <w:t>以</w:t>
      </w:r>
      <w:r>
        <w:rPr>
          <w:rFonts w:hint="eastAsia" w:ascii="宋体" w:hAnsi="宋体" w:cs="宋体"/>
          <w:color w:val="auto"/>
          <w:sz w:val="24"/>
          <w:u w:val="single"/>
        </w:rPr>
        <w:t xml:space="preserve">   （政府采购方式）  </w:t>
      </w:r>
      <w:r>
        <w:rPr>
          <w:rFonts w:hint="eastAsia" w:ascii="宋体" w:hAnsi="宋体" w:cs="宋体"/>
          <w:color w:val="auto"/>
          <w:sz w:val="24"/>
        </w:rPr>
        <w:t>对</w:t>
      </w:r>
      <w:r>
        <w:rPr>
          <w:rFonts w:hint="eastAsia" w:ascii="宋体" w:hAnsi="宋体" w:cs="宋体"/>
          <w:color w:val="auto"/>
          <w:sz w:val="24"/>
          <w:u w:val="single"/>
        </w:rPr>
        <w:t xml:space="preserve">   </w:t>
      </w:r>
      <w:r>
        <w:rPr>
          <w:rFonts w:hint="eastAsia" w:ascii="宋体" w:hAnsi="宋体" w:cs="宋体"/>
          <w:sz w:val="24"/>
          <w:u w:val="single"/>
          <w:lang w:eastAsia="zh-CN"/>
        </w:rPr>
        <w:t>杭州市转塘小学（浮山新建校）电子显示屏采购项目</w:t>
      </w:r>
      <w:r>
        <w:rPr>
          <w:rFonts w:hint="eastAsia" w:ascii="宋体" w:hAnsi="宋体" w:cs="宋体"/>
          <w:color w:val="auto"/>
          <w:sz w:val="24"/>
          <w:u w:val="single"/>
        </w:rPr>
        <w:t xml:space="preserve">  </w:t>
      </w:r>
      <w:r>
        <w:rPr>
          <w:rFonts w:hint="eastAsia" w:ascii="宋体" w:hAnsi="宋体" w:cs="宋体"/>
          <w:color w:val="auto"/>
          <w:sz w:val="24"/>
        </w:rPr>
        <w:t>项目进行了采购。经</w:t>
      </w:r>
      <w:r>
        <w:rPr>
          <w:rFonts w:hint="eastAsia" w:ascii="宋体" w:hAnsi="宋体" w:cs="宋体"/>
          <w:color w:val="auto"/>
          <w:sz w:val="24"/>
          <w:u w:val="single"/>
        </w:rPr>
        <w:t xml:space="preserve">   （相关评定主体名称）   </w:t>
      </w:r>
      <w:r>
        <w:rPr>
          <w:rFonts w:hint="eastAsia" w:ascii="宋体" w:hAnsi="宋体" w:cs="宋体"/>
          <w:color w:val="auto"/>
          <w:sz w:val="24"/>
        </w:rPr>
        <w:t>评定，</w:t>
      </w:r>
      <w:r>
        <w:rPr>
          <w:rFonts w:hint="eastAsia" w:ascii="宋体" w:hAnsi="宋体" w:cs="宋体"/>
          <w:color w:val="auto"/>
          <w:sz w:val="24"/>
          <w:u w:val="single"/>
        </w:rPr>
        <w:t xml:space="preserve">   （中标供应商名称）</w:t>
      </w:r>
      <w:r>
        <w:rPr>
          <w:rFonts w:hint="eastAsia" w:ascii="宋体" w:hAnsi="宋体" w:cs="宋体"/>
          <w:color w:val="auto"/>
          <w:sz w:val="24"/>
        </w:rPr>
        <w:t>为该项目中</w:t>
      </w:r>
      <w:r>
        <w:rPr>
          <w:rFonts w:hint="eastAsia" w:ascii="宋体" w:hAnsi="宋体" w:cs="宋体"/>
          <w:sz w:val="24"/>
        </w:rPr>
        <w:t>标供应商。现于中标通知书发出之日起10个工作日内，按照采购文件确定的事项签订本合同。</w:t>
      </w:r>
    </w:p>
    <w:p>
      <w:pPr>
        <w:spacing w:line="560" w:lineRule="exact"/>
        <w:ind w:firstLine="480" w:firstLineChars="200"/>
        <w:rPr>
          <w:rFonts w:ascii="宋体" w:hAnsi="宋体" w:cs="宋体"/>
          <w:sz w:val="24"/>
        </w:rPr>
      </w:pPr>
      <w:r>
        <w:rPr>
          <w:rFonts w:hint="eastAsia" w:ascii="宋体" w:hAnsi="宋体" w:cs="宋体"/>
          <w:sz w:val="24"/>
          <w:lang w:val="zh-CN"/>
        </w:rPr>
        <w:t>根据《中华人民共和国民法典》《中华人民共和国政府采购法》等相关法律法规之规定，按照平等、自愿、公平、诚实信用和绿色的原则，经</w:t>
      </w:r>
      <w:r>
        <w:rPr>
          <w:rFonts w:hint="eastAsia" w:ascii="宋体" w:hAnsi="宋体" w:cs="宋体"/>
          <w:sz w:val="24"/>
          <w:u w:val="single"/>
        </w:rPr>
        <w:t xml:space="preserve">   </w:t>
      </w:r>
      <w:r>
        <w:rPr>
          <w:rFonts w:hint="eastAsia" w:ascii="宋体" w:hAnsi="宋体" w:cs="宋体"/>
          <w:color w:val="auto"/>
          <w:sz w:val="24"/>
          <w:u w:val="single"/>
          <w:lang w:eastAsia="zh-CN"/>
        </w:rPr>
        <w:t>杭州市转塘小学</w:t>
      </w:r>
      <w:r>
        <w:rPr>
          <w:rFonts w:hint="eastAsia" w:ascii="宋体" w:hAnsi="宋体" w:cs="宋体"/>
          <w:sz w:val="24"/>
          <w:u w:val="single"/>
        </w:rPr>
        <w:t xml:space="preserve">   </w:t>
      </w:r>
      <w:r>
        <w:rPr>
          <w:rFonts w:hint="eastAsia" w:ascii="宋体" w:hAnsi="宋体" w:cs="宋体"/>
          <w:sz w:val="24"/>
          <w:lang w:val="zh-CN"/>
        </w:rPr>
        <w:t>(以下简称：甲方)和</w:t>
      </w:r>
      <w:r>
        <w:rPr>
          <w:rFonts w:hint="eastAsia" w:ascii="宋体" w:hAnsi="宋体" w:cs="宋体"/>
          <w:sz w:val="24"/>
          <w:u w:val="single"/>
        </w:rPr>
        <w:t xml:space="preserve">   （中标供应商名称）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560" w:lineRule="exact"/>
        <w:ind w:firstLine="482" w:firstLineChars="200"/>
        <w:outlineLvl w:val="0"/>
        <w:rPr>
          <w:rFonts w:ascii="宋体" w:hAnsi="宋体" w:cs="宋体"/>
          <w:b/>
          <w:sz w:val="24"/>
        </w:rPr>
      </w:pPr>
      <w:bookmarkStart w:id="399" w:name="_Toc2232"/>
      <w:bookmarkStart w:id="400" w:name="_Toc3029"/>
      <w:bookmarkStart w:id="401" w:name="_Toc24059"/>
      <w:r>
        <w:rPr>
          <w:rFonts w:hint="eastAsia" w:ascii="宋体" w:hAnsi="宋体" w:cs="宋体"/>
          <w:b/>
          <w:sz w:val="24"/>
        </w:rPr>
        <w:t>1.1 合同组成部分</w:t>
      </w:r>
      <w:bookmarkEnd w:id="399"/>
      <w:bookmarkEnd w:id="400"/>
      <w:bookmarkEnd w:id="401"/>
    </w:p>
    <w:p>
      <w:pPr>
        <w:spacing w:line="560" w:lineRule="exact"/>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宋体" w:hAnsi="宋体" w:cs="宋体"/>
          <w:sz w:val="24"/>
        </w:rPr>
      </w:pPr>
      <w:r>
        <w:rPr>
          <w:rFonts w:hint="eastAsia" w:ascii="宋体" w:hAnsi="宋体" w:cs="宋体"/>
          <w:sz w:val="24"/>
        </w:rPr>
        <w:t>1.1.1 本合同及其补充合同、变更协议；</w:t>
      </w:r>
    </w:p>
    <w:p>
      <w:pPr>
        <w:spacing w:line="560" w:lineRule="exact"/>
        <w:ind w:firstLine="480" w:firstLineChars="200"/>
        <w:rPr>
          <w:rFonts w:ascii="宋体" w:hAnsi="宋体" w:cs="宋体"/>
          <w:sz w:val="24"/>
        </w:rPr>
      </w:pPr>
      <w:r>
        <w:rPr>
          <w:rFonts w:hint="eastAsia" w:ascii="宋体" w:hAnsi="宋体" w:cs="宋体"/>
          <w:sz w:val="24"/>
        </w:rPr>
        <w:t>1.1.2 中标通知书；</w:t>
      </w:r>
    </w:p>
    <w:p>
      <w:pPr>
        <w:spacing w:line="560" w:lineRule="exact"/>
        <w:ind w:firstLine="480" w:firstLineChars="200"/>
        <w:rPr>
          <w:rFonts w:ascii="宋体" w:hAnsi="宋体" w:cs="宋体"/>
          <w:sz w:val="24"/>
        </w:rPr>
      </w:pPr>
      <w:r>
        <w:rPr>
          <w:rFonts w:hint="eastAsia" w:ascii="宋体" w:hAnsi="宋体" w:cs="宋体"/>
          <w:sz w:val="24"/>
        </w:rPr>
        <w:t>1.1.3 投标文件（含澄清或者说明文件）；</w:t>
      </w:r>
    </w:p>
    <w:p>
      <w:pPr>
        <w:spacing w:line="560" w:lineRule="exact"/>
        <w:ind w:firstLine="480" w:firstLineChars="200"/>
        <w:rPr>
          <w:rFonts w:ascii="宋体" w:hAnsi="宋体" w:cs="宋体"/>
          <w:sz w:val="24"/>
        </w:rPr>
      </w:pPr>
      <w:r>
        <w:rPr>
          <w:rFonts w:hint="eastAsia" w:ascii="宋体" w:hAnsi="宋体" w:cs="宋体"/>
          <w:sz w:val="24"/>
        </w:rPr>
        <w:t>1.1.4 招标文件（含澄清或者修改文件）；</w:t>
      </w:r>
    </w:p>
    <w:p>
      <w:pPr>
        <w:spacing w:line="560" w:lineRule="exact"/>
        <w:ind w:firstLine="480" w:firstLineChars="200"/>
        <w:rPr>
          <w:rFonts w:ascii="宋体" w:hAnsi="宋体" w:cs="宋体"/>
          <w:sz w:val="24"/>
        </w:rPr>
      </w:pPr>
      <w:r>
        <w:rPr>
          <w:rFonts w:hint="eastAsia" w:ascii="宋体" w:hAnsi="宋体" w:cs="宋体"/>
          <w:sz w:val="24"/>
        </w:rPr>
        <w:t>1.1.5 其他相关采购文件。</w:t>
      </w:r>
    </w:p>
    <w:p>
      <w:pPr>
        <w:spacing w:line="560" w:lineRule="exact"/>
        <w:ind w:firstLine="482" w:firstLineChars="200"/>
        <w:outlineLvl w:val="0"/>
        <w:rPr>
          <w:rFonts w:ascii="宋体" w:hAnsi="宋体" w:cs="宋体"/>
          <w:b/>
          <w:sz w:val="24"/>
        </w:rPr>
      </w:pPr>
      <w:bookmarkStart w:id="402" w:name="_Toc21295"/>
      <w:bookmarkStart w:id="403" w:name="_Toc27126"/>
      <w:bookmarkStart w:id="404" w:name="_Toc24300"/>
      <w:r>
        <w:rPr>
          <w:rFonts w:hint="eastAsia" w:ascii="宋体" w:hAnsi="宋体" w:cs="宋体"/>
          <w:b/>
          <w:sz w:val="24"/>
        </w:rPr>
        <w:t>1.2 货物</w:t>
      </w:r>
      <w:bookmarkEnd w:id="402"/>
      <w:bookmarkEnd w:id="403"/>
      <w:bookmarkEnd w:id="404"/>
    </w:p>
    <w:p>
      <w:pPr>
        <w:spacing w:line="560" w:lineRule="exact"/>
        <w:ind w:firstLine="480" w:firstLineChars="200"/>
        <w:rPr>
          <w:rFonts w:ascii="宋体" w:hAnsi="宋体" w:cs="宋体"/>
          <w:sz w:val="24"/>
          <w:u w:val="single"/>
        </w:rPr>
      </w:pPr>
      <w:r>
        <w:rPr>
          <w:rFonts w:hint="eastAsia" w:ascii="宋体" w:hAnsi="宋体" w:cs="宋体"/>
          <w:sz w:val="24"/>
        </w:rPr>
        <w:t>1.2.1 货物名称：</w:t>
      </w:r>
      <w:r>
        <w:rPr>
          <w:rFonts w:hint="eastAsia" w:ascii="宋体" w:hAnsi="宋体" w:cs="宋体"/>
          <w:sz w:val="24"/>
          <w:u w:val="single"/>
        </w:rPr>
        <w:t xml:space="preserve">                                                </w:t>
      </w:r>
      <w:r>
        <w:rPr>
          <w:rFonts w:hint="eastAsia" w:ascii="宋体" w:hAnsi="宋体" w:cs="宋体"/>
          <w:sz w:val="24"/>
        </w:rPr>
        <w:t>；</w:t>
      </w:r>
    </w:p>
    <w:p>
      <w:pPr>
        <w:spacing w:line="560" w:lineRule="exact"/>
        <w:ind w:firstLine="480" w:firstLineChars="200"/>
        <w:rPr>
          <w:rFonts w:ascii="宋体" w:hAnsi="宋体" w:cs="宋体"/>
          <w:sz w:val="24"/>
          <w:u w:val="single"/>
        </w:rPr>
      </w:pPr>
      <w:r>
        <w:rPr>
          <w:rFonts w:hint="eastAsia" w:ascii="宋体" w:hAnsi="宋体" w:cs="宋体"/>
          <w:sz w:val="24"/>
        </w:rPr>
        <w:t>1.2.2 货物数量：</w:t>
      </w:r>
      <w:r>
        <w:rPr>
          <w:rFonts w:hint="eastAsia" w:ascii="宋体" w:hAnsi="宋体" w:cs="宋体"/>
          <w:sz w:val="24"/>
          <w:u w:val="single"/>
        </w:rPr>
        <w:t xml:space="preserve">   </w:t>
      </w:r>
      <w:r>
        <w:rPr>
          <w:rFonts w:hint="eastAsia" w:ascii="宋体" w:hAnsi="宋体" w:cs="宋体"/>
          <w:sz w:val="24"/>
          <w:u w:val="single"/>
          <w:lang w:val="en-US" w:eastAsia="zh-CN"/>
        </w:rPr>
        <w:t>详见开标一览表或附件（附件格式自拟）</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spacing w:line="560" w:lineRule="exact"/>
        <w:ind w:firstLine="480" w:firstLineChars="200"/>
        <w:rPr>
          <w:rFonts w:ascii="宋体" w:hAnsi="宋体" w:cs="宋体"/>
          <w:sz w:val="24"/>
        </w:rPr>
      </w:pPr>
      <w:r>
        <w:rPr>
          <w:rFonts w:hint="eastAsia" w:ascii="宋体" w:hAnsi="宋体" w:cs="宋体"/>
          <w:sz w:val="24"/>
        </w:rPr>
        <w:t>1.2.3 货物质量：</w:t>
      </w:r>
      <w:r>
        <w:rPr>
          <w:rFonts w:hint="eastAsia" w:ascii="宋体" w:hAnsi="宋体" w:cs="宋体"/>
          <w:sz w:val="24"/>
          <w:u w:val="single"/>
        </w:rPr>
        <w:t xml:space="preserve">　　　　　　　　　                      　      </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405" w:name="_Toc21631"/>
      <w:bookmarkStart w:id="406" w:name="_Toc23292"/>
      <w:bookmarkStart w:id="407" w:name="_Toc21551"/>
      <w:r>
        <w:rPr>
          <w:rFonts w:hint="eastAsia" w:ascii="宋体" w:hAnsi="宋体" w:cs="宋体"/>
          <w:b/>
          <w:sz w:val="24"/>
        </w:rPr>
        <w:t>1.3 价款</w:t>
      </w:r>
      <w:bookmarkEnd w:id="405"/>
      <w:bookmarkEnd w:id="406"/>
      <w:bookmarkEnd w:id="407"/>
    </w:p>
    <w:p>
      <w:pPr>
        <w:spacing w:line="560" w:lineRule="exact"/>
        <w:ind w:firstLine="480" w:firstLineChars="200"/>
        <w:rPr>
          <w:rFonts w:ascii="宋体" w:hAnsi="宋体" w:cs="宋体"/>
          <w:sz w:val="24"/>
        </w:rPr>
      </w:pPr>
      <w:r>
        <w:rPr>
          <w:rFonts w:hint="eastAsia" w:ascii="宋体" w:hAnsi="宋体" w:cs="宋体"/>
          <w:sz w:val="24"/>
        </w:rPr>
        <w:t>本合同总价为：￥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p>
    <w:p>
      <w:pPr>
        <w:spacing w:line="560" w:lineRule="exact"/>
        <w:ind w:firstLine="480" w:firstLineChars="200"/>
        <w:rPr>
          <w:rFonts w:ascii="宋体" w:hAnsi="宋体" w:cs="宋体"/>
          <w:sz w:val="24"/>
          <w:u w:val="single"/>
        </w:rPr>
      </w:pPr>
      <w:r>
        <w:rPr>
          <w:rFonts w:hint="eastAsia" w:ascii="宋体" w:hAnsi="宋体" w:cs="宋体"/>
          <w:sz w:val="24"/>
        </w:rPr>
        <w:t>分项价格：</w:t>
      </w:r>
    </w:p>
    <w:tbl>
      <w:tblPr>
        <w:tblStyle w:val="62"/>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318"/>
              <w:spacing w:line="560" w:lineRule="exact"/>
              <w:jc w:val="center"/>
              <w:rPr>
                <w:rFonts w:hAnsi="宋体" w:cs="宋体"/>
                <w:sz w:val="24"/>
                <w:szCs w:val="24"/>
              </w:rPr>
            </w:pPr>
            <w:r>
              <w:rPr>
                <w:rFonts w:hint="eastAsia" w:hAnsi="宋体" w:cs="宋体"/>
                <w:sz w:val="24"/>
                <w:szCs w:val="24"/>
              </w:rPr>
              <w:t>序号</w:t>
            </w:r>
          </w:p>
        </w:tc>
        <w:tc>
          <w:tcPr>
            <w:tcW w:w="3402" w:type="dxa"/>
            <w:tcBorders>
              <w:top w:val="single" w:color="auto" w:sz="4" w:space="0"/>
              <w:left w:val="single" w:color="auto" w:sz="4" w:space="0"/>
              <w:bottom w:val="single" w:color="auto" w:sz="4" w:space="0"/>
              <w:right w:val="single" w:color="auto" w:sz="4" w:space="0"/>
            </w:tcBorders>
            <w:vAlign w:val="center"/>
          </w:tcPr>
          <w:p>
            <w:pPr>
              <w:pStyle w:val="318"/>
              <w:spacing w:line="560" w:lineRule="exact"/>
              <w:ind w:firstLine="200"/>
              <w:jc w:val="center"/>
              <w:rPr>
                <w:rFonts w:hAnsi="宋体" w:cs="宋体"/>
                <w:sz w:val="24"/>
                <w:szCs w:val="24"/>
              </w:rPr>
            </w:pPr>
            <w:r>
              <w:rPr>
                <w:rFonts w:hint="eastAsia" w:hAnsi="宋体" w:cs="宋体"/>
                <w:sz w:val="24"/>
                <w:szCs w:val="24"/>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pPr>
              <w:pStyle w:val="318"/>
              <w:spacing w:line="560" w:lineRule="exact"/>
              <w:jc w:val="center"/>
              <w:rPr>
                <w:rFonts w:hAnsi="宋体" w:cs="宋体"/>
                <w:sz w:val="24"/>
                <w:szCs w:val="24"/>
              </w:rPr>
            </w:pPr>
            <w:r>
              <w:rPr>
                <w:rFonts w:hint="eastAsia" w:hAnsi="宋体" w:cs="宋体"/>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318"/>
              <w:spacing w:line="560" w:lineRule="exact"/>
              <w:ind w:firstLine="200"/>
              <w:jc w:val="center"/>
              <w:rPr>
                <w:rFonts w:hAnsi="宋体" w:cs="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pStyle w:val="318"/>
              <w:spacing w:line="560" w:lineRule="exact"/>
              <w:ind w:firstLine="200"/>
              <w:jc w:val="center"/>
              <w:rPr>
                <w:rFonts w:hAnsi="宋体" w:cs="宋体"/>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318"/>
              <w:spacing w:line="560" w:lineRule="exact"/>
              <w:ind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318"/>
              <w:spacing w:line="560" w:lineRule="exact"/>
              <w:ind w:firstLine="200"/>
              <w:jc w:val="center"/>
              <w:rPr>
                <w:rFonts w:hAnsi="宋体" w:cs="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pStyle w:val="318"/>
              <w:spacing w:line="560" w:lineRule="exact"/>
              <w:ind w:firstLine="200"/>
              <w:jc w:val="center"/>
              <w:rPr>
                <w:rFonts w:hAnsi="宋体" w:cs="宋体"/>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318"/>
              <w:spacing w:line="560" w:lineRule="exact"/>
              <w:ind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318"/>
              <w:spacing w:line="560" w:lineRule="exact"/>
              <w:ind w:firstLine="200"/>
              <w:jc w:val="center"/>
              <w:rPr>
                <w:rFonts w:hAnsi="宋体" w:cs="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pStyle w:val="318"/>
              <w:spacing w:line="560" w:lineRule="exact"/>
              <w:ind w:firstLine="200"/>
              <w:jc w:val="center"/>
              <w:rPr>
                <w:rFonts w:hAnsi="宋体" w:cs="宋体"/>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318"/>
              <w:spacing w:line="560" w:lineRule="exact"/>
              <w:ind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318"/>
              <w:spacing w:line="560" w:lineRule="exact"/>
              <w:ind w:firstLine="200"/>
              <w:jc w:val="center"/>
              <w:rPr>
                <w:rFonts w:hAnsi="宋体" w:cs="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pStyle w:val="318"/>
              <w:spacing w:line="560" w:lineRule="exact"/>
              <w:ind w:firstLine="200"/>
              <w:jc w:val="center"/>
              <w:rPr>
                <w:rFonts w:hAnsi="宋体" w:cs="宋体"/>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318"/>
              <w:spacing w:line="560" w:lineRule="exact"/>
              <w:ind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pPr>
              <w:pStyle w:val="318"/>
              <w:spacing w:line="560" w:lineRule="exact"/>
              <w:ind w:firstLine="200"/>
              <w:jc w:val="center"/>
              <w:rPr>
                <w:rFonts w:hAnsi="宋体" w:cs="宋体"/>
                <w:sz w:val="24"/>
                <w:szCs w:val="24"/>
              </w:rPr>
            </w:pPr>
            <w:r>
              <w:rPr>
                <w:rFonts w:hint="eastAsia" w:hAnsi="宋体" w:cs="宋体"/>
                <w:sz w:val="24"/>
                <w:szCs w:val="24"/>
              </w:rPr>
              <w:t>总价</w:t>
            </w:r>
          </w:p>
        </w:tc>
        <w:tc>
          <w:tcPr>
            <w:tcW w:w="2552" w:type="dxa"/>
            <w:tcBorders>
              <w:top w:val="single" w:color="auto" w:sz="4" w:space="0"/>
              <w:left w:val="single" w:color="auto" w:sz="4" w:space="0"/>
              <w:bottom w:val="single" w:color="auto" w:sz="4" w:space="0"/>
              <w:right w:val="single" w:color="auto" w:sz="4" w:space="0"/>
            </w:tcBorders>
            <w:vAlign w:val="center"/>
          </w:tcPr>
          <w:p>
            <w:pPr>
              <w:pStyle w:val="318"/>
              <w:spacing w:line="560" w:lineRule="exact"/>
              <w:ind w:firstLine="200"/>
              <w:jc w:val="center"/>
              <w:rPr>
                <w:rFonts w:hAnsi="宋体" w:cs="宋体"/>
                <w:sz w:val="24"/>
                <w:szCs w:val="24"/>
              </w:rPr>
            </w:pPr>
          </w:p>
        </w:tc>
      </w:tr>
    </w:tbl>
    <w:p>
      <w:pPr>
        <w:pStyle w:val="957"/>
        <w:spacing w:before="0" w:beforeAutospacing="0" w:after="0" w:afterAutospacing="0" w:line="360" w:lineRule="auto"/>
        <w:ind w:firstLine="480"/>
        <w:rPr>
          <w:b/>
          <w:color w:val="auto"/>
          <w:highlight w:val="none"/>
        </w:rPr>
      </w:pPr>
      <w:bookmarkStart w:id="408" w:name="_Toc331685783"/>
      <w:r>
        <w:rPr>
          <w:rFonts w:hint="eastAsia"/>
          <w:b/>
          <w:color w:val="auto"/>
          <w:highlight w:val="none"/>
        </w:rPr>
        <w:t>1.4履约保证金</w:t>
      </w:r>
    </w:p>
    <w:p>
      <w:pPr>
        <w:pStyle w:val="957"/>
        <w:spacing w:before="0" w:beforeAutospacing="0" w:after="0" w:afterAutospacing="0" w:line="360" w:lineRule="auto"/>
        <w:ind w:firstLine="480"/>
        <w:rPr>
          <w:color w:val="auto"/>
          <w:highlight w:val="none"/>
        </w:rPr>
      </w:pPr>
      <w:r>
        <w:rPr>
          <w:rFonts w:hint="eastAsia"/>
          <w:color w:val="auto"/>
          <w:highlight w:val="none"/>
        </w:rPr>
        <w:t>乙方</w:t>
      </w:r>
      <w:r>
        <w:rPr>
          <w:rFonts w:hint="eastAsia"/>
          <w:b/>
          <w:i/>
          <w:color w:val="auto"/>
          <w:highlight w:val="none"/>
          <w:u w:val="single"/>
        </w:rPr>
        <w:t>合同专用条款</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rPr>
        <w:t>%；</w:t>
      </w:r>
    </w:p>
    <w:p>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rPr>
        <w:t>；</w:t>
      </w:r>
    </w:p>
    <w:p>
      <w:pPr>
        <w:pStyle w:val="2"/>
        <w:tabs>
          <w:tab w:val="left" w:pos="0"/>
          <w:tab w:val="clear" w:pos="432"/>
        </w:tabs>
        <w:ind w:left="0" w:firstLine="480" w:firstLineChars="200"/>
        <w:rPr>
          <w:rFonts w:eastAsia="宋体"/>
          <w:color w:val="auto"/>
          <w:highlight w:val="none"/>
          <w:lang w:val="en-US"/>
        </w:rPr>
      </w:pPr>
      <w:r>
        <w:rPr>
          <w:rFonts w:hint="eastAsia" w:ascii="宋体" w:hAnsi="宋体" w:eastAsia="宋体" w:cs="宋体"/>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color w:val="auto"/>
          <w:highlight w:val="none"/>
        </w:rPr>
      </w:pPr>
      <w:r>
        <w:rPr>
          <w:rFonts w:hint="eastAsia" w:ascii="宋体" w:hAnsi="宋体" w:cs="宋体"/>
          <w:color w:val="auto"/>
          <w:kern w:val="0"/>
          <w:sz w:val="24"/>
          <w:highlight w:val="none"/>
        </w:rPr>
        <w:t>1.4.4 甲方在项目验收结束后及时退还履约保证金。甲方在项目通过验收之日起</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0.05（可根据情况修改）</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1.5预付款</w:t>
      </w:r>
    </w:p>
    <w:p>
      <w:pPr>
        <w:pStyle w:val="957"/>
        <w:spacing w:before="0" w:beforeAutospacing="0" w:after="0" w:afterAutospacing="0" w:line="360" w:lineRule="auto"/>
        <w:ind w:firstLine="480"/>
        <w:rPr>
          <w:color w:val="auto"/>
          <w:highlight w:val="none"/>
        </w:rPr>
      </w:pPr>
      <w:r>
        <w:rPr>
          <w:rFonts w:hint="eastAsia"/>
          <w:color w:val="auto"/>
          <w:highlight w:val="none"/>
        </w:rPr>
        <w:t>甲方</w:t>
      </w:r>
      <w:r>
        <w:rPr>
          <w:rFonts w:hint="eastAsia"/>
          <w:b/>
          <w:i/>
          <w:color w:val="auto"/>
          <w:highlight w:val="none"/>
          <w:u w:val="single"/>
        </w:rPr>
        <w:t>合同专用条款</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pPr>
        <w:spacing w:line="360" w:lineRule="auto"/>
        <w:ind w:right="105" w:rightChars="5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rPr>
        <w:t>；</w:t>
      </w:r>
    </w:p>
    <w:p>
      <w:pPr>
        <w:pStyle w:val="957"/>
        <w:spacing w:before="0" w:beforeAutospacing="0" w:after="0" w:afterAutospacing="0" w:line="360" w:lineRule="auto"/>
        <w:ind w:right="105" w:rightChars="50" w:firstLine="480"/>
        <w:rPr>
          <w:color w:val="auto"/>
          <w:highlight w:val="none"/>
        </w:rPr>
      </w:pPr>
      <w:r>
        <w:rPr>
          <w:rFonts w:hint="eastAsia"/>
          <w:color w:val="auto"/>
          <w:highlight w:val="none"/>
        </w:rPr>
        <w:t>1.5.2预付款的扣回方式详见</w:t>
      </w:r>
      <w:r>
        <w:rPr>
          <w:rFonts w:hint="eastAsia"/>
          <w:b/>
          <w:i/>
          <w:color w:val="auto"/>
          <w:highlight w:val="none"/>
          <w:u w:val="single"/>
        </w:rPr>
        <w:t>合同专用条款</w:t>
      </w:r>
      <w:r>
        <w:rPr>
          <w:rFonts w:hint="eastAsia"/>
          <w:color w:val="auto"/>
          <w:highlight w:val="none"/>
        </w:rPr>
        <w:t>；</w:t>
      </w:r>
    </w:p>
    <w:p>
      <w:pPr>
        <w:pStyle w:val="957"/>
        <w:spacing w:before="0" w:beforeAutospacing="0" w:after="0" w:afterAutospacing="0" w:line="360" w:lineRule="auto"/>
        <w:ind w:firstLine="480"/>
        <w:rPr>
          <w:color w:val="auto"/>
          <w:highlight w:val="none"/>
          <w:u w:val="single"/>
        </w:rPr>
      </w:pPr>
      <w:r>
        <w:rPr>
          <w:rFonts w:hint="eastAsia"/>
          <w:color w:val="auto"/>
          <w:highlight w:val="none"/>
        </w:rPr>
        <w:t>1.5.3预付款的担保措施详见</w:t>
      </w:r>
      <w:r>
        <w:rPr>
          <w:rFonts w:hint="eastAsia"/>
          <w:b/>
          <w:i/>
          <w:color w:val="auto"/>
          <w:highlight w:val="none"/>
          <w:u w:val="single"/>
        </w:rPr>
        <w:t>合同专用条款</w:t>
      </w:r>
      <w:r>
        <w:rPr>
          <w:rFonts w:hint="eastAsia"/>
          <w:color w:val="auto"/>
          <w:highlight w:val="none"/>
        </w:rPr>
        <w:t>。</w:t>
      </w:r>
    </w:p>
    <w:p>
      <w:pPr>
        <w:pStyle w:val="957"/>
        <w:spacing w:before="0" w:beforeAutospacing="0" w:after="0" w:afterAutospacing="0" w:line="360" w:lineRule="auto"/>
        <w:ind w:firstLine="480"/>
        <w:rPr>
          <w:b/>
          <w:bCs/>
          <w:color w:val="auto"/>
          <w:highlight w:val="none"/>
        </w:rPr>
      </w:pPr>
      <w:r>
        <w:rPr>
          <w:rFonts w:hint="eastAsia"/>
          <w:b/>
          <w:bCs/>
          <w:color w:val="auto"/>
          <w:highlight w:val="none"/>
        </w:rPr>
        <w:t>1.6资金支付</w:t>
      </w:r>
    </w:p>
    <w:p>
      <w:pPr>
        <w:pStyle w:val="957"/>
        <w:spacing w:before="0" w:beforeAutospacing="0" w:after="0" w:afterAutospacing="0" w:line="360" w:lineRule="auto"/>
        <w:ind w:firstLine="480"/>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pPr>
        <w:spacing w:line="360" w:lineRule="auto"/>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1.6.2资金支付的方式、时间和条件详见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1.7货物交付期限、地点和方式</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1.7.1 交付期限：详见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 交付地点：</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 交付方式：</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1.8违约责任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color w:val="auto"/>
          <w:sz w:val="24"/>
          <w:highlight w:val="none"/>
          <w:u w:val="single"/>
        </w:rPr>
        <w:t xml:space="preserve">  0.05</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   </w:t>
      </w:r>
      <w:r>
        <w:rPr>
          <w:rFonts w:hint="eastAsia" w:ascii="宋体" w:hAnsi="宋体" w:cs="宋体"/>
          <w:color w:val="auto"/>
          <w:sz w:val="24"/>
          <w:highlight w:val="none"/>
        </w:rPr>
        <w:t>%；迟延交付货物的违约金计算数额达到前述最高限额之日起，甲方有权在要求乙方支付违约金的同时，书面通知乙方解除本合同；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1.8.2 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1.8.4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1.8.5如果出现政府采购监督管理部门在处理投诉事项期间，书面通知甲方暂停采购活动的情形，或者询问或质疑事项可能影响中标或者成交结果的，导致甲方中止履行合同的情形，均不视为甲方违约。</w:t>
      </w:r>
    </w:p>
    <w:p>
      <w:pPr>
        <w:spacing w:line="360" w:lineRule="auto"/>
        <w:ind w:left="-420" w:leftChars="-200" w:right="-420" w:rightChars="-200" w:firstLine="960" w:firstLineChars="400"/>
        <w:rPr>
          <w:rFonts w:ascii="宋体" w:hAnsi="宋体" w:cs="宋体"/>
          <w:color w:val="auto"/>
          <w:highlight w:val="none"/>
        </w:rPr>
      </w:pPr>
      <w:r>
        <w:rPr>
          <w:rFonts w:hint="eastAsia" w:ascii="宋体" w:hAnsi="宋体" w:cs="宋体"/>
          <w:color w:val="auto"/>
          <w:sz w:val="24"/>
          <w:highlight w:val="none"/>
        </w:rPr>
        <w:t>1.8.6违约责任</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另有约定的，从其约定。</w:t>
      </w:r>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1.9合同争议的解决</w:t>
      </w:r>
    </w:p>
    <w:p>
      <w:pPr>
        <w:spacing w:line="360" w:lineRule="auto"/>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w:t>
      </w:r>
      <w:r>
        <w:rPr>
          <w:rFonts w:hint="eastAsia" w:ascii="宋体" w:hAnsi="宋体" w:cs="宋体"/>
          <w:color w:val="auto"/>
          <w:sz w:val="24"/>
          <w:highlight w:val="none"/>
        </w:rPr>
        <w:t>条款规定的方式解决：</w:t>
      </w:r>
    </w:p>
    <w:p>
      <w:pPr>
        <w:spacing w:line="360" w:lineRule="auto"/>
        <w:ind w:left="-420" w:leftChars="-200" w:right="-420" w:rightChars="-200" w:firstLine="840" w:firstLineChars="350"/>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pPr>
        <w:spacing w:line="360" w:lineRule="auto"/>
        <w:ind w:left="-420" w:leftChars="-200" w:right="-420" w:rightChars="-200" w:firstLine="840" w:firstLineChars="350"/>
        <w:rPr>
          <w:rFonts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人民法院起诉。</w:t>
      </w:r>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1.10 合同生效</w:t>
      </w:r>
    </w:p>
    <w:p>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本合同自双方当事人盖章签字时生效。</w:t>
      </w:r>
    </w:p>
    <w:p>
      <w:pPr>
        <w:autoSpaceDE w:val="0"/>
        <w:autoSpaceDN w:val="0"/>
        <w:spacing w:line="360" w:lineRule="auto"/>
        <w:rPr>
          <w:rFonts w:ascii="宋体" w:hAnsi="宋体" w:cs="宋体"/>
          <w:color w:val="auto"/>
          <w:sz w:val="24"/>
          <w:highlight w:val="none"/>
          <w:lang w:val="zh-CN"/>
        </w:rPr>
      </w:pPr>
    </w:p>
    <w:p>
      <w:pPr>
        <w:autoSpaceDE w:val="0"/>
        <w:autoSpaceDN w:val="0"/>
        <w:spacing w:line="360" w:lineRule="auto"/>
        <w:rPr>
          <w:rFonts w:ascii="宋体" w:hAnsi="宋体" w:cs="宋体"/>
          <w:color w:val="auto"/>
          <w:sz w:val="24"/>
          <w:highlight w:val="none"/>
          <w:lang w:val="zh-CN"/>
        </w:rPr>
      </w:pPr>
      <w:r>
        <w:rPr>
          <w:rFonts w:hint="eastAsia" w:ascii="宋体" w:hAnsi="宋体" w:cs="宋体"/>
          <w:b/>
          <w:color w:val="auto"/>
          <w:sz w:val="24"/>
          <w:highlight w:val="none"/>
          <w:lang w:val="zh-CN"/>
        </w:rPr>
        <w:t>甲方</w:t>
      </w:r>
      <w:r>
        <w:rPr>
          <w:rFonts w:hint="eastAsia" w:ascii="宋体" w:hAnsi="宋体" w:cs="宋体"/>
          <w:color w:val="auto"/>
          <w:sz w:val="24"/>
          <w:highlight w:val="none"/>
          <w:lang w:val="zh-CN"/>
        </w:rPr>
        <w:t xml:space="preserve">：                             </w:t>
      </w:r>
      <w:r>
        <w:rPr>
          <w:rFonts w:hint="eastAsia" w:ascii="宋体" w:hAnsi="宋体" w:cs="宋体"/>
          <w:b/>
          <w:color w:val="auto"/>
          <w:sz w:val="24"/>
          <w:highlight w:val="none"/>
          <w:lang w:val="zh-CN"/>
        </w:rPr>
        <w:t xml:space="preserve">      乙方</w:t>
      </w:r>
      <w:r>
        <w:rPr>
          <w:rFonts w:hint="eastAsia" w:ascii="宋体" w:hAnsi="宋体" w:cs="宋体"/>
          <w:color w:val="auto"/>
          <w:sz w:val="24"/>
          <w:highlight w:val="none"/>
          <w:lang w:val="zh-CN"/>
        </w:rPr>
        <w:t>：</w:t>
      </w:r>
    </w:p>
    <w:p>
      <w:pPr>
        <w:autoSpaceDE w:val="0"/>
        <w:autoSpaceDN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统一社会信用代码：                        统一社会信用代码或身份证号码：</w:t>
      </w:r>
    </w:p>
    <w:p>
      <w:pPr>
        <w:autoSpaceDE w:val="0"/>
        <w:autoSpaceDN w:val="0"/>
        <w:spacing w:line="360" w:lineRule="auto"/>
        <w:rPr>
          <w:rFonts w:ascii="宋体" w:hAnsi="宋体" w:cs="宋体"/>
          <w:color w:val="auto"/>
          <w:sz w:val="24"/>
          <w:highlight w:val="none"/>
          <w:lang w:val="zh-CN"/>
        </w:rPr>
      </w:pPr>
    </w:p>
    <w:p>
      <w:pPr>
        <w:autoSpaceDE w:val="0"/>
        <w:autoSpaceDN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住所：                                   住所：</w:t>
      </w:r>
    </w:p>
    <w:p>
      <w:pPr>
        <w:autoSpaceDE w:val="0"/>
        <w:autoSpaceDN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法定代表人或                             法定代表人</w:t>
      </w:r>
    </w:p>
    <w:p>
      <w:pPr>
        <w:autoSpaceDE w:val="0"/>
        <w:autoSpaceDN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 xml:space="preserve">授权代表（签字）：                        或授权代表（签字）: </w:t>
      </w:r>
    </w:p>
    <w:p>
      <w:pPr>
        <w:autoSpaceDE w:val="0"/>
        <w:autoSpaceDN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联系人：                                 联系人：</w:t>
      </w:r>
    </w:p>
    <w:p>
      <w:pPr>
        <w:autoSpaceDE w:val="0"/>
        <w:autoSpaceDN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约定送达地址：                           约定送达地址：</w:t>
      </w:r>
    </w:p>
    <w:p>
      <w:pPr>
        <w:autoSpaceDE w:val="0"/>
        <w:autoSpaceDN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邮政编码：                               邮政编码：</w:t>
      </w:r>
    </w:p>
    <w:p>
      <w:pPr>
        <w:autoSpaceDE w:val="0"/>
        <w:autoSpaceDN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 xml:space="preserve">电话:                                    电话: </w:t>
      </w:r>
    </w:p>
    <w:p>
      <w:pPr>
        <w:autoSpaceDE w:val="0"/>
        <w:autoSpaceDN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传真:                                    传真:</w:t>
      </w:r>
    </w:p>
    <w:p>
      <w:pPr>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lang w:val="zh-CN"/>
        </w:rPr>
        <w:t>电子邮箱：                               电子邮箱：</w:t>
      </w:r>
    </w:p>
    <w:p>
      <w:pPr>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开户银行：                               开户银行： </w:t>
      </w:r>
    </w:p>
    <w:p>
      <w:pPr>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开户名称：                               开户名称： </w:t>
      </w:r>
    </w:p>
    <w:p>
      <w:pPr>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开户账号：开户账号：</w:t>
      </w:r>
    </w:p>
    <w:p>
      <w:pPr>
        <w:pStyle w:val="2"/>
        <w:rPr>
          <w:rFonts w:ascii="宋体" w:hAnsi="宋体" w:cs="宋体"/>
          <w:color w:val="auto"/>
          <w:sz w:val="24"/>
          <w:highlight w:val="none"/>
        </w:rPr>
      </w:pPr>
    </w:p>
    <w:p>
      <w:pPr>
        <w:widowControl/>
        <w:adjustRightInd/>
        <w:jc w:val="left"/>
        <w:rPr>
          <w:rFonts w:ascii="宋体" w:hAnsi="宋体" w:cs="宋体"/>
          <w:b/>
          <w:sz w:val="24"/>
        </w:rPr>
      </w:pPr>
      <w:r>
        <w:rPr>
          <w:rFonts w:ascii="宋体" w:hAnsi="宋体" w:cs="宋体"/>
          <w:b/>
        </w:rPr>
        <w:br w:type="page"/>
      </w:r>
    </w:p>
    <w:p>
      <w:pPr>
        <w:pStyle w:val="700"/>
        <w:spacing w:line="560" w:lineRule="exact"/>
        <w:ind w:firstLine="482"/>
        <w:jc w:val="center"/>
        <w:rPr>
          <w:rFonts w:ascii="宋体" w:hAnsi="宋体" w:cs="宋体"/>
          <w:b/>
          <w:szCs w:val="24"/>
        </w:rPr>
      </w:pPr>
      <w:r>
        <w:rPr>
          <w:rFonts w:hint="eastAsia" w:ascii="宋体" w:hAnsi="宋体" w:cs="宋体"/>
          <w:b/>
          <w:szCs w:val="24"/>
        </w:rPr>
        <w:t>第二部分 合同一般条款</w:t>
      </w:r>
      <w:bookmarkEnd w:id="408"/>
    </w:p>
    <w:p>
      <w:pPr>
        <w:spacing w:line="560" w:lineRule="exact"/>
        <w:ind w:firstLine="482" w:firstLineChars="200"/>
        <w:outlineLvl w:val="0"/>
        <w:rPr>
          <w:rFonts w:ascii="宋体" w:hAnsi="宋体" w:cs="宋体"/>
          <w:b/>
          <w:sz w:val="24"/>
        </w:rPr>
      </w:pPr>
      <w:bookmarkStart w:id="409" w:name="_Ref467379205"/>
      <w:bookmarkStart w:id="410" w:name="_Ref467378404"/>
      <w:bookmarkStart w:id="411" w:name="_Toc259093669"/>
      <w:bookmarkStart w:id="412" w:name="_Toc279701240"/>
      <w:bookmarkStart w:id="413" w:name="_Ref467379109"/>
      <w:bookmarkStart w:id="414" w:name="_Ref467378499"/>
      <w:bookmarkStart w:id="415" w:name="_Ref467378463"/>
      <w:bookmarkStart w:id="416" w:name="_Toc16917"/>
      <w:bookmarkStart w:id="417" w:name="_Ref467379225"/>
      <w:bookmarkStart w:id="418" w:name="_Ref467379214"/>
      <w:bookmarkStart w:id="419" w:name="_Ref467379195"/>
      <w:bookmarkStart w:id="420" w:name="_Ref467379094"/>
      <w:bookmarkStart w:id="421" w:name="_Ref467379101"/>
      <w:bookmarkStart w:id="422" w:name="_Toc487900349"/>
      <w:bookmarkStart w:id="423" w:name="_Toc28763"/>
      <w:bookmarkStart w:id="424" w:name="_Toc19614"/>
      <w:r>
        <w:rPr>
          <w:rFonts w:hint="eastAsia" w:ascii="宋体" w:hAnsi="宋体" w:cs="宋体"/>
          <w:b/>
          <w:sz w:val="24"/>
        </w:rPr>
        <w:t>2.1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pacing w:line="560" w:lineRule="exact"/>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560" w:lineRule="exact"/>
        <w:ind w:firstLine="480" w:firstLineChars="200"/>
        <w:rPr>
          <w:rFonts w:ascii="宋体" w:hAnsi="宋体" w:cs="宋体"/>
          <w:sz w:val="24"/>
        </w:rPr>
      </w:pPr>
      <w:r>
        <w:rPr>
          <w:rFonts w:hint="eastAsia" w:ascii="宋体" w:hAnsi="宋体" w:cs="宋体"/>
          <w:sz w:val="24"/>
        </w:rPr>
        <w:t>2.1.1 “合同”系指采购人和中标供应商签订的载明双方当事人所达成的协议，并包括所有的附件、附录和构成合同的其他文件。</w:t>
      </w:r>
    </w:p>
    <w:p>
      <w:pPr>
        <w:spacing w:line="560" w:lineRule="exact"/>
        <w:ind w:firstLine="480" w:firstLineChars="200"/>
        <w:rPr>
          <w:rFonts w:ascii="宋体" w:hAnsi="宋体" w:cs="宋体"/>
          <w:sz w:val="24"/>
        </w:rPr>
      </w:pPr>
      <w:r>
        <w:rPr>
          <w:rFonts w:hint="eastAsia" w:ascii="宋体" w:hAnsi="宋体" w:cs="宋体"/>
          <w:sz w:val="24"/>
        </w:rPr>
        <w:t>2.1.2 “合同价”系指根据合同约定，中标供应商在完全履行合同义务后，采购人应支付给中标供应商的价格。</w:t>
      </w:r>
    </w:p>
    <w:p>
      <w:pPr>
        <w:spacing w:line="560" w:lineRule="exact"/>
        <w:ind w:firstLine="480" w:firstLineChars="200"/>
        <w:rPr>
          <w:rFonts w:ascii="宋体" w:hAnsi="宋体" w:cs="宋体"/>
          <w:sz w:val="24"/>
        </w:rPr>
      </w:pPr>
      <w:r>
        <w:rPr>
          <w:rFonts w:hint="eastAsia" w:ascii="宋体" w:hAnsi="宋体" w:cs="宋体"/>
          <w:sz w:val="24"/>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ascii="宋体" w:hAnsi="宋体" w:cs="宋体"/>
          <w:sz w:val="24"/>
        </w:rPr>
      </w:pPr>
      <w:bookmarkStart w:id="425" w:name="_Ref467378840"/>
      <w:r>
        <w:rPr>
          <w:rFonts w:hint="eastAsia" w:ascii="宋体" w:hAnsi="宋体" w:cs="宋体"/>
          <w:sz w:val="24"/>
        </w:rPr>
        <w:t>2.1.4 “甲方”系指与中标供应商签署合同的采购人</w:t>
      </w:r>
      <w:bookmarkEnd w:id="425"/>
      <w:r>
        <w:rPr>
          <w:rFonts w:hint="eastAsia" w:ascii="宋体" w:hAnsi="宋体" w:cs="宋体"/>
          <w:sz w:val="24"/>
        </w:rPr>
        <w:t>；采购人委托采购代理机构代表其与乙方签订合同的，采购人的授权委托书作为合同附件。</w:t>
      </w:r>
    </w:p>
    <w:p>
      <w:pPr>
        <w:spacing w:line="560" w:lineRule="exact"/>
        <w:ind w:firstLine="480" w:firstLineChars="200"/>
        <w:rPr>
          <w:rFonts w:ascii="宋体" w:hAnsi="宋体" w:cs="宋体"/>
          <w:sz w:val="24"/>
        </w:rPr>
      </w:pPr>
      <w:bookmarkStart w:id="426" w:name="_Ref467379400"/>
      <w:r>
        <w:rPr>
          <w:rFonts w:hint="eastAsia" w:ascii="宋体" w:hAnsi="宋体" w:cs="宋体"/>
          <w:sz w:val="24"/>
        </w:rPr>
        <w:t>2.1.5 “乙方”系指根据合同约定交付货物的中标供应商</w:t>
      </w:r>
      <w:bookmarkEnd w:id="426"/>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宋体" w:hAnsi="宋体" w:cs="宋体"/>
          <w:sz w:val="24"/>
        </w:rPr>
      </w:pPr>
      <w:bookmarkStart w:id="427" w:name="_Ref467379436"/>
      <w:r>
        <w:rPr>
          <w:rFonts w:hint="eastAsia" w:ascii="宋体" w:hAnsi="宋体" w:cs="宋体"/>
          <w:sz w:val="24"/>
        </w:rPr>
        <w:t>2.1.6 “现场”系指合同约定货物将要运至或者安装的地点。</w:t>
      </w:r>
      <w:bookmarkEnd w:id="427"/>
    </w:p>
    <w:p>
      <w:pPr>
        <w:spacing w:line="560" w:lineRule="exact"/>
        <w:ind w:firstLine="482" w:firstLineChars="200"/>
        <w:outlineLvl w:val="0"/>
        <w:rPr>
          <w:rFonts w:ascii="宋体" w:hAnsi="宋体" w:cs="宋体"/>
          <w:b/>
          <w:sz w:val="24"/>
        </w:rPr>
      </w:pPr>
      <w:bookmarkStart w:id="428" w:name="_Toc32504"/>
      <w:bookmarkStart w:id="429" w:name="_Toc13336"/>
      <w:bookmarkStart w:id="430" w:name="_Toc259093670"/>
      <w:bookmarkStart w:id="431" w:name="_Toc27635"/>
      <w:bookmarkStart w:id="432" w:name="_Toc279701241"/>
      <w:bookmarkStart w:id="433" w:name="_Toc487900350"/>
      <w:r>
        <w:rPr>
          <w:rFonts w:hint="eastAsia" w:ascii="宋体" w:hAnsi="宋体" w:cs="宋体"/>
          <w:b/>
          <w:sz w:val="24"/>
        </w:rPr>
        <w:t>2.2 技术规范</w:t>
      </w:r>
      <w:bookmarkEnd w:id="428"/>
      <w:bookmarkEnd w:id="429"/>
      <w:bookmarkEnd w:id="430"/>
      <w:bookmarkEnd w:id="431"/>
      <w:bookmarkEnd w:id="432"/>
      <w:bookmarkEnd w:id="433"/>
    </w:p>
    <w:p>
      <w:pPr>
        <w:spacing w:line="560" w:lineRule="exact"/>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宋体" w:hAnsi="宋体" w:cs="宋体"/>
          <w:b/>
          <w:sz w:val="24"/>
        </w:rPr>
      </w:pPr>
      <w:bookmarkStart w:id="434" w:name="_Toc259093671"/>
      <w:bookmarkStart w:id="435" w:name="_Toc279701242"/>
      <w:bookmarkStart w:id="436" w:name="_Toc31634"/>
      <w:bookmarkStart w:id="437" w:name="_Toc9829"/>
      <w:bookmarkStart w:id="438" w:name="_Toc487900351"/>
      <w:bookmarkStart w:id="439" w:name="_Toc27853"/>
      <w:r>
        <w:rPr>
          <w:rFonts w:hint="eastAsia" w:ascii="宋体" w:hAnsi="宋体" w:cs="宋体"/>
          <w:b/>
          <w:sz w:val="24"/>
        </w:rPr>
        <w:t>2.3 知识产权</w:t>
      </w:r>
      <w:bookmarkEnd w:id="434"/>
      <w:bookmarkEnd w:id="435"/>
      <w:bookmarkEnd w:id="436"/>
      <w:bookmarkEnd w:id="437"/>
      <w:bookmarkEnd w:id="438"/>
      <w:bookmarkEnd w:id="439"/>
    </w:p>
    <w:p>
      <w:pPr>
        <w:spacing w:line="560" w:lineRule="exact"/>
        <w:ind w:firstLine="480" w:firstLineChars="200"/>
        <w:rPr>
          <w:rFonts w:ascii="宋体" w:hAnsi="宋体" w:cs="宋体"/>
          <w:sz w:val="24"/>
        </w:rPr>
      </w:pPr>
      <w:r>
        <w:rPr>
          <w:rFonts w:hint="eastAsia" w:ascii="宋体" w:hAnsi="宋体" w:cs="宋体"/>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宋体" w:hAnsi="宋体" w:cs="宋体"/>
          <w:sz w:val="24"/>
        </w:rPr>
      </w:pPr>
      <w:r>
        <w:rPr>
          <w:rFonts w:hint="eastAsia" w:ascii="宋体" w:hAnsi="宋体" w:cs="宋体"/>
          <w:sz w:val="24"/>
        </w:rPr>
        <w:t>2.3.2具有知识产权的计算机软件等货物的知识产权归属，详见</w:t>
      </w:r>
      <w:r>
        <w:rPr>
          <w:rFonts w:hint="eastAsia" w:ascii="宋体" w:hAnsi="宋体" w:cs="宋体"/>
          <w:b/>
          <w:i/>
          <w:sz w:val="24"/>
          <w:u w:val="single"/>
        </w:rPr>
        <w:t>合同专用条款</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440" w:name="_Toc29149"/>
      <w:bookmarkStart w:id="441" w:name="_Toc11932"/>
      <w:bookmarkStart w:id="442" w:name="_Toc4194"/>
      <w:r>
        <w:rPr>
          <w:rFonts w:hint="eastAsia" w:ascii="宋体" w:hAnsi="宋体" w:cs="宋体"/>
          <w:b/>
          <w:sz w:val="24"/>
        </w:rPr>
        <w:t>2.4 包装和装运</w:t>
      </w:r>
      <w:bookmarkEnd w:id="440"/>
      <w:bookmarkEnd w:id="441"/>
      <w:bookmarkEnd w:id="442"/>
    </w:p>
    <w:p>
      <w:pPr>
        <w:spacing w:line="560" w:lineRule="exact"/>
        <w:ind w:firstLine="480" w:firstLineChars="200"/>
        <w:rPr>
          <w:rFonts w:ascii="宋体" w:hAnsi="宋体" w:cs="宋体"/>
          <w:sz w:val="24"/>
        </w:rPr>
      </w:pPr>
      <w:r>
        <w:rPr>
          <w:rFonts w:hint="eastAsia" w:ascii="宋体" w:hAnsi="宋体" w:cs="宋体"/>
          <w:sz w:val="24"/>
        </w:rPr>
        <w:t>2.4.1除</w:t>
      </w:r>
      <w:r>
        <w:rPr>
          <w:rFonts w:hint="eastAsia" w:ascii="宋体" w:hAnsi="宋体" w:cs="宋体"/>
          <w:b/>
          <w:i/>
          <w:sz w:val="24"/>
          <w:u w:val="single"/>
        </w:rPr>
        <w:t>合同专用条款</w:t>
      </w:r>
      <w:r>
        <w:rPr>
          <w:rFonts w:hint="eastAsia" w:ascii="宋体" w:hAnsi="宋体" w:cs="宋体"/>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ascii="宋体" w:hAnsi="宋体" w:cs="宋体"/>
          <w:sz w:val="24"/>
        </w:rPr>
      </w:pPr>
      <w:r>
        <w:rPr>
          <w:rFonts w:hint="eastAsia" w:ascii="宋体" w:hAnsi="宋体" w:cs="宋体"/>
          <w:sz w:val="24"/>
        </w:rPr>
        <w:t xml:space="preserve">2.4.2乙方提供产品及相关快递服务的具体包装要求应符合《商品包装政府采购需求标准（试行）》《快递包装政府采购需求标准（试行）》，并作为履约验收的内容，必要时甲方可以要求乙方在履约验收环节出具检测报告。 </w:t>
      </w:r>
    </w:p>
    <w:p>
      <w:pPr>
        <w:spacing w:line="560" w:lineRule="exact"/>
        <w:ind w:firstLine="480" w:firstLineChars="200"/>
        <w:rPr>
          <w:rFonts w:ascii="宋体" w:hAnsi="宋体" w:cs="宋体"/>
          <w:sz w:val="24"/>
        </w:rPr>
      </w:pPr>
      <w:r>
        <w:rPr>
          <w:rFonts w:hint="eastAsia" w:ascii="宋体" w:hAnsi="宋体" w:cs="宋体"/>
          <w:sz w:val="24"/>
        </w:rPr>
        <w:t>2.4.3 装运货物的要求和通知，详见</w:t>
      </w:r>
      <w:r>
        <w:rPr>
          <w:rFonts w:hint="eastAsia" w:ascii="宋体" w:hAnsi="宋体" w:cs="宋体"/>
          <w:b/>
          <w:i/>
          <w:sz w:val="24"/>
          <w:u w:val="single"/>
        </w:rPr>
        <w:t>合同专用条款</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443" w:name="_Toc259093674"/>
      <w:bookmarkStart w:id="444" w:name="_Ref467379536"/>
      <w:bookmarkStart w:id="445" w:name="_Ref467379542"/>
      <w:bookmarkStart w:id="446" w:name="_Ref467378541"/>
      <w:bookmarkStart w:id="447" w:name="_Toc279701245"/>
      <w:bookmarkStart w:id="448" w:name="_Ref467378591"/>
      <w:bookmarkStart w:id="449" w:name="_Ref467379527"/>
      <w:bookmarkStart w:id="450" w:name="_Toc487900354"/>
      <w:bookmarkStart w:id="451" w:name="_Toc19074"/>
      <w:bookmarkStart w:id="452" w:name="_Toc26182"/>
      <w:bookmarkStart w:id="453" w:name="_Toc30272"/>
      <w:r>
        <w:rPr>
          <w:rFonts w:hint="eastAsia" w:ascii="宋体" w:hAnsi="宋体" w:cs="宋体"/>
          <w:b/>
          <w:sz w:val="24"/>
        </w:rPr>
        <w:t>2.</w:t>
      </w:r>
      <w:bookmarkEnd w:id="443"/>
      <w:bookmarkEnd w:id="444"/>
      <w:bookmarkEnd w:id="445"/>
      <w:bookmarkEnd w:id="446"/>
      <w:bookmarkEnd w:id="447"/>
      <w:bookmarkEnd w:id="448"/>
      <w:bookmarkEnd w:id="449"/>
      <w:bookmarkEnd w:id="450"/>
      <w:r>
        <w:rPr>
          <w:rFonts w:hint="eastAsia" w:ascii="宋体" w:hAnsi="宋体" w:cs="宋体"/>
          <w:b/>
          <w:sz w:val="24"/>
        </w:rPr>
        <w:t>5 履约检查和问题反馈</w:t>
      </w:r>
      <w:bookmarkEnd w:id="451"/>
      <w:bookmarkEnd w:id="452"/>
      <w:bookmarkEnd w:id="453"/>
    </w:p>
    <w:p>
      <w:pPr>
        <w:spacing w:line="560" w:lineRule="exact"/>
        <w:ind w:firstLine="480" w:firstLineChars="200"/>
        <w:rPr>
          <w:rFonts w:ascii="宋体" w:hAnsi="宋体" w:cs="宋体"/>
          <w:sz w:val="24"/>
        </w:rPr>
      </w:pPr>
      <w:bookmarkStart w:id="454" w:name="_Ref467379657"/>
      <w:r>
        <w:rPr>
          <w:rFonts w:hint="eastAsia" w:ascii="宋体" w:hAnsi="宋体" w:cs="宋体"/>
          <w:sz w:val="24"/>
        </w:rPr>
        <w:t>2.5.1</w:t>
      </w:r>
      <w:bookmarkEnd w:id="454"/>
      <w:bookmarkStart w:id="455" w:name="_Toc186431854"/>
      <w:bookmarkStart w:id="456" w:name="_Ref467379793"/>
      <w:bookmarkStart w:id="457" w:name="_Toc487900357"/>
      <w:bookmarkStart w:id="458" w:name="_Ref467379807"/>
      <w:bookmarkStart w:id="459" w:name="_Toc279701247"/>
      <w:bookmarkStart w:id="460" w:name="_Toc259093676"/>
      <w:r>
        <w:rPr>
          <w:rFonts w:hint="eastAsia" w:ascii="宋体" w:hAnsi="宋体" w:cs="宋体"/>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ascii="宋体" w:hAnsi="宋体" w:cs="宋体"/>
          <w:sz w:val="24"/>
        </w:rPr>
      </w:pPr>
      <w:r>
        <w:rPr>
          <w:rFonts w:hint="eastAsia" w:ascii="宋体" w:hAnsi="宋体" w:cs="宋体"/>
          <w:sz w:val="24"/>
        </w:rPr>
        <w:t>2.5.2 合同履行期间，甲方有权将履行过程中出现的问题反馈给乙方，双方当事人应以书面形式约定需要完善和改进的内容</w:t>
      </w:r>
      <w:bookmarkEnd w:id="455"/>
      <w:bookmarkStart w:id="461" w:name="_Toc186431855"/>
      <w:r>
        <w:rPr>
          <w:rFonts w:hint="eastAsia" w:ascii="宋体" w:hAnsi="宋体" w:cs="宋体"/>
          <w:sz w:val="24"/>
        </w:rPr>
        <w:t>。</w:t>
      </w:r>
    </w:p>
    <w:bookmarkEnd w:id="456"/>
    <w:bookmarkEnd w:id="457"/>
    <w:bookmarkEnd w:id="458"/>
    <w:bookmarkEnd w:id="459"/>
    <w:bookmarkEnd w:id="460"/>
    <w:bookmarkEnd w:id="461"/>
    <w:p>
      <w:pPr>
        <w:spacing w:line="560" w:lineRule="exact"/>
        <w:ind w:firstLine="482" w:firstLineChars="200"/>
        <w:outlineLvl w:val="0"/>
        <w:rPr>
          <w:rFonts w:ascii="宋体" w:hAnsi="宋体" w:cs="宋体"/>
          <w:b/>
          <w:sz w:val="24"/>
        </w:rPr>
      </w:pPr>
      <w:bookmarkStart w:id="462" w:name="_Ref467379923"/>
      <w:bookmarkStart w:id="463" w:name="_Toc487900358"/>
      <w:bookmarkStart w:id="464" w:name="_Ref467379852"/>
      <w:bookmarkStart w:id="465" w:name="_Toc279701248"/>
      <w:bookmarkStart w:id="466" w:name="_Ref467379863"/>
      <w:bookmarkStart w:id="467" w:name="_Toc259093677"/>
      <w:bookmarkStart w:id="468" w:name="_Toc3225"/>
      <w:bookmarkStart w:id="469" w:name="_Toc774"/>
      <w:bookmarkStart w:id="470" w:name="_Toc16110"/>
      <w:r>
        <w:rPr>
          <w:rFonts w:hint="eastAsia" w:ascii="宋体" w:hAnsi="宋体" w:cs="宋体"/>
          <w:b/>
          <w:sz w:val="24"/>
        </w:rPr>
        <w:t>2.6 技术资料</w:t>
      </w:r>
      <w:bookmarkEnd w:id="462"/>
      <w:bookmarkEnd w:id="463"/>
      <w:bookmarkEnd w:id="464"/>
      <w:bookmarkEnd w:id="465"/>
      <w:bookmarkEnd w:id="466"/>
      <w:bookmarkEnd w:id="467"/>
      <w:r>
        <w:rPr>
          <w:rFonts w:hint="eastAsia" w:ascii="宋体" w:hAnsi="宋体" w:cs="宋体"/>
          <w:b/>
          <w:sz w:val="24"/>
        </w:rPr>
        <w:t>和保密义务</w:t>
      </w:r>
      <w:bookmarkEnd w:id="468"/>
      <w:bookmarkEnd w:id="469"/>
      <w:bookmarkEnd w:id="470"/>
    </w:p>
    <w:p>
      <w:pPr>
        <w:spacing w:line="560" w:lineRule="exact"/>
        <w:ind w:firstLine="480" w:firstLineChars="200"/>
        <w:rPr>
          <w:rFonts w:ascii="宋体" w:hAnsi="宋体" w:cs="宋体"/>
          <w:sz w:val="24"/>
        </w:rPr>
      </w:pPr>
      <w:r>
        <w:rPr>
          <w:rFonts w:hint="eastAsia" w:ascii="宋体" w:hAnsi="宋体" w:cs="宋体"/>
          <w:sz w:val="24"/>
        </w:rPr>
        <w:t>2.6.1 乙方有权依据合同约定和项目需要，向甲方了解有关情况，调阅有关资料等，甲方应予积极配合；</w:t>
      </w:r>
    </w:p>
    <w:p>
      <w:pPr>
        <w:spacing w:line="560" w:lineRule="exact"/>
        <w:ind w:firstLine="480" w:firstLineChars="200"/>
        <w:rPr>
          <w:rFonts w:ascii="宋体" w:hAnsi="宋体" w:cs="宋体"/>
          <w:sz w:val="24"/>
        </w:rPr>
      </w:pPr>
      <w:r>
        <w:rPr>
          <w:rFonts w:hint="eastAsia" w:ascii="宋体" w:hAnsi="宋体" w:cs="宋体"/>
          <w:sz w:val="24"/>
        </w:rPr>
        <w:t>2.6.2 乙方有义务妥善保管和保护由甲方提供的前款信息和资料等；</w:t>
      </w:r>
    </w:p>
    <w:p>
      <w:pPr>
        <w:spacing w:line="560" w:lineRule="exact"/>
        <w:ind w:firstLine="480" w:firstLineChars="200"/>
        <w:rPr>
          <w:rFonts w:ascii="宋体" w:hAnsi="宋体" w:cs="宋体"/>
          <w:sz w:val="24"/>
        </w:rPr>
      </w:pPr>
      <w:r>
        <w:rPr>
          <w:rFonts w:hint="eastAsia" w:ascii="宋体" w:hAnsi="宋体" w:cs="宋体"/>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宋体" w:hAnsi="宋体" w:cs="宋体"/>
          <w:b/>
          <w:sz w:val="24"/>
        </w:rPr>
      </w:pPr>
      <w:bookmarkStart w:id="471" w:name="_Toc7860"/>
      <w:r>
        <w:rPr>
          <w:rFonts w:hint="eastAsia" w:ascii="宋体" w:hAnsi="宋体" w:cs="宋体"/>
          <w:b/>
          <w:sz w:val="24"/>
        </w:rPr>
        <w:t>2.7 质量保证</w:t>
      </w:r>
      <w:bookmarkEnd w:id="471"/>
    </w:p>
    <w:p>
      <w:pPr>
        <w:spacing w:line="560" w:lineRule="exact"/>
        <w:ind w:firstLine="480" w:firstLineChars="200"/>
        <w:rPr>
          <w:rFonts w:ascii="宋体" w:hAnsi="宋体" w:cs="宋体"/>
          <w:sz w:val="24"/>
        </w:rPr>
      </w:pPr>
      <w:r>
        <w:rPr>
          <w:rFonts w:hint="eastAsia" w:ascii="宋体" w:hAnsi="宋体" w:cs="宋体"/>
          <w:sz w:val="24"/>
        </w:rPr>
        <w:t>2.7.1 乙方应建立和完善履行合同的内部质量保证体系，并提供相关内部规章制度给甲方，以便甲方进行监督检查；</w:t>
      </w:r>
    </w:p>
    <w:p>
      <w:pPr>
        <w:spacing w:line="560" w:lineRule="exact"/>
        <w:ind w:firstLine="480" w:firstLineChars="200"/>
        <w:rPr>
          <w:rFonts w:ascii="宋体" w:hAnsi="宋体" w:cs="宋体"/>
          <w:sz w:val="24"/>
        </w:rPr>
      </w:pPr>
      <w:r>
        <w:rPr>
          <w:rFonts w:hint="eastAsia" w:ascii="宋体" w:hAnsi="宋体" w:cs="宋体"/>
          <w:sz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宋体" w:hAnsi="宋体" w:cs="宋体"/>
          <w:b/>
          <w:sz w:val="24"/>
        </w:rPr>
      </w:pPr>
      <w:bookmarkStart w:id="472" w:name="_Toc17244"/>
      <w:bookmarkStart w:id="473" w:name="_Toc487900362"/>
      <w:bookmarkStart w:id="474" w:name="_Toc259093681"/>
      <w:bookmarkStart w:id="475" w:name="_Toc279701252"/>
      <w:r>
        <w:rPr>
          <w:rFonts w:hint="eastAsia" w:ascii="宋体" w:hAnsi="宋体" w:cs="宋体"/>
          <w:b/>
          <w:sz w:val="24"/>
        </w:rPr>
        <w:t>2.8 货物的风险负担</w:t>
      </w:r>
      <w:bookmarkEnd w:id="472"/>
    </w:p>
    <w:p>
      <w:pPr>
        <w:spacing w:line="560" w:lineRule="exact"/>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货物或者在途货物或者交付给第一承运人后的货物毁损、灭失的风险负担详见</w:t>
      </w:r>
      <w:r>
        <w:rPr>
          <w:rFonts w:hint="eastAsia" w:ascii="宋体" w:hAnsi="宋体" w:cs="宋体"/>
          <w:b/>
          <w:i/>
          <w:sz w:val="24"/>
          <w:u w:val="single"/>
        </w:rPr>
        <w:t>合同专用条款</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476" w:name="_Toc14055"/>
      <w:r>
        <w:rPr>
          <w:rFonts w:hint="eastAsia" w:ascii="宋体" w:hAnsi="宋体" w:cs="宋体"/>
          <w:b/>
          <w:sz w:val="24"/>
        </w:rPr>
        <w:t>2.9 延迟交货</w:t>
      </w:r>
      <w:bookmarkEnd w:id="473"/>
      <w:bookmarkEnd w:id="474"/>
      <w:bookmarkEnd w:id="475"/>
      <w:bookmarkEnd w:id="476"/>
    </w:p>
    <w:p>
      <w:pPr>
        <w:spacing w:line="560" w:lineRule="exact"/>
        <w:ind w:firstLine="480" w:firstLineChars="200"/>
        <w:rPr>
          <w:rFonts w:ascii="宋体" w:hAnsi="宋体" w:cs="宋体"/>
          <w:sz w:val="24"/>
        </w:rPr>
      </w:pPr>
      <w:r>
        <w:rPr>
          <w:rFonts w:hint="eastAsia" w:ascii="宋体" w:hAnsi="宋体" w:cs="宋体"/>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ascii="宋体" w:hAnsi="宋体" w:cs="宋体"/>
          <w:b/>
          <w:sz w:val="24"/>
        </w:rPr>
      </w:pPr>
      <w:bookmarkStart w:id="477" w:name="_Toc7502"/>
      <w:bookmarkStart w:id="478" w:name="_Toc487900364"/>
      <w:bookmarkStart w:id="479" w:name="_Toc259093683"/>
      <w:bookmarkStart w:id="480" w:name="_Ref467378121"/>
      <w:bookmarkStart w:id="481" w:name="_Toc279701254"/>
      <w:r>
        <w:rPr>
          <w:rFonts w:hint="eastAsia" w:ascii="宋体" w:hAnsi="宋体" w:cs="宋体"/>
          <w:b/>
          <w:sz w:val="24"/>
        </w:rPr>
        <w:t>2.10 合同变更</w:t>
      </w:r>
      <w:bookmarkEnd w:id="477"/>
    </w:p>
    <w:p>
      <w:pPr>
        <w:spacing w:line="560" w:lineRule="exact"/>
        <w:ind w:firstLine="480" w:firstLineChars="200"/>
        <w:rPr>
          <w:rFonts w:ascii="宋体" w:hAnsi="宋体" w:cs="宋体"/>
          <w:sz w:val="24"/>
        </w:rPr>
      </w:pPr>
      <w:r>
        <w:rPr>
          <w:rFonts w:hint="eastAsia" w:ascii="宋体" w:hAnsi="宋体" w:cs="宋体"/>
          <w:sz w:val="24"/>
        </w:rPr>
        <w:t>合同继续履行将损害国家利益和社会公共利益的，双方当事人应当以书面形式变更合同。有过错的一方应当承担赔偿责任，双方当事人都有过错的，各自承担相应的责任。</w:t>
      </w:r>
      <w:bookmarkStart w:id="482" w:name="_Toc487900369"/>
      <w:bookmarkStart w:id="483" w:name="_Toc279701259"/>
      <w:bookmarkStart w:id="484" w:name="_Toc259093688"/>
    </w:p>
    <w:p>
      <w:pPr>
        <w:spacing w:line="560" w:lineRule="exact"/>
        <w:ind w:firstLine="482" w:firstLineChars="200"/>
        <w:outlineLvl w:val="0"/>
        <w:rPr>
          <w:rFonts w:ascii="宋体" w:hAnsi="宋体" w:cs="宋体"/>
          <w:b/>
          <w:sz w:val="24"/>
        </w:rPr>
      </w:pPr>
      <w:bookmarkStart w:id="485" w:name="_Toc15237"/>
      <w:bookmarkStart w:id="486" w:name="_Toc10366"/>
      <w:bookmarkStart w:id="487" w:name="_Toc22955"/>
      <w:r>
        <w:rPr>
          <w:rFonts w:hint="eastAsia" w:ascii="宋体" w:hAnsi="宋体" w:cs="宋体"/>
          <w:b/>
          <w:sz w:val="24"/>
        </w:rPr>
        <w:t>2.11 合同转让</w:t>
      </w:r>
      <w:bookmarkEnd w:id="482"/>
      <w:bookmarkEnd w:id="483"/>
      <w:bookmarkEnd w:id="484"/>
      <w:r>
        <w:rPr>
          <w:rFonts w:hint="eastAsia" w:ascii="宋体" w:hAnsi="宋体" w:cs="宋体"/>
          <w:b/>
          <w:sz w:val="24"/>
        </w:rPr>
        <w:t>和分包</w:t>
      </w:r>
      <w:bookmarkEnd w:id="485"/>
      <w:bookmarkEnd w:id="486"/>
      <w:bookmarkEnd w:id="487"/>
    </w:p>
    <w:p>
      <w:pPr>
        <w:spacing w:line="560" w:lineRule="exact"/>
        <w:ind w:firstLine="480" w:firstLineChars="200"/>
        <w:rPr>
          <w:rFonts w:ascii="宋体" w:hAnsi="宋体" w:cs="宋体"/>
          <w:sz w:val="24"/>
        </w:rPr>
      </w:pPr>
      <w:r>
        <w:rPr>
          <w:rFonts w:hint="eastAsia" w:ascii="宋体" w:hAnsi="宋体" w:cs="宋体"/>
          <w:sz w:val="24"/>
        </w:rPr>
        <w:t>2.11.1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0" w:firstLineChars="200"/>
        <w:rPr>
          <w:rFonts w:ascii="宋体" w:hAnsi="宋体" w:cs="宋体"/>
          <w:sz w:val="24"/>
        </w:rPr>
      </w:pPr>
      <w:r>
        <w:rPr>
          <w:rFonts w:hint="eastAsia" w:ascii="宋体" w:hAnsi="宋体" w:cs="宋体"/>
          <w:sz w:val="24"/>
        </w:rPr>
        <w:t>2.11.2乙方采取分包方式履行合同的，甲方可直接向分包供应商支付款项。</w:t>
      </w:r>
    </w:p>
    <w:p>
      <w:pPr>
        <w:spacing w:line="560" w:lineRule="exact"/>
        <w:ind w:firstLine="482" w:firstLineChars="200"/>
        <w:outlineLvl w:val="0"/>
        <w:rPr>
          <w:rFonts w:ascii="宋体" w:hAnsi="宋体" w:cs="宋体"/>
          <w:b/>
          <w:sz w:val="24"/>
        </w:rPr>
      </w:pPr>
      <w:bookmarkStart w:id="488" w:name="_Toc13566"/>
      <w:bookmarkStart w:id="489" w:name="_Toc14066"/>
      <w:bookmarkStart w:id="490" w:name="_Toc16508"/>
      <w:r>
        <w:rPr>
          <w:rFonts w:hint="eastAsia" w:ascii="宋体" w:hAnsi="宋体" w:cs="宋体"/>
          <w:b/>
          <w:sz w:val="24"/>
        </w:rPr>
        <w:t>2.12 不可抗力</w:t>
      </w:r>
      <w:bookmarkEnd w:id="488"/>
      <w:bookmarkEnd w:id="489"/>
      <w:bookmarkEnd w:id="490"/>
    </w:p>
    <w:p>
      <w:pPr>
        <w:spacing w:line="560" w:lineRule="exact"/>
        <w:ind w:firstLine="480" w:firstLineChars="200"/>
        <w:rPr>
          <w:rFonts w:ascii="宋体" w:hAnsi="宋体" w:cs="宋体"/>
          <w:sz w:val="24"/>
        </w:rPr>
      </w:pPr>
      <w:r>
        <w:rPr>
          <w:rFonts w:hint="eastAsia" w:ascii="宋体" w:hAnsi="宋体" w:cs="宋体"/>
          <w:sz w:val="24"/>
        </w:rPr>
        <w:t>2.12.1如果任何一方遭遇法律规定的不可抗力，致使合同履行受阻时，履行合同的期限应予延长，延长的期限应相当于不可抗力所影响的时间；</w:t>
      </w:r>
    </w:p>
    <w:p>
      <w:pPr>
        <w:spacing w:line="560" w:lineRule="exact"/>
        <w:ind w:firstLine="480" w:firstLineChars="200"/>
        <w:rPr>
          <w:rFonts w:ascii="宋体" w:hAnsi="宋体" w:cs="宋体"/>
          <w:sz w:val="24"/>
        </w:rPr>
      </w:pPr>
      <w:r>
        <w:rPr>
          <w:rFonts w:hint="eastAsia" w:ascii="宋体" w:hAnsi="宋体" w:cs="宋体"/>
          <w:sz w:val="24"/>
        </w:rPr>
        <w:t>2.12.2 因不可抗力致使不能实现合同目的的，当事人可以解除合同；</w:t>
      </w:r>
    </w:p>
    <w:p>
      <w:pPr>
        <w:spacing w:line="560" w:lineRule="exact"/>
        <w:ind w:firstLine="480" w:firstLineChars="200"/>
        <w:rPr>
          <w:rFonts w:ascii="宋体" w:hAnsi="宋体" w:cs="宋体"/>
          <w:sz w:val="24"/>
        </w:rPr>
      </w:pPr>
      <w:r>
        <w:rPr>
          <w:rFonts w:hint="eastAsia" w:ascii="宋体" w:hAnsi="宋体" w:cs="宋体"/>
          <w:sz w:val="24"/>
        </w:rPr>
        <w:t>2.12.3 因不可抗力致使合同有变更必要的，双方当事人应在</w:t>
      </w:r>
      <w:r>
        <w:rPr>
          <w:rFonts w:hint="eastAsia" w:ascii="宋体" w:hAnsi="宋体" w:cs="宋体"/>
          <w:b/>
          <w:i/>
          <w:sz w:val="24"/>
          <w:u w:val="single"/>
        </w:rPr>
        <w:t>合同专用条款</w:t>
      </w:r>
      <w:r>
        <w:rPr>
          <w:rFonts w:hint="eastAsia" w:ascii="宋体" w:hAnsi="宋体" w:cs="宋体"/>
          <w:sz w:val="24"/>
        </w:rPr>
        <w:t>约定时间内以书面形式变更合同；</w:t>
      </w:r>
    </w:p>
    <w:p>
      <w:pPr>
        <w:spacing w:line="560" w:lineRule="exact"/>
        <w:ind w:firstLine="480" w:firstLineChars="200"/>
        <w:rPr>
          <w:rFonts w:ascii="宋体" w:hAnsi="宋体" w:cs="宋体"/>
          <w:sz w:val="24"/>
        </w:rPr>
      </w:pPr>
      <w:r>
        <w:rPr>
          <w:rFonts w:hint="eastAsia" w:ascii="宋体" w:hAnsi="宋体" w:cs="宋体"/>
          <w:sz w:val="24"/>
        </w:rPr>
        <w:t>2.12.4受不可抗力影响的一方在不可抗力发生后，应在</w:t>
      </w:r>
      <w:r>
        <w:rPr>
          <w:rFonts w:hint="eastAsia" w:ascii="宋体" w:hAnsi="宋体" w:cs="宋体"/>
          <w:b/>
          <w:i/>
          <w:sz w:val="24"/>
          <w:u w:val="single"/>
        </w:rPr>
        <w:t>合同专用条款</w:t>
      </w:r>
      <w:r>
        <w:rPr>
          <w:rFonts w:hint="eastAsia" w:ascii="宋体" w:hAnsi="宋体" w:cs="宋体"/>
          <w:sz w:val="24"/>
        </w:rPr>
        <w:t>约定时间内以书面形式通知对方当事人，并在</w:t>
      </w:r>
      <w:r>
        <w:rPr>
          <w:rFonts w:hint="eastAsia" w:ascii="宋体" w:hAnsi="宋体" w:cs="宋体"/>
          <w:b/>
          <w:i/>
          <w:sz w:val="24"/>
          <w:u w:val="single"/>
        </w:rPr>
        <w:t>合同专用条款</w:t>
      </w:r>
      <w:r>
        <w:rPr>
          <w:rFonts w:hint="eastAsia" w:ascii="宋体" w:hAnsi="宋体" w:cs="宋体"/>
          <w:sz w:val="24"/>
        </w:rPr>
        <w:t>约定时间内，将有关部门出具的证明文件送达对方当事人。</w:t>
      </w:r>
    </w:p>
    <w:p>
      <w:pPr>
        <w:spacing w:line="560" w:lineRule="exact"/>
        <w:ind w:firstLine="482" w:firstLineChars="200"/>
        <w:outlineLvl w:val="0"/>
        <w:rPr>
          <w:rFonts w:ascii="宋体" w:hAnsi="宋体" w:cs="宋体"/>
          <w:b/>
          <w:sz w:val="24"/>
        </w:rPr>
      </w:pPr>
      <w:bookmarkStart w:id="491" w:name="_Toc279701255"/>
      <w:bookmarkStart w:id="492" w:name="_Toc30676"/>
      <w:bookmarkStart w:id="493" w:name="_Toc487900365"/>
      <w:bookmarkStart w:id="494" w:name="_Toc259093684"/>
      <w:bookmarkStart w:id="495" w:name="_Toc6969"/>
      <w:bookmarkStart w:id="496" w:name="_Toc689"/>
      <w:r>
        <w:rPr>
          <w:rFonts w:hint="eastAsia" w:ascii="宋体" w:hAnsi="宋体" w:cs="宋体"/>
          <w:b/>
          <w:sz w:val="24"/>
        </w:rPr>
        <w:t>2.13 税费</w:t>
      </w:r>
      <w:bookmarkEnd w:id="491"/>
      <w:bookmarkEnd w:id="492"/>
      <w:bookmarkEnd w:id="493"/>
      <w:bookmarkEnd w:id="494"/>
      <w:bookmarkEnd w:id="495"/>
      <w:bookmarkEnd w:id="496"/>
    </w:p>
    <w:p>
      <w:pPr>
        <w:spacing w:line="560" w:lineRule="exact"/>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560" w:lineRule="exact"/>
        <w:ind w:firstLine="482" w:firstLineChars="200"/>
        <w:outlineLvl w:val="0"/>
        <w:rPr>
          <w:rFonts w:ascii="宋体" w:hAnsi="宋体" w:cs="宋体"/>
          <w:b/>
          <w:sz w:val="24"/>
        </w:rPr>
      </w:pPr>
      <w:bookmarkStart w:id="497" w:name="_Toc259093687"/>
      <w:bookmarkStart w:id="498" w:name="_Toc487900368"/>
      <w:bookmarkStart w:id="499" w:name="_Toc279701258"/>
      <w:bookmarkStart w:id="500" w:name="_Toc16959"/>
      <w:bookmarkStart w:id="501" w:name="_Toc7102"/>
      <w:bookmarkStart w:id="502" w:name="_Toc8298"/>
      <w:r>
        <w:rPr>
          <w:rFonts w:hint="eastAsia" w:ascii="宋体" w:hAnsi="宋体" w:cs="宋体"/>
          <w:b/>
          <w:sz w:val="24"/>
        </w:rPr>
        <w:t>2.14乙方破产</w:t>
      </w:r>
      <w:bookmarkEnd w:id="497"/>
      <w:bookmarkEnd w:id="498"/>
      <w:bookmarkEnd w:id="499"/>
      <w:bookmarkEnd w:id="500"/>
      <w:bookmarkEnd w:id="501"/>
      <w:bookmarkEnd w:id="502"/>
    </w:p>
    <w:p>
      <w:pPr>
        <w:spacing w:line="560" w:lineRule="exact"/>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宋体" w:hAnsi="宋体" w:cs="宋体"/>
          <w:b/>
          <w:sz w:val="24"/>
        </w:rPr>
      </w:pPr>
      <w:bookmarkStart w:id="503" w:name="_Toc15387"/>
      <w:bookmarkStart w:id="504" w:name="_Toc6134"/>
      <w:bookmarkStart w:id="505" w:name="_Toc29333"/>
      <w:r>
        <w:rPr>
          <w:rFonts w:hint="eastAsia" w:ascii="宋体" w:hAnsi="宋体" w:cs="宋体"/>
          <w:b/>
          <w:sz w:val="24"/>
        </w:rPr>
        <w:t>2.15 合同中止、终止</w:t>
      </w:r>
      <w:bookmarkEnd w:id="503"/>
      <w:bookmarkEnd w:id="504"/>
      <w:bookmarkEnd w:id="505"/>
    </w:p>
    <w:p>
      <w:pPr>
        <w:spacing w:line="560" w:lineRule="exact"/>
        <w:ind w:firstLine="480" w:firstLineChars="200"/>
        <w:rPr>
          <w:rFonts w:ascii="宋体" w:hAnsi="宋体" w:cs="宋体"/>
          <w:sz w:val="24"/>
        </w:rPr>
      </w:pPr>
      <w:r>
        <w:rPr>
          <w:rFonts w:hint="eastAsia" w:ascii="宋体" w:hAnsi="宋体" w:cs="宋体"/>
          <w:sz w:val="24"/>
        </w:rPr>
        <w:t>2.15.1 双方当事人不得擅自中止或者终止合同；</w:t>
      </w:r>
    </w:p>
    <w:p>
      <w:pPr>
        <w:spacing w:line="560" w:lineRule="exact"/>
        <w:ind w:firstLine="480" w:firstLineChars="200"/>
        <w:rPr>
          <w:rFonts w:ascii="宋体" w:hAnsi="宋体" w:cs="宋体"/>
          <w:sz w:val="24"/>
        </w:rPr>
      </w:pPr>
      <w:r>
        <w:rPr>
          <w:rFonts w:hint="eastAsia" w:ascii="宋体" w:hAnsi="宋体" w:cs="宋体"/>
          <w:sz w:val="24"/>
        </w:rPr>
        <w:t>2.15.2合同继续履行将损害国家利益和社会公共利益的，双方当事人应当中止或者终止合同。有过错的一方应当承担赔偿责任，双方当事人都有过错的，各自承担相应的责任。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宋体" w:hAnsi="宋体" w:cs="宋体"/>
          <w:b/>
          <w:sz w:val="24"/>
        </w:rPr>
      </w:pPr>
      <w:bookmarkStart w:id="506" w:name="_Toc1125"/>
      <w:bookmarkStart w:id="507" w:name="_Toc6596"/>
      <w:bookmarkStart w:id="508" w:name="_Toc14563"/>
      <w:r>
        <w:rPr>
          <w:rFonts w:hint="eastAsia" w:ascii="宋体" w:hAnsi="宋体" w:cs="宋体"/>
          <w:b/>
          <w:sz w:val="24"/>
        </w:rPr>
        <w:t>2.16检验和验收</w:t>
      </w:r>
      <w:bookmarkEnd w:id="506"/>
      <w:bookmarkEnd w:id="507"/>
      <w:bookmarkEnd w:id="508"/>
    </w:p>
    <w:p>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2.16.1货物交付前，乙方应对货物的质量、数量等方面进行详细、全面的检验，并向甲方出具证明货物符合合同约定的文件；货物交付时，甲方在</w:t>
      </w:r>
      <w:r>
        <w:rPr>
          <w:rFonts w:hint="eastAsia" w:ascii="宋体" w:hAnsi="宋体" w:cs="宋体"/>
          <w:b/>
          <w:i/>
          <w:sz w:val="24"/>
          <w:u w:val="single"/>
        </w:rPr>
        <w:t>合同专用条款</w:t>
      </w:r>
      <w:r>
        <w:rPr>
          <w:rFonts w:hint="eastAsia" w:ascii="宋体" w:hAnsi="宋体" w:cs="宋体"/>
          <w:sz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2.16.2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2.16.3 检验和验收标准、程序等具体内容以及前述验收书的效力详见</w:t>
      </w:r>
      <w:r>
        <w:rPr>
          <w:rFonts w:hint="eastAsia" w:ascii="宋体" w:hAnsi="宋体" w:cs="宋体"/>
          <w:b/>
          <w:i/>
          <w:sz w:val="24"/>
          <w:u w:val="single"/>
        </w:rPr>
        <w:t>合同专用条款</w:t>
      </w:r>
      <w:r>
        <w:rPr>
          <w:rFonts w:hint="eastAsia" w:ascii="宋体" w:hAnsi="宋体" w:cs="宋体"/>
          <w:i/>
          <w:sz w:val="24"/>
        </w:rPr>
        <w:t>。</w:t>
      </w:r>
    </w:p>
    <w:bookmarkEnd w:id="478"/>
    <w:bookmarkEnd w:id="479"/>
    <w:bookmarkEnd w:id="480"/>
    <w:bookmarkEnd w:id="481"/>
    <w:p>
      <w:pPr>
        <w:spacing w:line="560" w:lineRule="exact"/>
        <w:ind w:firstLine="482" w:firstLineChars="200"/>
        <w:outlineLvl w:val="0"/>
        <w:rPr>
          <w:rFonts w:ascii="宋体" w:hAnsi="宋体" w:cs="宋体"/>
          <w:b/>
          <w:sz w:val="24"/>
        </w:rPr>
      </w:pPr>
      <w:bookmarkStart w:id="509" w:name="_Toc487900371"/>
      <w:bookmarkStart w:id="510" w:name="_Toc259093690"/>
      <w:bookmarkStart w:id="511" w:name="_Toc279701261"/>
      <w:bookmarkStart w:id="512" w:name="_Toc25182"/>
      <w:bookmarkStart w:id="513" w:name="_Toc11284"/>
      <w:bookmarkStart w:id="514" w:name="_Toc19604"/>
      <w:r>
        <w:rPr>
          <w:rFonts w:hint="eastAsia" w:ascii="宋体" w:hAnsi="宋体" w:cs="宋体"/>
          <w:b/>
          <w:sz w:val="24"/>
        </w:rPr>
        <w:t>2.17 通知</w:t>
      </w:r>
      <w:bookmarkEnd w:id="509"/>
      <w:bookmarkEnd w:id="510"/>
      <w:bookmarkEnd w:id="511"/>
      <w:r>
        <w:rPr>
          <w:rFonts w:hint="eastAsia" w:ascii="宋体" w:hAnsi="宋体" w:cs="宋体"/>
          <w:b/>
          <w:sz w:val="24"/>
        </w:rPr>
        <w:t>和送达</w:t>
      </w:r>
      <w:bookmarkEnd w:id="512"/>
      <w:bookmarkEnd w:id="513"/>
      <w:bookmarkEnd w:id="514"/>
    </w:p>
    <w:p>
      <w:pPr>
        <w:spacing w:line="560" w:lineRule="exact"/>
        <w:ind w:firstLine="480" w:firstLineChars="200"/>
        <w:rPr>
          <w:rFonts w:ascii="宋体" w:hAnsi="宋体" w:cs="宋体"/>
          <w:sz w:val="24"/>
        </w:rPr>
      </w:pPr>
      <w:bookmarkStart w:id="515" w:name="_Toc3135"/>
      <w:bookmarkStart w:id="516" w:name="_Toc6698"/>
      <w:bookmarkStart w:id="517" w:name="_Toc487900372"/>
      <w:bookmarkStart w:id="518" w:name="_Toc259093691"/>
      <w:bookmarkStart w:id="519" w:name="_Toc279701262"/>
      <w:r>
        <w:rPr>
          <w:rFonts w:hint="eastAsia" w:ascii="宋体" w:hAnsi="宋体" w:cs="宋体"/>
          <w:sz w:val="24"/>
        </w:rPr>
        <w:t xml:space="preserve">2.17.1任何一方因履行合同而以合同第一部分尾部所列明的传真或电子邮件 </w:t>
      </w:r>
      <w:r>
        <w:rPr>
          <w:rFonts w:hint="eastAsia" w:ascii="宋体" w:hAnsi="宋体" w:cs="宋体"/>
          <w:sz w:val="24"/>
          <w:u w:val="single"/>
        </w:rPr>
        <w:t xml:space="preserve">       </w:t>
      </w:r>
      <w:r>
        <w:rPr>
          <w:rFonts w:hint="eastAsia" w:ascii="宋体" w:hAnsi="宋体" w:cs="宋体"/>
          <w:sz w:val="24"/>
        </w:rPr>
        <w:t>发出的所有通知、文件、材料，均视为已向对方当事人送达；任何一方变更上述送达方式或者地址的，应于</w:t>
      </w:r>
      <w:r>
        <w:rPr>
          <w:rFonts w:hint="eastAsia" w:ascii="宋体" w:hAnsi="宋体" w:cs="宋体"/>
          <w:sz w:val="24"/>
          <w:u w:val="single"/>
        </w:rPr>
        <w:t>3</w:t>
      </w:r>
      <w:r>
        <w:rPr>
          <w:rFonts w:hint="eastAsia" w:ascii="宋体" w:hAnsi="宋体" w:cs="宋体"/>
          <w:sz w:val="24"/>
        </w:rPr>
        <w:t>个工作日内书面通知对方当事人，在对方当事人收到有关变更通知之前，变更前的约定送达方式或者地址仍视为有效。</w:t>
      </w:r>
      <w:bookmarkEnd w:id="515"/>
      <w:bookmarkEnd w:id="516"/>
    </w:p>
    <w:p>
      <w:pPr>
        <w:spacing w:line="560" w:lineRule="exact"/>
        <w:ind w:firstLine="480" w:firstLineChars="200"/>
        <w:rPr>
          <w:rFonts w:ascii="宋体" w:hAnsi="宋体" w:cs="宋体"/>
          <w:sz w:val="24"/>
        </w:rPr>
      </w:pPr>
      <w:bookmarkStart w:id="520" w:name="_Toc23294"/>
      <w:bookmarkStart w:id="521" w:name="_Toc23128"/>
      <w:r>
        <w:rPr>
          <w:rFonts w:hint="eastAsia" w:ascii="宋体" w:hAnsi="宋体" w:cs="宋体"/>
          <w:sz w:val="24"/>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520"/>
      <w:bookmarkEnd w:id="521"/>
    </w:p>
    <w:p>
      <w:pPr>
        <w:spacing w:line="560" w:lineRule="exact"/>
        <w:ind w:firstLine="482" w:firstLineChars="200"/>
        <w:outlineLvl w:val="0"/>
        <w:rPr>
          <w:rFonts w:ascii="宋体" w:hAnsi="宋体" w:cs="宋体"/>
          <w:b/>
          <w:sz w:val="24"/>
        </w:rPr>
      </w:pPr>
      <w:bookmarkStart w:id="522" w:name="_Toc30599"/>
      <w:bookmarkStart w:id="523" w:name="_Toc18540"/>
      <w:bookmarkStart w:id="524" w:name="_Toc4355"/>
      <w:r>
        <w:rPr>
          <w:rFonts w:hint="eastAsia" w:ascii="宋体" w:hAnsi="宋体" w:cs="宋体"/>
          <w:b/>
          <w:sz w:val="24"/>
        </w:rPr>
        <w:t>2.18 计量单位</w:t>
      </w:r>
      <w:bookmarkEnd w:id="517"/>
      <w:bookmarkEnd w:id="518"/>
      <w:bookmarkEnd w:id="519"/>
      <w:bookmarkEnd w:id="522"/>
      <w:bookmarkEnd w:id="523"/>
      <w:bookmarkEnd w:id="524"/>
    </w:p>
    <w:p>
      <w:pPr>
        <w:spacing w:line="560" w:lineRule="exact"/>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560" w:lineRule="exact"/>
        <w:ind w:firstLine="482" w:firstLineChars="200"/>
        <w:outlineLvl w:val="0"/>
        <w:rPr>
          <w:rFonts w:ascii="宋体" w:hAnsi="宋体" w:cs="宋体"/>
          <w:b/>
          <w:sz w:val="24"/>
        </w:rPr>
      </w:pPr>
      <w:bookmarkStart w:id="525" w:name="_Toc18567"/>
      <w:bookmarkStart w:id="526" w:name="_Toc279701263"/>
      <w:bookmarkStart w:id="527" w:name="_Toc10330"/>
      <w:bookmarkStart w:id="528" w:name="_Toc487900373"/>
      <w:bookmarkStart w:id="529" w:name="_Toc259093692"/>
      <w:bookmarkStart w:id="530" w:name="_Toc12773"/>
      <w:r>
        <w:rPr>
          <w:rFonts w:hint="eastAsia" w:ascii="宋体" w:hAnsi="宋体" w:cs="宋体"/>
          <w:b/>
          <w:sz w:val="24"/>
        </w:rPr>
        <w:t>2.19 合同使用的文字和适用的法律</w:t>
      </w:r>
      <w:bookmarkEnd w:id="525"/>
      <w:bookmarkEnd w:id="526"/>
      <w:bookmarkEnd w:id="527"/>
      <w:bookmarkEnd w:id="528"/>
      <w:bookmarkEnd w:id="529"/>
      <w:bookmarkEnd w:id="530"/>
    </w:p>
    <w:p>
      <w:pPr>
        <w:spacing w:line="560" w:lineRule="exact"/>
        <w:ind w:firstLine="480" w:firstLineChars="200"/>
        <w:rPr>
          <w:rFonts w:ascii="宋体" w:hAnsi="宋体" w:cs="宋体"/>
          <w:sz w:val="24"/>
        </w:rPr>
      </w:pPr>
      <w:r>
        <w:rPr>
          <w:rFonts w:hint="eastAsia" w:ascii="宋体" w:hAnsi="宋体" w:cs="宋体"/>
          <w:sz w:val="24"/>
        </w:rPr>
        <w:t>2.19.1 合同使用汉语书就、变更和解释；</w:t>
      </w:r>
    </w:p>
    <w:p>
      <w:pPr>
        <w:spacing w:line="560" w:lineRule="exact"/>
        <w:ind w:firstLine="480" w:firstLineChars="200"/>
        <w:rPr>
          <w:rFonts w:ascii="宋体" w:hAnsi="宋体" w:cs="宋体"/>
          <w:sz w:val="24"/>
        </w:rPr>
      </w:pPr>
      <w:r>
        <w:rPr>
          <w:rFonts w:hint="eastAsia" w:ascii="宋体" w:hAnsi="宋体" w:cs="宋体"/>
          <w:sz w:val="24"/>
        </w:rPr>
        <w:t>2.19.2 合同适用中华人民共和国法律。</w:t>
      </w:r>
    </w:p>
    <w:p>
      <w:pPr>
        <w:spacing w:line="560" w:lineRule="exact"/>
        <w:ind w:firstLine="482" w:firstLineChars="200"/>
        <w:outlineLvl w:val="0"/>
        <w:rPr>
          <w:rFonts w:ascii="宋体" w:hAnsi="宋体" w:cs="宋体"/>
          <w:b/>
          <w:sz w:val="24"/>
        </w:rPr>
      </w:pPr>
      <w:bookmarkStart w:id="531" w:name="_Toc6885"/>
      <w:bookmarkStart w:id="532" w:name="_Toc19890"/>
      <w:bookmarkStart w:id="533" w:name="_Toc14001"/>
      <w:r>
        <w:rPr>
          <w:rFonts w:hint="eastAsia" w:ascii="宋体" w:hAnsi="宋体" w:cs="宋体"/>
          <w:b/>
          <w:sz w:val="24"/>
        </w:rPr>
        <w:t>2.2</w:t>
      </w:r>
      <w:r>
        <w:rPr>
          <w:rFonts w:hint="eastAsia" w:ascii="宋体" w:hAnsi="宋体" w:cs="宋体"/>
          <w:b/>
          <w:sz w:val="24"/>
          <w:lang w:val="en-US" w:eastAsia="zh-CN"/>
        </w:rPr>
        <w:t>0</w:t>
      </w:r>
      <w:r>
        <w:rPr>
          <w:rFonts w:hint="eastAsia" w:ascii="宋体" w:hAnsi="宋体" w:cs="宋体"/>
          <w:b/>
          <w:sz w:val="24"/>
        </w:rPr>
        <w:t>合同份数</w:t>
      </w:r>
      <w:bookmarkEnd w:id="531"/>
      <w:bookmarkEnd w:id="532"/>
      <w:bookmarkEnd w:id="533"/>
    </w:p>
    <w:p>
      <w:pPr>
        <w:spacing w:line="560" w:lineRule="exact"/>
        <w:ind w:firstLine="480" w:firstLineChars="200"/>
        <w:rPr>
          <w:rFonts w:ascii="宋体" w:hAnsi="宋体" w:cs="宋体"/>
          <w:sz w:val="24"/>
        </w:rPr>
      </w:pPr>
      <w:r>
        <w:rPr>
          <w:rFonts w:hint="eastAsia" w:ascii="宋体" w:hAnsi="宋体" w:cs="宋体"/>
          <w:sz w:val="24"/>
        </w:rPr>
        <w:t>合同份数按</w:t>
      </w:r>
      <w:r>
        <w:rPr>
          <w:rFonts w:hint="eastAsia" w:ascii="宋体" w:hAnsi="宋体" w:cs="宋体"/>
          <w:b/>
          <w:i/>
          <w:sz w:val="24"/>
          <w:u w:val="single"/>
        </w:rPr>
        <w:t>合同专用条款</w:t>
      </w:r>
      <w:r>
        <w:rPr>
          <w:rFonts w:hint="eastAsia" w:ascii="宋体" w:hAnsi="宋体" w:cs="宋体"/>
          <w:sz w:val="24"/>
        </w:rPr>
        <w:t>规定，每份均具有同等法律效力。</w:t>
      </w:r>
    </w:p>
    <w:p>
      <w:pPr>
        <w:adjustRightInd/>
        <w:spacing w:line="360" w:lineRule="auto"/>
        <w:ind w:firstLine="2513" w:firstLineChars="1197"/>
        <w:outlineLvl w:val="0"/>
        <w:rPr>
          <w:rFonts w:ascii="宋体" w:hAnsi="宋体" w:cs="宋体"/>
          <w:b/>
        </w:rPr>
      </w:pPr>
      <w:r>
        <w:rPr>
          <w:rFonts w:hint="eastAsia" w:ascii="宋体" w:hAnsi="宋体" w:cs="宋体"/>
          <w:kern w:val="0"/>
        </w:rPr>
        <w:br w:type="page"/>
      </w:r>
      <w:bookmarkStart w:id="534" w:name="_Toc331685784"/>
      <w:r>
        <w:rPr>
          <w:rFonts w:hint="eastAsia" w:ascii="宋体" w:hAnsi="宋体" w:cs="宋体"/>
          <w:b/>
          <w:sz w:val="32"/>
          <w:szCs w:val="20"/>
        </w:rPr>
        <w:t xml:space="preserve"> </w:t>
      </w:r>
      <w:bookmarkEnd w:id="534"/>
      <w:r>
        <w:rPr>
          <w:rFonts w:hint="eastAsia" w:ascii="宋体" w:hAnsi="宋体" w:cs="宋体"/>
          <w:b/>
          <w:sz w:val="32"/>
          <w:szCs w:val="20"/>
        </w:rPr>
        <w:t>第三部分  合同专用条款</w:t>
      </w:r>
    </w:p>
    <w:p>
      <w:pPr>
        <w:spacing w:line="560" w:lineRule="exact"/>
        <w:ind w:left="-420" w:leftChars="-200" w:right="-420" w:rightChars="-200" w:firstLine="480" w:firstLineChars="200"/>
        <w:rPr>
          <w:rFonts w:hint="eastAsia" w:ascii="宋体" w:hAnsi="宋体" w:cs="宋体"/>
          <w:sz w:val="24"/>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51"/>
        <w:gridCol w:w="827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6" w:type="pct"/>
            <w:tcBorders>
              <w:left w:val="single" w:color="auto" w:sz="4" w:space="0"/>
            </w:tcBorders>
            <w:vAlign w:val="center"/>
          </w:tcPr>
          <w:p>
            <w:pPr>
              <w:widowControl/>
              <w:adjustRightInd/>
              <w:jc w:val="left"/>
              <w:rPr>
                <w:rFonts w:ascii="宋体" w:hAnsi="宋体" w:cs="宋体"/>
                <w:b/>
                <w:sz w:val="24"/>
              </w:rPr>
            </w:pPr>
            <w:r>
              <w:rPr>
                <w:rFonts w:ascii="宋体" w:hAnsi="宋体" w:cs="宋体"/>
                <w:b/>
                <w:sz w:val="36"/>
                <w:szCs w:val="20"/>
              </w:rPr>
              <w:br w:type="page"/>
            </w:r>
            <w:r>
              <w:rPr>
                <w:rFonts w:hint="eastAsia" w:ascii="宋体" w:hAnsi="宋体" w:cs="宋体"/>
                <w:b/>
                <w:sz w:val="24"/>
              </w:rPr>
              <w:t>条款号</w:t>
            </w:r>
          </w:p>
        </w:tc>
        <w:tc>
          <w:tcPr>
            <w:tcW w:w="4533" w:type="pct"/>
            <w:vAlign w:val="center"/>
          </w:tcPr>
          <w:p>
            <w:pPr>
              <w:spacing w:line="360" w:lineRule="auto"/>
              <w:jc w:val="center"/>
              <w:rPr>
                <w:rFonts w:ascii="宋体" w:hAnsi="宋体" w:cs="宋体"/>
                <w:b/>
                <w:sz w:val="24"/>
              </w:rPr>
            </w:pPr>
            <w:r>
              <w:rPr>
                <w:rFonts w:hint="eastAsia" w:ascii="宋体" w:hAnsi="宋体" w:cs="宋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6" w:type="pct"/>
            <w:tcBorders>
              <w:left w:val="single" w:color="auto" w:sz="4" w:space="0"/>
            </w:tcBorders>
            <w:vAlign w:val="center"/>
          </w:tcPr>
          <w:p>
            <w:pPr>
              <w:spacing w:line="360" w:lineRule="auto"/>
              <w:rPr>
                <w:rFonts w:hint="default" w:ascii="Times New Roman" w:hAnsi="Times New Roman" w:eastAsia="宋体" w:cs="Times New Roman"/>
                <w:color w:val="auto"/>
                <w:sz w:val="24"/>
                <w:highlight w:val="none"/>
                <w:lang w:val="en-US" w:eastAsia="zh-CN"/>
              </w:rPr>
            </w:pPr>
            <w:r>
              <w:rPr>
                <w:rFonts w:hint="eastAsia" w:ascii="宋体" w:hAnsi="宋体" w:cs="宋体"/>
                <w:sz w:val="24"/>
                <w:highlight w:val="none"/>
                <w:lang w:val="en-US" w:eastAsia="zh-CN"/>
              </w:rPr>
              <w:t>1.4</w:t>
            </w:r>
          </w:p>
        </w:tc>
        <w:tc>
          <w:tcPr>
            <w:tcW w:w="4533" w:type="pct"/>
            <w:vAlign w:val="center"/>
          </w:tcPr>
          <w:p>
            <w:pPr>
              <w:spacing w:line="360" w:lineRule="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乙方不需要支付履约保证金。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6" w:type="pct"/>
            <w:tcBorders>
              <w:left w:val="single" w:color="auto" w:sz="4" w:space="0"/>
            </w:tcBorders>
            <w:vAlign w:val="center"/>
          </w:tcPr>
          <w:p>
            <w:pPr>
              <w:spacing w:line="360" w:lineRule="auto"/>
              <w:rPr>
                <w:rFonts w:hint="default" w:ascii="宋体" w:hAnsi="宋体" w:cs="宋体"/>
                <w:sz w:val="24"/>
                <w:highlight w:val="none"/>
                <w:lang w:val="en-US" w:eastAsia="zh-CN"/>
              </w:rPr>
            </w:pPr>
            <w:r>
              <w:rPr>
                <w:rFonts w:hint="eastAsia" w:ascii="宋体" w:hAnsi="宋体" w:cs="宋体"/>
                <w:sz w:val="24"/>
                <w:highlight w:val="none"/>
                <w:lang w:val="en-US" w:eastAsia="zh-CN"/>
              </w:rPr>
              <w:t>1.4.1</w:t>
            </w:r>
          </w:p>
        </w:tc>
        <w:tc>
          <w:tcPr>
            <w:tcW w:w="4533" w:type="pct"/>
            <w:vAlign w:val="center"/>
          </w:tcPr>
          <w:p>
            <w:pPr>
              <w:spacing w:line="360" w:lineRule="auto"/>
              <w:rPr>
                <w:rFonts w:hint="eastAsia" w:ascii="Times New Roman" w:hAnsi="Times New Roman" w:eastAsia="宋体" w:cs="Times New Roman"/>
                <w:color w:val="auto"/>
                <w:sz w:val="24"/>
                <w:highlight w:val="none"/>
                <w:lang w:val="en-US" w:eastAsia="zh-CN"/>
              </w:rPr>
            </w:pPr>
            <w:r>
              <w:rPr>
                <w:rFonts w:hint="eastAsia" w:ascii="宋体" w:hAnsi="宋体" w:cs="宋体"/>
                <w:color w:val="auto"/>
                <w:kern w:val="0"/>
                <w:sz w:val="24"/>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6" w:type="pct"/>
            <w:tcBorders>
              <w:left w:val="single" w:color="auto" w:sz="4" w:space="0"/>
            </w:tcBorders>
            <w:vAlign w:val="center"/>
          </w:tcPr>
          <w:p>
            <w:pPr>
              <w:spacing w:line="360" w:lineRule="auto"/>
              <w:rPr>
                <w:rFonts w:hint="default" w:ascii="宋体" w:hAnsi="宋体" w:cs="宋体"/>
                <w:sz w:val="24"/>
                <w:highlight w:val="none"/>
                <w:lang w:val="en-US" w:eastAsia="zh-CN"/>
              </w:rPr>
            </w:pPr>
            <w:r>
              <w:rPr>
                <w:rFonts w:hint="eastAsia" w:ascii="宋体" w:hAnsi="宋体" w:cs="宋体"/>
                <w:sz w:val="24"/>
                <w:highlight w:val="none"/>
                <w:lang w:val="en-US" w:eastAsia="zh-CN"/>
              </w:rPr>
              <w:t>1.4.2</w:t>
            </w:r>
          </w:p>
        </w:tc>
        <w:tc>
          <w:tcPr>
            <w:tcW w:w="4533" w:type="pct"/>
            <w:vAlign w:val="center"/>
          </w:tcPr>
          <w:p>
            <w:pPr>
              <w:spacing w:line="360" w:lineRule="auto"/>
              <w:rPr>
                <w:rFonts w:hint="eastAsia" w:ascii="Times New Roman" w:hAnsi="Times New Roman" w:eastAsia="宋体" w:cs="Times New Roman"/>
                <w:color w:val="auto"/>
                <w:sz w:val="24"/>
                <w:highlight w:val="none"/>
                <w:lang w:val="en-US" w:eastAsia="zh-CN"/>
              </w:rPr>
            </w:pPr>
            <w:r>
              <w:rPr>
                <w:rFonts w:hint="eastAsia" w:ascii="宋体" w:hAnsi="宋体" w:cs="宋体"/>
                <w:color w:val="auto"/>
                <w:kern w:val="0"/>
                <w:sz w:val="24"/>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6" w:type="pct"/>
            <w:tcBorders>
              <w:left w:val="single" w:color="auto" w:sz="4" w:space="0"/>
            </w:tcBorders>
            <w:vAlign w:val="center"/>
          </w:tcPr>
          <w:p>
            <w:pPr>
              <w:spacing w:line="360" w:lineRule="auto"/>
              <w:rPr>
                <w:rFonts w:hint="default" w:ascii="宋体" w:hAnsi="宋体" w:cs="宋体"/>
                <w:sz w:val="24"/>
                <w:lang w:val="en-US" w:eastAsia="zh-CN"/>
              </w:rPr>
            </w:pPr>
            <w:r>
              <w:rPr>
                <w:rFonts w:hint="eastAsia" w:ascii="宋体" w:hAnsi="宋体" w:cs="宋体"/>
                <w:sz w:val="24"/>
                <w:lang w:val="en-US" w:eastAsia="zh-CN"/>
              </w:rPr>
              <w:t>1.5</w:t>
            </w:r>
          </w:p>
        </w:tc>
        <w:tc>
          <w:tcPr>
            <w:tcW w:w="4533" w:type="pct"/>
            <w:vAlign w:val="center"/>
          </w:tcPr>
          <w:p>
            <w:pPr>
              <w:spacing w:line="360" w:lineRule="auto"/>
              <w:rPr>
                <w:rFonts w:hint="eastAsia" w:ascii="宋体" w:hAnsi="宋体" w:cs="宋体"/>
                <w:sz w:val="24"/>
                <w:highlight w:val="yellow"/>
                <w:lang w:bidi="ar"/>
              </w:rPr>
            </w:pPr>
            <w:r>
              <w:rPr>
                <w:rFonts w:hint="default" w:ascii="Times New Roman" w:hAnsi="Times New Roman" w:eastAsia="宋体" w:cs="Times New Roman"/>
                <w:color w:val="auto"/>
                <w:sz w:val="24"/>
                <w:highlight w:val="none"/>
                <w:lang w:val="en-US" w:eastAsia="zh-CN"/>
              </w:rPr>
              <w:t>预付款</w:t>
            </w:r>
            <w:r>
              <w:rPr>
                <w:rFonts w:hint="default" w:ascii="Times New Roman" w:hAnsi="Times New Roman" w:eastAsia="宋体" w:cs="Times New Roman"/>
                <w:color w:val="auto"/>
                <w:sz w:val="24"/>
                <w:highlight w:val="none"/>
              </w:rPr>
              <w:t>比例、支付方式、时间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6" w:type="pct"/>
            <w:tcBorders>
              <w:left w:val="single" w:color="auto" w:sz="4" w:space="0"/>
            </w:tcBorders>
            <w:vAlign w:val="center"/>
          </w:tcPr>
          <w:p>
            <w:pPr>
              <w:spacing w:line="360" w:lineRule="auto"/>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1.5.1</w:t>
            </w:r>
          </w:p>
        </w:tc>
        <w:tc>
          <w:tcPr>
            <w:tcW w:w="4533" w:type="pct"/>
            <w:vAlign w:val="center"/>
          </w:tcPr>
          <w:p>
            <w:pPr>
              <w:spacing w:line="360" w:lineRule="auto"/>
              <w:rPr>
                <w:rFonts w:hint="eastAsia" w:ascii="宋体" w:hAnsi="宋体" w:eastAsia="宋体" w:cs="宋体"/>
                <w:sz w:val="24"/>
                <w:highlight w:val="none"/>
                <w:lang w:val="en-US" w:eastAsia="zh-CN"/>
              </w:rPr>
            </w:pPr>
            <w:r>
              <w:rPr>
                <w:rFonts w:hint="eastAsia" w:ascii="宋体" w:hAnsi="宋体" w:cs="宋体"/>
                <w:sz w:val="24"/>
                <w:highlight w:val="none"/>
                <w:lang w:bidi="ar"/>
              </w:rPr>
              <w:t>合同生效以及具备实施条件后</w:t>
            </w:r>
            <w:r>
              <w:rPr>
                <w:rFonts w:hint="eastAsia" w:ascii="宋体" w:hAnsi="宋体" w:cs="宋体"/>
                <w:sz w:val="24"/>
                <w:highlight w:val="none"/>
                <w:lang w:val="en-US" w:eastAsia="zh-CN" w:bidi="ar"/>
              </w:rPr>
              <w:t>5</w:t>
            </w:r>
            <w:r>
              <w:rPr>
                <w:rFonts w:hint="eastAsia" w:ascii="宋体" w:hAnsi="宋体" w:cs="宋体"/>
                <w:sz w:val="24"/>
                <w:highlight w:val="none"/>
                <w:lang w:bidi="ar"/>
              </w:rPr>
              <w:t>个工作日内</w:t>
            </w:r>
            <w:r>
              <w:rPr>
                <w:rFonts w:hint="eastAsia" w:ascii="宋体" w:hAnsi="宋体" w:cs="宋体"/>
                <w:sz w:val="24"/>
                <w:highlight w:val="none"/>
                <w:lang w:val="en-US" w:eastAsia="zh-CN" w:bidi="ar"/>
              </w:rPr>
              <w:t>支付合同总价的40%货款。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6" w:type="pct"/>
            <w:tcBorders>
              <w:left w:val="single" w:color="auto" w:sz="4" w:space="0"/>
            </w:tcBorders>
            <w:vAlign w:val="center"/>
          </w:tcPr>
          <w:p>
            <w:pPr>
              <w:spacing w:line="360" w:lineRule="auto"/>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1.6</w:t>
            </w:r>
          </w:p>
        </w:tc>
        <w:tc>
          <w:tcPr>
            <w:tcW w:w="4533" w:type="pct"/>
            <w:vAlign w:val="center"/>
          </w:tcPr>
          <w:p>
            <w:pPr>
              <w:pStyle w:val="58"/>
              <w:snapToGrid w:val="0"/>
              <w:spacing w:before="0" w:beforeAutospacing="0" w:after="0" w:afterAutospacing="0" w:line="300" w:lineRule="auto"/>
              <w:rPr>
                <w:highlight w:val="none"/>
              </w:rPr>
            </w:pPr>
            <w:r>
              <w:rPr>
                <w:rFonts w:hint="default" w:ascii="Times New Roman" w:hAnsi="Times New Roman" w:cs="Times New Roman"/>
                <w:color w:val="auto"/>
                <w:sz w:val="24"/>
                <w:highlight w:val="none"/>
              </w:rPr>
              <w:t>资金支付的方式、时间和条件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6" w:type="pct"/>
            <w:tcBorders>
              <w:left w:val="single" w:color="auto" w:sz="4" w:space="0"/>
            </w:tcBorders>
            <w:vAlign w:val="center"/>
          </w:tcPr>
          <w:p>
            <w:pPr>
              <w:spacing w:line="360" w:lineRule="auto"/>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1.6.2</w:t>
            </w:r>
          </w:p>
        </w:tc>
        <w:tc>
          <w:tcPr>
            <w:tcW w:w="4533" w:type="pct"/>
            <w:vAlign w:val="center"/>
          </w:tcPr>
          <w:p>
            <w:pPr>
              <w:adjustRightInd/>
              <w:spacing w:line="300" w:lineRule="auto"/>
              <w:rPr>
                <w:rFonts w:ascii="宋体" w:hAnsi="宋体"/>
                <w:kern w:val="0"/>
                <w:sz w:val="24"/>
                <w:highlight w:val="none"/>
              </w:rPr>
            </w:pPr>
            <w:r>
              <w:rPr>
                <w:rFonts w:hint="eastAsia" w:ascii="宋体" w:hAnsi="宋体" w:cs="宋体"/>
                <w:sz w:val="24"/>
                <w:highlight w:val="none"/>
                <w:lang w:bidi="ar"/>
              </w:rPr>
              <w:t>项目竣工并整体验收合格后，</w:t>
            </w:r>
            <w:r>
              <w:rPr>
                <w:rFonts w:hint="eastAsia" w:ascii="宋体" w:hAnsi="宋体" w:cs="宋体"/>
                <w:sz w:val="24"/>
                <w:highlight w:val="none"/>
              </w:rPr>
              <w:t>凭甲乙双方签字盖章的验收意见、验收小组签字的验收报告及公示截图,在收到乙方开具的正规发票后，甲方在7个工作日内将合同余款支付至乙方的账户</w:t>
            </w:r>
            <w:r>
              <w:rPr>
                <w:rFonts w:hint="eastAsia" w:ascii="宋体" w:hAnsi="宋体" w:cs="宋体"/>
                <w:sz w:val="24"/>
                <w:highlight w:val="none"/>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6" w:type="pct"/>
            <w:tcBorders>
              <w:left w:val="single" w:color="auto" w:sz="4" w:space="0"/>
            </w:tcBorders>
            <w:vAlign w:val="center"/>
          </w:tcPr>
          <w:p>
            <w:pPr>
              <w:spacing w:line="360" w:lineRule="auto"/>
              <w:rPr>
                <w:rFonts w:hint="default" w:ascii="宋体" w:hAnsi="宋体" w:cs="宋体"/>
                <w:sz w:val="24"/>
                <w:highlight w:val="none"/>
                <w:lang w:val="en-US" w:eastAsia="zh-CN"/>
              </w:rPr>
            </w:pPr>
            <w:r>
              <w:rPr>
                <w:rFonts w:hint="eastAsia" w:ascii="宋体" w:hAnsi="宋体" w:cs="宋体"/>
                <w:sz w:val="24"/>
                <w:highlight w:val="none"/>
                <w:lang w:val="en-US" w:eastAsia="zh-CN"/>
              </w:rPr>
              <w:t>1.7</w:t>
            </w:r>
          </w:p>
        </w:tc>
        <w:tc>
          <w:tcPr>
            <w:tcW w:w="4533" w:type="pct"/>
            <w:vAlign w:val="center"/>
          </w:tcPr>
          <w:p>
            <w:pPr>
              <w:spacing w:line="300" w:lineRule="auto"/>
              <w:rPr>
                <w:rFonts w:hint="eastAsia" w:ascii="宋体" w:hAnsi="宋体"/>
                <w:kern w:val="0"/>
                <w:sz w:val="24"/>
                <w:highlight w:val="none"/>
              </w:rPr>
            </w:pPr>
            <w:r>
              <w:rPr>
                <w:rFonts w:hint="default" w:ascii="Times New Roman" w:hAnsi="Times New Roman" w:cs="Times New Roman"/>
                <w:b/>
                <w:color w:val="auto"/>
                <w:sz w:val="24"/>
                <w:highlight w:val="none"/>
              </w:rPr>
              <w:t>货物交付期限、地点和方式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6" w:type="pct"/>
            <w:tcBorders>
              <w:left w:val="single" w:color="auto" w:sz="4" w:space="0"/>
            </w:tcBorders>
            <w:vAlign w:val="center"/>
          </w:tcPr>
          <w:p>
            <w:pPr>
              <w:spacing w:line="360" w:lineRule="auto"/>
              <w:rPr>
                <w:rFonts w:hint="default" w:ascii="宋体" w:hAnsi="宋体" w:cs="宋体"/>
                <w:sz w:val="24"/>
                <w:highlight w:val="none"/>
                <w:lang w:val="en-US" w:eastAsia="zh-CN"/>
              </w:rPr>
            </w:pPr>
            <w:r>
              <w:rPr>
                <w:rFonts w:hint="eastAsia" w:ascii="宋体" w:hAnsi="宋体" w:cs="宋体"/>
                <w:sz w:val="24"/>
                <w:highlight w:val="none"/>
                <w:lang w:val="en-US" w:eastAsia="zh-CN"/>
              </w:rPr>
              <w:t>1.7.1</w:t>
            </w:r>
          </w:p>
        </w:tc>
        <w:tc>
          <w:tcPr>
            <w:tcW w:w="4533" w:type="pct"/>
            <w:vAlign w:val="center"/>
          </w:tcPr>
          <w:p>
            <w:pPr>
              <w:snapToGrid w:val="0"/>
              <w:spacing w:line="360" w:lineRule="auto"/>
              <w:rPr>
                <w:rFonts w:hint="eastAsia" w:ascii="宋体" w:hAnsi="宋体"/>
                <w:kern w:val="0"/>
                <w:sz w:val="24"/>
                <w:highlight w:val="none"/>
              </w:rPr>
            </w:pPr>
            <w:r>
              <w:rPr>
                <w:rFonts w:hint="default" w:ascii="Times New Roman" w:hAnsi="Times New Roman" w:eastAsia="宋体" w:cs="Times New Roman"/>
                <w:b/>
                <w:bCs/>
                <w:color w:val="auto"/>
                <w:sz w:val="24"/>
                <w:highlight w:val="none"/>
              </w:rPr>
              <w:t>交付期限：</w:t>
            </w:r>
            <w:r>
              <w:rPr>
                <w:rFonts w:hint="eastAsia" w:ascii="宋体" w:hAnsi="宋体" w:cs="宋体"/>
                <w:snapToGrid w:val="0"/>
                <w:kern w:val="28"/>
                <w:sz w:val="24"/>
                <w:szCs w:val="20"/>
              </w:rPr>
              <w:t>在合同生效后</w:t>
            </w:r>
            <w:r>
              <w:rPr>
                <w:rFonts w:hint="eastAsia" w:ascii="宋体" w:hAnsi="宋体" w:cs="宋体"/>
                <w:b/>
                <w:bCs/>
                <w:snapToGrid w:val="0"/>
                <w:kern w:val="28"/>
                <w:sz w:val="24"/>
                <w:szCs w:val="20"/>
              </w:rPr>
              <w:t>20天</w:t>
            </w:r>
            <w:r>
              <w:rPr>
                <w:rFonts w:hint="eastAsia" w:ascii="宋体" w:hAnsi="宋体" w:cs="宋体"/>
                <w:snapToGrid w:val="0"/>
                <w:kern w:val="28"/>
                <w:sz w:val="24"/>
                <w:szCs w:val="20"/>
              </w:rPr>
              <w:t>内，供应商需将所供产品（出厂原包装）按合同清单所列的采购单位、地址以及货物品种、数量等，运至指定地点拆箱，并负责安装、调试，由采购单位负责验收，在产品试运行1个月后交付使用。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6" w:type="pct"/>
            <w:tcBorders>
              <w:left w:val="single" w:color="auto" w:sz="4" w:space="0"/>
            </w:tcBorders>
            <w:vAlign w:val="center"/>
          </w:tcPr>
          <w:p>
            <w:pPr>
              <w:spacing w:line="360" w:lineRule="auto"/>
              <w:rPr>
                <w:rFonts w:hint="default" w:ascii="宋体" w:hAnsi="宋体" w:cs="宋体"/>
                <w:sz w:val="24"/>
                <w:highlight w:val="none"/>
                <w:lang w:val="en-US" w:eastAsia="zh-CN"/>
              </w:rPr>
            </w:pPr>
            <w:r>
              <w:rPr>
                <w:rFonts w:hint="eastAsia" w:ascii="宋体" w:hAnsi="宋体" w:cs="宋体"/>
                <w:sz w:val="24"/>
                <w:highlight w:val="none"/>
                <w:lang w:val="en-US" w:eastAsia="zh-CN"/>
              </w:rPr>
              <w:t>1.7.2</w:t>
            </w:r>
          </w:p>
        </w:tc>
        <w:tc>
          <w:tcPr>
            <w:tcW w:w="4533" w:type="pct"/>
            <w:vAlign w:val="center"/>
          </w:tcPr>
          <w:p>
            <w:pPr>
              <w:snapToGrid w:val="0"/>
              <w:spacing w:line="360" w:lineRule="auto"/>
              <w:rPr>
                <w:rFonts w:ascii="Times New Roman" w:hAnsi="Times New Roman" w:eastAsia="仿宋" w:cs="Times New Roman"/>
                <w:b/>
                <w:bCs/>
                <w:color w:val="auto"/>
                <w:sz w:val="24"/>
                <w:szCs w:val="24"/>
                <w:highlight w:val="none"/>
              </w:rPr>
            </w:pPr>
            <w:r>
              <w:rPr>
                <w:rFonts w:hint="default" w:ascii="Times New Roman" w:hAnsi="Times New Roman" w:eastAsia="宋体" w:cs="Times New Roman"/>
                <w:b/>
                <w:bCs/>
                <w:color w:val="auto"/>
                <w:sz w:val="24"/>
                <w:highlight w:val="none"/>
              </w:rPr>
              <w:t>交付地点：</w:t>
            </w:r>
          </w:p>
          <w:p>
            <w:pPr>
              <w:spacing w:line="300" w:lineRule="auto"/>
              <w:rPr>
                <w:rFonts w:hint="default" w:ascii="宋体" w:hAnsi="宋体" w:eastAsia="宋体"/>
                <w:kern w:val="0"/>
                <w:sz w:val="24"/>
                <w:highlight w:val="none"/>
                <w:lang w:val="en-US" w:eastAsia="zh-CN"/>
              </w:rPr>
            </w:pPr>
            <w:r>
              <w:rPr>
                <w:rFonts w:hint="eastAsia" w:ascii="宋体" w:hAnsi="宋体"/>
                <w:kern w:val="0"/>
                <w:sz w:val="24"/>
                <w:highlight w:val="none"/>
                <w:lang w:val="en-US" w:eastAsia="zh-CN"/>
              </w:rPr>
              <w:t>采购人指定学校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6" w:type="pct"/>
            <w:tcBorders>
              <w:left w:val="single" w:color="auto" w:sz="4" w:space="0"/>
            </w:tcBorders>
            <w:vAlign w:val="center"/>
          </w:tcPr>
          <w:p>
            <w:pPr>
              <w:spacing w:line="360" w:lineRule="auto"/>
              <w:rPr>
                <w:rFonts w:hint="default" w:ascii="宋体" w:hAnsi="宋体" w:eastAsia="宋体" w:cs="宋体"/>
                <w:sz w:val="24"/>
                <w:lang w:val="en-US" w:eastAsia="zh-CN"/>
              </w:rPr>
            </w:pPr>
            <w:r>
              <w:rPr>
                <w:rFonts w:hint="eastAsia" w:ascii="宋体" w:hAnsi="宋体" w:cs="宋体"/>
                <w:sz w:val="24"/>
                <w:lang w:val="en-US" w:eastAsia="zh-CN"/>
              </w:rPr>
              <w:t>1.7.3</w:t>
            </w:r>
          </w:p>
        </w:tc>
        <w:tc>
          <w:tcPr>
            <w:tcW w:w="4533" w:type="pct"/>
            <w:vAlign w:val="center"/>
          </w:tcPr>
          <w:p>
            <w:pPr>
              <w:snapToGrid w:val="0"/>
              <w:spacing w:line="360" w:lineRule="auto"/>
              <w:rPr>
                <w:rFonts w:ascii="Times New Roman" w:hAnsi="Times New Roman" w:eastAsia="仿宋" w:cs="Times New Roman"/>
                <w:b/>
                <w:bCs/>
                <w:color w:val="auto"/>
                <w:sz w:val="24"/>
                <w:szCs w:val="24"/>
                <w:highlight w:val="none"/>
              </w:rPr>
            </w:pPr>
            <w:r>
              <w:rPr>
                <w:rFonts w:hint="default" w:ascii="Times New Roman" w:hAnsi="Times New Roman" w:eastAsia="宋体" w:cs="Times New Roman"/>
                <w:b/>
                <w:bCs/>
                <w:color w:val="auto"/>
                <w:sz w:val="24"/>
                <w:highlight w:val="none"/>
              </w:rPr>
              <w:t>交付方式：</w:t>
            </w:r>
          </w:p>
          <w:p>
            <w:pPr>
              <w:adjustRightInd/>
              <w:spacing w:line="300" w:lineRule="auto"/>
              <w:rPr>
                <w:rFonts w:hint="eastAsia" w:ascii="宋体" w:hAnsi="宋体" w:eastAsia="宋体"/>
                <w:kern w:val="0"/>
                <w:sz w:val="24"/>
                <w:lang w:val="en-US" w:eastAsia="zh-CN"/>
              </w:rPr>
            </w:pPr>
            <w:r>
              <w:rPr>
                <w:rFonts w:hint="eastAsia" w:ascii="宋体" w:hAnsi="宋体"/>
                <w:kern w:val="0"/>
                <w:sz w:val="24"/>
              </w:rPr>
              <w:t>现场交付</w:t>
            </w:r>
            <w:r>
              <w:rPr>
                <w:rFonts w:hint="eastAsia" w:ascii="宋体" w:hAnsi="宋体"/>
                <w:kern w:val="0"/>
                <w:sz w:val="24"/>
                <w:lang w:eastAsia="zh-CN"/>
              </w:rPr>
              <w:t>。</w:t>
            </w:r>
          </w:p>
          <w:p>
            <w:pPr>
              <w:spacing w:line="300" w:lineRule="auto"/>
            </w:pPr>
            <w:r>
              <w:rPr>
                <w:rFonts w:hint="eastAsia" w:ascii="宋体" w:hAnsi="宋体"/>
                <w:kern w:val="0"/>
                <w:sz w:val="24"/>
              </w:rPr>
              <w:t>乙方在货物发运手续办理完毕后24小时内或货到甲方48小时前通知甲方，以准备接货。货物在交付甲方前发生的风险均由乙方负责。货物在规定的交付期限内由乙方送达甲方指定的地点视为交付，乙方同时需通知甲方货物已送达。对其在制造、购置、运输、存放及交货过程中的丢失或损坏进行全面保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6" w:type="pct"/>
            <w:tcBorders>
              <w:left w:val="single" w:color="auto" w:sz="4" w:space="0"/>
            </w:tcBorders>
            <w:vAlign w:val="center"/>
          </w:tcPr>
          <w:p>
            <w:pPr>
              <w:spacing w:line="360" w:lineRule="auto"/>
              <w:rPr>
                <w:rFonts w:hint="default" w:ascii="宋体" w:hAnsi="宋体" w:cs="宋体"/>
                <w:sz w:val="24"/>
                <w:lang w:val="en-US" w:eastAsia="zh-CN"/>
              </w:rPr>
            </w:pPr>
            <w:r>
              <w:rPr>
                <w:rFonts w:hint="eastAsia" w:ascii="宋体" w:hAnsi="宋体" w:cs="宋体"/>
                <w:sz w:val="24"/>
                <w:lang w:val="en-US" w:eastAsia="zh-CN"/>
              </w:rPr>
              <w:t>1.8</w:t>
            </w:r>
          </w:p>
        </w:tc>
        <w:tc>
          <w:tcPr>
            <w:tcW w:w="4533" w:type="pct"/>
            <w:vAlign w:val="center"/>
          </w:tcPr>
          <w:p>
            <w:pPr>
              <w:spacing w:line="360" w:lineRule="auto"/>
              <w:rPr>
                <w:rFonts w:hint="default" w:ascii="宋体" w:hAnsi="宋体" w:eastAsia="宋体" w:cs="宋体"/>
                <w:kern w:val="0"/>
                <w:sz w:val="24"/>
                <w:lang w:val="en-US" w:eastAsia="zh-CN"/>
              </w:rPr>
            </w:pPr>
            <w:r>
              <w:rPr>
                <w:rFonts w:hint="eastAsia" w:ascii="宋体" w:hAnsi="宋体" w:cs="宋体"/>
                <w:kern w:val="0"/>
                <w:sz w:val="24"/>
                <w:lang w:val="en-US" w:eastAsia="zh-CN"/>
              </w:rPr>
              <w:t>违约责任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6" w:type="pct"/>
            <w:tcBorders>
              <w:left w:val="single" w:color="auto" w:sz="4" w:space="0"/>
            </w:tcBorders>
            <w:vAlign w:val="center"/>
          </w:tcPr>
          <w:p>
            <w:pPr>
              <w:spacing w:line="360" w:lineRule="auto"/>
              <w:rPr>
                <w:rFonts w:hint="default" w:ascii="宋体" w:hAnsi="宋体" w:eastAsia="宋体" w:cs="宋体"/>
                <w:sz w:val="24"/>
                <w:lang w:val="en-US" w:eastAsia="zh-CN"/>
              </w:rPr>
            </w:pPr>
            <w:r>
              <w:rPr>
                <w:rFonts w:hint="eastAsia" w:ascii="宋体" w:hAnsi="宋体" w:cs="宋体"/>
                <w:sz w:val="24"/>
                <w:lang w:val="en-US" w:eastAsia="zh-CN"/>
              </w:rPr>
              <w:t>1.8.6</w:t>
            </w:r>
          </w:p>
        </w:tc>
        <w:tc>
          <w:tcPr>
            <w:tcW w:w="4533" w:type="pct"/>
            <w:vAlign w:val="center"/>
          </w:tcPr>
          <w:p>
            <w:pPr>
              <w:spacing w:line="300" w:lineRule="auto"/>
              <w:rPr>
                <w:rFonts w:ascii="宋体" w:hAnsi="宋体" w:cs="宋体"/>
                <w:sz w:val="24"/>
              </w:rPr>
            </w:pPr>
            <w:r>
              <w:rPr>
                <w:rFonts w:hint="eastAsia" w:ascii="宋体" w:hAnsi="宋体" w:cs="宋体"/>
                <w:sz w:val="24"/>
              </w:rPr>
              <w:t>其他违约条款（可自行补充）</w:t>
            </w:r>
          </w:p>
          <w:p>
            <w:pPr>
              <w:numPr>
                <w:ilvl w:val="0"/>
                <w:numId w:val="1"/>
              </w:numPr>
              <w:spacing w:line="300" w:lineRule="auto"/>
              <w:ind w:firstLine="240" w:firstLineChars="100"/>
              <w:rPr>
                <w:rFonts w:ascii="宋体" w:hAnsi="宋体" w:cs="宋体"/>
                <w:sz w:val="24"/>
              </w:rPr>
            </w:pPr>
            <w:r>
              <w:rPr>
                <w:rFonts w:hint="eastAsia" w:ascii="宋体" w:hAnsi="宋体"/>
                <w:sz w:val="24"/>
              </w:rPr>
              <w:t>甲方有权对质量不合格产品进行拒收，由此产生的损失由乙方承担；</w:t>
            </w:r>
          </w:p>
          <w:p>
            <w:pPr>
              <w:numPr>
                <w:ilvl w:val="0"/>
                <w:numId w:val="1"/>
              </w:numPr>
              <w:spacing w:line="300" w:lineRule="auto"/>
              <w:ind w:firstLine="240" w:firstLineChars="100"/>
              <w:rPr>
                <w:rFonts w:ascii="宋体" w:hAnsi="宋体" w:cs="宋体"/>
                <w:sz w:val="24"/>
              </w:rPr>
            </w:pPr>
            <w:r>
              <w:rPr>
                <w:rFonts w:ascii="宋体" w:hAnsi="宋体" w:cs="宋体"/>
                <w:sz w:val="24"/>
              </w:rPr>
              <w:t>乙方所交的货物品种、型号、规格、技术参数、质量不符合合同规定及招投标文件规定标准的，或项目经验收不合格的，甲方有权拒收该货物，乙方愿意更换货物但逾期交货的，按乙方逾期交货处理。乙方拒绝更换货物的，甲方可单方面解除合同，同时乙方应按合同价款的10%承担违约金，并退还全部已收款项。</w:t>
            </w:r>
          </w:p>
          <w:p>
            <w:pPr>
              <w:numPr>
                <w:ilvl w:val="0"/>
                <w:numId w:val="1"/>
              </w:numPr>
              <w:spacing w:line="300" w:lineRule="auto"/>
              <w:ind w:firstLine="240" w:firstLineChars="100"/>
              <w:rPr>
                <w:rFonts w:ascii="宋体" w:hAnsi="宋体" w:cs="宋体"/>
                <w:sz w:val="24"/>
              </w:rPr>
            </w:pPr>
            <w:r>
              <w:rPr>
                <w:rFonts w:ascii="宋体" w:hAnsi="宋体" w:cs="宋体"/>
                <w:sz w:val="24"/>
              </w:rPr>
              <w:t>上述第</w:t>
            </w:r>
            <w:r>
              <w:rPr>
                <w:rFonts w:hint="eastAsia" w:ascii="宋体" w:hAnsi="宋体" w:cs="宋体"/>
                <w:sz w:val="24"/>
              </w:rPr>
              <w:t>2</w:t>
            </w:r>
            <w:r>
              <w:rPr>
                <w:rFonts w:ascii="宋体" w:hAnsi="宋体" w:cs="宋体"/>
                <w:sz w:val="24"/>
              </w:rPr>
              <w:t>项应退回或更换的货物，由乙方在验收后一周内运离安装地点，所需费用由乙方承担。如乙方在二周内不处理（搬走）的，视为乙方放弃，甲方有权自行处置（包括废物处理）。</w:t>
            </w:r>
          </w:p>
          <w:p>
            <w:pPr>
              <w:numPr>
                <w:ilvl w:val="0"/>
                <w:numId w:val="1"/>
              </w:numPr>
              <w:spacing w:line="300" w:lineRule="auto"/>
              <w:ind w:firstLine="240" w:firstLineChars="100"/>
              <w:rPr>
                <w:rFonts w:ascii="宋体" w:hAnsi="宋体" w:cs="宋体"/>
                <w:sz w:val="24"/>
              </w:rPr>
            </w:pPr>
            <w:r>
              <w:rPr>
                <w:rFonts w:ascii="宋体" w:hAnsi="宋体" w:cs="宋体"/>
                <w:sz w:val="24"/>
              </w:rPr>
              <w:t>如因乙方未经甲方事先书面同意，乙方将合同的权利或义务全部或部分转让或分包给第三人或违反相关法律规定或侵犯第三方合法权利而使甲方遭受损失的，乙方应承担全部责任，甲方有权解除本合同并要求乙方返还全部已收款项，按合同价款的10%承担违约金并赔偿甲方由此所遭受全部经济损失。</w:t>
            </w:r>
          </w:p>
          <w:p>
            <w:pPr>
              <w:spacing w:line="360" w:lineRule="auto"/>
              <w:rPr>
                <w:rFonts w:ascii="宋体" w:hAnsi="宋体" w:cs="宋体"/>
                <w:sz w:val="24"/>
              </w:rPr>
            </w:pPr>
            <w:r>
              <w:rPr>
                <w:rFonts w:hint="eastAsia" w:ascii="宋体" w:hAnsi="宋体" w:cs="宋体"/>
                <w:kern w:val="0"/>
                <w:sz w:val="24"/>
              </w:rPr>
              <w:t>因乙方违约行为给甲方造成损失的，如果违约金不足以弥补甲方经济损失，乙方还应当赔偿甲方其余经济损失，包括直接经济损失及可预见的间接经济损失。间接经济损失包括但不限于：因违约方违约事项致使守约方损失的可期待利益及守约方为此支出的诉讼费、仲裁费、律师费、差旅费、公证费、鉴定费、评估费、保全费、执行费等费用以及其它可预见的间接经济损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6" w:type="pct"/>
            <w:tcBorders>
              <w:left w:val="single" w:color="auto" w:sz="4" w:space="0"/>
            </w:tcBorders>
            <w:vAlign w:val="center"/>
          </w:tcPr>
          <w:p>
            <w:pPr>
              <w:spacing w:line="360" w:lineRule="auto"/>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1.9.1</w:t>
            </w:r>
          </w:p>
        </w:tc>
        <w:tc>
          <w:tcPr>
            <w:tcW w:w="4533" w:type="pct"/>
            <w:vAlign w:val="center"/>
          </w:tcPr>
          <w:p>
            <w:pPr>
              <w:spacing w:line="360" w:lineRule="auto"/>
              <w:rPr>
                <w:rFonts w:hint="eastAsia" w:ascii="宋体" w:hAnsi="宋体" w:eastAsia="宋体" w:cs="宋体"/>
                <w:sz w:val="24"/>
                <w:highlight w:val="none"/>
                <w:lang w:eastAsia="zh-CN"/>
              </w:rPr>
            </w:pPr>
            <w:r>
              <w:rPr>
                <w:rFonts w:hint="eastAsia" w:ascii="宋体" w:hAnsi="宋体" w:cs="宋体"/>
                <w:kern w:val="0"/>
                <w:sz w:val="24"/>
                <w:highlight w:val="none"/>
              </w:rPr>
              <w:t>将争议提交杭州市仲裁委员会依申请仲裁时其现行有效的仲裁规则裁决</w:t>
            </w:r>
            <w:r>
              <w:rPr>
                <w:rFonts w:hint="eastAsia" w:ascii="宋体" w:hAnsi="宋体" w:cs="宋体"/>
                <w:kern w:val="0"/>
                <w:sz w:val="24"/>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6" w:type="pct"/>
            <w:tcBorders>
              <w:left w:val="single" w:color="auto" w:sz="4" w:space="0"/>
            </w:tcBorders>
            <w:vAlign w:val="center"/>
          </w:tcPr>
          <w:p>
            <w:pPr>
              <w:spacing w:line="360" w:lineRule="auto"/>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1.9.2</w:t>
            </w:r>
          </w:p>
        </w:tc>
        <w:tc>
          <w:tcPr>
            <w:tcW w:w="4533" w:type="pct"/>
            <w:vAlign w:val="center"/>
          </w:tcPr>
          <w:p>
            <w:pPr>
              <w:spacing w:line="360" w:lineRule="auto"/>
              <w:rPr>
                <w:rFonts w:ascii="宋体" w:hAnsi="宋体" w:cs="宋体"/>
                <w:sz w:val="24"/>
                <w:highlight w:val="none"/>
              </w:rPr>
            </w:pPr>
            <w:r>
              <w:rPr>
                <w:rFonts w:hint="eastAsia" w:ascii="宋体" w:hAnsi="宋体" w:cs="宋体"/>
                <w:kern w:val="0"/>
                <w:sz w:val="24"/>
                <w:highlight w:val="none"/>
              </w:rPr>
              <w:t>向杭州市</w:t>
            </w:r>
            <w:r>
              <w:rPr>
                <w:rFonts w:hint="eastAsia" w:ascii="宋体" w:hAnsi="宋体" w:cs="宋体"/>
                <w:kern w:val="0"/>
                <w:sz w:val="24"/>
                <w:highlight w:val="none"/>
                <w:lang w:val="en-US" w:eastAsia="zh-CN"/>
              </w:rPr>
              <w:t>西湖</w:t>
            </w:r>
            <w:r>
              <w:rPr>
                <w:rFonts w:hint="eastAsia" w:ascii="宋体" w:hAnsi="宋体" w:cs="宋体"/>
                <w:kern w:val="0"/>
                <w:sz w:val="24"/>
                <w:highlight w:val="none"/>
              </w:rPr>
              <w:t>区人民法院起诉。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6" w:type="pct"/>
            <w:tcBorders>
              <w:left w:val="single" w:color="auto" w:sz="4" w:space="0"/>
            </w:tcBorders>
            <w:vAlign w:val="center"/>
          </w:tcPr>
          <w:p>
            <w:pPr>
              <w:spacing w:line="360" w:lineRule="auto"/>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2.12.3</w:t>
            </w:r>
          </w:p>
        </w:tc>
        <w:tc>
          <w:tcPr>
            <w:tcW w:w="4533" w:type="pct"/>
            <w:vAlign w:val="center"/>
          </w:tcPr>
          <w:p>
            <w:pPr>
              <w:spacing w:line="360" w:lineRule="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因不可抗力致使合同有变更必要的，双方当事人应在</w:t>
            </w:r>
            <w:r>
              <w:rPr>
                <w:rFonts w:hint="eastAsia" w:ascii="宋体" w:hAnsi="宋体" w:eastAsia="宋体" w:cs="宋体"/>
                <w:b/>
                <w:bCs/>
                <w:kern w:val="0"/>
                <w:sz w:val="24"/>
                <w:highlight w:val="none"/>
                <w:u w:val="single"/>
                <w:lang w:val="en-US" w:eastAsia="zh-CN"/>
              </w:rPr>
              <w:t>180日</w:t>
            </w:r>
            <w:r>
              <w:rPr>
                <w:rFonts w:hint="eastAsia" w:ascii="宋体" w:hAnsi="宋体" w:eastAsia="宋体" w:cs="宋体"/>
                <w:kern w:val="0"/>
                <w:sz w:val="24"/>
                <w:highlight w:val="none"/>
              </w:rPr>
              <w:t>约定时间内以书面形式变更合同</w:t>
            </w:r>
            <w:r>
              <w:rPr>
                <w:rFonts w:hint="eastAsia" w:ascii="宋体" w:hAnsi="宋体" w:eastAsia="宋体" w:cs="宋体"/>
                <w:kern w:val="0"/>
                <w:sz w:val="24"/>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6" w:type="pct"/>
            <w:tcBorders>
              <w:left w:val="single" w:color="auto" w:sz="4" w:space="0"/>
            </w:tcBorders>
            <w:vAlign w:val="center"/>
          </w:tcPr>
          <w:p>
            <w:pPr>
              <w:spacing w:line="360" w:lineRule="auto"/>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2.12.4</w:t>
            </w:r>
          </w:p>
        </w:tc>
        <w:tc>
          <w:tcPr>
            <w:tcW w:w="4533" w:type="pct"/>
            <w:vAlign w:val="center"/>
          </w:tcPr>
          <w:p>
            <w:p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受不可抗力影响的一方在不可抗力发生后，应在</w:t>
            </w:r>
            <w:r>
              <w:rPr>
                <w:rFonts w:hint="eastAsia" w:ascii="宋体" w:hAnsi="宋体" w:eastAsia="宋体" w:cs="宋体"/>
                <w:b/>
                <w:bCs/>
                <w:kern w:val="0"/>
                <w:sz w:val="24"/>
                <w:highlight w:val="none"/>
                <w:u w:val="single"/>
              </w:rPr>
              <w:t>30日历天内</w:t>
            </w:r>
            <w:r>
              <w:rPr>
                <w:rFonts w:hint="eastAsia" w:ascii="宋体" w:hAnsi="宋体" w:eastAsia="宋体" w:cs="宋体"/>
                <w:kern w:val="0"/>
                <w:sz w:val="24"/>
                <w:highlight w:val="none"/>
              </w:rPr>
              <w:t>以书面形式通知对方当事人，并在30日历天内，将有关部门出具的证明文件送达对方当事人。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6" w:type="pct"/>
            <w:tcBorders>
              <w:left w:val="single" w:color="auto" w:sz="4" w:space="0"/>
            </w:tcBorders>
            <w:vAlign w:val="center"/>
          </w:tcPr>
          <w:p>
            <w:pPr>
              <w:spacing w:line="360" w:lineRule="auto"/>
              <w:rPr>
                <w:rFonts w:hint="default" w:ascii="宋体" w:hAnsi="宋体" w:eastAsia="宋体" w:cs="宋体"/>
                <w:sz w:val="24"/>
                <w:lang w:val="en-US" w:eastAsia="zh-CN"/>
              </w:rPr>
            </w:pPr>
            <w:r>
              <w:rPr>
                <w:rFonts w:hint="eastAsia" w:ascii="宋体" w:hAnsi="宋体" w:cs="宋体"/>
                <w:sz w:val="24"/>
                <w:lang w:val="en-US" w:eastAsia="zh-CN"/>
              </w:rPr>
              <w:t>2.16.3</w:t>
            </w:r>
          </w:p>
        </w:tc>
        <w:tc>
          <w:tcPr>
            <w:tcW w:w="4533" w:type="pct"/>
            <w:vAlign w:val="center"/>
          </w:tcPr>
          <w:p>
            <w:pPr>
              <w:spacing w:line="360" w:lineRule="auto"/>
              <w:rPr>
                <w:b/>
                <w:color w:val="auto"/>
                <w:sz w:val="24"/>
              </w:rPr>
            </w:pPr>
            <w:r>
              <w:rPr>
                <w:rFonts w:hint="eastAsia" w:hAnsi="宋体"/>
                <w:b/>
                <w:color w:val="auto"/>
                <w:sz w:val="24"/>
              </w:rPr>
              <w:t>检验和验收标准、程序等具体内容以及前述验收书的效力：</w:t>
            </w:r>
          </w:p>
          <w:p>
            <w:pPr>
              <w:spacing w:line="300" w:lineRule="auto"/>
              <w:rPr>
                <w:rFonts w:ascii="宋体" w:hAnsi="宋体" w:cs="宋体"/>
                <w:sz w:val="24"/>
              </w:rPr>
            </w:pPr>
            <w:r>
              <w:rPr>
                <w:rFonts w:hint="eastAsia" w:hAnsi="宋体"/>
                <w:color w:val="auto"/>
                <w:sz w:val="24"/>
              </w:rPr>
              <w:t>详见采购需求及投标文件，具体验收流程、程序以甲方要求为准。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6" w:type="pct"/>
            <w:tcBorders>
              <w:left w:val="single" w:color="auto" w:sz="4" w:space="0"/>
            </w:tcBorders>
          </w:tcPr>
          <w:p>
            <w:pPr>
              <w:spacing w:line="360" w:lineRule="auto"/>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2.20</w:t>
            </w:r>
          </w:p>
        </w:tc>
        <w:tc>
          <w:tcPr>
            <w:tcW w:w="4533" w:type="pct"/>
          </w:tcPr>
          <w:p>
            <w:pPr>
              <w:spacing w:line="360" w:lineRule="auto"/>
              <w:rPr>
                <w:b/>
                <w:color w:val="auto"/>
                <w:sz w:val="24"/>
                <w:highlight w:val="none"/>
              </w:rPr>
            </w:pPr>
            <w:r>
              <w:rPr>
                <w:rFonts w:hint="eastAsia" w:hAnsi="宋体"/>
                <w:b/>
                <w:color w:val="auto"/>
                <w:sz w:val="24"/>
                <w:highlight w:val="none"/>
              </w:rPr>
              <w:t>合同份数：</w:t>
            </w:r>
          </w:p>
          <w:p>
            <w:pPr>
              <w:spacing w:line="300" w:lineRule="auto"/>
              <w:rPr>
                <w:rFonts w:ascii="宋体" w:hAnsi="宋体" w:cs="宋体"/>
                <w:sz w:val="24"/>
                <w:highlight w:val="none"/>
              </w:rPr>
            </w:pPr>
            <w:r>
              <w:rPr>
                <w:rFonts w:hint="eastAsia" w:hAnsi="宋体"/>
                <w:color w:val="auto"/>
                <w:sz w:val="24"/>
                <w:highlight w:val="none"/>
              </w:rPr>
              <w:t>一式</w:t>
            </w:r>
            <w:r>
              <w:rPr>
                <w:rFonts w:hint="eastAsia"/>
                <w:color w:val="auto"/>
                <w:sz w:val="24"/>
                <w:highlight w:val="none"/>
                <w:lang w:val="en-US" w:eastAsia="zh-CN"/>
              </w:rPr>
              <w:t>5</w:t>
            </w:r>
            <w:r>
              <w:rPr>
                <w:rFonts w:hint="eastAsia" w:hAnsi="宋体"/>
                <w:color w:val="auto"/>
                <w:sz w:val="24"/>
                <w:highlight w:val="none"/>
              </w:rPr>
              <w:t>份，甲方</w:t>
            </w:r>
            <w:r>
              <w:rPr>
                <w:rFonts w:hint="eastAsia"/>
                <w:color w:val="auto"/>
                <w:sz w:val="24"/>
                <w:highlight w:val="none"/>
                <w:lang w:val="en-US" w:eastAsia="zh-CN"/>
              </w:rPr>
              <w:t>2</w:t>
            </w:r>
            <w:r>
              <w:rPr>
                <w:rFonts w:hint="eastAsia" w:hAnsi="宋体"/>
                <w:color w:val="auto"/>
                <w:sz w:val="24"/>
                <w:highlight w:val="none"/>
              </w:rPr>
              <w:t>份，乙方</w:t>
            </w:r>
            <w:r>
              <w:rPr>
                <w:color w:val="auto"/>
                <w:sz w:val="24"/>
                <w:highlight w:val="none"/>
              </w:rPr>
              <w:t>2</w:t>
            </w:r>
            <w:r>
              <w:rPr>
                <w:rFonts w:hint="eastAsia" w:hAnsi="宋体"/>
                <w:color w:val="auto"/>
                <w:sz w:val="24"/>
                <w:highlight w:val="none"/>
              </w:rPr>
              <w:t>份</w:t>
            </w:r>
            <w:r>
              <w:rPr>
                <w:rFonts w:hint="eastAsia" w:hAnsi="宋体"/>
                <w:color w:val="auto"/>
                <w:sz w:val="24"/>
                <w:highlight w:val="none"/>
                <w:lang w:eastAsia="zh-CN"/>
              </w:rPr>
              <w:t>，</w:t>
            </w:r>
            <w:r>
              <w:rPr>
                <w:rFonts w:hint="eastAsia" w:hAnsi="宋体"/>
                <w:color w:val="auto"/>
                <w:sz w:val="24"/>
                <w:highlight w:val="none"/>
                <w:lang w:val="en-US" w:eastAsia="zh-CN"/>
              </w:rPr>
              <w:t>采购中心1份</w:t>
            </w:r>
            <w:r>
              <w:rPr>
                <w:rFonts w:hint="eastAsia" w:hAnsi="宋体"/>
                <w:color w:val="auto"/>
                <w:sz w:val="24"/>
                <w:highlight w:val="none"/>
              </w:rPr>
              <w:t>。</w:t>
            </w:r>
          </w:p>
        </w:tc>
      </w:tr>
    </w:tbl>
    <w:p>
      <w:pPr>
        <w:pStyle w:val="2"/>
      </w:pPr>
    </w:p>
    <w:p>
      <w:pPr>
        <w:pStyle w:val="2"/>
      </w:pPr>
    </w:p>
    <w:p>
      <w:pPr>
        <w:spacing w:line="360" w:lineRule="auto"/>
        <w:jc w:val="center"/>
        <w:outlineLvl w:val="0"/>
        <w:rPr>
          <w:rFonts w:hint="eastAsia" w:ascii="宋体" w:hAnsi="宋体" w:cs="宋体"/>
          <w:b/>
          <w:sz w:val="36"/>
          <w:szCs w:val="20"/>
        </w:rPr>
      </w:pPr>
    </w:p>
    <w:p>
      <w:pPr>
        <w:pStyle w:val="23"/>
        <w:rPr>
          <w:rFonts w:hint="eastAsia" w:ascii="宋体" w:hAnsi="宋体" w:cs="宋体"/>
          <w:b/>
          <w:sz w:val="36"/>
          <w:szCs w:val="20"/>
        </w:rPr>
      </w:pPr>
    </w:p>
    <w:p>
      <w:pPr>
        <w:pStyle w:val="61"/>
        <w:rPr>
          <w:rFonts w:hint="eastAsia" w:ascii="宋体" w:hAnsi="宋体" w:cs="宋体"/>
          <w:b/>
          <w:sz w:val="36"/>
          <w:szCs w:val="20"/>
        </w:rPr>
      </w:pPr>
    </w:p>
    <w:p>
      <w:pPr>
        <w:rPr>
          <w:rFonts w:hint="eastAsia" w:ascii="宋体" w:hAnsi="宋体" w:cs="宋体"/>
          <w:b/>
          <w:sz w:val="36"/>
          <w:szCs w:val="20"/>
        </w:rPr>
      </w:pPr>
    </w:p>
    <w:p>
      <w:pPr>
        <w:pStyle w:val="61"/>
        <w:rPr>
          <w:rFonts w:hint="eastAsia"/>
        </w:rPr>
      </w:pPr>
    </w:p>
    <w:p>
      <w:pPr>
        <w:spacing w:line="360" w:lineRule="auto"/>
        <w:jc w:val="center"/>
        <w:outlineLvl w:val="0"/>
        <w:rPr>
          <w:rFonts w:ascii="宋体" w:hAnsi="宋体" w:cs="宋体"/>
          <w:b/>
          <w:sz w:val="36"/>
          <w:szCs w:val="20"/>
        </w:rPr>
      </w:pPr>
      <w:r>
        <w:rPr>
          <w:rFonts w:hint="eastAsia" w:ascii="宋体" w:hAnsi="宋体" w:cs="宋体"/>
          <w:b/>
          <w:sz w:val="36"/>
          <w:szCs w:val="20"/>
        </w:rPr>
        <w:t>第六部分</w:t>
      </w:r>
      <w:bookmarkEnd w:id="397"/>
      <w:r>
        <w:rPr>
          <w:rFonts w:hint="eastAsia" w:ascii="宋体" w:hAnsi="宋体" w:cs="宋体"/>
          <w:b/>
          <w:sz w:val="36"/>
          <w:szCs w:val="20"/>
        </w:rPr>
        <w:t xml:space="preserve"> </w:t>
      </w:r>
      <w:bookmarkEnd w:id="398"/>
      <w:r>
        <w:rPr>
          <w:rFonts w:hint="eastAsia" w:ascii="宋体" w:hAnsi="宋体" w:cs="宋体"/>
          <w:b/>
          <w:sz w:val="36"/>
          <w:szCs w:val="20"/>
        </w:rPr>
        <w:t>应提交的有关格式范例</w:t>
      </w:r>
    </w:p>
    <w:p>
      <w:pPr>
        <w:spacing w:line="360" w:lineRule="auto"/>
        <w:jc w:val="center"/>
        <w:outlineLvl w:val="0"/>
        <w:rPr>
          <w:rFonts w:ascii="宋体" w:hAnsi="宋体" w:cs="宋体"/>
          <w:b/>
          <w:kern w:val="0"/>
          <w:sz w:val="36"/>
          <w:szCs w:val="36"/>
        </w:rPr>
      </w:pPr>
    </w:p>
    <w:p>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资格文件部分</w:t>
      </w:r>
    </w:p>
    <w:p>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pPr>
        <w:spacing w:line="360" w:lineRule="auto"/>
        <w:jc w:val="center"/>
        <w:outlineLvl w:val="0"/>
        <w:rPr>
          <w:rFonts w:ascii="宋体" w:hAnsi="宋体" w:cs="宋体"/>
          <w:b/>
          <w:kern w:val="0"/>
          <w:sz w:val="36"/>
          <w:szCs w:val="36"/>
        </w:rPr>
      </w:pPr>
    </w:p>
    <w:p>
      <w:pPr>
        <w:snapToGrid w:val="0"/>
        <w:spacing w:line="360" w:lineRule="auto"/>
        <w:rPr>
          <w:rFonts w:ascii="宋体" w:hAnsi="宋体" w:cs="宋体"/>
          <w:sz w:val="24"/>
        </w:rPr>
      </w:pPr>
      <w:r>
        <w:rPr>
          <w:rFonts w:hint="eastAsia" w:ascii="宋体" w:hAnsi="宋体" w:cs="宋体"/>
          <w:sz w:val="24"/>
        </w:rPr>
        <w:t>（1）符合参加政府采购活动应当具备的一般条件的承诺函……………（页码）</w:t>
      </w:r>
    </w:p>
    <w:p>
      <w:pPr>
        <w:snapToGrid w:val="0"/>
        <w:spacing w:line="360" w:lineRule="auto"/>
        <w:rPr>
          <w:rFonts w:ascii="宋体" w:hAnsi="宋体" w:cs="宋体"/>
          <w:sz w:val="24"/>
        </w:rPr>
      </w:pPr>
      <w:r>
        <w:rPr>
          <w:rFonts w:hint="eastAsia" w:ascii="宋体" w:hAnsi="宋体" w:cs="宋体"/>
          <w:snapToGrid w:val="0"/>
          <w:kern w:val="28"/>
          <w:sz w:val="24"/>
          <w:szCs w:val="20"/>
        </w:rPr>
        <w:t>（2）联合协议</w:t>
      </w:r>
      <w:r>
        <w:rPr>
          <w:rFonts w:hint="eastAsia" w:ascii="宋体" w:hAnsi="宋体" w:cs="宋体"/>
          <w:sz w:val="24"/>
        </w:rPr>
        <w:t>………………………………………………………………（页码）</w:t>
      </w:r>
    </w:p>
    <w:p>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）落实政府采购政策需满足的资格要求………………………………（页码）</w:t>
      </w:r>
    </w:p>
    <w:p>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）本项目的特定资格要求………………………………………………（页码）</w:t>
      </w:r>
    </w:p>
    <w:p>
      <w:pPr>
        <w:snapToGrid w:val="0"/>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napToGrid w:val="0"/>
        <w:spacing w:line="360" w:lineRule="auto"/>
        <w:ind w:right="480"/>
        <w:jc w:val="center"/>
        <w:rPr>
          <w:rFonts w:ascii="宋体" w:hAnsi="宋体" w:cs="宋体"/>
          <w:b/>
          <w:kern w:val="0"/>
          <w:sz w:val="32"/>
          <w:szCs w:val="32"/>
        </w:rPr>
      </w:pPr>
      <w:r>
        <w:rPr>
          <w:rFonts w:hint="eastAsia" w:ascii="宋体" w:hAnsi="宋体" w:cs="宋体"/>
          <w:kern w:val="0"/>
          <w:sz w:val="24"/>
        </w:rPr>
        <w:br w:type="page"/>
      </w:r>
      <w:r>
        <w:rPr>
          <w:rFonts w:hint="eastAsia" w:ascii="宋体" w:hAnsi="宋体" w:cs="宋体"/>
          <w:b/>
          <w:kern w:val="0"/>
          <w:sz w:val="32"/>
          <w:szCs w:val="32"/>
        </w:rPr>
        <w:t xml:space="preserve">  一、 符合参加政府采购活动应当具备的一般条件的承诺函</w:t>
      </w:r>
    </w:p>
    <w:p>
      <w:pPr>
        <w:snapToGrid w:val="0"/>
        <w:spacing w:line="360" w:lineRule="auto"/>
        <w:rPr>
          <w:rFonts w:ascii="宋体" w:hAnsi="宋体" w:cs="宋体"/>
          <w:sz w:val="24"/>
        </w:rPr>
      </w:pPr>
      <w:r>
        <w:rPr>
          <w:rFonts w:hint="eastAsia" w:ascii="宋体" w:hAnsi="宋体" w:cs="宋体"/>
          <w:sz w:val="24"/>
          <w:lang w:eastAsia="zh-CN"/>
        </w:rPr>
        <w:t>杭州市转塘小学</w:t>
      </w:r>
      <w:r>
        <w:rPr>
          <w:rFonts w:hint="eastAsia" w:ascii="宋体" w:hAnsi="宋体" w:cs="宋体"/>
          <w:sz w:val="24"/>
        </w:rPr>
        <w:t>、杭州市西湖区政府采购中心：</w:t>
      </w:r>
    </w:p>
    <w:p>
      <w:pPr>
        <w:snapToGrid w:val="0"/>
        <w:spacing w:line="360" w:lineRule="auto"/>
        <w:ind w:firstLine="480" w:firstLineChars="200"/>
        <w:rPr>
          <w:rFonts w:ascii="宋体" w:hAnsi="宋体" w:cs="宋体"/>
          <w:sz w:val="24"/>
        </w:rPr>
      </w:pPr>
      <w:r>
        <w:rPr>
          <w:rFonts w:hint="eastAsia" w:ascii="宋体" w:hAnsi="宋体" w:cs="宋体"/>
          <w:sz w:val="24"/>
        </w:rPr>
        <w:t>我方参与</w:t>
      </w:r>
      <w:r>
        <w:rPr>
          <w:rFonts w:hint="eastAsia" w:ascii="宋体" w:hAnsi="宋体" w:cs="宋体"/>
          <w:sz w:val="24"/>
          <w:lang w:eastAsia="zh-CN"/>
        </w:rPr>
        <w:t>杭州市转塘小学（浮山新建校）电子显示屏采购项目</w:t>
      </w:r>
      <w:r>
        <w:rPr>
          <w:rFonts w:hint="eastAsia" w:ascii="宋体" w:hAnsi="宋体" w:cs="宋体"/>
          <w:sz w:val="24"/>
        </w:rPr>
        <w:t>【招标编号：</w:t>
      </w:r>
      <w:r>
        <w:rPr>
          <w:rFonts w:hint="eastAsia" w:ascii="宋体" w:hAnsi="宋体" w:cs="宋体"/>
          <w:sz w:val="24"/>
          <w:lang w:eastAsia="zh-CN"/>
        </w:rPr>
        <w:t>XHZFCG-2024-G-31</w:t>
      </w:r>
      <w:r>
        <w:rPr>
          <w:rFonts w:hint="eastAsia" w:ascii="宋体" w:hAnsi="宋体" w:cs="宋体"/>
          <w:sz w:val="24"/>
        </w:rPr>
        <w:t>】政府采购活动，郑重承诺：</w:t>
      </w:r>
    </w:p>
    <w:p>
      <w:pPr>
        <w:snapToGrid w:val="0"/>
        <w:spacing w:line="360" w:lineRule="auto"/>
        <w:ind w:firstLine="360" w:firstLineChars="150"/>
        <w:rPr>
          <w:rFonts w:ascii="宋体" w:hAnsi="宋体" w:cs="宋体"/>
          <w:sz w:val="24"/>
        </w:rPr>
      </w:pPr>
      <w:r>
        <w:rPr>
          <w:rFonts w:hint="eastAsia" w:ascii="宋体" w:hAnsi="宋体" w:cs="宋体"/>
          <w:sz w:val="24"/>
        </w:rPr>
        <w:t>（一）具备《中华人民共和国政府采购法》第二十二条第一款规定的条件：</w:t>
      </w:r>
    </w:p>
    <w:p>
      <w:pPr>
        <w:snapToGrid w:val="0"/>
        <w:spacing w:line="360" w:lineRule="auto"/>
        <w:ind w:firstLine="480" w:firstLineChars="200"/>
        <w:rPr>
          <w:rFonts w:ascii="宋体" w:hAnsi="宋体" w:cs="宋体"/>
          <w:sz w:val="24"/>
        </w:rPr>
      </w:pPr>
      <w:r>
        <w:rPr>
          <w:rFonts w:hint="eastAsia" w:ascii="宋体" w:hAnsi="宋体" w:cs="宋体"/>
          <w:sz w:val="24"/>
        </w:rPr>
        <w:t>1、具有独立承担民事责任的能力；</w:t>
      </w:r>
    </w:p>
    <w:p>
      <w:pPr>
        <w:snapToGrid w:val="0"/>
        <w:spacing w:line="360" w:lineRule="auto"/>
        <w:ind w:firstLine="480" w:firstLineChars="200"/>
        <w:rPr>
          <w:rFonts w:ascii="宋体" w:hAnsi="宋体" w:cs="宋体"/>
          <w:sz w:val="24"/>
        </w:rPr>
      </w:pPr>
      <w:r>
        <w:rPr>
          <w:rFonts w:hint="eastAsia" w:ascii="宋体" w:hAnsi="宋体" w:cs="宋体"/>
          <w:sz w:val="24"/>
        </w:rPr>
        <w:t xml:space="preserve">2、具有良好的商业信誉和健全的财务会计制度； </w:t>
      </w:r>
    </w:p>
    <w:p>
      <w:pPr>
        <w:snapToGrid w:val="0"/>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pPr>
        <w:snapToGrid w:val="0"/>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pPr>
        <w:snapToGrid w:val="0"/>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pPr>
        <w:snapToGrid w:val="0"/>
        <w:spacing w:line="360" w:lineRule="auto"/>
        <w:ind w:firstLine="480" w:firstLineChars="200"/>
        <w:rPr>
          <w:rFonts w:ascii="宋体" w:hAnsi="宋体" w:cs="宋体"/>
          <w:sz w:val="24"/>
        </w:rPr>
      </w:pPr>
      <w:r>
        <w:rPr>
          <w:rFonts w:hint="eastAsia" w:ascii="宋体" w:hAnsi="宋体" w:cs="宋体"/>
          <w:sz w:val="24"/>
        </w:rPr>
        <w:t>6、具有法律、行政法规规定的其他条件。</w:t>
      </w:r>
    </w:p>
    <w:p>
      <w:pPr>
        <w:snapToGrid w:val="0"/>
        <w:spacing w:line="360" w:lineRule="auto"/>
        <w:ind w:firstLine="480" w:firstLineChars="200"/>
        <w:rPr>
          <w:rFonts w:ascii="宋体" w:hAnsi="宋体" w:cs="宋体"/>
          <w:sz w:val="24"/>
        </w:rPr>
      </w:pPr>
      <w:r>
        <w:rPr>
          <w:rFonts w:hint="eastAsia" w:ascii="宋体" w:hAnsi="宋体" w:cs="宋体"/>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ascii="宋体" w:hAnsi="宋体" w:cs="宋体"/>
          <w:sz w:val="24"/>
        </w:rPr>
      </w:pPr>
      <w:r>
        <w:rPr>
          <w:rFonts w:hint="eastAsia" w:ascii="宋体" w:hAnsi="宋体" w:cs="宋体"/>
          <w:sz w:val="24"/>
        </w:rPr>
        <w:t>（三）不存在以下情况：</w:t>
      </w:r>
    </w:p>
    <w:p>
      <w:pPr>
        <w:snapToGrid w:val="0"/>
        <w:spacing w:line="360" w:lineRule="auto"/>
        <w:ind w:firstLine="480" w:firstLineChars="200"/>
        <w:rPr>
          <w:rFonts w:ascii="宋体" w:hAnsi="宋体" w:cs="宋体"/>
          <w:sz w:val="24"/>
        </w:rPr>
      </w:pPr>
      <w:r>
        <w:rPr>
          <w:rFonts w:hint="eastAsia" w:ascii="宋体" w:hAnsi="宋体" w:cs="宋体"/>
          <w:sz w:val="24"/>
        </w:rPr>
        <w:t>1、单位负责人为同一人或者存在直接控股、管理关系的不同供应商参加同一合同项下的政府采购活动的；</w:t>
      </w:r>
    </w:p>
    <w:p>
      <w:pPr>
        <w:snapToGrid w:val="0"/>
        <w:spacing w:line="360" w:lineRule="auto"/>
        <w:ind w:firstLine="480" w:firstLineChars="200"/>
        <w:rPr>
          <w:rFonts w:ascii="宋体" w:hAnsi="宋体" w:cs="宋体"/>
          <w:sz w:val="24"/>
        </w:rPr>
      </w:pPr>
      <w:r>
        <w:rPr>
          <w:rFonts w:hint="eastAsia" w:ascii="宋体" w:hAnsi="宋体" w:cs="宋体"/>
          <w:sz w:val="24"/>
        </w:rPr>
        <w:t>2、为采购项目提供整体设计、规范编制或者项目管理、监理、检测等服务后再参加该采购项目的其他采购活动的。</w:t>
      </w:r>
    </w:p>
    <w:p>
      <w:pPr>
        <w:snapToGrid w:val="0"/>
        <w:spacing w:line="360" w:lineRule="auto"/>
        <w:ind w:firstLine="5520" w:firstLineChars="2300"/>
        <w:rPr>
          <w:rFonts w:ascii="宋体" w:hAnsi="宋体" w:cs="宋体"/>
          <w:kern w:val="0"/>
          <w:sz w:val="24"/>
        </w:rPr>
      </w:pPr>
      <w:r>
        <w:rPr>
          <w:rFonts w:hint="eastAsia" w:ascii="宋体" w:hAnsi="宋体" w:cs="宋体"/>
          <w:kern w:val="0"/>
          <w:sz w:val="24"/>
          <w:lang w:val="zh-CN"/>
        </w:rPr>
        <w:t>投标人名称(电子签名)：</w:t>
      </w:r>
    </w:p>
    <w:p>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w:t>
      </w:r>
      <w:r>
        <w:rPr>
          <w:rFonts w:hint="eastAsia" w:ascii="宋体" w:hAnsi="宋体" w:cs="宋体"/>
          <w:kern w:val="0"/>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pStyle w:val="2"/>
      </w:pPr>
    </w:p>
    <w:p>
      <w:pPr>
        <w:snapToGrid w:val="0"/>
        <w:spacing w:line="360" w:lineRule="auto"/>
        <w:ind w:right="480" w:firstLine="559" w:firstLineChars="233"/>
        <w:jc w:val="left"/>
        <w:rPr>
          <w:rFonts w:ascii="宋体" w:hAnsi="宋体" w:cs="宋体"/>
          <w:b/>
          <w:kern w:val="0"/>
          <w:sz w:val="32"/>
          <w:szCs w:val="32"/>
        </w:rPr>
      </w:pPr>
      <w:r>
        <w:rPr>
          <w:rFonts w:hint="eastAsia" w:cs="仿宋_GB2312" w:asciiTheme="minorEastAsia" w:hAnsiTheme="minorEastAsia" w:eastAsiaTheme="minorEastAsia"/>
          <w:sz w:val="24"/>
        </w:rPr>
        <w:t>注：根据《</w:t>
      </w:r>
      <w:r>
        <w:rPr>
          <w:rFonts w:cs="仿宋_GB2312" w:asciiTheme="minorEastAsia" w:hAnsiTheme="minorEastAsia" w:eastAsiaTheme="minorEastAsia"/>
          <w:sz w:val="24"/>
        </w:rPr>
        <w:t>关于规范政府采购供应商资格设定及资格审查的通知</w:t>
      </w:r>
      <w:r>
        <w:rPr>
          <w:rFonts w:hint="eastAsia" w:cs="仿宋_GB2312" w:asciiTheme="minorEastAsia" w:hAnsiTheme="minorEastAsia" w:eastAsiaTheme="minorEastAsia"/>
          <w:sz w:val="24"/>
        </w:rPr>
        <w:t>》（</w:t>
      </w:r>
      <w:r>
        <w:rPr>
          <w:rFonts w:cs="仿宋_GB2312" w:asciiTheme="minorEastAsia" w:hAnsiTheme="minorEastAsia" w:eastAsiaTheme="minorEastAsia"/>
          <w:sz w:val="24"/>
        </w:rPr>
        <w:t>浙财采监[2013]24号</w:t>
      </w:r>
      <w:r>
        <w:rPr>
          <w:rFonts w:hint="eastAsia" w:cs="仿宋_GB2312" w:asciiTheme="minorEastAsia" w:hAnsiTheme="minorEastAsia" w:eastAsiaTheme="minorEastAsia"/>
          <w:sz w:val="24"/>
        </w:rPr>
        <w:t>）的相关规定，金融、保险、通讯等特定行业的全国性企业所设立的区域性分支机构，以及个体工商户、个人独资企业、合伙企业，参与政府采购活动，如果已经依法办理了工商、税务和社保登记手续，</w:t>
      </w:r>
      <w:r>
        <w:rPr>
          <w:rFonts w:hint="eastAsia" w:cs="仿宋_GB2312" w:asciiTheme="minorEastAsia" w:hAnsiTheme="minorEastAsia" w:eastAsiaTheme="minorEastAsia"/>
          <w:b/>
          <w:sz w:val="24"/>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pPr>
        <w:rPr>
          <w:rFonts w:ascii="宋体" w:hAnsi="宋体" w:cs="宋体"/>
        </w:rPr>
      </w:pPr>
    </w:p>
    <w:p>
      <w:pPr>
        <w:widowControl/>
        <w:spacing w:line="360" w:lineRule="auto"/>
        <w:ind w:firstLine="643" w:firstLineChars="200"/>
        <w:jc w:val="center"/>
        <w:rPr>
          <w:rFonts w:ascii="宋体" w:hAnsi="宋体" w:cs="宋体"/>
          <w:b/>
          <w:kern w:val="0"/>
          <w:sz w:val="32"/>
          <w:szCs w:val="32"/>
        </w:rPr>
      </w:pPr>
      <w:r>
        <w:rPr>
          <w:rFonts w:hint="eastAsia" w:ascii="宋体" w:hAnsi="宋体" w:cs="宋体"/>
          <w:b/>
          <w:kern w:val="0"/>
          <w:sz w:val="32"/>
          <w:szCs w:val="32"/>
        </w:rPr>
        <w:t>二、联合协议（如果有）</w:t>
      </w:r>
    </w:p>
    <w:p>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[以联合体形式投标的，提供联合协议（附件5）；本项目不接受联合体投标或者投标人不以联合体形式投标的，则不需要提供]</w:t>
      </w: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三、落实政府采购政策需满足的资格要求</w:t>
      </w:r>
    </w:p>
    <w:p>
      <w:pPr>
        <w:spacing w:line="360" w:lineRule="auto"/>
        <w:rPr>
          <w:rFonts w:ascii="宋体" w:hAnsi="宋体" w:cs="宋体"/>
          <w:sz w:val="24"/>
        </w:rPr>
      </w:pPr>
      <w:r>
        <w:rPr>
          <w:rFonts w:hint="eastAsia" w:ascii="宋体" w:hAnsi="宋体" w:cs="宋体"/>
          <w:sz w:val="24"/>
        </w:rPr>
        <w:t>（根据招标公告落实政府采购政策需满足的资格要求选择提供相应的材料；未要求的，无需提供）</w:t>
      </w:r>
    </w:p>
    <w:p>
      <w:pPr>
        <w:snapToGrid w:val="0"/>
        <w:spacing w:before="50" w:after="50" w:line="360" w:lineRule="auto"/>
        <w:ind w:firstLine="472" w:firstLineChars="196"/>
        <w:jc w:val="left"/>
        <w:rPr>
          <w:rFonts w:ascii="宋体" w:hAnsi="宋体" w:cs="宋体"/>
          <w:sz w:val="24"/>
        </w:rPr>
      </w:pPr>
      <w:r>
        <w:rPr>
          <w:rFonts w:hint="eastAsia" w:ascii="宋体" w:hAnsi="宋体" w:cs="宋体"/>
          <w:b/>
          <w:sz w:val="24"/>
        </w:rPr>
        <w:t>A</w:t>
      </w:r>
      <w:r>
        <w:rPr>
          <w:rFonts w:hint="eastAsia" w:ascii="宋体" w:hAnsi="宋体" w:cs="宋体"/>
          <w:sz w:val="24"/>
        </w:rPr>
        <w:t>.专门面向中小企业，货物全部由符合政策要求的中小企业（或小微企业）制造的，提供相应的中小企业声明函（附件</w:t>
      </w:r>
      <w:r>
        <w:rPr>
          <w:rFonts w:ascii="宋体" w:hAnsi="宋体" w:cs="宋体"/>
          <w:sz w:val="24"/>
        </w:rPr>
        <w:t>7</w:t>
      </w:r>
      <w:r>
        <w:rPr>
          <w:rFonts w:hint="eastAsia" w:ascii="宋体" w:hAnsi="宋体" w:cs="宋体"/>
          <w:sz w:val="24"/>
        </w:rPr>
        <w:t xml:space="preserve">）。 </w:t>
      </w:r>
    </w:p>
    <w:p>
      <w:pPr>
        <w:widowControl/>
        <w:spacing w:line="360" w:lineRule="auto"/>
        <w:ind w:firstLine="480"/>
        <w:jc w:val="left"/>
        <w:rPr>
          <w:rFonts w:ascii="宋体" w:hAnsi="宋体" w:cs="宋体"/>
          <w:sz w:val="24"/>
        </w:rPr>
      </w:pPr>
    </w:p>
    <w:p>
      <w:pPr>
        <w:widowControl/>
        <w:spacing w:line="360" w:lineRule="auto"/>
        <w:ind w:firstLine="472" w:firstLineChars="196"/>
        <w:jc w:val="left"/>
        <w:rPr>
          <w:rFonts w:ascii="宋体" w:hAnsi="宋体" w:cs="宋体"/>
          <w:sz w:val="24"/>
        </w:rPr>
      </w:pPr>
      <w:r>
        <w:rPr>
          <w:rFonts w:hint="eastAsia" w:ascii="宋体" w:hAnsi="宋体" w:cs="宋体"/>
          <w:b/>
          <w:sz w:val="24"/>
        </w:rPr>
        <w:t>B.</w:t>
      </w:r>
      <w:r>
        <w:rPr>
          <w:rFonts w:hint="eastAsia" w:ascii="宋体" w:hAnsi="宋体" w:cs="宋体"/>
          <w:sz w:val="24"/>
        </w:rPr>
        <w:t>要求以联合体形式参加的，提供联合协议（附件</w:t>
      </w:r>
      <w:r>
        <w:rPr>
          <w:rFonts w:ascii="宋体" w:hAnsi="宋体" w:cs="宋体"/>
          <w:sz w:val="24"/>
        </w:rPr>
        <w:t>5</w:t>
      </w:r>
      <w:r>
        <w:rPr>
          <w:rFonts w:hint="eastAsia" w:ascii="宋体" w:hAnsi="宋体" w:cs="宋体"/>
          <w:sz w:val="24"/>
        </w:rPr>
        <w:t>）和中小企业声明函（附件</w:t>
      </w:r>
      <w:r>
        <w:rPr>
          <w:rFonts w:ascii="宋体" w:hAnsi="宋体" w:cs="宋体"/>
          <w:sz w:val="24"/>
        </w:rPr>
        <w:t>7</w:t>
      </w:r>
      <w:r>
        <w:rPr>
          <w:rFonts w:hint="eastAsia" w:ascii="宋体" w:hAnsi="宋体" w:cs="宋体"/>
          <w:sz w:val="24"/>
        </w:rPr>
        <w:t>），联合协议中中小企业合同金额应当达到招标公告载明的比例；如果供应商本身提供所有标的均由中小企业制造的，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视同符合了资格条件，无需再与其他中小企业组成联合体参加政府采购活动，无需提供联合协议。</w:t>
      </w:r>
    </w:p>
    <w:p>
      <w:pPr>
        <w:snapToGrid w:val="0"/>
        <w:spacing w:before="50" w:after="50" w:line="360" w:lineRule="auto"/>
        <w:jc w:val="center"/>
        <w:rPr>
          <w:rFonts w:ascii="宋体" w:hAnsi="宋体" w:cs="宋体"/>
          <w:sz w:val="24"/>
        </w:rPr>
      </w:pPr>
      <w:r>
        <w:rPr>
          <w:rFonts w:hint="eastAsia" w:ascii="宋体" w:hAnsi="宋体" w:cs="宋体"/>
          <w:b/>
          <w:sz w:val="24"/>
        </w:rPr>
        <w:t xml:space="preserve">    </w:t>
      </w:r>
    </w:p>
    <w:p>
      <w:pPr>
        <w:spacing w:line="360" w:lineRule="auto"/>
        <w:ind w:firstLine="482" w:firstLineChars="200"/>
        <w:rPr>
          <w:rFonts w:ascii="宋体" w:hAnsi="宋体" w:cs="宋体"/>
          <w:sz w:val="24"/>
        </w:rPr>
      </w:pPr>
      <w:r>
        <w:rPr>
          <w:rFonts w:hint="eastAsia" w:ascii="宋体" w:hAnsi="宋体" w:cs="宋体"/>
          <w:b/>
          <w:sz w:val="24"/>
        </w:rPr>
        <w:t>C、</w:t>
      </w:r>
      <w:r>
        <w:rPr>
          <w:rFonts w:hint="eastAsia" w:ascii="宋体" w:hAnsi="宋体" w:cs="宋体"/>
          <w:sz w:val="24"/>
        </w:rPr>
        <w:t>要求合同分包的，提供分包意向协议（附件6）和中小企业声明函（附件</w:t>
      </w:r>
      <w:r>
        <w:rPr>
          <w:rFonts w:ascii="宋体" w:hAnsi="宋体" w:cs="宋体"/>
          <w:sz w:val="24"/>
        </w:rPr>
        <w:t>7</w:t>
      </w:r>
      <w:r>
        <w:rPr>
          <w:rFonts w:hint="eastAsia" w:ascii="宋体" w:hAnsi="宋体" w:cs="宋体"/>
          <w:sz w:val="24"/>
        </w:rPr>
        <w:t>），分包意向协议中中小企业合同金额应当达到招标公告载明的比例；如果供应商本身提供所有标的均由中小企业制造的，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视同符合了资格条件，无需再向中小企业分包，无需提供分包意向协议。</w:t>
      </w:r>
    </w:p>
    <w:p>
      <w:pPr>
        <w:widowControl/>
        <w:spacing w:line="360" w:lineRule="auto"/>
        <w:ind w:left="150"/>
        <w:jc w:val="center"/>
        <w:rPr>
          <w:rFonts w:ascii="宋体" w:hAnsi="宋体" w:cs="宋体"/>
          <w:b/>
          <w:kern w:val="0"/>
          <w:sz w:val="32"/>
          <w:szCs w:val="32"/>
        </w:rPr>
      </w:pPr>
    </w:p>
    <w:p>
      <w:pPr>
        <w:widowControl/>
        <w:spacing w:line="360" w:lineRule="auto"/>
        <w:ind w:left="150"/>
        <w:jc w:val="center"/>
        <w:rPr>
          <w:rFonts w:ascii="宋体" w:hAnsi="宋体" w:cs="宋体"/>
          <w:b/>
          <w:kern w:val="0"/>
          <w:sz w:val="32"/>
          <w:szCs w:val="32"/>
        </w:rPr>
      </w:pPr>
      <w:r>
        <w:rPr>
          <w:rFonts w:hint="eastAsia" w:ascii="宋体" w:hAnsi="宋体" w:cs="宋体"/>
          <w:b/>
          <w:kern w:val="0"/>
          <w:sz w:val="32"/>
          <w:szCs w:val="32"/>
        </w:rPr>
        <w:t>四、本项目的特定资格要求（如果有）</w:t>
      </w:r>
    </w:p>
    <w:p>
      <w:pPr>
        <w:spacing w:line="360" w:lineRule="auto"/>
        <w:jc w:val="center"/>
        <w:rPr>
          <w:rFonts w:ascii="宋体" w:hAnsi="宋体" w:cs="宋体"/>
          <w:sz w:val="24"/>
        </w:rPr>
      </w:pPr>
      <w:r>
        <w:rPr>
          <w:rFonts w:hint="eastAsia" w:ascii="宋体" w:hAnsi="宋体" w:cs="宋体"/>
          <w:sz w:val="24"/>
        </w:rPr>
        <w:t>（根据招标公告本项目的特定资格要求提供相应的材料；未要求的，无需提供）</w:t>
      </w:r>
    </w:p>
    <w:p>
      <w:pPr>
        <w:rPr>
          <w:rFonts w:ascii="宋体" w:hAnsi="宋体" w:cs="宋体"/>
        </w:rPr>
      </w:pPr>
    </w:p>
    <w:p>
      <w:pPr>
        <w:widowControl/>
        <w:adjustRightInd/>
        <w:jc w:val="left"/>
        <w:rPr>
          <w:rFonts w:ascii="宋体" w:hAnsi="宋体" w:cs="宋体"/>
          <w:b/>
          <w:kern w:val="0"/>
          <w:sz w:val="32"/>
          <w:szCs w:val="32"/>
        </w:rPr>
      </w:pPr>
      <w:r>
        <w:rPr>
          <w:rFonts w:ascii="宋体" w:hAnsi="宋体" w:cs="宋体"/>
          <w:b/>
          <w:kern w:val="0"/>
          <w:sz w:val="32"/>
          <w:szCs w:val="32"/>
        </w:rPr>
        <w:br w:type="page"/>
      </w:r>
    </w:p>
    <w:p>
      <w:pPr>
        <w:spacing w:line="360" w:lineRule="auto"/>
        <w:ind w:right="420" w:firstLine="3614" w:firstLineChars="1000"/>
        <w:rPr>
          <w:rFonts w:ascii="宋体" w:hAnsi="宋体" w:cs="宋体"/>
          <w:b/>
          <w:kern w:val="0"/>
          <w:sz w:val="36"/>
          <w:szCs w:val="36"/>
        </w:rPr>
      </w:pPr>
      <w:r>
        <w:rPr>
          <w:rFonts w:hint="eastAsia" w:ascii="宋体" w:hAnsi="宋体" w:cs="宋体"/>
          <w:b/>
          <w:kern w:val="0"/>
          <w:sz w:val="36"/>
          <w:szCs w:val="36"/>
        </w:rPr>
        <w:t>商务技术文件部分</w:t>
      </w:r>
    </w:p>
    <w:p>
      <w:pPr>
        <w:spacing w:line="360" w:lineRule="auto"/>
        <w:jc w:val="center"/>
        <w:outlineLvl w:val="0"/>
        <w:rPr>
          <w:rFonts w:ascii="宋体" w:hAnsi="宋体" w:cs="宋体"/>
          <w:b/>
          <w:kern w:val="0"/>
          <w:sz w:val="28"/>
          <w:szCs w:val="28"/>
        </w:rPr>
      </w:pPr>
      <w:r>
        <w:rPr>
          <w:rFonts w:hint="eastAsia" w:ascii="宋体" w:hAnsi="宋体" w:cs="宋体"/>
          <w:b/>
          <w:kern w:val="0"/>
          <w:sz w:val="28"/>
          <w:szCs w:val="28"/>
        </w:rPr>
        <w:t>目录</w:t>
      </w:r>
    </w:p>
    <w:p>
      <w:pPr>
        <w:snapToGrid w:val="0"/>
        <w:spacing w:line="360" w:lineRule="auto"/>
        <w:ind w:left="479" w:leftChars="228"/>
        <w:rPr>
          <w:rFonts w:ascii="宋体" w:hAnsi="宋体" w:cs="宋体"/>
        </w:rPr>
      </w:pPr>
      <w:r>
        <w:rPr>
          <w:rFonts w:hint="eastAsia" w:ascii="宋体" w:hAnsi="宋体" w:cs="宋体"/>
          <w:sz w:val="24"/>
        </w:rPr>
        <w:t>（1）投标函</w:t>
      </w:r>
      <w:r>
        <w:rPr>
          <w:rFonts w:hint="eastAsia" w:ascii="宋体" w:hAnsi="宋体" w:cs="宋体"/>
        </w:rPr>
        <w:t>…………………………………………………………………………………（页码）</w:t>
      </w:r>
      <w:r>
        <w:rPr>
          <w:rFonts w:hint="eastAsia" w:ascii="宋体" w:hAnsi="宋体" w:cs="宋体"/>
          <w:sz w:val="24"/>
        </w:rPr>
        <w:t>（2）授权委托书或法定代表人（单位负责人、自然人本人）身份证明</w:t>
      </w:r>
      <w:r>
        <w:rPr>
          <w:rFonts w:hint="eastAsia" w:ascii="宋体" w:hAnsi="宋体" w:cs="宋体"/>
        </w:rPr>
        <w:t>………（页码）</w:t>
      </w:r>
    </w:p>
    <w:p>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3</w:t>
      </w:r>
      <w:r>
        <w:rPr>
          <w:rFonts w:hint="eastAsia" w:ascii="宋体" w:hAnsi="宋体" w:cs="宋体"/>
          <w:sz w:val="24"/>
        </w:rPr>
        <w:t>）分包意向协议</w:t>
      </w:r>
      <w:r>
        <w:rPr>
          <w:rFonts w:hint="eastAsia" w:ascii="宋体" w:hAnsi="宋体" w:cs="宋体"/>
        </w:rPr>
        <w:t>…………………………………………………………………………（页码）</w:t>
      </w:r>
    </w:p>
    <w:p>
      <w:pPr>
        <w:snapToGrid w:val="0"/>
        <w:spacing w:line="360" w:lineRule="auto"/>
        <w:ind w:firstLine="480" w:firstLineChars="200"/>
        <w:rPr>
          <w:rFonts w:ascii="宋体" w:hAnsi="宋体" w:cs="宋体"/>
        </w:rPr>
      </w:pPr>
      <w:r>
        <w:rPr>
          <w:rFonts w:hint="eastAsia" w:ascii="宋体" w:hAnsi="宋体" w:cs="宋体"/>
          <w:sz w:val="24"/>
        </w:rPr>
        <w:t>（</w:t>
      </w:r>
      <w:r>
        <w:rPr>
          <w:rFonts w:ascii="宋体" w:hAnsi="宋体" w:cs="宋体"/>
          <w:sz w:val="24"/>
        </w:rPr>
        <w:t>4</w:t>
      </w:r>
      <w:r>
        <w:rPr>
          <w:rFonts w:hint="eastAsia" w:ascii="宋体" w:hAnsi="宋体" w:cs="宋体"/>
          <w:sz w:val="24"/>
        </w:rPr>
        <w:t>）符合性审查资料</w:t>
      </w:r>
      <w:r>
        <w:rPr>
          <w:rFonts w:hint="eastAsia" w:ascii="宋体" w:hAnsi="宋体" w:cs="宋体"/>
        </w:rPr>
        <w:t>………………………………………………………………………（页码）</w:t>
      </w:r>
    </w:p>
    <w:p>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5</w:t>
      </w:r>
      <w:r>
        <w:rPr>
          <w:rFonts w:hint="eastAsia" w:ascii="宋体" w:hAnsi="宋体" w:cs="宋体"/>
          <w:sz w:val="24"/>
        </w:rPr>
        <w:t>）评标标准相应的商务技术资料</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……………（页码）</w:t>
      </w:r>
      <w:r>
        <w:rPr>
          <w:rFonts w:hint="eastAsia" w:ascii="宋体" w:hAnsi="宋体" w:cs="宋体"/>
          <w:sz w:val="24"/>
        </w:rPr>
        <w:t>（</w:t>
      </w:r>
      <w:r>
        <w:rPr>
          <w:rFonts w:ascii="宋体" w:hAnsi="宋体" w:cs="宋体"/>
          <w:sz w:val="24"/>
        </w:rPr>
        <w:t>6</w:t>
      </w:r>
      <w:r>
        <w:rPr>
          <w:rFonts w:hint="eastAsia" w:ascii="宋体" w:hAnsi="宋体" w:cs="宋体"/>
          <w:sz w:val="24"/>
        </w:rPr>
        <w:t>）投标标的清单</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……………（页码）</w:t>
      </w:r>
      <w:r>
        <w:rPr>
          <w:rFonts w:hint="eastAsia" w:ascii="宋体" w:hAnsi="宋体" w:cs="宋体"/>
          <w:sz w:val="24"/>
        </w:rPr>
        <w:t>（</w:t>
      </w:r>
      <w:r>
        <w:rPr>
          <w:rFonts w:ascii="宋体" w:hAnsi="宋体" w:cs="宋体"/>
          <w:sz w:val="24"/>
        </w:rPr>
        <w:t>7</w:t>
      </w:r>
      <w:r>
        <w:rPr>
          <w:rFonts w:hint="eastAsia" w:ascii="宋体" w:hAnsi="宋体" w:cs="宋体"/>
          <w:sz w:val="24"/>
        </w:rPr>
        <w:t>）商务技术偏离表</w:t>
      </w:r>
      <w:r>
        <w:rPr>
          <w:rFonts w:hint="eastAsia" w:ascii="宋体" w:hAnsi="宋体" w:cs="宋体"/>
        </w:rPr>
        <w:t>………………………………………………………………………（页码）</w:t>
      </w:r>
    </w:p>
    <w:p>
      <w:pPr>
        <w:snapToGrid w:val="0"/>
        <w:spacing w:line="360" w:lineRule="auto"/>
        <w:ind w:left="479" w:leftChars="228"/>
        <w:rPr>
          <w:rFonts w:ascii="宋体" w:hAnsi="宋体" w:cs="宋体"/>
        </w:rPr>
      </w:pP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r>
        <w:rPr>
          <w:rFonts w:hint="eastAsia" w:ascii="宋体" w:hAnsi="宋体" w:cs="宋体"/>
        </w:rPr>
        <w:t>…………………………………………………（页码）</w:t>
      </w:r>
    </w:p>
    <w:p>
      <w:pPr>
        <w:snapToGrid w:val="0"/>
        <w:spacing w:line="360" w:lineRule="auto"/>
        <w:jc w:val="center"/>
        <w:rPr>
          <w:rFonts w:ascii="宋体" w:hAnsi="宋体" w:cs="宋体"/>
          <w:b/>
          <w:kern w:val="0"/>
          <w:sz w:val="32"/>
          <w:szCs w:val="32"/>
          <w:lang w:val="zh-CN"/>
        </w:rPr>
      </w:pPr>
    </w:p>
    <w:p>
      <w:pPr>
        <w:snapToGrid w:val="0"/>
        <w:spacing w:line="360" w:lineRule="auto"/>
        <w:jc w:val="center"/>
        <w:rPr>
          <w:rFonts w:ascii="宋体" w:hAnsi="宋体" w:cs="宋体"/>
          <w:b/>
          <w:kern w:val="0"/>
          <w:sz w:val="32"/>
          <w:szCs w:val="32"/>
          <w:lang w:val="zh-CN"/>
        </w:rPr>
      </w:pPr>
    </w:p>
    <w:p>
      <w:pPr>
        <w:snapToGrid w:val="0"/>
        <w:spacing w:line="360" w:lineRule="auto"/>
        <w:jc w:val="center"/>
        <w:rPr>
          <w:rFonts w:ascii="宋体" w:hAnsi="宋体" w:cs="宋体"/>
          <w:b/>
          <w:kern w:val="0"/>
          <w:sz w:val="32"/>
          <w:szCs w:val="32"/>
          <w:lang w:val="zh-CN"/>
        </w:rPr>
      </w:pPr>
    </w:p>
    <w:p>
      <w:pPr>
        <w:snapToGrid w:val="0"/>
        <w:spacing w:line="360" w:lineRule="auto"/>
        <w:jc w:val="center"/>
        <w:rPr>
          <w:rFonts w:ascii="宋体" w:hAnsi="宋体" w:cs="宋体"/>
          <w:b/>
          <w:kern w:val="0"/>
          <w:sz w:val="32"/>
          <w:szCs w:val="32"/>
          <w:lang w:val="zh-CN"/>
        </w:rPr>
      </w:pPr>
    </w:p>
    <w:p>
      <w:pPr>
        <w:snapToGrid w:val="0"/>
        <w:spacing w:line="360" w:lineRule="auto"/>
        <w:jc w:val="center"/>
        <w:rPr>
          <w:rFonts w:ascii="宋体" w:hAnsi="宋体" w:cs="宋体"/>
          <w:b/>
          <w:kern w:val="0"/>
          <w:sz w:val="32"/>
          <w:szCs w:val="32"/>
          <w:lang w:val="zh-CN"/>
        </w:rPr>
      </w:pPr>
    </w:p>
    <w:p>
      <w:pPr>
        <w:snapToGrid w:val="0"/>
        <w:spacing w:line="360" w:lineRule="auto"/>
        <w:jc w:val="center"/>
        <w:outlineLvl w:val="0"/>
        <w:rPr>
          <w:rFonts w:ascii="宋体" w:hAnsi="宋体" w:cs="宋体"/>
          <w:b/>
          <w:kern w:val="0"/>
          <w:sz w:val="32"/>
          <w:szCs w:val="32"/>
        </w:rPr>
      </w:pPr>
    </w:p>
    <w:p>
      <w:pPr>
        <w:snapToGrid w:val="0"/>
        <w:spacing w:line="360" w:lineRule="auto"/>
        <w:jc w:val="center"/>
        <w:outlineLvl w:val="0"/>
        <w:rPr>
          <w:rFonts w:ascii="宋体" w:hAnsi="宋体" w:cs="宋体"/>
          <w:b/>
          <w:kern w:val="0"/>
          <w:sz w:val="32"/>
          <w:szCs w:val="32"/>
        </w:rPr>
      </w:pPr>
    </w:p>
    <w:p>
      <w:pPr>
        <w:rPr>
          <w:rFonts w:ascii="宋体" w:hAnsi="宋体" w:cs="宋体"/>
        </w:rPr>
      </w:pPr>
    </w:p>
    <w:p>
      <w:pPr>
        <w:snapToGrid w:val="0"/>
        <w:spacing w:line="360" w:lineRule="auto"/>
        <w:jc w:val="center"/>
        <w:outlineLvl w:val="0"/>
        <w:rPr>
          <w:rFonts w:ascii="宋体" w:hAnsi="宋体" w:cs="宋体"/>
          <w:b/>
          <w:kern w:val="0"/>
          <w:sz w:val="32"/>
          <w:szCs w:val="32"/>
        </w:rPr>
      </w:pPr>
    </w:p>
    <w:p>
      <w:pPr>
        <w:snapToGrid w:val="0"/>
        <w:spacing w:line="360" w:lineRule="auto"/>
        <w:jc w:val="center"/>
        <w:outlineLvl w:val="0"/>
        <w:rPr>
          <w:rFonts w:ascii="宋体" w:hAnsi="宋体" w:cs="宋体"/>
          <w:b/>
          <w:kern w:val="0"/>
          <w:sz w:val="32"/>
          <w:szCs w:val="32"/>
        </w:rPr>
      </w:pPr>
    </w:p>
    <w:p>
      <w:pPr>
        <w:pStyle w:val="2"/>
        <w:rPr>
          <w:lang w:val="en-US"/>
        </w:rPr>
      </w:pPr>
    </w:p>
    <w:p/>
    <w:p>
      <w:pPr>
        <w:snapToGrid w:val="0"/>
        <w:spacing w:line="360" w:lineRule="auto"/>
        <w:ind w:firstLine="3855" w:firstLineChars="1200"/>
        <w:outlineLvl w:val="0"/>
        <w:rPr>
          <w:rFonts w:ascii="宋体" w:hAnsi="宋体" w:cs="宋体"/>
          <w:b/>
          <w:kern w:val="0"/>
          <w:sz w:val="32"/>
          <w:szCs w:val="32"/>
        </w:rPr>
      </w:pPr>
    </w:p>
    <w:p>
      <w:pPr>
        <w:snapToGrid w:val="0"/>
        <w:spacing w:line="360" w:lineRule="auto"/>
        <w:ind w:firstLine="3855" w:firstLineChars="1200"/>
        <w:outlineLvl w:val="0"/>
        <w:rPr>
          <w:rFonts w:ascii="宋体" w:hAnsi="宋体" w:cs="宋体"/>
          <w:b/>
          <w:kern w:val="0"/>
          <w:sz w:val="32"/>
          <w:szCs w:val="32"/>
        </w:rPr>
      </w:pPr>
    </w:p>
    <w:p>
      <w:pPr>
        <w:snapToGrid w:val="0"/>
        <w:spacing w:line="360" w:lineRule="auto"/>
        <w:ind w:firstLine="3855" w:firstLineChars="1200"/>
        <w:outlineLvl w:val="0"/>
        <w:rPr>
          <w:rFonts w:ascii="宋体" w:hAnsi="宋体" w:cs="宋体"/>
          <w:b/>
          <w:kern w:val="0"/>
          <w:sz w:val="32"/>
          <w:szCs w:val="32"/>
        </w:rPr>
      </w:pPr>
    </w:p>
    <w:p>
      <w:pPr>
        <w:widowControl/>
        <w:adjustRightInd/>
        <w:jc w:val="left"/>
        <w:rPr>
          <w:rFonts w:ascii="宋体" w:hAnsi="宋体" w:cs="宋体"/>
          <w:b/>
          <w:kern w:val="0"/>
          <w:sz w:val="32"/>
          <w:szCs w:val="32"/>
        </w:rPr>
      </w:pPr>
      <w:r>
        <w:rPr>
          <w:rFonts w:ascii="宋体" w:hAnsi="宋体" w:cs="宋体"/>
          <w:b/>
          <w:kern w:val="0"/>
          <w:sz w:val="32"/>
          <w:szCs w:val="32"/>
        </w:rPr>
        <w:br w:type="page"/>
      </w:r>
    </w:p>
    <w:p>
      <w:pPr>
        <w:snapToGrid w:val="0"/>
        <w:spacing w:line="360" w:lineRule="auto"/>
        <w:ind w:firstLine="3855" w:firstLineChars="1200"/>
        <w:outlineLvl w:val="0"/>
        <w:rPr>
          <w:rFonts w:ascii="宋体" w:hAnsi="宋体" w:cs="宋体"/>
          <w:b/>
          <w:sz w:val="32"/>
          <w:szCs w:val="32"/>
        </w:rPr>
      </w:pPr>
      <w:r>
        <w:rPr>
          <w:rFonts w:hint="eastAsia" w:ascii="宋体" w:hAnsi="宋体" w:cs="宋体"/>
          <w:b/>
          <w:kern w:val="0"/>
          <w:sz w:val="32"/>
          <w:szCs w:val="32"/>
        </w:rPr>
        <w:t>一、投标</w:t>
      </w:r>
      <w:r>
        <w:rPr>
          <w:rFonts w:hint="eastAsia" w:ascii="宋体" w:hAnsi="宋体" w:cs="宋体"/>
          <w:b/>
          <w:sz w:val="32"/>
          <w:szCs w:val="32"/>
        </w:rPr>
        <w:t>函</w:t>
      </w:r>
    </w:p>
    <w:p>
      <w:pPr>
        <w:snapToGrid w:val="0"/>
        <w:spacing w:line="360" w:lineRule="auto"/>
        <w:rPr>
          <w:rFonts w:ascii="宋体" w:hAnsi="宋体" w:cs="宋体"/>
          <w:sz w:val="24"/>
        </w:rPr>
      </w:pPr>
      <w:r>
        <w:rPr>
          <w:rFonts w:hint="eastAsia" w:ascii="宋体" w:hAnsi="宋体" w:cs="宋体"/>
          <w:sz w:val="24"/>
          <w:lang w:eastAsia="zh-CN"/>
        </w:rPr>
        <w:t>杭州市转塘小学</w:t>
      </w:r>
      <w:r>
        <w:rPr>
          <w:rFonts w:hint="eastAsia" w:ascii="宋体" w:hAnsi="宋体" w:cs="宋体"/>
          <w:sz w:val="24"/>
        </w:rPr>
        <w:t>、杭州市西湖区政府采购中心：</w:t>
      </w:r>
    </w:p>
    <w:p>
      <w:pPr>
        <w:snapToGrid w:val="0"/>
        <w:spacing w:line="360" w:lineRule="auto"/>
        <w:ind w:firstLine="480" w:firstLineChars="200"/>
        <w:rPr>
          <w:rFonts w:ascii="宋体" w:hAnsi="宋体" w:cs="宋体"/>
          <w:sz w:val="24"/>
        </w:rPr>
      </w:pPr>
      <w:r>
        <w:rPr>
          <w:rFonts w:hint="eastAsia" w:ascii="宋体" w:hAnsi="宋体" w:cs="宋体"/>
          <w:sz w:val="24"/>
        </w:rPr>
        <w:t>我方参加你方组织的</w:t>
      </w:r>
      <w:r>
        <w:rPr>
          <w:rFonts w:hint="eastAsia" w:ascii="宋体" w:hAnsi="宋体" w:cs="宋体"/>
          <w:sz w:val="24"/>
          <w:lang w:eastAsia="zh-CN"/>
        </w:rPr>
        <w:t>杭州市转塘小学（浮山新建校）电子显示屏采购项目</w:t>
      </w:r>
      <w:r>
        <w:rPr>
          <w:rFonts w:hint="eastAsia" w:ascii="宋体" w:hAnsi="宋体" w:cs="宋体"/>
          <w:sz w:val="24"/>
        </w:rPr>
        <w:t>【招标编号：</w:t>
      </w:r>
      <w:r>
        <w:rPr>
          <w:rFonts w:hint="eastAsia" w:ascii="宋体" w:hAnsi="宋体" w:cs="宋体"/>
          <w:sz w:val="24"/>
          <w:lang w:eastAsia="zh-CN"/>
        </w:rPr>
        <w:t>XHZFCG-2024-G-31</w:t>
      </w:r>
      <w:r>
        <w:rPr>
          <w:rFonts w:hint="eastAsia" w:ascii="宋体" w:hAnsi="宋体" w:cs="宋体"/>
          <w:sz w:val="24"/>
        </w:rPr>
        <w:t>】招标的有关活动，并对此项目进行投标。为此：</w:t>
      </w:r>
    </w:p>
    <w:p>
      <w:pPr>
        <w:snapToGrid w:val="0"/>
        <w:spacing w:line="360" w:lineRule="auto"/>
        <w:ind w:firstLine="480" w:firstLineChars="200"/>
        <w:rPr>
          <w:rFonts w:ascii="宋体" w:hAnsi="宋体" w:cs="宋体"/>
          <w:sz w:val="24"/>
        </w:rPr>
      </w:pPr>
      <w:r>
        <w:rPr>
          <w:rFonts w:hint="eastAsia" w:ascii="宋体" w:hAnsi="宋体" w:cs="宋体"/>
          <w:sz w:val="24"/>
        </w:rPr>
        <w:t>1、我方承诺投标有效期从提交投标文件的截止之日起</w:t>
      </w:r>
      <w:r>
        <w:rPr>
          <w:rFonts w:hint="eastAsia" w:ascii="宋体" w:hAnsi="宋体" w:cs="宋体"/>
          <w:sz w:val="24"/>
          <w:u w:val="single"/>
        </w:rPr>
        <w:t xml:space="preserve">     </w:t>
      </w:r>
      <w:r>
        <w:rPr>
          <w:rFonts w:hint="eastAsia" w:ascii="宋体" w:hAnsi="宋体" w:cs="宋体"/>
          <w:sz w:val="24"/>
        </w:rPr>
        <w:t>天（不少于90天）</w:t>
      </w:r>
      <w:r>
        <w:rPr>
          <w:rFonts w:hint="eastAsia" w:ascii="宋体" w:hAnsi="宋体" w:cs="宋体"/>
        </w:rPr>
        <w:t>，</w:t>
      </w:r>
      <w:r>
        <w:rPr>
          <w:rFonts w:hint="eastAsia" w:ascii="宋体" w:hAnsi="宋体" w:cs="宋体"/>
          <w:sz w:val="24"/>
        </w:rPr>
        <w:t>本投标文件在投标有效期满之前均具有约束力。</w:t>
      </w:r>
    </w:p>
    <w:p>
      <w:pPr>
        <w:snapToGrid w:val="0"/>
        <w:spacing w:line="360" w:lineRule="auto"/>
        <w:ind w:firstLine="480" w:firstLineChars="200"/>
        <w:rPr>
          <w:rFonts w:ascii="宋体" w:hAnsi="宋体" w:cs="宋体"/>
          <w:sz w:val="24"/>
        </w:rPr>
      </w:pPr>
      <w:r>
        <w:rPr>
          <w:rFonts w:hint="eastAsia" w:ascii="宋体" w:hAnsi="宋体" w:cs="宋体"/>
          <w:sz w:val="24"/>
        </w:rPr>
        <w:t>2、我方的投标文件包括以下内容：</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2.1资格文件：</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2.1.1承诺函；</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2.1.2</w:t>
      </w:r>
      <w:r>
        <w:rPr>
          <w:rFonts w:hint="eastAsia" w:ascii="宋体" w:hAnsi="宋体" w:cs="宋体"/>
          <w:snapToGrid w:val="0"/>
          <w:kern w:val="28"/>
          <w:sz w:val="24"/>
          <w:szCs w:val="20"/>
        </w:rPr>
        <w:t>联合协议（如果有)；</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w:t>
      </w:r>
      <w:r>
        <w:rPr>
          <w:rFonts w:ascii="宋体" w:hAnsi="宋体" w:cs="宋体"/>
          <w:sz w:val="24"/>
        </w:rPr>
        <w:t>.1.3</w:t>
      </w:r>
      <w:r>
        <w:rPr>
          <w:rFonts w:hint="eastAsia" w:ascii="宋体" w:hAnsi="宋体" w:cs="宋体"/>
          <w:sz w:val="24"/>
        </w:rPr>
        <w:t>落实政府采购政策需满足的资格要求</w:t>
      </w:r>
      <w:r>
        <w:rPr>
          <w:rFonts w:hint="eastAsia" w:ascii="宋体" w:hAnsi="宋体" w:cs="宋体"/>
          <w:snapToGrid w:val="0"/>
          <w:kern w:val="28"/>
          <w:sz w:val="24"/>
          <w:szCs w:val="20"/>
        </w:rPr>
        <w:t>（如果有）</w:t>
      </w:r>
      <w:r>
        <w:rPr>
          <w:rFonts w:hint="eastAsia" w:ascii="宋体" w:hAnsi="宋体" w:cs="宋体"/>
          <w:sz w:val="24"/>
        </w:rPr>
        <w:t>；</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2.1.</w:t>
      </w:r>
      <w:r>
        <w:rPr>
          <w:rFonts w:ascii="宋体" w:hAnsi="宋体" w:cs="宋体"/>
          <w:sz w:val="24"/>
        </w:rPr>
        <w:t>4</w:t>
      </w:r>
      <w:r>
        <w:rPr>
          <w:rFonts w:hint="eastAsia" w:ascii="宋体" w:hAnsi="宋体" w:cs="宋体"/>
          <w:sz w:val="24"/>
        </w:rPr>
        <w:t>本项目的特定资格要求</w:t>
      </w:r>
      <w:r>
        <w:rPr>
          <w:rFonts w:hint="eastAsia" w:ascii="宋体" w:hAnsi="宋体" w:cs="宋体"/>
          <w:snapToGrid w:val="0"/>
          <w:kern w:val="28"/>
          <w:sz w:val="24"/>
          <w:szCs w:val="20"/>
        </w:rPr>
        <w:t>（如果有）</w:t>
      </w:r>
      <w:r>
        <w:rPr>
          <w:rFonts w:hint="eastAsia" w:ascii="宋体" w:hAnsi="宋体" w:cs="宋体"/>
          <w:sz w:val="24"/>
        </w:rPr>
        <w:t>；</w:t>
      </w:r>
    </w:p>
    <w:p>
      <w:pPr>
        <w:snapToGrid w:val="0"/>
        <w:spacing w:line="360" w:lineRule="auto"/>
        <w:ind w:left="210" w:leftChars="1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2.2.1投标函；</w:t>
      </w:r>
      <w:r>
        <w:rPr>
          <w:rFonts w:hint="eastAsia" w:ascii="宋体" w:hAnsi="宋体" w:cs="宋体"/>
          <w:sz w:val="24"/>
          <w:lang w:val="zh-CN"/>
        </w:rPr>
        <w:t xml:space="preserve"> </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2.2.2授权委托书或法定代表人（单位负责人）身份证明；</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3</w:t>
      </w:r>
      <w:r>
        <w:rPr>
          <w:rFonts w:hint="eastAsia" w:ascii="宋体" w:hAnsi="宋体" w:cs="宋体"/>
          <w:sz w:val="24"/>
        </w:rPr>
        <w:t>分包意向协议</w:t>
      </w:r>
      <w:r>
        <w:rPr>
          <w:rFonts w:hint="eastAsia" w:ascii="宋体" w:hAnsi="宋体" w:cs="宋体"/>
          <w:snapToGrid w:val="0"/>
          <w:kern w:val="28"/>
          <w:sz w:val="24"/>
          <w:szCs w:val="20"/>
        </w:rPr>
        <w:t>（如果有）</w:t>
      </w:r>
      <w:r>
        <w:rPr>
          <w:rFonts w:hint="eastAsia" w:ascii="宋体" w:hAnsi="宋体" w:cs="宋体"/>
          <w:sz w:val="24"/>
        </w:rPr>
        <w:t>；</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4</w:t>
      </w:r>
      <w:r>
        <w:rPr>
          <w:rFonts w:hint="eastAsia" w:ascii="宋体" w:hAnsi="宋体" w:cs="宋体"/>
          <w:sz w:val="24"/>
        </w:rPr>
        <w:t>符合性审查资料；</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5</w:t>
      </w:r>
      <w:r>
        <w:rPr>
          <w:rFonts w:hint="eastAsia" w:ascii="宋体" w:hAnsi="宋体" w:cs="宋体"/>
          <w:sz w:val="24"/>
        </w:rPr>
        <w:t>评标标准相应的商务技术资料；</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6</w:t>
      </w:r>
      <w:r>
        <w:rPr>
          <w:rFonts w:hint="eastAsia" w:ascii="宋体" w:hAnsi="宋体" w:cs="宋体"/>
          <w:sz w:val="24"/>
        </w:rPr>
        <w:t>投标标的清单；</w:t>
      </w:r>
    </w:p>
    <w:p>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7</w:t>
      </w:r>
      <w:r>
        <w:rPr>
          <w:rFonts w:hint="eastAsia" w:ascii="宋体" w:hAnsi="宋体" w:cs="宋体"/>
          <w:sz w:val="24"/>
        </w:rPr>
        <w:t>商务技术偏离表；</w:t>
      </w:r>
    </w:p>
    <w:p>
      <w:pPr>
        <w:snapToGrid w:val="0"/>
        <w:spacing w:line="360" w:lineRule="auto"/>
        <w:ind w:left="420" w:leftChars="2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2.3.1开标一览表（报价表）；</w:t>
      </w:r>
    </w:p>
    <w:p>
      <w:pPr>
        <w:snapToGrid w:val="0"/>
        <w:spacing w:line="360" w:lineRule="auto"/>
        <w:ind w:left="420" w:leftChars="200" w:firstLine="480" w:firstLineChars="200"/>
      </w:pPr>
      <w:r>
        <w:rPr>
          <w:rFonts w:hint="eastAsia" w:ascii="宋体" w:hAnsi="宋体" w:cs="宋体"/>
          <w:sz w:val="24"/>
        </w:rPr>
        <w:t>2.3.</w:t>
      </w:r>
      <w:r>
        <w:rPr>
          <w:rFonts w:hint="eastAsia" w:ascii="宋体" w:hAnsi="宋体" w:cs="宋体"/>
          <w:sz w:val="24"/>
          <w:lang w:val="en-US" w:eastAsia="zh-CN"/>
        </w:rPr>
        <w:t>2中小企业声明函</w:t>
      </w:r>
      <w:r>
        <w:rPr>
          <w:rFonts w:hint="eastAsia" w:ascii="宋体" w:hAnsi="宋体" w:cs="宋体"/>
          <w:sz w:val="24"/>
        </w:rPr>
        <w:t>（</w:t>
      </w:r>
      <w:r>
        <w:rPr>
          <w:rFonts w:hint="eastAsia" w:ascii="宋体" w:hAnsi="宋体" w:cs="宋体"/>
          <w:sz w:val="24"/>
          <w:lang w:val="en-US" w:eastAsia="zh-CN"/>
        </w:rPr>
        <w:t>如果有</w:t>
      </w:r>
      <w:r>
        <w:rPr>
          <w:rFonts w:hint="eastAsia" w:ascii="宋体" w:hAnsi="宋体" w:cs="宋体"/>
          <w:sz w:val="24"/>
        </w:rPr>
        <w:t>）；</w:t>
      </w:r>
    </w:p>
    <w:p>
      <w:pPr>
        <w:snapToGrid w:val="0"/>
        <w:spacing w:line="360" w:lineRule="auto"/>
        <w:ind w:firstLine="480" w:firstLineChars="200"/>
        <w:rPr>
          <w:rFonts w:ascii="宋体" w:hAnsi="宋体" w:cs="宋体"/>
          <w:sz w:val="24"/>
        </w:rPr>
      </w:pPr>
      <w:r>
        <w:rPr>
          <w:rFonts w:hint="eastAsia" w:ascii="宋体" w:hAnsi="宋体" w:cs="宋体"/>
          <w:sz w:val="24"/>
        </w:rPr>
        <w:t>3、我方承诺除商务技术偏离表列出的偏离外，我方响应招标文件的全部要求。</w:t>
      </w:r>
    </w:p>
    <w:p>
      <w:pPr>
        <w:snapToGrid w:val="0"/>
        <w:spacing w:line="360" w:lineRule="auto"/>
        <w:ind w:firstLine="480" w:firstLineChars="200"/>
        <w:rPr>
          <w:rFonts w:ascii="宋体" w:hAnsi="宋体" w:cs="宋体"/>
          <w:sz w:val="24"/>
        </w:rPr>
      </w:pPr>
      <w:r>
        <w:rPr>
          <w:rFonts w:hint="eastAsia" w:ascii="宋体" w:hAnsi="宋体" w:cs="宋体"/>
          <w:sz w:val="24"/>
        </w:rPr>
        <w:t>4、如我方中标，我方承诺：</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4.1在收到中标通知书后，在中标通知书规定的期限内与你方签订合同； </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4.2在签订合同时不向你方提出附加条件； </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4.3按照招标文件要求提交履约保证金； </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4.4在合同约定的期限内完成合同规定的全部义务。 </w:t>
      </w:r>
    </w:p>
    <w:p>
      <w:pPr>
        <w:snapToGrid w:val="0"/>
        <w:spacing w:line="360" w:lineRule="auto"/>
        <w:ind w:left="210" w:leftChars="100" w:firstLine="480" w:firstLineChars="200"/>
        <w:rPr>
          <w:rFonts w:ascii="宋体" w:hAnsi="宋体" w:cs="宋体"/>
          <w:sz w:val="24"/>
        </w:rPr>
      </w:pPr>
      <w:r>
        <w:rPr>
          <w:rFonts w:hint="eastAsia" w:ascii="宋体" w:hAnsi="宋体" w:cs="宋体"/>
          <w:sz w:val="24"/>
        </w:rPr>
        <w:t>5、其他补充说明:</w:t>
      </w:r>
      <w:r>
        <w:rPr>
          <w:rFonts w:hint="eastAsia" w:ascii="宋体" w:hAnsi="宋体" w:cs="宋体"/>
          <w:sz w:val="24"/>
          <w:u w:val="single"/>
        </w:rPr>
        <w:t xml:space="preserve">                                        </w:t>
      </w:r>
      <w:r>
        <w:rPr>
          <w:rFonts w:hint="eastAsia" w:ascii="宋体" w:hAnsi="宋体" w:cs="宋体"/>
          <w:sz w:val="24"/>
        </w:rPr>
        <w:t>。</w:t>
      </w:r>
    </w:p>
    <w:p>
      <w:pPr>
        <w:spacing w:line="360" w:lineRule="auto"/>
        <w:ind w:firstLine="3600" w:firstLineChars="1500"/>
        <w:rPr>
          <w:rFonts w:ascii="宋体" w:hAnsi="宋体" w:cs="宋体"/>
          <w:sz w:val="24"/>
        </w:rPr>
      </w:pPr>
      <w:r>
        <w:rPr>
          <w:rFonts w:hint="eastAsia" w:ascii="宋体" w:hAnsi="宋体" w:cs="宋体"/>
          <w:sz w:val="24"/>
        </w:rPr>
        <w:t xml:space="preserve">投标人名称（电子签名）：                          </w:t>
      </w:r>
    </w:p>
    <w:p>
      <w:pPr>
        <w:spacing w:line="360" w:lineRule="auto"/>
        <w:jc w:val="center"/>
        <w:rPr>
          <w:rFonts w:ascii="宋体" w:hAnsi="宋体" w:cs="宋体"/>
          <w:sz w:val="24"/>
        </w:rPr>
      </w:pPr>
      <w:r>
        <w:rPr>
          <w:rFonts w:hint="eastAsia" w:ascii="宋体" w:hAnsi="宋体" w:cs="宋体"/>
          <w:sz w:val="24"/>
        </w:rPr>
        <w:t xml:space="preserve">     日期：  年   月   日</w:t>
      </w:r>
    </w:p>
    <w:p>
      <w:pPr>
        <w:snapToGrid w:val="0"/>
        <w:spacing w:line="360" w:lineRule="auto"/>
        <w:ind w:left="420" w:leftChars="200" w:firstLine="4200" w:firstLineChars="1750"/>
        <w:rPr>
          <w:rFonts w:ascii="宋体" w:hAnsi="宋体" w:cs="宋体"/>
          <w:kern w:val="0"/>
          <w:sz w:val="24"/>
          <w:u w:val="single"/>
        </w:rPr>
      </w:pPr>
    </w:p>
    <w:p>
      <w:pPr>
        <w:spacing w:line="360" w:lineRule="auto"/>
        <w:ind w:right="420"/>
        <w:rPr>
          <w:rFonts w:ascii="宋体" w:hAnsi="宋体" w:cs="宋体"/>
          <w:sz w:val="24"/>
        </w:rPr>
      </w:pPr>
      <w:r>
        <w:rPr>
          <w:rFonts w:hint="eastAsia" w:ascii="宋体" w:hAnsi="宋体" w:cs="宋体"/>
          <w:sz w:val="24"/>
        </w:rPr>
        <w:t>注：按本格式和要求提供。</w:t>
      </w:r>
    </w:p>
    <w:p>
      <w:pPr>
        <w:snapToGrid w:val="0"/>
        <w:spacing w:line="360" w:lineRule="auto"/>
        <w:jc w:val="center"/>
        <w:rPr>
          <w:rFonts w:ascii="宋体" w:hAnsi="宋体" w:cs="宋体"/>
          <w:b/>
          <w:kern w:val="0"/>
          <w:sz w:val="32"/>
          <w:szCs w:val="32"/>
        </w:rPr>
      </w:pPr>
    </w:p>
    <w:p>
      <w:pPr>
        <w:snapToGrid w:val="0"/>
        <w:spacing w:line="360" w:lineRule="auto"/>
        <w:rPr>
          <w:rFonts w:ascii="宋体" w:hAnsi="宋体" w:cs="宋体"/>
          <w:sz w:val="24"/>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widowControl/>
        <w:adjustRightInd/>
        <w:jc w:val="left"/>
        <w:rPr>
          <w:rFonts w:ascii="宋体" w:hAnsi="宋体" w:cs="宋体"/>
          <w:b/>
          <w:kern w:val="0"/>
          <w:sz w:val="32"/>
          <w:szCs w:val="32"/>
        </w:rPr>
      </w:pPr>
      <w:r>
        <w:rPr>
          <w:rFonts w:ascii="宋体" w:hAnsi="宋体" w:cs="宋体"/>
          <w:b/>
          <w:kern w:val="0"/>
          <w:sz w:val="32"/>
          <w:szCs w:val="32"/>
        </w:rPr>
        <w:br w:type="page"/>
      </w:r>
    </w:p>
    <w:p>
      <w:pPr>
        <w:jc w:val="center"/>
        <w:rPr>
          <w:rFonts w:ascii="宋体" w:hAnsi="宋体" w:cs="宋体"/>
          <w:b/>
          <w:kern w:val="0"/>
          <w:sz w:val="32"/>
          <w:szCs w:val="32"/>
          <w:lang w:val="zh-CN"/>
        </w:rPr>
      </w:pPr>
      <w:r>
        <w:rPr>
          <w:rFonts w:hint="eastAsia" w:ascii="宋体" w:hAnsi="宋体" w:cs="宋体"/>
          <w:b/>
          <w:kern w:val="0"/>
          <w:sz w:val="32"/>
          <w:szCs w:val="32"/>
          <w:lang w:val="zh-CN"/>
        </w:rPr>
        <w:t>二、授权委托书或法定代表人（单位负责人、自然人本人）身份证明</w:t>
      </w:r>
    </w:p>
    <w:p>
      <w:pPr>
        <w:snapToGrid w:val="0"/>
        <w:spacing w:line="360" w:lineRule="auto"/>
        <w:rPr>
          <w:rFonts w:ascii="宋体" w:hAnsi="宋体" w:cs="宋体"/>
          <w:sz w:val="24"/>
        </w:rPr>
      </w:pPr>
      <w:r>
        <w:rPr>
          <w:rFonts w:hint="eastAsia" w:ascii="宋体" w:hAnsi="宋体" w:cs="宋体"/>
          <w:sz w:val="24"/>
        </w:rPr>
        <w:t xml:space="preserve">                                </w:t>
      </w:r>
    </w:p>
    <w:p>
      <w:pPr>
        <w:snapToGrid w:val="0"/>
        <w:spacing w:line="360" w:lineRule="auto"/>
        <w:ind w:firstLine="2872" w:firstLineChars="894"/>
        <w:rPr>
          <w:rFonts w:ascii="宋体" w:hAnsi="宋体" w:cs="宋体"/>
        </w:rPr>
      </w:pPr>
      <w:r>
        <w:rPr>
          <w:rFonts w:hint="eastAsia" w:ascii="宋体" w:hAnsi="宋体" w:cs="宋体"/>
          <w:b/>
          <w:kern w:val="0"/>
          <w:sz w:val="32"/>
          <w:szCs w:val="32"/>
          <w:lang w:val="zh-CN"/>
        </w:rPr>
        <w:t>授权委托书（适用于非联合体投标）</w:t>
      </w:r>
      <w:r>
        <w:rPr>
          <w:rFonts w:hint="eastAsia" w:ascii="宋体" w:hAnsi="宋体" w:cs="宋体"/>
        </w:rPr>
        <w:t xml:space="preserve">                               </w:t>
      </w:r>
    </w:p>
    <w:p>
      <w:pPr>
        <w:snapToGrid w:val="0"/>
        <w:spacing w:line="360" w:lineRule="auto"/>
        <w:rPr>
          <w:rFonts w:ascii="宋体" w:hAnsi="宋体" w:cs="宋体"/>
          <w:kern w:val="0"/>
          <w:sz w:val="24"/>
        </w:rPr>
      </w:pPr>
      <w:r>
        <w:rPr>
          <w:rFonts w:hint="eastAsia" w:ascii="宋体" w:hAnsi="宋体" w:cs="宋体"/>
          <w:sz w:val="24"/>
          <w:lang w:eastAsia="zh-CN"/>
        </w:rPr>
        <w:t>杭州市转塘小学</w:t>
      </w:r>
      <w:r>
        <w:rPr>
          <w:rFonts w:hint="eastAsia" w:ascii="宋体" w:hAnsi="宋体" w:cs="宋体"/>
          <w:sz w:val="24"/>
        </w:rPr>
        <w:t>、杭州市西湖区政府采购中心</w:t>
      </w:r>
      <w:r>
        <w:rPr>
          <w:rFonts w:hint="eastAsia" w:ascii="宋体" w:hAnsi="宋体" w:cs="宋体"/>
          <w:kern w:val="0"/>
          <w:sz w:val="24"/>
          <w:lang w:val="zh-CN"/>
        </w:rPr>
        <w:t>：</w:t>
      </w:r>
    </w:p>
    <w:p>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lang w:eastAsia="zh-CN"/>
        </w:rPr>
        <w:t>杭州市转塘小学（浮山新建校）电子显示屏采购项目</w:t>
      </w:r>
      <w:r>
        <w:rPr>
          <w:rFonts w:hint="eastAsia" w:ascii="宋体" w:hAnsi="宋体" w:cs="宋体"/>
          <w:sz w:val="24"/>
        </w:rPr>
        <w:t>【招标编号：</w:t>
      </w:r>
      <w:r>
        <w:rPr>
          <w:rFonts w:hint="eastAsia" w:ascii="宋体" w:hAnsi="宋体" w:cs="宋体"/>
          <w:sz w:val="24"/>
          <w:lang w:eastAsia="zh-CN"/>
        </w:rPr>
        <w:t>XHZFCG-2024-G-31</w:t>
      </w:r>
      <w:r>
        <w:rPr>
          <w:rFonts w:hint="eastAsia" w:ascii="宋体" w:hAnsi="宋体" w:cs="宋体"/>
          <w:sz w:val="24"/>
        </w:rPr>
        <w:t>】</w:t>
      </w:r>
      <w:r>
        <w:rPr>
          <w:rFonts w:hint="eastAsia" w:ascii="宋体" w:hAnsi="宋体" w:cs="宋体"/>
          <w:kern w:val="0"/>
          <w:sz w:val="24"/>
          <w:lang w:val="zh-CN"/>
        </w:rPr>
        <w:t>政府采购投标的一切事项，其法律后果由我方承担。</w:t>
      </w:r>
    </w:p>
    <w:p>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pPr>
        <w:snapToGrid w:val="0"/>
        <w:spacing w:line="360" w:lineRule="auto"/>
        <w:rPr>
          <w:rFonts w:ascii="宋体" w:hAnsi="宋体" w:cs="宋体"/>
          <w:kern w:val="0"/>
          <w:sz w:val="24"/>
        </w:rPr>
      </w:pPr>
      <w:r>
        <w:rPr>
          <w:rFonts w:hint="eastAsia" w:ascii="宋体" w:hAnsi="宋体" w:cs="宋体"/>
          <w:kern w:val="0"/>
          <w:sz w:val="24"/>
          <w:lang w:val="zh-CN"/>
        </w:rPr>
        <w:t xml:space="preserve">                                                 投标人名称(电子签名)：</w:t>
      </w:r>
    </w:p>
    <w:p>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pPr>
        <w:snapToGrid w:val="0"/>
        <w:spacing w:line="360" w:lineRule="auto"/>
        <w:rPr>
          <w:rFonts w:ascii="宋体" w:hAnsi="宋体" w:cs="宋体"/>
          <w:sz w:val="24"/>
        </w:rPr>
      </w:pPr>
    </w:p>
    <w:p>
      <w:pPr>
        <w:jc w:val="center"/>
        <w:rPr>
          <w:rFonts w:ascii="宋体" w:hAnsi="宋体" w:cs="宋体"/>
          <w:b/>
          <w:kern w:val="0"/>
          <w:sz w:val="32"/>
          <w:szCs w:val="32"/>
        </w:rPr>
      </w:pPr>
      <w:r>
        <w:rPr>
          <w:rFonts w:hint="eastAsia" w:ascii="宋体" w:hAnsi="宋体" w:cs="宋体"/>
          <w:b/>
          <w:kern w:val="0"/>
          <w:sz w:val="32"/>
          <w:szCs w:val="32"/>
          <w:lang w:val="zh-CN"/>
        </w:rPr>
        <w:t xml:space="preserve">      </w:t>
      </w:r>
      <w:r>
        <w:rPr>
          <w:rFonts w:hint="eastAsia" w:ascii="宋体" w:hAnsi="宋体" w:cs="宋体"/>
          <w:b/>
          <w:kern w:val="0"/>
          <w:sz w:val="32"/>
          <w:szCs w:val="32"/>
        </w:rPr>
        <w:t xml:space="preserve"> </w:t>
      </w:r>
      <w:r>
        <w:rPr>
          <w:rFonts w:hint="eastAsia" w:ascii="宋体" w:hAnsi="宋体" w:cs="宋体"/>
          <w:b/>
          <w:kern w:val="0"/>
          <w:sz w:val="32"/>
          <w:szCs w:val="32"/>
          <w:lang w:val="zh-CN"/>
        </w:rPr>
        <w:t>授权委托书（适用于联合体投标）</w:t>
      </w:r>
    </w:p>
    <w:p>
      <w:pPr>
        <w:snapToGrid w:val="0"/>
        <w:spacing w:line="360" w:lineRule="auto"/>
        <w:rPr>
          <w:rFonts w:ascii="宋体" w:hAnsi="宋体" w:cs="宋体"/>
          <w:kern w:val="0"/>
          <w:sz w:val="24"/>
        </w:rPr>
      </w:pPr>
      <w:r>
        <w:rPr>
          <w:rFonts w:hint="eastAsia" w:ascii="宋体" w:hAnsi="宋体" w:cs="宋体"/>
          <w:sz w:val="24"/>
          <w:lang w:eastAsia="zh-CN"/>
        </w:rPr>
        <w:t>杭州市转塘小学</w:t>
      </w:r>
      <w:r>
        <w:rPr>
          <w:rFonts w:hint="eastAsia" w:ascii="宋体" w:hAnsi="宋体" w:cs="宋体"/>
          <w:sz w:val="24"/>
        </w:rPr>
        <w:t>、杭州市西湖区政府采购中心</w:t>
      </w:r>
      <w:r>
        <w:rPr>
          <w:rFonts w:hint="eastAsia" w:ascii="宋体" w:hAnsi="宋体" w:cs="宋体"/>
          <w:kern w:val="0"/>
          <w:sz w:val="24"/>
          <w:lang w:val="zh-CN"/>
        </w:rPr>
        <w:t>：</w:t>
      </w:r>
    </w:p>
    <w:p>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lang w:eastAsia="zh-CN"/>
        </w:rPr>
        <w:t>杭州市转塘小学（浮山新建校）电子显示屏采购项目</w:t>
      </w:r>
      <w:r>
        <w:rPr>
          <w:rFonts w:hint="eastAsia" w:ascii="宋体" w:hAnsi="宋体" w:cs="宋体"/>
          <w:sz w:val="24"/>
        </w:rPr>
        <w:t>【招标编号：</w:t>
      </w:r>
      <w:r>
        <w:rPr>
          <w:rFonts w:hint="eastAsia" w:ascii="宋体" w:hAnsi="宋体" w:cs="宋体"/>
          <w:sz w:val="24"/>
          <w:lang w:eastAsia="zh-CN"/>
        </w:rPr>
        <w:t>XHZFCG-2024-G-31</w:t>
      </w:r>
      <w:r>
        <w:rPr>
          <w:rFonts w:hint="eastAsia" w:ascii="宋体" w:hAnsi="宋体" w:cs="宋体"/>
          <w:sz w:val="24"/>
        </w:rPr>
        <w:t>】</w:t>
      </w:r>
      <w:r>
        <w:rPr>
          <w:rFonts w:hint="eastAsia" w:ascii="宋体" w:hAnsi="宋体" w:cs="宋体"/>
          <w:kern w:val="0"/>
          <w:sz w:val="24"/>
          <w:lang w:val="zh-CN"/>
        </w:rPr>
        <w:t>政府采购投标的一切事项，其法律后果由我方承担。</w:t>
      </w:r>
    </w:p>
    <w:p>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pPr>
        <w:jc w:val="center"/>
        <w:rPr>
          <w:rFonts w:ascii="宋体" w:hAnsi="宋体" w:cs="宋体"/>
          <w:b/>
          <w:kern w:val="0"/>
          <w:sz w:val="32"/>
          <w:szCs w:val="32"/>
        </w:rPr>
      </w:pPr>
    </w:p>
    <w:p>
      <w:pPr>
        <w:rPr>
          <w:rFonts w:ascii="宋体" w:hAnsi="宋体" w:cs="宋体"/>
        </w:rPr>
      </w:pPr>
    </w:p>
    <w:p>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pPr>
        <w:snapToGrid w:val="0"/>
        <w:spacing w:line="360" w:lineRule="auto"/>
        <w:ind w:firstLine="5760" w:firstLineChars="2400"/>
        <w:rPr>
          <w:rFonts w:ascii="宋体" w:hAnsi="宋体" w:cs="宋体"/>
        </w:rPr>
      </w:pPr>
      <w:r>
        <w:rPr>
          <w:rFonts w:hint="eastAsia" w:ascii="宋体" w:hAnsi="宋体" w:cs="宋体"/>
          <w:kern w:val="0"/>
          <w:sz w:val="24"/>
          <w:lang w:val="zh-CN"/>
        </w:rPr>
        <w:t>……</w:t>
      </w:r>
    </w:p>
    <w:p>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pPr>
        <w:snapToGrid w:val="0"/>
        <w:spacing w:line="360" w:lineRule="auto"/>
        <w:ind w:firstLine="480" w:firstLineChars="200"/>
        <w:rPr>
          <w:rFonts w:ascii="宋体" w:hAnsi="宋体" w:cs="宋体"/>
          <w:kern w:val="0"/>
          <w:sz w:val="24"/>
          <w:lang w:val="zh-CN"/>
        </w:rPr>
      </w:pPr>
    </w:p>
    <w:p>
      <w:pPr>
        <w:snapToGri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注：▲供应商委派不在本单位缴纳社保的人员作为授权代表（代理人）的，应当在投标（响应）文件中，说明具体原因、授权代表缴纳社保的单位，并附列该授权代表缴纳社保清单。</w:t>
      </w:r>
    </w:p>
    <w:p>
      <w:pPr>
        <w:autoSpaceDE w:val="0"/>
        <w:autoSpaceDN w:val="0"/>
        <w:spacing w:line="360" w:lineRule="auto"/>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的身份证明（适用于法定代表人、单位负责人或者自然人本人代表投标人参加投标）</w:t>
      </w:r>
    </w:p>
    <w:p>
      <w:pPr>
        <w:pStyle w:val="147"/>
        <w:spacing w:line="360" w:lineRule="auto"/>
        <w:rPr>
          <w:rFonts w:hAnsi="宋体" w:cs="宋体"/>
          <w:bCs/>
          <w:sz w:val="24"/>
        </w:rPr>
      </w:pPr>
      <w:r>
        <w:rPr>
          <w:rFonts w:hint="eastAsia" w:hAnsi="宋体" w:cs="宋体"/>
          <w:bCs/>
          <w:sz w:val="24"/>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147"/>
              <w:adjustRightInd w:val="0"/>
              <w:spacing w:line="360" w:lineRule="auto"/>
              <w:rPr>
                <w:rFonts w:hAnsi="宋体" w:cs="宋体"/>
                <w:bCs/>
                <w:sz w:val="24"/>
              </w:rPr>
            </w:pPr>
            <w:r>
              <w:rPr>
                <w:rFonts w:hint="eastAsia" w:hAnsi="宋体" w:cs="宋体"/>
                <w:bCs/>
                <w:sz w:val="24"/>
              </w:rPr>
              <w:t>正面：                                 反面：</w:t>
            </w:r>
          </w:p>
          <w:p>
            <w:pPr>
              <w:pStyle w:val="147"/>
              <w:adjustRightInd w:val="0"/>
              <w:spacing w:line="360" w:lineRule="auto"/>
              <w:rPr>
                <w:rFonts w:hAnsi="宋体" w:cs="宋体"/>
                <w:bCs/>
                <w:sz w:val="24"/>
              </w:rPr>
            </w:pPr>
          </w:p>
        </w:tc>
      </w:tr>
    </w:tbl>
    <w:p>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投标人名称(电子签名)：                              </w:t>
      </w:r>
    </w:p>
    <w:p>
      <w:pPr>
        <w:spacing w:line="360" w:lineRule="auto"/>
        <w:jc w:val="center"/>
        <w:rPr>
          <w:rFonts w:ascii="宋体" w:hAnsi="宋体" w:cs="宋体"/>
          <w:kern w:val="0"/>
          <w:sz w:val="24"/>
          <w:lang w:val="zh-CN"/>
        </w:rPr>
      </w:pPr>
      <w:r>
        <w:rPr>
          <w:rFonts w:hint="eastAsia" w:ascii="宋体" w:hAnsi="宋体" w:cs="宋体"/>
          <w:kern w:val="0"/>
          <w:sz w:val="24"/>
          <w:lang w:val="zh-CN"/>
        </w:rPr>
        <w:t xml:space="preserve">                   日期：  年  月  日</w:t>
      </w: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snapToGrid w:val="0"/>
        <w:spacing w:line="360" w:lineRule="auto"/>
        <w:ind w:right="480"/>
        <w:rPr>
          <w:rFonts w:ascii="宋体" w:hAnsi="宋体" w:cs="宋体"/>
          <w:b/>
          <w:kern w:val="0"/>
          <w:sz w:val="32"/>
          <w:szCs w:val="32"/>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pPr>
        <w:snapToGrid w:val="0"/>
        <w:spacing w:line="360" w:lineRule="auto"/>
        <w:jc w:val="center"/>
        <w:rPr>
          <w:rFonts w:ascii="宋体" w:hAnsi="宋体" w:cs="宋体"/>
          <w:b/>
          <w:kern w:val="0"/>
          <w:sz w:val="32"/>
          <w:szCs w:val="32"/>
        </w:rPr>
      </w:pPr>
      <w:r>
        <w:rPr>
          <w:rFonts w:hint="eastAsia" w:ascii="宋体" w:hAnsi="宋体" w:cs="宋体"/>
          <w:b/>
          <w:kern w:val="0"/>
          <w:sz w:val="32"/>
          <w:szCs w:val="32"/>
        </w:rPr>
        <w:t>三、分包意向协议（如果有）</w:t>
      </w:r>
    </w:p>
    <w:p>
      <w:pPr>
        <w:widowControl/>
        <w:spacing w:line="360" w:lineRule="auto"/>
        <w:ind w:firstLine="120" w:firstLineChars="50"/>
        <w:jc w:val="left"/>
        <w:rPr>
          <w:rFonts w:ascii="宋体" w:hAnsi="宋体" w:cs="宋体"/>
          <w:sz w:val="24"/>
        </w:rPr>
      </w:pPr>
      <w:bookmarkStart w:id="535" w:name="_Hlk101169080"/>
      <w:r>
        <w:rPr>
          <w:rFonts w:hint="eastAsia" w:ascii="宋体" w:hAnsi="宋体" w:cs="宋体"/>
          <w:sz w:val="24"/>
        </w:rPr>
        <w:t>[</w:t>
      </w:r>
      <w:r>
        <w:rPr>
          <w:rFonts w:hint="eastAsia" w:ascii="宋体" w:hAnsi="宋体" w:cs="宋体"/>
          <w:b/>
          <w:sz w:val="24"/>
        </w:rPr>
        <w:t>中标后以分包方式履行合同的，提供分包意向协议(附件6</w:t>
      </w:r>
      <w:r>
        <w:rPr>
          <w:rFonts w:ascii="宋体" w:hAnsi="宋体" w:cs="宋体"/>
          <w:b/>
          <w:sz w:val="24"/>
        </w:rPr>
        <w:t>)</w:t>
      </w:r>
      <w:r>
        <w:rPr>
          <w:rFonts w:hint="eastAsia" w:ascii="宋体" w:hAnsi="宋体" w:cs="宋体"/>
          <w:b/>
          <w:sz w:val="24"/>
        </w:rPr>
        <w:t>；采购人不同意分包或者投标人中标后不以分包方式履行合同的，则不需要提供。</w:t>
      </w:r>
      <w:r>
        <w:rPr>
          <w:rFonts w:hint="eastAsia" w:ascii="宋体" w:hAnsi="宋体" w:cs="宋体"/>
          <w:sz w:val="24"/>
        </w:rPr>
        <w:t>]</w:t>
      </w:r>
    </w:p>
    <w:bookmarkEnd w:id="535"/>
    <w:p>
      <w:pPr>
        <w:snapToGrid w:val="0"/>
        <w:spacing w:line="360" w:lineRule="auto"/>
        <w:rPr>
          <w:rFonts w:ascii="宋体" w:hAnsi="宋体" w:cs="宋体"/>
          <w:kern w:val="0"/>
          <w:sz w:val="24"/>
        </w:rPr>
      </w:pPr>
    </w:p>
    <w:p>
      <w:pPr>
        <w:jc w:val="center"/>
        <w:rPr>
          <w:rFonts w:ascii="宋体" w:hAnsi="宋体" w:cs="宋体"/>
          <w:b/>
          <w:kern w:val="0"/>
          <w:sz w:val="32"/>
          <w:szCs w:val="32"/>
        </w:rPr>
      </w:pPr>
    </w:p>
    <w:p>
      <w:pPr>
        <w:pStyle w:val="2"/>
        <w:rPr>
          <w:lang w:val="en-US"/>
        </w:rPr>
      </w:pPr>
    </w:p>
    <w:p/>
    <w:p>
      <w:pPr>
        <w:pStyle w:val="2"/>
        <w:rPr>
          <w:lang w:val="en-US"/>
        </w:rPr>
      </w:pPr>
    </w:p>
    <w:p>
      <w:pPr>
        <w:jc w:val="center"/>
        <w:rPr>
          <w:rFonts w:ascii="宋体" w:hAnsi="宋体" w:cs="宋体"/>
          <w:b/>
          <w:kern w:val="0"/>
          <w:sz w:val="32"/>
          <w:szCs w:val="32"/>
        </w:rPr>
      </w:pPr>
    </w:p>
    <w:p>
      <w:pPr>
        <w:jc w:val="center"/>
        <w:rPr>
          <w:rFonts w:ascii="宋体" w:hAnsi="宋体" w:cs="宋体"/>
          <w:b/>
          <w:kern w:val="0"/>
          <w:sz w:val="32"/>
          <w:szCs w:val="32"/>
        </w:rPr>
      </w:pPr>
      <w:r>
        <w:rPr>
          <w:rFonts w:hint="eastAsia" w:ascii="宋体" w:hAnsi="宋体" w:cs="宋体"/>
          <w:b/>
          <w:kern w:val="0"/>
          <w:sz w:val="32"/>
          <w:szCs w:val="32"/>
        </w:rPr>
        <w:t>四、符合性审查资料</w:t>
      </w:r>
    </w:p>
    <w:p>
      <w:pPr>
        <w:jc w:val="center"/>
        <w:rPr>
          <w:rFonts w:ascii="宋体" w:hAnsi="宋体" w:cs="宋体"/>
          <w:b/>
          <w:kern w:val="0"/>
          <w:sz w:val="32"/>
          <w:szCs w:val="32"/>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sz w:val="24"/>
              </w:rPr>
            </w:pPr>
            <w:r>
              <w:rPr>
                <w:rFonts w:hint="eastAsia" w:ascii="宋体" w:hAnsi="宋体" w:cs="宋体"/>
                <w:b/>
                <w:sz w:val="24"/>
              </w:rPr>
              <w:t>序号</w:t>
            </w:r>
          </w:p>
        </w:tc>
        <w:tc>
          <w:tcPr>
            <w:tcW w:w="4991" w:type="dxa"/>
            <w:vAlign w:val="center"/>
          </w:tcPr>
          <w:p>
            <w:pPr>
              <w:snapToGrid w:val="0"/>
              <w:spacing w:line="240" w:lineRule="atLeast"/>
              <w:jc w:val="center"/>
              <w:rPr>
                <w:rFonts w:ascii="宋体" w:hAnsi="宋体" w:cs="宋体"/>
                <w:b/>
                <w:sz w:val="24"/>
              </w:rPr>
            </w:pPr>
            <w:r>
              <w:rPr>
                <w:rFonts w:hint="eastAsia" w:ascii="宋体" w:hAnsi="宋体" w:cs="宋体"/>
                <w:b/>
                <w:sz w:val="24"/>
              </w:rPr>
              <w:t>实质性要求</w:t>
            </w:r>
          </w:p>
        </w:tc>
        <w:tc>
          <w:tcPr>
            <w:tcW w:w="2551" w:type="dxa"/>
            <w:vAlign w:val="center"/>
          </w:tcPr>
          <w:p>
            <w:pPr>
              <w:snapToGrid w:val="0"/>
              <w:spacing w:line="240" w:lineRule="atLeast"/>
              <w:jc w:val="center"/>
              <w:rPr>
                <w:rFonts w:ascii="宋体" w:hAnsi="宋体" w:cs="宋体"/>
                <w:b/>
                <w:sz w:val="24"/>
              </w:rPr>
            </w:pPr>
            <w:r>
              <w:rPr>
                <w:rFonts w:hint="eastAsia" w:ascii="宋体" w:hAnsi="宋体" w:cs="宋体"/>
                <w:b/>
                <w:sz w:val="24"/>
              </w:rPr>
              <w:t>需要提供的符合性审查资料</w:t>
            </w:r>
          </w:p>
        </w:tc>
        <w:tc>
          <w:tcPr>
            <w:tcW w:w="1418" w:type="dxa"/>
            <w:vAlign w:val="center"/>
          </w:tcPr>
          <w:p>
            <w:pPr>
              <w:snapToGrid w:val="0"/>
              <w:spacing w:line="240" w:lineRule="atLeast"/>
              <w:jc w:val="center"/>
              <w:rPr>
                <w:rFonts w:ascii="宋体" w:hAnsi="宋体" w:cs="宋体"/>
                <w:b/>
                <w:sz w:val="24"/>
              </w:rPr>
            </w:pPr>
            <w:r>
              <w:rPr>
                <w:rFonts w:hint="eastAsia" w:ascii="宋体" w:hAnsi="宋体" w:cs="宋体"/>
                <w:b/>
                <w:sz w:val="24"/>
              </w:rPr>
              <w:t>投标文件中的</w:t>
            </w:r>
          </w:p>
          <w:p>
            <w:pPr>
              <w:snapToGrid w:val="0"/>
              <w:spacing w:line="240" w:lineRule="atLeast"/>
              <w:jc w:val="center"/>
              <w:rPr>
                <w:rFonts w:ascii="宋体" w:hAnsi="宋体" w:cs="宋体"/>
                <w:b/>
                <w:sz w:val="24"/>
              </w:rPr>
            </w:pPr>
            <w:r>
              <w:rPr>
                <w:rFonts w:hint="eastAsia" w:ascii="宋体" w:hAnsi="宋体" w:cs="宋体"/>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sz w:val="24"/>
              </w:rPr>
            </w:pPr>
            <w:r>
              <w:rPr>
                <w:rFonts w:hint="eastAsia" w:ascii="宋体" w:hAnsi="宋体" w:cs="宋体"/>
                <w:sz w:val="24"/>
              </w:rPr>
              <w:t>1</w:t>
            </w:r>
          </w:p>
        </w:tc>
        <w:tc>
          <w:tcPr>
            <w:tcW w:w="4991" w:type="dxa"/>
          </w:tcPr>
          <w:p>
            <w:pPr>
              <w:spacing w:line="360" w:lineRule="auto"/>
              <w:rPr>
                <w:rFonts w:ascii="宋体" w:hAnsi="宋体" w:cs="宋体"/>
                <w:sz w:val="24"/>
              </w:rPr>
            </w:pPr>
            <w:r>
              <w:rPr>
                <w:rFonts w:hint="eastAsia" w:ascii="宋体" w:hAnsi="宋体" w:cs="宋体"/>
                <w:sz w:val="24"/>
              </w:rPr>
              <w:t>投标文件按照招标文件要求签署、盖章。</w:t>
            </w:r>
          </w:p>
        </w:tc>
        <w:tc>
          <w:tcPr>
            <w:tcW w:w="2551" w:type="dxa"/>
            <w:vAlign w:val="center"/>
          </w:tcPr>
          <w:p>
            <w:pPr>
              <w:rPr>
                <w:rFonts w:ascii="宋体" w:hAnsi="宋体" w:cs="宋体"/>
                <w:sz w:val="24"/>
              </w:rPr>
            </w:pPr>
            <w:r>
              <w:rPr>
                <w:rFonts w:hint="eastAsia" w:ascii="宋体" w:hAnsi="宋体" w:cs="宋体"/>
                <w:sz w:val="24"/>
              </w:rPr>
              <w:t>需要使用电子签名或者签字盖章的投标文件的组成部分</w:t>
            </w:r>
          </w:p>
        </w:tc>
        <w:tc>
          <w:tcPr>
            <w:tcW w:w="1418" w:type="dxa"/>
          </w:tcPr>
          <w:p>
            <w:pPr>
              <w:rPr>
                <w:rFonts w:ascii="宋体" w:hAnsi="宋体" w:cs="宋体"/>
                <w:sz w:val="24"/>
              </w:rPr>
            </w:pPr>
          </w:p>
          <w:p>
            <w:pPr>
              <w:rPr>
                <w:rFonts w:ascii="宋体" w:hAnsi="宋体" w:cs="宋体"/>
                <w:sz w:val="24"/>
              </w:rPr>
            </w:pPr>
            <w:r>
              <w:rPr>
                <w:rFonts w:hint="eastAsia" w:ascii="宋体" w:hAnsi="宋体" w:cs="宋体"/>
                <w:sz w:val="24"/>
              </w:rPr>
              <w:t>见投标文件</w:t>
            </w:r>
          </w:p>
          <w:p>
            <w:pPr>
              <w:rPr>
                <w:rFonts w:ascii="宋体" w:hAnsi="宋体" w:cs="宋体"/>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sz w:val="24"/>
              </w:rPr>
            </w:pPr>
            <w:r>
              <w:rPr>
                <w:rFonts w:hint="eastAsia" w:ascii="宋体" w:hAnsi="宋体" w:cs="宋体"/>
                <w:sz w:val="24"/>
              </w:rPr>
              <w:t>2</w:t>
            </w:r>
          </w:p>
        </w:tc>
        <w:tc>
          <w:tcPr>
            <w:tcW w:w="4991" w:type="dxa"/>
          </w:tcPr>
          <w:p>
            <w:pPr>
              <w:spacing w:line="360" w:lineRule="auto"/>
              <w:rPr>
                <w:rFonts w:ascii="宋体" w:hAnsi="宋体" w:cs="宋体"/>
                <w:sz w:val="24"/>
              </w:rPr>
            </w:pPr>
            <w:r>
              <w:rPr>
                <w:rFonts w:hint="eastAsia" w:ascii="宋体" w:hAnsi="宋体" w:cs="宋体"/>
                <w:sz w:val="24"/>
              </w:rPr>
              <w:t>投标文件中承诺的投标有效期不少于招标文件中载明的投标有效期。</w:t>
            </w:r>
          </w:p>
        </w:tc>
        <w:tc>
          <w:tcPr>
            <w:tcW w:w="2551" w:type="dxa"/>
            <w:vAlign w:val="center"/>
          </w:tcPr>
          <w:p>
            <w:pPr>
              <w:rPr>
                <w:rFonts w:ascii="宋体" w:hAnsi="宋体" w:cs="宋体"/>
                <w:sz w:val="24"/>
              </w:rPr>
            </w:pPr>
            <w:r>
              <w:rPr>
                <w:rFonts w:hint="eastAsia" w:ascii="宋体" w:hAnsi="宋体" w:cs="宋体"/>
                <w:sz w:val="24"/>
              </w:rPr>
              <w:t>投标函</w:t>
            </w:r>
          </w:p>
        </w:tc>
        <w:tc>
          <w:tcPr>
            <w:tcW w:w="1418" w:type="dxa"/>
          </w:tcPr>
          <w:p>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sz w:val="24"/>
              </w:rPr>
            </w:pPr>
            <w:r>
              <w:rPr>
                <w:rFonts w:hint="eastAsia" w:ascii="宋体" w:hAnsi="宋体" w:cs="宋体"/>
                <w:sz w:val="24"/>
              </w:rPr>
              <w:t>3</w:t>
            </w:r>
          </w:p>
        </w:tc>
        <w:tc>
          <w:tcPr>
            <w:tcW w:w="4991" w:type="dxa"/>
          </w:tcPr>
          <w:p>
            <w:pPr>
              <w:spacing w:line="360" w:lineRule="auto"/>
              <w:rPr>
                <w:rFonts w:ascii="宋体" w:hAnsi="宋体" w:cs="宋体"/>
                <w:sz w:val="24"/>
              </w:rPr>
            </w:pPr>
            <w:r>
              <w:rPr>
                <w:rFonts w:hint="eastAsia" w:ascii="宋体" w:hAnsi="宋体" w:cs="宋体"/>
                <w:sz w:val="24"/>
              </w:rPr>
              <w:t>投标文件满足招标文件的其它实质性要求。</w:t>
            </w:r>
          </w:p>
        </w:tc>
        <w:tc>
          <w:tcPr>
            <w:tcW w:w="2551" w:type="dxa"/>
            <w:vAlign w:val="center"/>
          </w:tcPr>
          <w:p>
            <w:pPr>
              <w:rPr>
                <w:rFonts w:ascii="宋体" w:hAnsi="宋体" w:cs="宋体"/>
                <w:sz w:val="24"/>
              </w:rPr>
            </w:pPr>
            <w:r>
              <w:rPr>
                <w:rFonts w:hint="eastAsia" w:ascii="宋体" w:hAnsi="宋体" w:cs="宋体"/>
                <w:kern w:val="0"/>
                <w:sz w:val="24"/>
              </w:rPr>
              <w:t>招标文件其它实质性要求相应的材料（“▲” 系指实质性要求条款，招标文件无其它实质性要求的，无需提供）</w:t>
            </w:r>
          </w:p>
        </w:tc>
        <w:tc>
          <w:tcPr>
            <w:tcW w:w="1418" w:type="dxa"/>
          </w:tcPr>
          <w:p>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bl>
    <w:p>
      <w:pPr>
        <w:spacing w:line="360" w:lineRule="auto"/>
        <w:ind w:right="420"/>
        <w:rPr>
          <w:rFonts w:ascii="宋体" w:hAnsi="宋体" w:cs="宋体"/>
          <w:sz w:val="24"/>
        </w:rPr>
      </w:pPr>
      <w:r>
        <w:rPr>
          <w:rFonts w:hint="eastAsia" w:ascii="宋体" w:hAnsi="宋体" w:cs="宋体"/>
          <w:sz w:val="24"/>
        </w:rPr>
        <w:t>注：按本格式和要求提供。</w:t>
      </w:r>
    </w:p>
    <w:p>
      <w:pPr>
        <w:jc w:val="center"/>
        <w:rPr>
          <w:rFonts w:ascii="宋体" w:hAnsi="宋体" w:cs="宋体"/>
          <w:b/>
          <w:kern w:val="0"/>
          <w:sz w:val="32"/>
          <w:szCs w:val="32"/>
        </w:rPr>
      </w:pPr>
    </w:p>
    <w:p>
      <w:pPr>
        <w:jc w:val="center"/>
        <w:rPr>
          <w:rFonts w:ascii="宋体" w:hAnsi="宋体" w:cs="宋体"/>
          <w:b/>
          <w:kern w:val="0"/>
          <w:sz w:val="32"/>
          <w:szCs w:val="32"/>
        </w:rPr>
      </w:pPr>
      <w:r>
        <w:rPr>
          <w:rFonts w:hint="eastAsia" w:ascii="宋体" w:hAnsi="宋体" w:cs="宋体"/>
          <w:b/>
          <w:kern w:val="0"/>
          <w:sz w:val="32"/>
          <w:szCs w:val="32"/>
        </w:rPr>
        <w:t xml:space="preserve">            </w:t>
      </w: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widowControl/>
        <w:adjustRightInd/>
        <w:jc w:val="left"/>
        <w:rPr>
          <w:rFonts w:ascii="宋体" w:hAnsi="宋体" w:cs="宋体"/>
          <w:b/>
          <w:kern w:val="0"/>
          <w:sz w:val="32"/>
          <w:szCs w:val="32"/>
        </w:rPr>
      </w:pPr>
      <w:r>
        <w:rPr>
          <w:rFonts w:ascii="宋体" w:hAnsi="宋体" w:cs="宋体"/>
          <w:b/>
          <w:kern w:val="0"/>
          <w:sz w:val="32"/>
          <w:szCs w:val="32"/>
        </w:rPr>
        <w:br w:type="page"/>
      </w:r>
    </w:p>
    <w:p>
      <w:pPr>
        <w:jc w:val="center"/>
        <w:rPr>
          <w:rFonts w:ascii="宋体" w:hAnsi="宋体" w:cs="宋体"/>
        </w:rPr>
      </w:pPr>
      <w:r>
        <w:rPr>
          <w:rFonts w:hint="eastAsia" w:ascii="宋体" w:hAnsi="宋体" w:cs="宋体"/>
          <w:b/>
          <w:kern w:val="0"/>
          <w:sz w:val="32"/>
          <w:szCs w:val="32"/>
        </w:rPr>
        <w:t>五、评标标准相应的商务技术资料</w:t>
      </w:r>
    </w:p>
    <w:p>
      <w:pPr>
        <w:snapToGrid w:val="0"/>
        <w:spacing w:line="360" w:lineRule="auto"/>
        <w:jc w:val="left"/>
        <w:rPr>
          <w:rFonts w:ascii="宋体" w:hAnsi="宋体" w:cs="宋体"/>
          <w:b/>
          <w:sz w:val="24"/>
        </w:rPr>
      </w:pPr>
      <w:r>
        <w:rPr>
          <w:rFonts w:hint="eastAsia" w:ascii="宋体" w:hAnsi="宋体" w:cs="宋体"/>
          <w:b/>
          <w:sz w:val="24"/>
        </w:rPr>
        <w:t>（按招标文件第四部分评标办法前附表中“投标文件中评标标准相应的商务技术资料目录”提供资料。）</w:t>
      </w: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p>
    <w:p>
      <w:pPr>
        <w:ind w:firstLine="2891" w:firstLineChars="900"/>
        <w:rPr>
          <w:rFonts w:ascii="宋体" w:hAnsi="宋体" w:cs="宋体"/>
          <w:b/>
          <w:kern w:val="0"/>
          <w:sz w:val="32"/>
          <w:szCs w:val="32"/>
        </w:rPr>
      </w:pPr>
      <w:r>
        <w:rPr>
          <w:rFonts w:hint="eastAsia" w:ascii="宋体" w:hAnsi="宋体" w:cs="宋体"/>
          <w:b/>
          <w:kern w:val="0"/>
          <w:sz w:val="32"/>
          <w:szCs w:val="32"/>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名称</w:t>
            </w:r>
          </w:p>
        </w:tc>
        <w:tc>
          <w:tcPr>
            <w:tcW w:w="111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
                <w:sz w:val="24"/>
              </w:rPr>
            </w:pPr>
          </w:p>
          <w:p>
            <w:pPr>
              <w:spacing w:line="360" w:lineRule="auto"/>
              <w:jc w:val="center"/>
              <w:rPr>
                <w:rFonts w:ascii="宋体" w:hAnsi="宋体" w:cs="宋体"/>
                <w:b/>
                <w:sz w:val="24"/>
              </w:rPr>
            </w:pPr>
            <w:r>
              <w:rPr>
                <w:rFonts w:hint="eastAsia" w:ascii="宋体" w:hAnsi="宋体" w:cs="宋体"/>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数量</w:t>
            </w: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bl>
    <w:p>
      <w:pPr>
        <w:spacing w:line="360" w:lineRule="auto"/>
        <w:ind w:right="420"/>
        <w:rPr>
          <w:rFonts w:ascii="宋体" w:hAnsi="宋体" w:cs="宋体"/>
          <w:sz w:val="24"/>
        </w:rPr>
      </w:pPr>
      <w:r>
        <w:rPr>
          <w:rFonts w:hint="eastAsia" w:ascii="宋体" w:hAnsi="宋体" w:cs="宋体"/>
          <w:sz w:val="24"/>
        </w:rPr>
        <w:t>注：按本格式和要求提供。</w:t>
      </w:r>
    </w:p>
    <w:p>
      <w:pPr>
        <w:jc w:val="center"/>
        <w:rPr>
          <w:rFonts w:ascii="宋体" w:hAnsi="宋体" w:cs="宋体"/>
          <w:b/>
          <w:kern w:val="0"/>
          <w:sz w:val="32"/>
          <w:szCs w:val="32"/>
        </w:rPr>
      </w:pPr>
    </w:p>
    <w:p>
      <w:pPr>
        <w:jc w:val="center"/>
        <w:rPr>
          <w:rFonts w:ascii="宋体" w:hAnsi="宋体" w:cs="宋体"/>
          <w:b/>
          <w:kern w:val="0"/>
          <w:sz w:val="32"/>
          <w:szCs w:val="32"/>
        </w:rPr>
      </w:pPr>
    </w:p>
    <w:p>
      <w:pPr>
        <w:jc w:val="center"/>
        <w:rPr>
          <w:rFonts w:ascii="宋体" w:hAnsi="宋体" w:cs="宋体"/>
          <w:b/>
          <w:kern w:val="0"/>
          <w:sz w:val="32"/>
          <w:szCs w:val="32"/>
        </w:rPr>
      </w:pPr>
      <w:r>
        <w:rPr>
          <w:rFonts w:hint="eastAsia" w:ascii="宋体" w:hAnsi="宋体" w:cs="宋体"/>
          <w:b/>
          <w:kern w:val="0"/>
          <w:sz w:val="32"/>
          <w:szCs w:val="32"/>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b/>
                <w:bCs/>
                <w:sz w:val="24"/>
              </w:rPr>
            </w:pPr>
            <w:r>
              <w:rPr>
                <w:rFonts w:hint="eastAsia" w:ascii="宋体" w:hAnsi="宋体" w:cs="宋体"/>
                <w:b/>
                <w:bCs/>
                <w:sz w:val="24"/>
              </w:rPr>
              <w:t>序号</w:t>
            </w:r>
          </w:p>
        </w:tc>
        <w:tc>
          <w:tcPr>
            <w:tcW w:w="3683" w:type="dxa"/>
          </w:tcPr>
          <w:p>
            <w:pPr>
              <w:jc w:val="center"/>
              <w:rPr>
                <w:rFonts w:ascii="宋体" w:hAnsi="宋体" w:cs="宋体"/>
                <w:b/>
                <w:bCs/>
                <w:sz w:val="24"/>
              </w:rPr>
            </w:pPr>
            <w:r>
              <w:rPr>
                <w:rFonts w:hint="eastAsia" w:ascii="宋体" w:hAnsi="宋体" w:cs="宋体"/>
                <w:b/>
                <w:bCs/>
                <w:sz w:val="24"/>
              </w:rPr>
              <w:t>招标文件章节及具体内容</w:t>
            </w:r>
          </w:p>
        </w:tc>
        <w:tc>
          <w:tcPr>
            <w:tcW w:w="3546" w:type="dxa"/>
          </w:tcPr>
          <w:p>
            <w:pPr>
              <w:jc w:val="center"/>
              <w:rPr>
                <w:rFonts w:ascii="宋体" w:hAnsi="宋体" w:cs="宋体"/>
                <w:b/>
                <w:bCs/>
                <w:sz w:val="24"/>
              </w:rPr>
            </w:pPr>
            <w:r>
              <w:rPr>
                <w:rFonts w:hint="eastAsia" w:ascii="宋体" w:hAnsi="宋体" w:cs="宋体"/>
                <w:b/>
                <w:bCs/>
                <w:sz w:val="24"/>
              </w:rPr>
              <w:t>投标文件章节及具体内容</w:t>
            </w:r>
          </w:p>
        </w:tc>
        <w:tc>
          <w:tcPr>
            <w:tcW w:w="1276" w:type="dxa"/>
          </w:tcPr>
          <w:p>
            <w:pPr>
              <w:jc w:val="center"/>
              <w:rPr>
                <w:rFonts w:ascii="宋体" w:hAnsi="宋体" w:cs="宋体"/>
                <w:b/>
                <w:bCs/>
                <w:sz w:val="24"/>
              </w:rPr>
            </w:pPr>
            <w:r>
              <w:rPr>
                <w:rFonts w:hint="eastAsia" w:ascii="宋体" w:hAnsi="宋体" w:cs="宋体"/>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kern w:val="0"/>
                <w:sz w:val="24"/>
              </w:rPr>
            </w:pPr>
            <w:r>
              <w:rPr>
                <w:rFonts w:hint="eastAsia" w:ascii="宋体" w:hAnsi="宋体" w:cs="宋体"/>
                <w:kern w:val="0"/>
                <w:sz w:val="24"/>
              </w:rPr>
              <w:t>1</w:t>
            </w:r>
          </w:p>
        </w:tc>
        <w:tc>
          <w:tcPr>
            <w:tcW w:w="3683" w:type="dxa"/>
          </w:tcPr>
          <w:p>
            <w:pPr>
              <w:jc w:val="center"/>
              <w:rPr>
                <w:rFonts w:ascii="宋体" w:hAnsi="宋体" w:cs="宋体"/>
                <w:b/>
                <w:kern w:val="0"/>
                <w:sz w:val="32"/>
                <w:szCs w:val="32"/>
              </w:rPr>
            </w:pPr>
          </w:p>
        </w:tc>
        <w:tc>
          <w:tcPr>
            <w:tcW w:w="3546" w:type="dxa"/>
          </w:tcPr>
          <w:p>
            <w:pPr>
              <w:jc w:val="center"/>
              <w:rPr>
                <w:rFonts w:ascii="宋体" w:hAnsi="宋体" w:cs="宋体"/>
                <w:b/>
                <w:kern w:val="0"/>
                <w:sz w:val="32"/>
                <w:szCs w:val="32"/>
              </w:rPr>
            </w:pPr>
          </w:p>
        </w:tc>
        <w:tc>
          <w:tcPr>
            <w:tcW w:w="1276" w:type="dxa"/>
          </w:tcPr>
          <w:p>
            <w:pPr>
              <w:jc w:val="center"/>
              <w:rPr>
                <w:rFonts w:ascii="宋体" w:hAnsi="宋体" w:cs="宋体"/>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kern w:val="0"/>
                <w:sz w:val="24"/>
              </w:rPr>
            </w:pPr>
            <w:r>
              <w:rPr>
                <w:rFonts w:hint="eastAsia" w:ascii="宋体" w:hAnsi="宋体" w:cs="宋体"/>
                <w:kern w:val="0"/>
                <w:sz w:val="24"/>
              </w:rPr>
              <w:t>2</w:t>
            </w:r>
          </w:p>
        </w:tc>
        <w:tc>
          <w:tcPr>
            <w:tcW w:w="3683" w:type="dxa"/>
          </w:tcPr>
          <w:p>
            <w:pPr>
              <w:jc w:val="center"/>
              <w:rPr>
                <w:rFonts w:ascii="宋体" w:hAnsi="宋体" w:cs="宋体"/>
                <w:b/>
                <w:kern w:val="0"/>
                <w:sz w:val="32"/>
                <w:szCs w:val="32"/>
              </w:rPr>
            </w:pPr>
          </w:p>
        </w:tc>
        <w:tc>
          <w:tcPr>
            <w:tcW w:w="3546" w:type="dxa"/>
          </w:tcPr>
          <w:p>
            <w:pPr>
              <w:jc w:val="center"/>
              <w:rPr>
                <w:rFonts w:ascii="宋体" w:hAnsi="宋体" w:cs="宋体"/>
                <w:b/>
                <w:kern w:val="0"/>
                <w:sz w:val="32"/>
                <w:szCs w:val="32"/>
              </w:rPr>
            </w:pPr>
          </w:p>
        </w:tc>
        <w:tc>
          <w:tcPr>
            <w:tcW w:w="1276" w:type="dxa"/>
          </w:tcPr>
          <w:p>
            <w:pPr>
              <w:jc w:val="center"/>
              <w:rPr>
                <w:rFonts w:ascii="宋体" w:hAnsi="宋体" w:cs="宋体"/>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kern w:val="0"/>
                <w:sz w:val="24"/>
              </w:rPr>
            </w:pPr>
            <w:r>
              <w:rPr>
                <w:rFonts w:hint="eastAsia" w:ascii="宋体" w:hAnsi="宋体" w:cs="宋体"/>
                <w:kern w:val="0"/>
                <w:sz w:val="24"/>
              </w:rPr>
              <w:t>……</w:t>
            </w:r>
          </w:p>
        </w:tc>
        <w:tc>
          <w:tcPr>
            <w:tcW w:w="3683" w:type="dxa"/>
          </w:tcPr>
          <w:p>
            <w:pPr>
              <w:jc w:val="center"/>
              <w:rPr>
                <w:rFonts w:ascii="宋体" w:hAnsi="宋体" w:cs="宋体"/>
                <w:b/>
                <w:kern w:val="0"/>
                <w:sz w:val="32"/>
                <w:szCs w:val="32"/>
              </w:rPr>
            </w:pPr>
          </w:p>
        </w:tc>
        <w:tc>
          <w:tcPr>
            <w:tcW w:w="3546" w:type="dxa"/>
          </w:tcPr>
          <w:p>
            <w:pPr>
              <w:jc w:val="center"/>
              <w:rPr>
                <w:rFonts w:ascii="宋体" w:hAnsi="宋体" w:cs="宋体"/>
                <w:b/>
                <w:kern w:val="0"/>
                <w:sz w:val="32"/>
                <w:szCs w:val="32"/>
              </w:rPr>
            </w:pPr>
          </w:p>
        </w:tc>
        <w:tc>
          <w:tcPr>
            <w:tcW w:w="1276" w:type="dxa"/>
          </w:tcPr>
          <w:p>
            <w:pPr>
              <w:jc w:val="center"/>
              <w:rPr>
                <w:rFonts w:ascii="宋体" w:hAnsi="宋体" w:cs="宋体"/>
                <w:b/>
                <w:kern w:val="0"/>
                <w:sz w:val="32"/>
                <w:szCs w:val="32"/>
              </w:rPr>
            </w:pPr>
          </w:p>
        </w:tc>
      </w:tr>
    </w:tbl>
    <w:p>
      <w:pPr>
        <w:jc w:val="left"/>
        <w:rPr>
          <w:rFonts w:ascii="宋体" w:hAnsi="宋体" w:cs="宋体"/>
          <w:kern w:val="0"/>
          <w:sz w:val="24"/>
        </w:rPr>
      </w:pPr>
      <w:r>
        <w:rPr>
          <w:rFonts w:hint="eastAsia" w:ascii="宋体" w:hAnsi="宋体" w:cs="宋体"/>
          <w:kern w:val="0"/>
          <w:sz w:val="24"/>
        </w:rPr>
        <w:t>投标人保证：除商务技术偏离表列出的偏离外，投标人响应招标文件的全部要求</w:t>
      </w:r>
    </w:p>
    <w:p>
      <w:pPr>
        <w:jc w:val="center"/>
        <w:rPr>
          <w:rFonts w:ascii="宋体" w:hAnsi="宋体" w:cs="宋体"/>
          <w:b/>
          <w:kern w:val="0"/>
          <w:sz w:val="32"/>
          <w:szCs w:val="32"/>
        </w:rPr>
      </w:pPr>
    </w:p>
    <w:p>
      <w:pPr>
        <w:spacing w:line="360" w:lineRule="auto"/>
        <w:ind w:right="420"/>
        <w:rPr>
          <w:rFonts w:ascii="宋体" w:hAnsi="宋体" w:cs="宋体"/>
          <w:sz w:val="24"/>
        </w:rPr>
      </w:pPr>
      <w:r>
        <w:rPr>
          <w:rFonts w:hint="eastAsia" w:ascii="宋体" w:hAnsi="宋体" w:cs="宋体"/>
          <w:sz w:val="24"/>
        </w:rPr>
        <w:t>注：按本格式和要求提供。</w:t>
      </w:r>
    </w:p>
    <w:p>
      <w:pPr>
        <w:ind w:firstLine="1911" w:firstLineChars="595"/>
        <w:rPr>
          <w:rFonts w:ascii="宋体" w:hAnsi="宋体" w:cs="宋体"/>
          <w:b/>
          <w:bCs/>
          <w:sz w:val="32"/>
          <w:szCs w:val="32"/>
        </w:rPr>
      </w:pPr>
    </w:p>
    <w:p>
      <w:pPr>
        <w:ind w:firstLine="1911" w:firstLineChars="595"/>
        <w:rPr>
          <w:rFonts w:ascii="宋体" w:hAnsi="宋体" w:cs="宋体"/>
          <w:b/>
          <w:bCs/>
          <w:sz w:val="32"/>
          <w:szCs w:val="32"/>
        </w:rPr>
      </w:pPr>
    </w:p>
    <w:p>
      <w:pPr>
        <w:ind w:firstLine="1911" w:firstLineChars="595"/>
        <w:rPr>
          <w:rFonts w:ascii="宋体" w:hAnsi="宋体" w:cs="宋体"/>
          <w:b/>
          <w:bCs/>
          <w:sz w:val="32"/>
          <w:szCs w:val="32"/>
        </w:rPr>
      </w:pPr>
    </w:p>
    <w:p>
      <w:pPr>
        <w:ind w:firstLine="1911" w:firstLineChars="595"/>
        <w:rPr>
          <w:rFonts w:ascii="宋体" w:hAnsi="宋体" w:cs="宋体"/>
          <w:b/>
          <w:bCs/>
          <w:sz w:val="32"/>
          <w:szCs w:val="32"/>
        </w:rPr>
      </w:pPr>
    </w:p>
    <w:p>
      <w:pPr>
        <w:ind w:firstLine="1911" w:firstLineChars="595"/>
        <w:rPr>
          <w:rFonts w:ascii="宋体" w:hAnsi="宋体" w:cs="宋体"/>
          <w:b/>
          <w:bCs/>
          <w:sz w:val="32"/>
          <w:szCs w:val="32"/>
        </w:rPr>
      </w:pPr>
    </w:p>
    <w:p>
      <w:pPr>
        <w:widowControl/>
        <w:adjustRightInd/>
        <w:jc w:val="left"/>
        <w:rPr>
          <w:rFonts w:ascii="宋体" w:hAnsi="宋体" w:cs="宋体"/>
          <w:b/>
          <w:bCs/>
          <w:sz w:val="32"/>
          <w:szCs w:val="32"/>
        </w:rPr>
      </w:pPr>
      <w:r>
        <w:rPr>
          <w:rFonts w:ascii="宋体" w:hAnsi="宋体" w:cs="宋体"/>
          <w:b/>
          <w:bCs/>
          <w:sz w:val="32"/>
          <w:szCs w:val="32"/>
        </w:rPr>
        <w:br w:type="page"/>
      </w:r>
    </w:p>
    <w:p>
      <w:pPr>
        <w:ind w:firstLine="1911" w:firstLineChars="595"/>
        <w:rPr>
          <w:rFonts w:ascii="宋体" w:hAnsi="宋体" w:cs="宋体"/>
          <w:b/>
          <w:kern w:val="0"/>
          <w:sz w:val="32"/>
          <w:szCs w:val="32"/>
        </w:rPr>
      </w:pPr>
      <w:r>
        <w:rPr>
          <w:rFonts w:hint="eastAsia" w:ascii="宋体" w:hAnsi="宋体" w:cs="宋体"/>
          <w:b/>
          <w:bCs/>
          <w:sz w:val="32"/>
          <w:szCs w:val="32"/>
        </w:rPr>
        <w:t>八</w:t>
      </w:r>
      <w:r>
        <w:rPr>
          <w:rFonts w:hint="eastAsia" w:ascii="宋体" w:hAnsi="宋体" w:cs="宋体"/>
          <w:b/>
          <w:kern w:val="0"/>
          <w:sz w:val="32"/>
          <w:szCs w:val="32"/>
        </w:rPr>
        <w:t>、</w:t>
      </w:r>
      <w:r>
        <w:rPr>
          <w:rFonts w:hint="eastAsia" w:ascii="宋体" w:hAnsi="宋体" w:cs="宋体"/>
          <w:b/>
          <w:kern w:val="0"/>
          <w:sz w:val="32"/>
          <w:szCs w:val="32"/>
          <w:lang w:val="zh-CN"/>
        </w:rPr>
        <w:t>政府采购供应商廉洁自律承诺书</w:t>
      </w:r>
    </w:p>
    <w:p>
      <w:pPr>
        <w:snapToGrid w:val="0"/>
        <w:spacing w:line="360" w:lineRule="auto"/>
        <w:rPr>
          <w:rFonts w:ascii="宋体" w:hAnsi="宋体" w:cs="宋体"/>
          <w:sz w:val="24"/>
        </w:rPr>
      </w:pPr>
    </w:p>
    <w:p>
      <w:pPr>
        <w:snapToGrid w:val="0"/>
        <w:spacing w:line="360" w:lineRule="auto"/>
        <w:rPr>
          <w:rFonts w:ascii="宋体" w:hAnsi="宋体" w:cs="宋体"/>
          <w:kern w:val="0"/>
          <w:sz w:val="24"/>
        </w:rPr>
      </w:pPr>
      <w:r>
        <w:rPr>
          <w:rFonts w:hint="eastAsia" w:ascii="宋体" w:hAnsi="宋体" w:cs="宋体"/>
          <w:sz w:val="24"/>
          <w:lang w:eastAsia="zh-CN"/>
        </w:rPr>
        <w:t>杭州市转塘小学</w:t>
      </w:r>
      <w:r>
        <w:rPr>
          <w:rFonts w:hint="eastAsia" w:ascii="宋体" w:hAnsi="宋体" w:cs="宋体"/>
          <w:sz w:val="24"/>
        </w:rPr>
        <w:t>、杭州市西湖区政府采购中心</w:t>
      </w:r>
      <w:r>
        <w:rPr>
          <w:rFonts w:hint="eastAsia" w:ascii="宋体" w:hAnsi="宋体" w:cs="宋体"/>
          <w:kern w:val="0"/>
          <w:sz w:val="24"/>
          <w:lang w:val="zh-CN"/>
        </w:rPr>
        <w:t>：</w:t>
      </w:r>
    </w:p>
    <w:p>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w:t>
      </w:r>
    </w:p>
    <w:p>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好处；</w:t>
      </w:r>
    </w:p>
    <w:p>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六、严格遵守《</w:t>
      </w:r>
      <w:r>
        <w:rPr>
          <w:rFonts w:hint="eastAsia" w:ascii="宋体" w:hAnsi="宋体" w:cs="宋体"/>
          <w:sz w:val="24"/>
          <w:lang w:val="zh-CN"/>
        </w:rPr>
        <w:t>中华人民共和国</w:t>
      </w:r>
      <w:r>
        <w:rPr>
          <w:rFonts w:hint="eastAsia" w:ascii="宋体" w:hAnsi="宋体" w:cs="宋体"/>
          <w:kern w:val="0"/>
          <w:sz w:val="24"/>
          <w:lang w:val="zh-CN"/>
        </w:rPr>
        <w:t>政府采购法》《</w:t>
      </w:r>
      <w:r>
        <w:rPr>
          <w:rFonts w:hint="eastAsia" w:ascii="宋体" w:hAnsi="宋体" w:cs="宋体"/>
          <w:sz w:val="24"/>
          <w:lang w:val="zh-CN"/>
        </w:rPr>
        <w:t>中华人民共和国</w:t>
      </w:r>
      <w:r>
        <w:rPr>
          <w:rFonts w:hint="eastAsia" w:ascii="宋体" w:hAnsi="宋体" w:cs="宋体"/>
          <w:kern w:val="0"/>
          <w:sz w:val="24"/>
          <w:lang w:val="zh-CN"/>
        </w:rPr>
        <w:t>招标投标</w:t>
      </w:r>
    </w:p>
    <w:p>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法》</w:t>
      </w:r>
      <w:r>
        <w:rPr>
          <w:rFonts w:hint="eastAsia" w:ascii="宋体" w:hAnsi="宋体" w:cs="宋体"/>
          <w:sz w:val="24"/>
          <w:lang w:val="zh-CN"/>
        </w:rPr>
        <w:t>《中华人民共和国民法典》</w:t>
      </w:r>
      <w:r>
        <w:rPr>
          <w:rFonts w:hint="eastAsia" w:ascii="宋体" w:hAnsi="宋体" w:cs="宋体"/>
          <w:kern w:val="0"/>
          <w:sz w:val="24"/>
          <w:lang w:val="zh-CN"/>
        </w:rPr>
        <w:t xml:space="preserve">等法律法规，诚实守信，合法经营，坚决抵制各种违法违纪行为。 </w:t>
      </w:r>
    </w:p>
    <w:p>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sz w:val="24"/>
        </w:rPr>
        <w:t>单位</w:t>
      </w:r>
      <w:r>
        <w:rPr>
          <w:rFonts w:hint="eastAsia" w:ascii="宋体" w:hAnsi="宋体" w:cs="宋体"/>
          <w:kern w:val="0"/>
          <w:sz w:val="24"/>
          <w:lang w:val="zh-CN"/>
        </w:rPr>
        <w:t>有权立即取消我单位投标、中标或在建项目的建设资格，有权拒绝我单位在一定时期内进入你</w:t>
      </w:r>
      <w:r>
        <w:rPr>
          <w:rFonts w:hint="eastAsia" w:ascii="宋体" w:hAnsi="宋体" w:cs="宋体"/>
          <w:sz w:val="24"/>
        </w:rPr>
        <w:t>单位</w:t>
      </w:r>
      <w:r>
        <w:rPr>
          <w:rFonts w:hint="eastAsia" w:ascii="宋体" w:hAnsi="宋体" w:cs="宋体"/>
          <w:kern w:val="0"/>
          <w:sz w:val="24"/>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cs="宋体"/>
          <w:kern w:val="0"/>
          <w:sz w:val="24"/>
          <w:lang w:val="zh-CN"/>
        </w:rPr>
      </w:pPr>
    </w:p>
    <w:p>
      <w:pPr>
        <w:autoSpaceDE w:val="0"/>
        <w:autoSpaceDN w:val="0"/>
        <w:spacing w:line="360" w:lineRule="auto"/>
        <w:ind w:left="2"/>
        <w:jc w:val="left"/>
        <w:rPr>
          <w:rFonts w:ascii="宋体" w:hAnsi="宋体" w:cs="宋体"/>
          <w:kern w:val="0"/>
          <w:sz w:val="24"/>
          <w:lang w:val="zh-CN"/>
        </w:rPr>
      </w:pPr>
    </w:p>
    <w:p>
      <w:pPr>
        <w:autoSpaceDE w:val="0"/>
        <w:autoSpaceDN w:val="0"/>
        <w:spacing w:line="360" w:lineRule="auto"/>
        <w:ind w:left="2"/>
        <w:jc w:val="left"/>
        <w:rPr>
          <w:rFonts w:ascii="宋体" w:hAnsi="宋体" w:cs="宋体"/>
          <w:kern w:val="0"/>
          <w:sz w:val="24"/>
          <w:lang w:val="zh-CN"/>
        </w:rPr>
      </w:pPr>
    </w:p>
    <w:p>
      <w:pPr>
        <w:autoSpaceDE w:val="0"/>
        <w:autoSpaceDN w:val="0"/>
        <w:spacing w:line="360" w:lineRule="auto"/>
        <w:ind w:left="2" w:leftChars="1" w:right="1120" w:firstLine="4560" w:firstLineChars="1900"/>
        <w:jc w:val="left"/>
        <w:rPr>
          <w:rFonts w:ascii="宋体" w:hAnsi="宋体" w:cs="宋体"/>
          <w:kern w:val="0"/>
          <w:sz w:val="24"/>
          <w:lang w:val="zh-CN"/>
        </w:rPr>
      </w:pPr>
      <w:r>
        <w:rPr>
          <w:rFonts w:hint="eastAsia" w:ascii="宋体" w:hAnsi="宋体" w:cs="宋体"/>
          <w:kern w:val="0"/>
          <w:sz w:val="24"/>
          <w:lang w:val="zh-CN"/>
        </w:rPr>
        <w:t>投标人名称（</w:t>
      </w:r>
      <w:r>
        <w:rPr>
          <w:rFonts w:hint="eastAsia" w:ascii="宋体" w:hAnsi="宋体" w:cs="宋体"/>
          <w:sz w:val="24"/>
        </w:rPr>
        <w:t>电子签名</w:t>
      </w:r>
      <w:r>
        <w:rPr>
          <w:rFonts w:hint="eastAsia" w:ascii="宋体" w:hAnsi="宋体" w:cs="宋体"/>
          <w:kern w:val="0"/>
          <w:sz w:val="24"/>
          <w:lang w:val="zh-CN"/>
        </w:rPr>
        <w:t xml:space="preserve">）：                                                                                                                                                                                                               </w:t>
      </w:r>
    </w:p>
    <w:p>
      <w:pPr>
        <w:spacing w:line="360" w:lineRule="auto"/>
        <w:ind w:left="4620" w:leftChars="2200"/>
        <w:rPr>
          <w:rFonts w:ascii="宋体" w:hAnsi="宋体" w:cs="宋体"/>
          <w:sz w:val="24"/>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pPr>
        <w:spacing w:line="360" w:lineRule="auto"/>
        <w:jc w:val="center"/>
        <w:rPr>
          <w:rFonts w:ascii="宋体" w:hAnsi="宋体" w:cs="宋体"/>
          <w:b/>
          <w:bCs/>
          <w:sz w:val="24"/>
        </w:rPr>
      </w:pPr>
    </w:p>
    <w:p>
      <w:pPr>
        <w:spacing w:line="360" w:lineRule="auto"/>
        <w:ind w:right="420"/>
        <w:rPr>
          <w:rFonts w:ascii="宋体" w:hAnsi="宋体" w:cs="宋体"/>
          <w:sz w:val="24"/>
        </w:rPr>
      </w:pPr>
      <w:r>
        <w:rPr>
          <w:rFonts w:hint="eastAsia" w:ascii="宋体" w:hAnsi="宋体" w:cs="宋体"/>
          <w:sz w:val="24"/>
        </w:rPr>
        <w:t>注：按本格式和要求提供。</w:t>
      </w:r>
    </w:p>
    <w:p>
      <w:pPr>
        <w:spacing w:line="360" w:lineRule="auto"/>
        <w:jc w:val="center"/>
        <w:rPr>
          <w:rFonts w:ascii="宋体" w:hAnsi="宋体" w:cs="宋体"/>
          <w:b/>
          <w:bCs/>
          <w:sz w:val="24"/>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报价文件部分</w:t>
      </w:r>
    </w:p>
    <w:p>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pPr>
        <w:spacing w:line="360" w:lineRule="auto"/>
        <w:jc w:val="center"/>
        <w:outlineLvl w:val="0"/>
        <w:rPr>
          <w:rFonts w:ascii="宋体" w:hAnsi="宋体" w:cs="宋体"/>
          <w:b/>
          <w:kern w:val="0"/>
          <w:sz w:val="36"/>
          <w:szCs w:val="36"/>
        </w:rPr>
      </w:pPr>
    </w:p>
    <w:p>
      <w:pPr>
        <w:snapToGrid w:val="0"/>
        <w:spacing w:line="360" w:lineRule="auto"/>
        <w:rPr>
          <w:rFonts w:ascii="宋体" w:hAnsi="宋体" w:cs="宋体"/>
          <w:sz w:val="24"/>
        </w:rPr>
      </w:pPr>
      <w:r>
        <w:rPr>
          <w:rFonts w:hint="eastAsia" w:ascii="宋体" w:hAnsi="宋体" w:cs="宋体"/>
          <w:sz w:val="24"/>
        </w:rPr>
        <w:t>（1）开标一览表（报价表）………………………………………………………（页码）</w:t>
      </w:r>
    </w:p>
    <w:p>
      <w:pPr>
        <w:snapToGrid w:val="0"/>
        <w:spacing w:line="360" w:lineRule="auto"/>
        <w:rPr>
          <w:rFonts w:ascii="宋体" w:hAnsi="宋体" w:cs="宋体"/>
          <w:sz w:val="24"/>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中小企业声明函</w:t>
      </w:r>
      <w:r>
        <w:rPr>
          <w:rFonts w:hint="eastAsia" w:ascii="宋体" w:hAnsi="宋体" w:cs="宋体"/>
          <w:sz w:val="24"/>
        </w:rPr>
        <w:t>（</w:t>
      </w:r>
      <w:r>
        <w:rPr>
          <w:rFonts w:hint="eastAsia" w:ascii="宋体" w:hAnsi="宋体" w:cs="宋体"/>
          <w:sz w:val="24"/>
          <w:lang w:val="en-US" w:eastAsia="zh-CN"/>
        </w:rPr>
        <w:t>如果有</w:t>
      </w:r>
      <w:r>
        <w:rPr>
          <w:rFonts w:hint="eastAsia" w:ascii="宋体" w:hAnsi="宋体" w:cs="宋体"/>
          <w:sz w:val="24"/>
        </w:rPr>
        <w:t>）……………………………………………………（页码）</w:t>
      </w: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snapToGrid w:val="0"/>
        <w:spacing w:line="360" w:lineRule="auto"/>
        <w:ind w:right="480"/>
        <w:jc w:val="center"/>
        <w:rPr>
          <w:rFonts w:ascii="宋体" w:hAnsi="宋体" w:cs="宋体"/>
          <w:b/>
          <w:kern w:val="0"/>
          <w:sz w:val="32"/>
          <w:szCs w:val="32"/>
        </w:rPr>
      </w:pPr>
    </w:p>
    <w:p>
      <w:pPr>
        <w:pStyle w:val="691"/>
        <w:keepNext w:val="0"/>
        <w:pageBreakBefore w:val="0"/>
        <w:tabs>
          <w:tab w:val="clear" w:pos="720"/>
        </w:tabs>
        <w:snapToGrid w:val="0"/>
        <w:spacing w:before="120" w:after="120"/>
        <w:ind w:firstLine="643"/>
        <w:outlineLvl w:val="9"/>
        <w:rPr>
          <w:rFonts w:ascii="宋体" w:hAnsi="宋体" w:eastAsia="宋体" w:cs="宋体"/>
          <w:kern w:val="2"/>
          <w:sz w:val="32"/>
          <w:szCs w:val="32"/>
        </w:rPr>
        <w:sectPr>
          <w:headerReference r:id="rId21" w:type="first"/>
          <w:footerReference r:id="rId23" w:type="first"/>
          <w:headerReference r:id="rId20" w:type="default"/>
          <w:footerReference r:id="rId22" w:type="default"/>
          <w:pgSz w:w="11906" w:h="16838"/>
          <w:pgMar w:top="1276" w:right="1418" w:bottom="1247" w:left="1418" w:header="851" w:footer="992" w:gutter="0"/>
          <w:cols w:space="720" w:num="1"/>
          <w:titlePg/>
          <w:docGrid w:linePitch="312" w:charSpace="0"/>
        </w:sectPr>
      </w:pPr>
    </w:p>
    <w:p>
      <w:pPr>
        <w:pStyle w:val="691"/>
        <w:keepNext w:val="0"/>
        <w:pageBreakBefore w:val="0"/>
        <w:tabs>
          <w:tab w:val="clear" w:pos="720"/>
        </w:tabs>
        <w:snapToGrid w:val="0"/>
        <w:spacing w:before="120" w:after="120"/>
        <w:ind w:firstLine="643"/>
        <w:outlineLvl w:val="9"/>
        <w:rPr>
          <w:rFonts w:ascii="宋体" w:hAnsi="宋体" w:eastAsia="宋体" w:cs="宋体"/>
          <w:kern w:val="2"/>
          <w:sz w:val="32"/>
          <w:szCs w:val="32"/>
        </w:rPr>
      </w:pPr>
      <w:r>
        <w:rPr>
          <w:rFonts w:hint="eastAsia" w:ascii="宋体" w:hAnsi="宋体" w:eastAsia="宋体" w:cs="宋体"/>
          <w:kern w:val="2"/>
          <w:sz w:val="32"/>
          <w:szCs w:val="32"/>
        </w:rPr>
        <w:t>一、开标一览表（报价表）</w:t>
      </w:r>
    </w:p>
    <w:p>
      <w:pPr>
        <w:snapToGrid w:val="0"/>
        <w:spacing w:line="360" w:lineRule="auto"/>
        <w:rPr>
          <w:rFonts w:ascii="宋体" w:hAnsi="宋体" w:cs="宋体"/>
          <w:kern w:val="0"/>
          <w:sz w:val="24"/>
        </w:rPr>
      </w:pPr>
      <w:r>
        <w:rPr>
          <w:rFonts w:hint="eastAsia" w:ascii="宋体" w:hAnsi="宋体" w:cs="宋体"/>
          <w:sz w:val="24"/>
          <w:lang w:eastAsia="zh-CN"/>
        </w:rPr>
        <w:t>杭州市转塘小学</w:t>
      </w:r>
      <w:r>
        <w:rPr>
          <w:rFonts w:hint="eastAsia" w:ascii="宋体" w:hAnsi="宋体" w:cs="宋体"/>
          <w:sz w:val="24"/>
        </w:rPr>
        <w:t>、杭州市西湖区政府采购中心</w:t>
      </w:r>
      <w:r>
        <w:rPr>
          <w:rFonts w:hint="eastAsia" w:ascii="宋体" w:hAnsi="宋体" w:cs="宋体"/>
          <w:kern w:val="0"/>
          <w:sz w:val="24"/>
          <w:lang w:val="zh-CN"/>
        </w:rPr>
        <w:t>：</w:t>
      </w:r>
    </w:p>
    <w:p>
      <w:pPr>
        <w:snapToGrid w:val="0"/>
        <w:spacing w:line="360" w:lineRule="auto"/>
        <w:ind w:firstLine="482"/>
        <w:rPr>
          <w:rFonts w:ascii="宋体" w:hAnsi="宋体" w:cs="宋体"/>
          <w:kern w:val="0"/>
          <w:sz w:val="24"/>
          <w:lang w:val="zh-CN"/>
        </w:rPr>
      </w:pPr>
      <w:r>
        <w:rPr>
          <w:rFonts w:hint="eastAsia" w:ascii="宋体" w:hAnsi="宋体" w:cs="宋体"/>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sz w:val="24"/>
          <w:lang w:eastAsia="zh-CN"/>
        </w:rPr>
        <w:t>杭州市转塘小学（浮山新建校）电子显示屏采购项目</w:t>
      </w:r>
      <w:r>
        <w:rPr>
          <w:rFonts w:hint="eastAsia" w:ascii="宋体" w:hAnsi="宋体" w:cs="宋体"/>
          <w:kern w:val="0"/>
          <w:sz w:val="24"/>
          <w:lang w:val="zh-CN"/>
        </w:rPr>
        <w:t>【招标编号：</w:t>
      </w:r>
      <w:r>
        <w:rPr>
          <w:rFonts w:hint="eastAsia" w:ascii="宋体" w:hAnsi="宋体" w:cs="宋体"/>
          <w:sz w:val="24"/>
          <w:lang w:eastAsia="zh-CN"/>
        </w:rPr>
        <w:t>XHZFCG-2024-G-31</w:t>
      </w:r>
      <w:r>
        <w:rPr>
          <w:rFonts w:hint="eastAsia" w:ascii="宋体" w:hAnsi="宋体" w:cs="宋体"/>
          <w:sz w:val="24"/>
        </w:rPr>
        <w:t>】的实施</w:t>
      </w:r>
      <w:r>
        <w:rPr>
          <w:rFonts w:hint="eastAsia" w:ascii="宋体" w:hAnsi="宋体" w:cs="宋体"/>
          <w:kern w:val="0"/>
          <w:sz w:val="24"/>
          <w:lang w:val="zh-CN"/>
        </w:rPr>
        <w:t>。</w:t>
      </w:r>
    </w:p>
    <w:p>
      <w:pPr>
        <w:spacing w:line="360" w:lineRule="auto"/>
        <w:jc w:val="center"/>
        <w:rPr>
          <w:rFonts w:ascii="宋体" w:hAnsi="宋体" w:cs="宋体"/>
          <w:b/>
          <w:kern w:val="0"/>
          <w:sz w:val="24"/>
          <w:lang w:val="zh-CN"/>
        </w:rPr>
      </w:pPr>
      <w:r>
        <w:rPr>
          <w:rFonts w:hint="eastAsia" w:ascii="宋体" w:hAnsi="宋体" w:cs="宋体"/>
          <w:b/>
          <w:kern w:val="0"/>
          <w:sz w:val="24"/>
          <w:lang w:val="zh-CN"/>
        </w:rPr>
        <w:t>开标一览表（报价表）(单位均为人民币元)</w:t>
      </w:r>
    </w:p>
    <w:tbl>
      <w:tblPr>
        <w:tblStyle w:val="62"/>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301"/>
        <w:gridCol w:w="1920"/>
        <w:gridCol w:w="2026"/>
        <w:gridCol w:w="1124"/>
        <w:gridCol w:w="1559"/>
        <w:gridCol w:w="1984"/>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534" w:type="dxa"/>
            <w:vAlign w:val="center"/>
          </w:tcPr>
          <w:p>
            <w:pPr>
              <w:spacing w:line="360" w:lineRule="auto"/>
              <w:jc w:val="center"/>
              <w:rPr>
                <w:rFonts w:ascii="宋体" w:hAnsi="宋体" w:cs="宋体"/>
                <w:b/>
                <w:sz w:val="24"/>
              </w:rPr>
            </w:pPr>
            <w:r>
              <w:rPr>
                <w:rFonts w:hint="eastAsia" w:ascii="宋体" w:hAnsi="宋体" w:cs="宋体"/>
                <w:b/>
                <w:sz w:val="24"/>
              </w:rPr>
              <w:t>序号</w:t>
            </w:r>
          </w:p>
        </w:tc>
        <w:tc>
          <w:tcPr>
            <w:tcW w:w="2301" w:type="dxa"/>
            <w:vAlign w:val="center"/>
          </w:tcPr>
          <w:p>
            <w:pPr>
              <w:spacing w:line="360" w:lineRule="auto"/>
              <w:jc w:val="center"/>
              <w:rPr>
                <w:rFonts w:ascii="宋体" w:hAnsi="宋体" w:cs="宋体"/>
                <w:b/>
                <w:sz w:val="24"/>
              </w:rPr>
            </w:pPr>
            <w:r>
              <w:rPr>
                <w:rFonts w:hint="eastAsia" w:ascii="宋体" w:hAnsi="宋体" w:cs="宋体"/>
                <w:b/>
                <w:sz w:val="24"/>
              </w:rPr>
              <w:t>名称</w:t>
            </w:r>
          </w:p>
        </w:tc>
        <w:tc>
          <w:tcPr>
            <w:tcW w:w="1920" w:type="dxa"/>
          </w:tcPr>
          <w:p>
            <w:pPr>
              <w:spacing w:line="360" w:lineRule="auto"/>
              <w:jc w:val="center"/>
              <w:rPr>
                <w:rFonts w:ascii="宋体" w:hAnsi="宋体" w:cs="宋体"/>
                <w:b/>
                <w:sz w:val="24"/>
              </w:rPr>
            </w:pPr>
          </w:p>
          <w:p>
            <w:pPr>
              <w:spacing w:line="360" w:lineRule="auto"/>
              <w:jc w:val="center"/>
              <w:rPr>
                <w:rFonts w:ascii="宋体" w:hAnsi="宋体" w:cs="宋体"/>
                <w:b/>
                <w:sz w:val="24"/>
              </w:rPr>
            </w:pPr>
            <w:r>
              <w:rPr>
                <w:rFonts w:hint="eastAsia" w:ascii="宋体" w:hAnsi="宋体" w:cs="宋体"/>
                <w:b/>
                <w:sz w:val="24"/>
              </w:rPr>
              <w:t>品牌（如果有）</w:t>
            </w:r>
          </w:p>
        </w:tc>
        <w:tc>
          <w:tcPr>
            <w:tcW w:w="2026" w:type="dxa"/>
            <w:vAlign w:val="center"/>
          </w:tcPr>
          <w:p>
            <w:pPr>
              <w:spacing w:line="360" w:lineRule="auto"/>
              <w:jc w:val="center"/>
              <w:rPr>
                <w:rFonts w:ascii="宋体" w:hAnsi="宋体" w:cs="宋体"/>
                <w:b/>
                <w:sz w:val="24"/>
              </w:rPr>
            </w:pPr>
            <w:r>
              <w:rPr>
                <w:rFonts w:hint="eastAsia" w:ascii="宋体" w:hAnsi="宋体" w:cs="宋体"/>
                <w:b/>
                <w:sz w:val="24"/>
              </w:rPr>
              <w:t>规格型号</w:t>
            </w:r>
          </w:p>
        </w:tc>
        <w:tc>
          <w:tcPr>
            <w:tcW w:w="1124" w:type="dxa"/>
            <w:vAlign w:val="center"/>
          </w:tcPr>
          <w:p>
            <w:pPr>
              <w:spacing w:line="360" w:lineRule="auto"/>
              <w:jc w:val="center"/>
              <w:rPr>
                <w:rFonts w:ascii="宋体" w:hAnsi="宋体" w:cs="宋体"/>
                <w:b/>
                <w:sz w:val="24"/>
              </w:rPr>
            </w:pPr>
            <w:r>
              <w:rPr>
                <w:rFonts w:hint="eastAsia" w:ascii="宋体" w:hAnsi="宋体" w:cs="宋体"/>
                <w:b/>
                <w:sz w:val="24"/>
              </w:rPr>
              <w:t>数量</w:t>
            </w:r>
          </w:p>
        </w:tc>
        <w:tc>
          <w:tcPr>
            <w:tcW w:w="1559" w:type="dxa"/>
            <w:vAlign w:val="center"/>
          </w:tcPr>
          <w:p>
            <w:pPr>
              <w:spacing w:line="360" w:lineRule="auto"/>
              <w:jc w:val="center"/>
              <w:rPr>
                <w:rFonts w:ascii="宋体" w:hAnsi="宋体" w:cs="宋体"/>
                <w:b/>
                <w:sz w:val="24"/>
              </w:rPr>
            </w:pPr>
            <w:r>
              <w:rPr>
                <w:rFonts w:hint="eastAsia" w:ascii="宋体" w:hAnsi="宋体" w:cs="宋体"/>
                <w:b/>
                <w:sz w:val="24"/>
              </w:rPr>
              <w:t>单价</w:t>
            </w:r>
          </w:p>
        </w:tc>
        <w:tc>
          <w:tcPr>
            <w:tcW w:w="1984" w:type="dxa"/>
            <w:vAlign w:val="center"/>
          </w:tcPr>
          <w:p>
            <w:pPr>
              <w:spacing w:line="360" w:lineRule="auto"/>
              <w:jc w:val="center"/>
              <w:rPr>
                <w:rFonts w:ascii="宋体" w:hAnsi="宋体" w:cs="宋体"/>
                <w:b/>
                <w:sz w:val="24"/>
              </w:rPr>
            </w:pPr>
            <w:r>
              <w:rPr>
                <w:rFonts w:hint="eastAsia" w:ascii="宋体" w:hAnsi="宋体" w:cs="宋体"/>
                <w:b/>
                <w:sz w:val="24"/>
              </w:rPr>
              <w:t>合计</w:t>
            </w:r>
          </w:p>
        </w:tc>
        <w:tc>
          <w:tcPr>
            <w:tcW w:w="3119" w:type="dxa"/>
            <w:vAlign w:val="center"/>
          </w:tcPr>
          <w:p>
            <w:pPr>
              <w:spacing w:line="360" w:lineRule="auto"/>
              <w:jc w:val="center"/>
              <w:rPr>
                <w:rFonts w:ascii="宋体" w:hAnsi="宋体" w:cs="宋体"/>
                <w:b/>
                <w:sz w:val="24"/>
              </w:rPr>
            </w:pPr>
          </w:p>
          <w:p>
            <w:pPr>
              <w:spacing w:line="360" w:lineRule="auto"/>
              <w:jc w:val="center"/>
              <w:rPr>
                <w:rFonts w:ascii="宋体" w:hAnsi="宋体" w:cs="宋体"/>
                <w:b/>
                <w:sz w:val="24"/>
              </w:rPr>
            </w:pPr>
            <w:r>
              <w:rPr>
                <w:rFonts w:hint="eastAsia" w:ascii="宋体" w:hAnsi="宋体" w:cs="宋体"/>
                <w:b/>
                <w:sz w:val="24"/>
              </w:rPr>
              <w:t>备注（如果有）</w:t>
            </w:r>
          </w:p>
          <w:p>
            <w:pPr>
              <w:spacing w:line="360" w:lineRule="auto"/>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pPr>
              <w:spacing w:line="360" w:lineRule="auto"/>
              <w:jc w:val="center"/>
              <w:rPr>
                <w:rFonts w:ascii="宋体" w:hAnsi="宋体" w:cs="宋体"/>
                <w:sz w:val="24"/>
              </w:rPr>
            </w:pPr>
            <w:r>
              <w:rPr>
                <w:rFonts w:hint="eastAsia" w:ascii="宋体" w:hAnsi="宋体" w:cs="宋体"/>
                <w:sz w:val="24"/>
              </w:rPr>
              <w:t>1</w:t>
            </w:r>
          </w:p>
        </w:tc>
        <w:tc>
          <w:tcPr>
            <w:tcW w:w="2301" w:type="dxa"/>
            <w:vAlign w:val="center"/>
          </w:tcPr>
          <w:p>
            <w:pPr>
              <w:snapToGrid w:val="0"/>
              <w:spacing w:line="360" w:lineRule="auto"/>
              <w:jc w:val="center"/>
              <w:rPr>
                <w:rFonts w:hint="eastAsia" w:ascii="宋体" w:hAnsi="宋体" w:eastAsia="宋体" w:cs="宋体"/>
                <w:color w:val="auto"/>
                <w:kern w:val="2"/>
                <w:sz w:val="24"/>
                <w:szCs w:val="24"/>
                <w:highlight w:val="none"/>
                <w:lang w:val="en-US" w:eastAsia="zh-CN" w:bidi="ar-SA"/>
              </w:rPr>
            </w:pPr>
          </w:p>
        </w:tc>
        <w:tc>
          <w:tcPr>
            <w:tcW w:w="1920" w:type="dxa"/>
            <w:vAlign w:val="center"/>
          </w:tcPr>
          <w:p>
            <w:pPr>
              <w:snapToGrid w:val="0"/>
              <w:spacing w:line="360" w:lineRule="auto"/>
              <w:jc w:val="center"/>
              <w:rPr>
                <w:rFonts w:ascii="宋体" w:hAnsi="宋体" w:cs="宋体"/>
                <w:color w:val="0000FF"/>
                <w:sz w:val="24"/>
                <w:highlight w:val="none"/>
              </w:rPr>
            </w:pPr>
          </w:p>
        </w:tc>
        <w:tc>
          <w:tcPr>
            <w:tcW w:w="2026" w:type="dxa"/>
            <w:vAlign w:val="center"/>
          </w:tcPr>
          <w:p>
            <w:pPr>
              <w:snapToGrid w:val="0"/>
              <w:spacing w:line="360" w:lineRule="auto"/>
              <w:jc w:val="center"/>
              <w:rPr>
                <w:rFonts w:ascii="宋体" w:hAnsi="宋体" w:cs="宋体"/>
                <w:color w:val="0000FF"/>
                <w:sz w:val="24"/>
                <w:highlight w:val="none"/>
              </w:rPr>
            </w:pPr>
          </w:p>
        </w:tc>
        <w:tc>
          <w:tcPr>
            <w:tcW w:w="1124" w:type="dxa"/>
            <w:vAlign w:val="center"/>
          </w:tcPr>
          <w:p>
            <w:pPr>
              <w:snapToGrid w:val="0"/>
              <w:spacing w:line="360" w:lineRule="auto"/>
              <w:jc w:val="center"/>
              <w:rPr>
                <w:rFonts w:hint="default" w:ascii="宋体" w:hAnsi="宋体" w:eastAsia="宋体" w:cs="宋体"/>
                <w:color w:val="auto"/>
                <w:kern w:val="2"/>
                <w:sz w:val="24"/>
                <w:szCs w:val="24"/>
                <w:highlight w:val="none"/>
                <w:lang w:val="en-US" w:eastAsia="zh-CN" w:bidi="ar-SA"/>
              </w:rPr>
            </w:pPr>
          </w:p>
        </w:tc>
        <w:tc>
          <w:tcPr>
            <w:tcW w:w="1559" w:type="dxa"/>
            <w:vAlign w:val="center"/>
          </w:tcPr>
          <w:p>
            <w:pPr>
              <w:spacing w:line="360" w:lineRule="auto"/>
              <w:jc w:val="center"/>
              <w:rPr>
                <w:rFonts w:ascii="宋体" w:hAnsi="宋体" w:cs="宋体"/>
                <w:color w:val="0000FF"/>
                <w:sz w:val="24"/>
              </w:rPr>
            </w:pPr>
          </w:p>
        </w:tc>
        <w:tc>
          <w:tcPr>
            <w:tcW w:w="1984" w:type="dxa"/>
            <w:vAlign w:val="center"/>
          </w:tcPr>
          <w:p>
            <w:pPr>
              <w:spacing w:line="360" w:lineRule="auto"/>
              <w:jc w:val="center"/>
              <w:rPr>
                <w:rFonts w:ascii="宋体" w:hAnsi="宋体" w:cs="宋体"/>
                <w:color w:val="0000FF"/>
                <w:sz w:val="24"/>
              </w:rPr>
            </w:pPr>
          </w:p>
        </w:tc>
        <w:tc>
          <w:tcPr>
            <w:tcW w:w="3119" w:type="dxa"/>
            <w:vAlign w:val="center"/>
          </w:tcPr>
          <w:p>
            <w:pPr>
              <w:spacing w:line="360" w:lineRule="auto"/>
              <w:jc w:val="center"/>
              <w:rPr>
                <w:rFonts w:ascii="宋体" w:hAnsi="宋体" w:cs="宋体"/>
                <w:color w:val="0000FF"/>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pPr>
              <w:spacing w:line="360" w:lineRule="auto"/>
              <w:jc w:val="center"/>
              <w:rPr>
                <w:rFonts w:ascii="宋体" w:hAnsi="宋体" w:cs="宋体"/>
                <w:sz w:val="24"/>
              </w:rPr>
            </w:pPr>
            <w:r>
              <w:rPr>
                <w:rFonts w:hint="eastAsia" w:ascii="宋体" w:hAnsi="宋体" w:cs="宋体"/>
                <w:sz w:val="24"/>
              </w:rPr>
              <w:t>2</w:t>
            </w:r>
          </w:p>
        </w:tc>
        <w:tc>
          <w:tcPr>
            <w:tcW w:w="2301" w:type="dxa"/>
            <w:vAlign w:val="center"/>
          </w:tcPr>
          <w:p>
            <w:pPr>
              <w:snapToGrid w:val="0"/>
              <w:spacing w:line="360" w:lineRule="auto"/>
              <w:jc w:val="center"/>
              <w:rPr>
                <w:rFonts w:hint="default" w:ascii="Times New Roman" w:hAnsi="宋体" w:eastAsia="宋体" w:cs="Times New Roman"/>
                <w:color w:val="auto"/>
                <w:kern w:val="2"/>
                <w:sz w:val="24"/>
                <w:szCs w:val="24"/>
                <w:highlight w:val="none"/>
                <w:lang w:val="en-US" w:eastAsia="zh-CN" w:bidi="ar-SA"/>
              </w:rPr>
            </w:pPr>
          </w:p>
        </w:tc>
        <w:tc>
          <w:tcPr>
            <w:tcW w:w="1920" w:type="dxa"/>
            <w:vAlign w:val="center"/>
          </w:tcPr>
          <w:p>
            <w:pPr>
              <w:snapToGrid w:val="0"/>
              <w:spacing w:line="360" w:lineRule="auto"/>
              <w:jc w:val="center"/>
              <w:rPr>
                <w:rFonts w:ascii="宋体" w:hAnsi="宋体" w:cs="宋体"/>
                <w:color w:val="0000FF"/>
                <w:sz w:val="24"/>
                <w:highlight w:val="none"/>
              </w:rPr>
            </w:pPr>
          </w:p>
        </w:tc>
        <w:tc>
          <w:tcPr>
            <w:tcW w:w="2026" w:type="dxa"/>
            <w:vAlign w:val="center"/>
          </w:tcPr>
          <w:p>
            <w:pPr>
              <w:snapToGrid w:val="0"/>
              <w:spacing w:line="360" w:lineRule="auto"/>
              <w:jc w:val="center"/>
              <w:rPr>
                <w:rFonts w:ascii="宋体" w:hAnsi="宋体" w:cs="宋体"/>
                <w:color w:val="0000FF"/>
                <w:sz w:val="24"/>
                <w:highlight w:val="none"/>
              </w:rPr>
            </w:pPr>
          </w:p>
        </w:tc>
        <w:tc>
          <w:tcPr>
            <w:tcW w:w="1124" w:type="dxa"/>
            <w:vAlign w:val="center"/>
          </w:tcPr>
          <w:p>
            <w:pPr>
              <w:snapToGrid w:val="0"/>
              <w:spacing w:line="360" w:lineRule="auto"/>
              <w:jc w:val="center"/>
              <w:rPr>
                <w:rFonts w:hint="default" w:ascii="宋体" w:hAnsi="宋体" w:eastAsia="宋体" w:cs="宋体"/>
                <w:color w:val="auto"/>
                <w:kern w:val="2"/>
                <w:sz w:val="24"/>
                <w:szCs w:val="24"/>
                <w:highlight w:val="none"/>
                <w:lang w:val="en-US" w:eastAsia="zh-CN" w:bidi="ar-SA"/>
              </w:rPr>
            </w:pPr>
          </w:p>
        </w:tc>
        <w:tc>
          <w:tcPr>
            <w:tcW w:w="1559" w:type="dxa"/>
            <w:vAlign w:val="center"/>
          </w:tcPr>
          <w:p>
            <w:pPr>
              <w:spacing w:line="360" w:lineRule="auto"/>
              <w:jc w:val="center"/>
              <w:rPr>
                <w:rFonts w:ascii="宋体" w:hAnsi="宋体" w:cs="宋体"/>
                <w:color w:val="0000FF"/>
                <w:sz w:val="24"/>
              </w:rPr>
            </w:pPr>
          </w:p>
        </w:tc>
        <w:tc>
          <w:tcPr>
            <w:tcW w:w="1984" w:type="dxa"/>
            <w:vAlign w:val="center"/>
          </w:tcPr>
          <w:p>
            <w:pPr>
              <w:spacing w:line="360" w:lineRule="auto"/>
              <w:jc w:val="center"/>
              <w:rPr>
                <w:rFonts w:ascii="宋体" w:hAnsi="宋体" w:cs="宋体"/>
                <w:color w:val="0000FF"/>
                <w:sz w:val="24"/>
              </w:rPr>
            </w:pPr>
          </w:p>
        </w:tc>
        <w:tc>
          <w:tcPr>
            <w:tcW w:w="3119" w:type="dxa"/>
            <w:vAlign w:val="center"/>
          </w:tcPr>
          <w:p>
            <w:pPr>
              <w:spacing w:line="360" w:lineRule="auto"/>
              <w:jc w:val="center"/>
              <w:rPr>
                <w:rFonts w:ascii="宋体" w:hAnsi="宋体" w:cs="宋体"/>
                <w:color w:val="0000FF"/>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pPr>
              <w:spacing w:line="360" w:lineRule="auto"/>
              <w:jc w:val="center"/>
              <w:rPr>
                <w:rFonts w:hint="default" w:ascii="宋体" w:hAnsi="宋体" w:cs="宋体"/>
                <w:sz w:val="24"/>
                <w:lang w:val="en-US"/>
              </w:rPr>
            </w:pPr>
            <w:r>
              <w:rPr>
                <w:rFonts w:hint="default" w:ascii="宋体" w:hAnsi="宋体" w:cs="宋体"/>
                <w:sz w:val="24"/>
                <w:lang w:val="en-US"/>
              </w:rPr>
              <w:t>3</w:t>
            </w:r>
          </w:p>
        </w:tc>
        <w:tc>
          <w:tcPr>
            <w:tcW w:w="2301" w:type="dxa"/>
            <w:vAlign w:val="center"/>
          </w:tcPr>
          <w:p>
            <w:pPr>
              <w:snapToGrid w:val="0"/>
              <w:spacing w:line="360" w:lineRule="auto"/>
              <w:jc w:val="center"/>
              <w:rPr>
                <w:rFonts w:ascii="宋体" w:hAnsi="宋体" w:eastAsia="宋体" w:cs="宋体"/>
                <w:color w:val="auto"/>
                <w:kern w:val="2"/>
                <w:sz w:val="24"/>
                <w:szCs w:val="24"/>
                <w:highlight w:val="none"/>
                <w:lang w:val="en-US" w:eastAsia="zh-CN" w:bidi="ar-SA"/>
              </w:rPr>
            </w:pPr>
          </w:p>
        </w:tc>
        <w:tc>
          <w:tcPr>
            <w:tcW w:w="1920" w:type="dxa"/>
            <w:vAlign w:val="center"/>
          </w:tcPr>
          <w:p>
            <w:pPr>
              <w:snapToGrid w:val="0"/>
              <w:spacing w:line="360" w:lineRule="auto"/>
              <w:jc w:val="center"/>
              <w:rPr>
                <w:rFonts w:ascii="宋体" w:hAnsi="宋体" w:cs="宋体"/>
                <w:color w:val="0000FF"/>
                <w:sz w:val="24"/>
                <w:highlight w:val="none"/>
              </w:rPr>
            </w:pPr>
          </w:p>
        </w:tc>
        <w:tc>
          <w:tcPr>
            <w:tcW w:w="2026" w:type="dxa"/>
            <w:vAlign w:val="center"/>
          </w:tcPr>
          <w:p>
            <w:pPr>
              <w:snapToGrid w:val="0"/>
              <w:spacing w:line="360" w:lineRule="auto"/>
              <w:jc w:val="center"/>
              <w:rPr>
                <w:rFonts w:ascii="宋体" w:hAnsi="宋体" w:cs="宋体"/>
                <w:color w:val="0000FF"/>
                <w:sz w:val="24"/>
                <w:highlight w:val="none"/>
              </w:rPr>
            </w:pPr>
          </w:p>
        </w:tc>
        <w:tc>
          <w:tcPr>
            <w:tcW w:w="1124" w:type="dxa"/>
            <w:vAlign w:val="center"/>
          </w:tcPr>
          <w:p>
            <w:pPr>
              <w:snapToGrid w:val="0"/>
              <w:spacing w:line="360" w:lineRule="auto"/>
              <w:jc w:val="center"/>
              <w:rPr>
                <w:rFonts w:hint="default" w:ascii="宋体" w:hAnsi="宋体" w:eastAsia="宋体" w:cs="宋体"/>
                <w:color w:val="auto"/>
                <w:kern w:val="2"/>
                <w:sz w:val="24"/>
                <w:szCs w:val="24"/>
                <w:highlight w:val="none"/>
                <w:lang w:val="en-US" w:eastAsia="zh-CN" w:bidi="ar-SA"/>
              </w:rPr>
            </w:pPr>
          </w:p>
        </w:tc>
        <w:tc>
          <w:tcPr>
            <w:tcW w:w="1559" w:type="dxa"/>
            <w:vAlign w:val="center"/>
          </w:tcPr>
          <w:p>
            <w:pPr>
              <w:spacing w:line="360" w:lineRule="auto"/>
              <w:jc w:val="center"/>
              <w:rPr>
                <w:rFonts w:ascii="宋体" w:hAnsi="宋体" w:cs="宋体"/>
                <w:color w:val="0000FF"/>
                <w:sz w:val="24"/>
              </w:rPr>
            </w:pPr>
          </w:p>
        </w:tc>
        <w:tc>
          <w:tcPr>
            <w:tcW w:w="1984" w:type="dxa"/>
            <w:vAlign w:val="center"/>
          </w:tcPr>
          <w:p>
            <w:pPr>
              <w:spacing w:line="360" w:lineRule="auto"/>
              <w:jc w:val="center"/>
              <w:rPr>
                <w:rFonts w:ascii="宋体" w:hAnsi="宋体" w:cs="宋体"/>
                <w:color w:val="0000FF"/>
                <w:sz w:val="24"/>
              </w:rPr>
            </w:pPr>
          </w:p>
        </w:tc>
        <w:tc>
          <w:tcPr>
            <w:tcW w:w="3119" w:type="dxa"/>
            <w:vAlign w:val="center"/>
          </w:tcPr>
          <w:p>
            <w:pPr>
              <w:spacing w:line="360" w:lineRule="auto"/>
              <w:jc w:val="center"/>
              <w:rPr>
                <w:rFonts w:ascii="宋体" w:hAnsi="宋体" w:cs="宋体"/>
                <w:color w:val="0000FF"/>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pPr>
              <w:spacing w:line="360" w:lineRule="auto"/>
              <w:jc w:val="center"/>
              <w:rPr>
                <w:rFonts w:hint="default" w:ascii="宋体" w:hAnsi="宋体" w:cs="宋体"/>
                <w:sz w:val="24"/>
                <w:lang w:val="en-US"/>
              </w:rPr>
            </w:pPr>
            <w:r>
              <w:rPr>
                <w:rFonts w:hint="default" w:ascii="宋体" w:hAnsi="宋体" w:cs="宋体"/>
                <w:sz w:val="24"/>
                <w:lang w:val="en-US"/>
              </w:rPr>
              <w:t>4</w:t>
            </w:r>
          </w:p>
        </w:tc>
        <w:tc>
          <w:tcPr>
            <w:tcW w:w="2301" w:type="dxa"/>
            <w:vAlign w:val="center"/>
          </w:tcPr>
          <w:p>
            <w:pPr>
              <w:snapToGrid w:val="0"/>
              <w:spacing w:line="360" w:lineRule="auto"/>
              <w:jc w:val="center"/>
              <w:rPr>
                <w:rFonts w:ascii="宋体" w:hAnsi="宋体" w:eastAsia="宋体" w:cs="宋体"/>
                <w:color w:val="auto"/>
                <w:kern w:val="2"/>
                <w:sz w:val="24"/>
                <w:szCs w:val="24"/>
                <w:highlight w:val="none"/>
                <w:lang w:val="en-US" w:eastAsia="zh-CN" w:bidi="ar-SA"/>
              </w:rPr>
            </w:pPr>
          </w:p>
        </w:tc>
        <w:tc>
          <w:tcPr>
            <w:tcW w:w="1920" w:type="dxa"/>
            <w:vAlign w:val="center"/>
          </w:tcPr>
          <w:p>
            <w:pPr>
              <w:snapToGrid w:val="0"/>
              <w:spacing w:line="360" w:lineRule="auto"/>
              <w:jc w:val="center"/>
              <w:rPr>
                <w:rFonts w:ascii="宋体" w:hAnsi="宋体" w:cs="宋体"/>
                <w:color w:val="0000FF"/>
                <w:sz w:val="24"/>
                <w:highlight w:val="none"/>
              </w:rPr>
            </w:pPr>
          </w:p>
        </w:tc>
        <w:tc>
          <w:tcPr>
            <w:tcW w:w="2026" w:type="dxa"/>
            <w:vAlign w:val="center"/>
          </w:tcPr>
          <w:p>
            <w:pPr>
              <w:snapToGrid w:val="0"/>
              <w:spacing w:line="360" w:lineRule="auto"/>
              <w:jc w:val="center"/>
              <w:rPr>
                <w:rFonts w:ascii="宋体" w:hAnsi="宋体" w:cs="宋体"/>
                <w:color w:val="0000FF"/>
                <w:sz w:val="24"/>
                <w:highlight w:val="none"/>
              </w:rPr>
            </w:pPr>
          </w:p>
        </w:tc>
        <w:tc>
          <w:tcPr>
            <w:tcW w:w="1124" w:type="dxa"/>
            <w:vAlign w:val="center"/>
          </w:tcPr>
          <w:p>
            <w:pPr>
              <w:snapToGrid w:val="0"/>
              <w:spacing w:line="360" w:lineRule="auto"/>
              <w:jc w:val="center"/>
              <w:rPr>
                <w:rFonts w:hint="default" w:ascii="宋体" w:hAnsi="宋体" w:eastAsia="宋体" w:cs="宋体"/>
                <w:color w:val="auto"/>
                <w:kern w:val="2"/>
                <w:sz w:val="24"/>
                <w:szCs w:val="24"/>
                <w:highlight w:val="none"/>
                <w:lang w:val="en-US" w:eastAsia="zh-CN" w:bidi="ar-SA"/>
              </w:rPr>
            </w:pPr>
          </w:p>
        </w:tc>
        <w:tc>
          <w:tcPr>
            <w:tcW w:w="1559" w:type="dxa"/>
            <w:vAlign w:val="center"/>
          </w:tcPr>
          <w:p>
            <w:pPr>
              <w:spacing w:line="360" w:lineRule="auto"/>
              <w:jc w:val="center"/>
              <w:rPr>
                <w:rFonts w:ascii="宋体" w:hAnsi="宋体" w:cs="宋体"/>
                <w:color w:val="0000FF"/>
                <w:sz w:val="24"/>
              </w:rPr>
            </w:pPr>
          </w:p>
        </w:tc>
        <w:tc>
          <w:tcPr>
            <w:tcW w:w="1984" w:type="dxa"/>
            <w:vAlign w:val="center"/>
          </w:tcPr>
          <w:p>
            <w:pPr>
              <w:spacing w:line="360" w:lineRule="auto"/>
              <w:jc w:val="center"/>
              <w:rPr>
                <w:rFonts w:ascii="宋体" w:hAnsi="宋体" w:cs="宋体"/>
                <w:color w:val="0000FF"/>
                <w:sz w:val="24"/>
              </w:rPr>
            </w:pPr>
          </w:p>
        </w:tc>
        <w:tc>
          <w:tcPr>
            <w:tcW w:w="3119" w:type="dxa"/>
            <w:vAlign w:val="center"/>
          </w:tcPr>
          <w:p>
            <w:pPr>
              <w:spacing w:line="360" w:lineRule="auto"/>
              <w:jc w:val="center"/>
              <w:rPr>
                <w:rFonts w:ascii="宋体" w:hAnsi="宋体" w:cs="宋体"/>
                <w:color w:val="0000FF"/>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pPr>
              <w:spacing w:line="360" w:lineRule="auto"/>
              <w:jc w:val="center"/>
              <w:rPr>
                <w:rFonts w:ascii="宋体" w:hAnsi="宋体" w:cs="宋体"/>
                <w:sz w:val="24"/>
              </w:rPr>
            </w:pPr>
            <w:r>
              <w:rPr>
                <w:rFonts w:hint="default" w:ascii="宋体" w:hAnsi="宋体" w:cs="宋体"/>
                <w:sz w:val="24"/>
                <w:lang w:val="en-US"/>
              </w:rPr>
              <w:t>5</w:t>
            </w:r>
          </w:p>
        </w:tc>
        <w:tc>
          <w:tcPr>
            <w:tcW w:w="2301" w:type="dxa"/>
            <w:vAlign w:val="center"/>
          </w:tcPr>
          <w:p>
            <w:pPr>
              <w:snapToGrid w:val="0"/>
              <w:spacing w:line="360" w:lineRule="auto"/>
              <w:jc w:val="center"/>
              <w:rPr>
                <w:rFonts w:hint="eastAsia" w:ascii="Times New Roman" w:hAnsi="宋体" w:eastAsia="宋体" w:cs="Times New Roman"/>
                <w:color w:val="auto"/>
                <w:kern w:val="2"/>
                <w:sz w:val="24"/>
                <w:szCs w:val="24"/>
                <w:highlight w:val="none"/>
                <w:lang w:val="en-US" w:eastAsia="zh-CN" w:bidi="ar-SA"/>
              </w:rPr>
            </w:pPr>
          </w:p>
        </w:tc>
        <w:tc>
          <w:tcPr>
            <w:tcW w:w="1920" w:type="dxa"/>
            <w:vAlign w:val="center"/>
          </w:tcPr>
          <w:p>
            <w:pPr>
              <w:snapToGrid w:val="0"/>
              <w:spacing w:line="360" w:lineRule="auto"/>
              <w:jc w:val="center"/>
              <w:rPr>
                <w:rFonts w:ascii="宋体" w:hAnsi="宋体" w:cs="宋体"/>
                <w:color w:val="0000FF"/>
                <w:sz w:val="24"/>
                <w:highlight w:val="none"/>
              </w:rPr>
            </w:pPr>
          </w:p>
        </w:tc>
        <w:tc>
          <w:tcPr>
            <w:tcW w:w="2026" w:type="dxa"/>
            <w:vAlign w:val="center"/>
          </w:tcPr>
          <w:p>
            <w:pPr>
              <w:snapToGrid w:val="0"/>
              <w:spacing w:line="360" w:lineRule="auto"/>
              <w:jc w:val="center"/>
              <w:rPr>
                <w:rFonts w:ascii="宋体" w:hAnsi="宋体" w:cs="宋体"/>
                <w:color w:val="0000FF"/>
                <w:sz w:val="24"/>
                <w:highlight w:val="none"/>
              </w:rPr>
            </w:pPr>
          </w:p>
        </w:tc>
        <w:tc>
          <w:tcPr>
            <w:tcW w:w="1124" w:type="dxa"/>
            <w:vAlign w:val="center"/>
          </w:tcPr>
          <w:p>
            <w:pPr>
              <w:snapToGrid w:val="0"/>
              <w:spacing w:line="360" w:lineRule="auto"/>
              <w:jc w:val="center"/>
              <w:rPr>
                <w:rFonts w:ascii="宋体" w:hAnsi="宋体" w:eastAsia="宋体" w:cs="宋体"/>
                <w:color w:val="auto"/>
                <w:kern w:val="2"/>
                <w:sz w:val="24"/>
                <w:szCs w:val="24"/>
                <w:highlight w:val="none"/>
                <w:lang w:val="en-US" w:eastAsia="zh-CN" w:bidi="ar-SA"/>
              </w:rPr>
            </w:pPr>
          </w:p>
        </w:tc>
        <w:tc>
          <w:tcPr>
            <w:tcW w:w="1559" w:type="dxa"/>
            <w:vAlign w:val="center"/>
          </w:tcPr>
          <w:p>
            <w:pPr>
              <w:spacing w:line="360" w:lineRule="auto"/>
              <w:jc w:val="center"/>
              <w:rPr>
                <w:rFonts w:ascii="宋体" w:hAnsi="宋体" w:cs="宋体"/>
                <w:color w:val="0000FF"/>
                <w:sz w:val="24"/>
              </w:rPr>
            </w:pPr>
          </w:p>
        </w:tc>
        <w:tc>
          <w:tcPr>
            <w:tcW w:w="1984" w:type="dxa"/>
            <w:vAlign w:val="center"/>
          </w:tcPr>
          <w:p>
            <w:pPr>
              <w:spacing w:line="360" w:lineRule="auto"/>
              <w:jc w:val="center"/>
              <w:rPr>
                <w:rFonts w:ascii="宋体" w:hAnsi="宋体" w:cs="宋体"/>
                <w:color w:val="0000FF"/>
                <w:sz w:val="24"/>
              </w:rPr>
            </w:pPr>
          </w:p>
        </w:tc>
        <w:tc>
          <w:tcPr>
            <w:tcW w:w="3119" w:type="dxa"/>
            <w:vAlign w:val="center"/>
          </w:tcPr>
          <w:p>
            <w:pPr>
              <w:spacing w:line="360" w:lineRule="auto"/>
              <w:jc w:val="center"/>
              <w:rPr>
                <w:rFonts w:ascii="宋体" w:hAnsi="宋体" w:cs="宋体"/>
                <w:color w:val="0000FF"/>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781" w:type="dxa"/>
            <w:gridSpan w:val="4"/>
            <w:vAlign w:val="center"/>
          </w:tcPr>
          <w:p>
            <w:pPr>
              <w:spacing w:line="360" w:lineRule="auto"/>
              <w:jc w:val="center"/>
              <w:rPr>
                <w:rFonts w:ascii="宋体" w:hAnsi="宋体" w:cs="宋体"/>
                <w:b/>
                <w:sz w:val="24"/>
              </w:rPr>
            </w:pPr>
            <w:r>
              <w:rPr>
                <w:rFonts w:hint="eastAsia" w:ascii="宋体" w:hAnsi="宋体" w:cs="宋体"/>
                <w:b/>
                <w:sz w:val="24"/>
              </w:rPr>
              <w:t>投标报价（小写）</w:t>
            </w:r>
          </w:p>
        </w:tc>
        <w:tc>
          <w:tcPr>
            <w:tcW w:w="7786" w:type="dxa"/>
            <w:gridSpan w:val="4"/>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781" w:type="dxa"/>
            <w:gridSpan w:val="4"/>
            <w:vAlign w:val="center"/>
          </w:tcPr>
          <w:p>
            <w:pPr>
              <w:spacing w:line="360" w:lineRule="auto"/>
              <w:jc w:val="center"/>
              <w:rPr>
                <w:rFonts w:ascii="宋体" w:hAnsi="宋体" w:cs="宋体"/>
                <w:b/>
                <w:sz w:val="24"/>
              </w:rPr>
            </w:pPr>
            <w:r>
              <w:rPr>
                <w:rFonts w:hint="eastAsia" w:ascii="宋体" w:hAnsi="宋体" w:cs="宋体"/>
                <w:b/>
                <w:sz w:val="24"/>
              </w:rPr>
              <w:t>投标报价（大写）</w:t>
            </w:r>
          </w:p>
        </w:tc>
        <w:tc>
          <w:tcPr>
            <w:tcW w:w="7786" w:type="dxa"/>
            <w:gridSpan w:val="4"/>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781" w:type="dxa"/>
            <w:gridSpan w:val="4"/>
            <w:vAlign w:val="center"/>
          </w:tcPr>
          <w:p>
            <w:pPr>
              <w:spacing w:line="360" w:lineRule="auto"/>
              <w:jc w:val="center"/>
              <w:rPr>
                <w:rFonts w:hint="eastAsia" w:ascii="宋体" w:hAnsi="宋体" w:eastAsia="宋体" w:cs="宋体"/>
                <w:b/>
                <w:color w:val="auto"/>
                <w:kern w:val="2"/>
                <w:sz w:val="24"/>
                <w:szCs w:val="24"/>
                <w:lang w:val="en-US" w:eastAsia="zh-CN" w:bidi="ar-SA"/>
              </w:rPr>
            </w:pPr>
            <w:r>
              <w:rPr>
                <w:rFonts w:hint="eastAsia" w:ascii="宋体" w:hAnsi="宋体" w:cs="宋体"/>
                <w:b/>
                <w:color w:val="auto"/>
                <w:sz w:val="24"/>
                <w:lang w:eastAsia="zh-CN"/>
              </w:rPr>
              <w:t>是否为中小企业</w:t>
            </w:r>
          </w:p>
        </w:tc>
        <w:tc>
          <w:tcPr>
            <w:tcW w:w="7786" w:type="dxa"/>
            <w:gridSpan w:val="4"/>
            <w:vAlign w:val="center"/>
          </w:tcPr>
          <w:p>
            <w:pPr>
              <w:spacing w:line="360" w:lineRule="auto"/>
              <w:jc w:val="center"/>
              <w:rPr>
                <w:rFonts w:hint="eastAsia" w:ascii="宋体" w:hAnsi="宋体" w:eastAsia="宋体" w:cs="宋体"/>
                <w:color w:val="auto"/>
                <w:kern w:val="2"/>
                <w:sz w:val="24"/>
                <w:szCs w:val="24"/>
                <w:lang w:val="en-US" w:eastAsia="zh-CN" w:bidi="ar-SA"/>
              </w:rPr>
            </w:pPr>
            <w:sdt>
              <w:sdtPr>
                <w:rPr>
                  <w:rFonts w:hint="eastAsia" w:ascii="宋体" w:hAnsi="宋体" w:cs="宋体"/>
                  <w:color w:val="auto"/>
                  <w:kern w:val="0"/>
                  <w:sz w:val="24"/>
                </w:rPr>
                <w:id w:val="-1024704304"/>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Gothic" w:hAnsi="MS Gothic" w:eastAsia="MS Gothic" w:cs="宋体"/>
                    <w:color w:val="auto"/>
                    <w:kern w:val="0"/>
                    <w:sz w:val="24"/>
                  </w:rPr>
                  <w:t>☐</w:t>
                </w:r>
              </w:sdtContent>
            </w:sdt>
            <w:r>
              <w:rPr>
                <w:rFonts w:hint="eastAsia" w:ascii="宋体" w:hAnsi="宋体" w:cs="宋体"/>
                <w:color w:val="auto"/>
                <w:kern w:val="0"/>
                <w:sz w:val="24"/>
                <w:lang w:eastAsia="zh-CN"/>
              </w:rPr>
              <w:t>是</w:t>
            </w:r>
            <w:r>
              <w:rPr>
                <w:rFonts w:hint="default" w:ascii="宋体" w:hAnsi="宋体" w:cs="宋体"/>
                <w:color w:val="auto"/>
                <w:kern w:val="0"/>
                <w:sz w:val="24"/>
                <w:lang w:val="en-US" w:eastAsia="zh-CN"/>
              </w:rPr>
              <w:t xml:space="preserve">      </w:t>
            </w:r>
            <w:sdt>
              <w:sdtPr>
                <w:rPr>
                  <w:rFonts w:hint="eastAsia" w:ascii="宋体" w:hAnsi="宋体" w:cs="宋体"/>
                  <w:color w:val="auto"/>
                  <w:kern w:val="0"/>
                  <w:sz w:val="24"/>
                </w:rPr>
                <w:id w:val="-1024704304"/>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Gothic" w:hAnsi="MS Gothic" w:eastAsia="MS Gothic" w:cs="宋体"/>
                    <w:color w:val="auto"/>
                    <w:kern w:val="0"/>
                    <w:sz w:val="24"/>
                  </w:rPr>
                  <w:t>☐</w:t>
                </w:r>
              </w:sdtContent>
            </w:sdt>
            <w:r>
              <w:rPr>
                <w:rFonts w:hint="eastAsia" w:ascii="宋体" w:hAnsi="宋体" w:cs="宋体"/>
                <w:color w:val="auto"/>
                <w:kern w:val="0"/>
                <w:sz w:val="24"/>
                <w:lang w:eastAsia="zh-CN"/>
              </w:rPr>
              <w:t>否</w:t>
            </w:r>
          </w:p>
        </w:tc>
      </w:tr>
    </w:tbl>
    <w:p>
      <w:pPr>
        <w:snapToGrid w:val="0"/>
        <w:spacing w:line="360" w:lineRule="auto"/>
        <w:ind w:left="480"/>
        <w:rPr>
          <w:rFonts w:hint="eastAsia" w:ascii="宋体" w:hAnsi="宋体" w:cs="宋体"/>
          <w:b/>
          <w:kern w:val="0"/>
          <w:sz w:val="24"/>
          <w:lang w:val="zh-CN"/>
        </w:rPr>
      </w:pPr>
    </w:p>
    <w:p>
      <w:pPr>
        <w:snapToGrid w:val="0"/>
        <w:spacing w:line="360" w:lineRule="auto"/>
        <w:ind w:left="480"/>
        <w:rPr>
          <w:rFonts w:ascii="宋体" w:hAnsi="宋体" w:cs="宋体"/>
          <w:b/>
          <w:kern w:val="0"/>
          <w:sz w:val="24"/>
          <w:lang w:val="zh-CN"/>
        </w:rPr>
      </w:pPr>
      <w:r>
        <w:rPr>
          <w:rFonts w:hint="eastAsia" w:ascii="宋体" w:hAnsi="宋体" w:cs="宋体"/>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1、投标人需按本表格式填写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kern w:val="0"/>
          <w:sz w:val="24"/>
          <w:lang w:val="zh-CN"/>
        </w:rPr>
        <w:t>。</w:t>
      </w:r>
    </w:p>
    <w:p>
      <w:pPr>
        <w:spacing w:line="360" w:lineRule="auto"/>
        <w:ind w:firstLine="480" w:firstLineChars="200"/>
        <w:rPr>
          <w:rFonts w:ascii="宋体" w:hAnsi="宋体" w:cs="宋体"/>
          <w:b/>
          <w:sz w:val="24"/>
        </w:rPr>
      </w:pPr>
      <w:r>
        <w:rPr>
          <w:rFonts w:hint="eastAsia" w:ascii="宋体" w:hAnsi="宋体" w:cs="宋体"/>
          <w:kern w:val="0"/>
          <w:sz w:val="24"/>
          <w:lang w:val="zh-CN"/>
        </w:rPr>
        <w:t>2、有关本项目实施所涉及的一切费用均计入报价。总价不为零，报价明细表中部分产品、服务单价为零的，视作已包含在总价中。</w:t>
      </w:r>
      <w:r>
        <w:rPr>
          <w:rFonts w:hint="eastAsia" w:ascii="宋体" w:hAnsi="宋体" w:cs="宋体"/>
          <w:b/>
          <w:kern w:val="0"/>
          <w:sz w:val="24"/>
          <w:lang w:val="zh-CN"/>
        </w:rPr>
        <w:t>采购人将以合同形式有偿取得货物或服务，不接受投标人给予的赠品、回扣或者与采购无关的其他商品、服务；采购内容未包含在《开标一览表（报价表）》名称栏中，投标人不能作出合理解释的，</w:t>
      </w:r>
      <w:r>
        <w:rPr>
          <w:rFonts w:hint="eastAsia" w:ascii="宋体" w:hAnsi="宋体" w:cs="宋体"/>
          <w:b/>
          <w:kern w:val="0"/>
          <w:sz w:val="24"/>
        </w:rPr>
        <w:t>视为</w:t>
      </w:r>
      <w:r>
        <w:rPr>
          <w:rFonts w:hint="eastAsia" w:ascii="宋体" w:hAnsi="宋体" w:cs="宋体"/>
          <w:b/>
          <w:sz w:val="24"/>
        </w:rPr>
        <w:t>投标文件含有采购人不能接受的附加条件的，投标无效。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3、特别提示：采购机构将对项目名称和项目编号，中标供应商名称、地址和中标金额，主要中标标的名称、品牌（如果有）、规格型号、数量、单价等予以公示。</w:t>
      </w:r>
    </w:p>
    <w:p>
      <w:pPr>
        <w:snapToGrid w:val="0"/>
        <w:spacing w:line="360" w:lineRule="auto"/>
        <w:ind w:firstLine="480" w:firstLineChars="200"/>
        <w:jc w:val="left"/>
        <w:rPr>
          <w:rFonts w:ascii="宋体" w:hAnsi="宋体" w:cs="宋体"/>
          <w:kern w:val="0"/>
          <w:sz w:val="24"/>
          <w:lang w:val="zh-CN"/>
        </w:rPr>
      </w:pPr>
      <w:r>
        <w:rPr>
          <w:rFonts w:ascii="宋体" w:hAnsi="宋体" w:cs="宋体"/>
          <w:kern w:val="0"/>
          <w:sz w:val="24"/>
          <w:szCs w:val="22"/>
          <w:lang w:val="zh-CN"/>
        </w:rPr>
        <w:t>4</w:t>
      </w:r>
      <w:r>
        <w:rPr>
          <w:rFonts w:hint="eastAsia" w:ascii="宋体" w:hAnsi="宋体" w:cs="宋体"/>
          <w:kern w:val="0"/>
          <w:sz w:val="24"/>
          <w:szCs w:val="22"/>
          <w:lang w:val="zh-CN"/>
        </w:rPr>
        <w:t>、</w:t>
      </w:r>
      <w:r>
        <w:rPr>
          <w:rFonts w:hint="eastAsia" w:ascii="宋体" w:hAnsi="宋体" w:cs="宋体"/>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pPr>
        <w:spacing w:line="360" w:lineRule="auto"/>
        <w:ind w:firstLine="482" w:firstLineChars="200"/>
        <w:rPr>
          <w:rFonts w:hint="eastAsia" w:ascii="宋体" w:hAnsi="宋体" w:cs="宋体"/>
          <w:b/>
          <w:sz w:val="24"/>
        </w:rPr>
      </w:pPr>
      <w:r>
        <w:rPr>
          <w:rFonts w:hint="eastAsia" w:ascii="宋体" w:hAnsi="宋体" w:cs="宋体"/>
          <w:b/>
          <w:sz w:val="24"/>
        </w:rPr>
        <w:t>5、特别说明：▲供应商报价低于项目预算50%的，应当在报价文件中详细阐述不影响产品质量或者诚信履约的具体原因。</w:t>
      </w:r>
    </w:p>
    <w:p>
      <w:pPr>
        <w:pStyle w:val="23"/>
        <w:rPr>
          <w:rFonts w:hint="eastAsia"/>
        </w:rPr>
      </w:pPr>
    </w:p>
    <w:p>
      <w:pPr>
        <w:pStyle w:val="691"/>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pPr>
        <w:autoSpaceDE w:val="0"/>
        <w:autoSpaceDN w:val="0"/>
        <w:spacing w:line="360" w:lineRule="auto"/>
        <w:ind w:left="2" w:leftChars="1" w:right="1120" w:firstLine="4560" w:firstLineChars="1900"/>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pPr>
        <w:spacing w:line="360" w:lineRule="auto"/>
        <w:ind w:left="4620" w:leftChars="2200"/>
        <w:jc w:val="center"/>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w:t>
      </w:r>
      <w:r>
        <w:rPr>
          <w:rFonts w:hint="eastAsia" w:ascii="宋体" w:hAnsi="宋体" w:cs="宋体"/>
          <w:color w:val="auto"/>
          <w:kern w:val="0"/>
          <w:sz w:val="24"/>
          <w:highlight w:val="none"/>
          <w:lang w:val="en-US" w:eastAsia="zh-CN"/>
        </w:rPr>
        <w:t>日</w:t>
      </w:r>
    </w:p>
    <w:p>
      <w:pPr>
        <w:pStyle w:val="2"/>
        <w:rPr>
          <w:rFonts w:hint="eastAsia" w:ascii="宋体" w:hAnsi="宋体" w:cs="宋体"/>
          <w:color w:val="auto"/>
          <w:kern w:val="0"/>
          <w:sz w:val="24"/>
          <w:highlight w:val="none"/>
          <w:lang w:val="en-US" w:eastAsia="zh-CN"/>
        </w:rPr>
      </w:pPr>
    </w:p>
    <w:p>
      <w:pPr>
        <w:rPr>
          <w:rFonts w:hint="eastAsia" w:ascii="宋体" w:hAnsi="宋体" w:cs="宋体"/>
          <w:color w:val="auto"/>
          <w:kern w:val="0"/>
          <w:sz w:val="24"/>
          <w:highlight w:val="none"/>
          <w:lang w:val="en-US" w:eastAsia="zh-CN"/>
        </w:rPr>
      </w:pPr>
    </w:p>
    <w:p>
      <w:pPr>
        <w:pStyle w:val="24"/>
        <w:rPr>
          <w:rFonts w:hint="eastAsia" w:ascii="宋体" w:hAnsi="宋体" w:cs="宋体"/>
          <w:color w:val="auto"/>
          <w:kern w:val="0"/>
          <w:sz w:val="24"/>
          <w:highlight w:val="none"/>
          <w:lang w:val="en-US" w:eastAsia="zh-CN"/>
        </w:rPr>
      </w:pPr>
    </w:p>
    <w:p>
      <w:pPr>
        <w:pStyle w:val="25"/>
        <w:rPr>
          <w:rFonts w:hint="eastAsia" w:ascii="宋体" w:hAnsi="宋体" w:cs="宋体"/>
          <w:color w:val="auto"/>
          <w:kern w:val="0"/>
          <w:sz w:val="24"/>
          <w:highlight w:val="none"/>
          <w:lang w:val="en-US" w:eastAsia="zh-CN"/>
        </w:rPr>
      </w:pPr>
    </w:p>
    <w:p>
      <w:pPr>
        <w:rPr>
          <w:rFonts w:hint="eastAsia"/>
          <w:lang w:val="en-US" w:eastAsia="zh-CN"/>
        </w:rPr>
      </w:pPr>
    </w:p>
    <w:p>
      <w:pPr>
        <w:rPr>
          <w:rFonts w:hint="eastAsia" w:ascii="宋体" w:hAnsi="宋体" w:cs="宋体"/>
          <w:color w:val="auto"/>
          <w:kern w:val="0"/>
          <w:sz w:val="24"/>
          <w:highlight w:val="none"/>
          <w:lang w:val="en-US" w:eastAsia="zh-CN"/>
        </w:rPr>
      </w:pPr>
    </w:p>
    <w:p>
      <w:pPr>
        <w:pStyle w:val="2"/>
        <w:rPr>
          <w:rFonts w:hint="eastAsia" w:ascii="宋体" w:hAnsi="宋体" w:cs="宋体"/>
          <w:color w:val="auto"/>
          <w:kern w:val="0"/>
          <w:sz w:val="24"/>
          <w:highlight w:val="none"/>
          <w:lang w:val="en-US" w:eastAsia="zh-CN"/>
        </w:rPr>
      </w:pPr>
    </w:p>
    <w:p>
      <w:pPr>
        <w:pStyle w:val="691"/>
        <w:keepNext w:val="0"/>
        <w:pageBreakBefore w:val="0"/>
        <w:tabs>
          <w:tab w:val="clear" w:pos="720"/>
        </w:tabs>
        <w:snapToGrid w:val="0"/>
        <w:spacing w:before="120" w:after="120"/>
        <w:ind w:firstLine="643"/>
        <w:outlineLvl w:val="9"/>
        <w:rPr>
          <w:rFonts w:ascii="宋体" w:hAnsi="宋体" w:eastAsia="宋体" w:cs="宋体"/>
          <w:color w:val="auto"/>
          <w:sz w:val="32"/>
          <w:szCs w:val="32"/>
        </w:rPr>
      </w:pPr>
      <w:r>
        <w:rPr>
          <w:rFonts w:hint="eastAsia" w:ascii="宋体" w:hAnsi="宋体" w:eastAsia="宋体" w:cs="宋体"/>
          <w:color w:val="auto"/>
          <w:kern w:val="2"/>
          <w:sz w:val="32"/>
          <w:szCs w:val="32"/>
        </w:rPr>
        <w:t>二、</w:t>
      </w:r>
      <w:r>
        <w:rPr>
          <w:rFonts w:hint="eastAsia" w:ascii="宋体" w:hAnsi="宋体" w:eastAsia="宋体" w:cs="宋体"/>
          <w:color w:val="auto"/>
          <w:sz w:val="32"/>
          <w:szCs w:val="32"/>
        </w:rPr>
        <w:t>中小企业声明函</w:t>
      </w:r>
      <w:bookmarkStart w:id="536" w:name="_Hlk101259491"/>
      <w:r>
        <w:rPr>
          <w:rFonts w:hint="eastAsia" w:ascii="宋体" w:hAnsi="宋体" w:eastAsia="宋体" w:cs="宋体"/>
          <w:color w:val="auto"/>
          <w:sz w:val="32"/>
          <w:szCs w:val="32"/>
        </w:rPr>
        <w:t>（如果有）</w:t>
      </w:r>
      <w:bookmarkEnd w:id="536"/>
    </w:p>
    <w:p>
      <w:pPr>
        <w:widowControl/>
        <w:spacing w:line="360" w:lineRule="auto"/>
        <w:ind w:firstLine="120" w:firstLineChars="50"/>
        <w:jc w:val="left"/>
        <w:rPr>
          <w:rFonts w:ascii="宋体" w:hAnsi="宋体" w:cs="宋体"/>
          <w:b/>
          <w:color w:val="auto"/>
          <w:sz w:val="24"/>
        </w:rPr>
      </w:pPr>
      <w:r>
        <w:rPr>
          <w:rFonts w:hint="eastAsia" w:ascii="宋体" w:hAnsi="宋体" w:cs="宋体"/>
          <w:b/>
          <w:color w:val="auto"/>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rPr>
        <w:t>7</w:t>
      </w:r>
      <w:r>
        <w:rPr>
          <w:rFonts w:hint="eastAsia" w:ascii="宋体" w:hAnsi="宋体" w:cs="宋体"/>
          <w:b/>
          <w:color w:val="auto"/>
          <w:sz w:val="24"/>
        </w:rPr>
        <w:t>）。]</w:t>
      </w:r>
    </w:p>
    <w:p>
      <w:pPr>
        <w:sectPr>
          <w:pgSz w:w="16838" w:h="11906" w:orient="landscape"/>
          <w:pgMar w:top="1418" w:right="1247" w:bottom="1418" w:left="1276" w:header="851" w:footer="992" w:gutter="0"/>
          <w:cols w:space="720" w:num="1"/>
          <w:titlePg/>
          <w:docGrid w:linePitch="312" w:charSpace="0"/>
        </w:sectPr>
      </w:pPr>
    </w:p>
    <w:p>
      <w:pPr>
        <w:pStyle w:val="3"/>
        <w:keepNext w:val="0"/>
        <w:keepLines w:val="0"/>
        <w:pageBreakBefore/>
        <w:widowControl/>
        <w:spacing w:before="100" w:beforeAutospacing="1" w:after="100" w:afterAutospacing="1" w:line="360" w:lineRule="auto"/>
        <w:ind w:left="0" w:leftChars="0" w:firstLine="0" w:firstLineChars="0"/>
        <w:rPr>
          <w:rFonts w:ascii="宋体" w:hAnsi="宋体" w:cs="宋体"/>
        </w:rPr>
      </w:pPr>
      <w:bookmarkStart w:id="537" w:name="_Toc465665161"/>
      <w:r>
        <w:rPr>
          <w:rFonts w:hint="eastAsia" w:ascii="宋体" w:hAnsi="宋体" w:cs="宋体"/>
        </w:rPr>
        <w:t>附件</w:t>
      </w:r>
      <w:bookmarkEnd w:id="537"/>
    </w:p>
    <w:p>
      <w:pPr>
        <w:spacing w:line="360" w:lineRule="auto"/>
        <w:rPr>
          <w:rFonts w:ascii="宋体" w:hAnsi="宋体" w:cs="宋体"/>
          <w:b/>
          <w:spacing w:val="6"/>
          <w:sz w:val="32"/>
          <w:szCs w:val="32"/>
        </w:rPr>
      </w:pPr>
      <w:r>
        <w:rPr>
          <w:rFonts w:hint="eastAsia" w:ascii="宋体" w:hAnsi="宋体" w:cs="宋体"/>
          <w:b/>
          <w:spacing w:val="6"/>
          <w:sz w:val="32"/>
          <w:szCs w:val="32"/>
        </w:rPr>
        <w:t>附件1：</w:t>
      </w:r>
    </w:p>
    <w:p>
      <w:pPr>
        <w:spacing w:line="360" w:lineRule="auto"/>
        <w:jc w:val="center"/>
        <w:rPr>
          <w:rFonts w:ascii="宋体" w:hAnsi="宋体" w:cs="宋体"/>
          <w:b/>
          <w:spacing w:val="6"/>
          <w:sz w:val="32"/>
          <w:szCs w:val="32"/>
        </w:rPr>
      </w:pPr>
      <w:bookmarkStart w:id="538" w:name="OLE_LINK13"/>
      <w:bookmarkStart w:id="539" w:name="OLE_LINK14"/>
      <w:r>
        <w:rPr>
          <w:rFonts w:hint="eastAsia" w:ascii="宋体" w:hAnsi="宋体" w:cs="宋体"/>
          <w:b/>
          <w:spacing w:val="6"/>
          <w:sz w:val="32"/>
          <w:szCs w:val="32"/>
        </w:rPr>
        <w:t>残疾人福利性单位声明函</w:t>
      </w:r>
    </w:p>
    <w:bookmarkEnd w:id="538"/>
    <w:bookmarkEnd w:id="539"/>
    <w:p>
      <w:pPr>
        <w:spacing w:line="360" w:lineRule="auto"/>
        <w:rPr>
          <w:rFonts w:ascii="宋体" w:hAnsi="宋体" w:cs="宋体"/>
          <w:b/>
          <w:spacing w:val="6"/>
          <w:sz w:val="30"/>
          <w:szCs w:val="30"/>
        </w:rPr>
      </w:pPr>
    </w:p>
    <w:p>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sz w:val="24"/>
          <w:lang w:eastAsia="zh-CN"/>
        </w:rPr>
        <w:t>杭州市转塘小学</w:t>
      </w:r>
      <w:r>
        <w:rPr>
          <w:rFonts w:hint="eastAsia" w:ascii="宋体" w:hAnsi="宋体" w:cs="宋体"/>
          <w:sz w:val="24"/>
        </w:rPr>
        <w:t>单位的</w:t>
      </w:r>
      <w:r>
        <w:rPr>
          <w:rFonts w:hint="eastAsia" w:ascii="宋体" w:hAnsi="宋体" w:cs="宋体"/>
          <w:sz w:val="24"/>
          <w:u w:val="single"/>
          <w:lang w:eastAsia="zh-CN"/>
        </w:rPr>
        <w:t>杭州市转塘小学（浮山新建校）电子显示屏采购项目</w:t>
      </w:r>
      <w:r>
        <w:rPr>
          <w:rFonts w:hint="eastAsia" w:ascii="宋体" w:hAnsi="宋体" w:cs="宋体"/>
          <w:sz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kern w:val="0"/>
          <w:sz w:val="24"/>
          <w:lang w:val="zh-CN"/>
        </w:rPr>
        <w:t>投标人名称（电子签名）</w:t>
      </w:r>
      <w:r>
        <w:rPr>
          <w:rFonts w:hint="eastAsia" w:ascii="宋体" w:hAnsi="宋体" w:cs="宋体"/>
          <w:sz w:val="24"/>
        </w:rPr>
        <w:t>：</w:t>
      </w:r>
    </w:p>
    <w:p>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日  期：</w:t>
      </w:r>
    </w:p>
    <w:p>
      <w:pPr>
        <w:spacing w:line="360" w:lineRule="auto"/>
        <w:ind w:firstLine="480" w:firstLineChars="200"/>
        <w:rPr>
          <w:rFonts w:ascii="宋体" w:hAnsi="宋体" w:cs="宋体"/>
          <w:sz w:val="24"/>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jc w:val="left"/>
        <w:rPr>
          <w:rFonts w:ascii="宋体" w:hAnsi="宋体" w:cs="宋体"/>
          <w:b/>
          <w:spacing w:val="6"/>
          <w:sz w:val="32"/>
          <w:szCs w:val="32"/>
        </w:rPr>
      </w:pPr>
      <w:r>
        <w:rPr>
          <w:rFonts w:hint="eastAsia" w:ascii="宋体" w:hAnsi="宋体" w:cs="宋体"/>
          <w:b/>
          <w:spacing w:val="6"/>
          <w:sz w:val="32"/>
          <w:szCs w:val="32"/>
        </w:rPr>
        <w:t>附件2：质疑函范本及制作说明</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240"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left"/>
        <w:rPr>
          <w:rFonts w:ascii="宋体" w:hAnsi="宋体" w:cs="宋体"/>
          <w:b/>
          <w:spacing w:val="6"/>
          <w:sz w:val="32"/>
          <w:szCs w:val="32"/>
        </w:rPr>
      </w:pPr>
    </w:p>
    <w:p>
      <w:pPr>
        <w:spacing w:line="360" w:lineRule="auto"/>
        <w:jc w:val="left"/>
        <w:rPr>
          <w:rFonts w:ascii="宋体" w:hAnsi="宋体" w:cs="宋体"/>
          <w:b/>
          <w:spacing w:val="6"/>
          <w:sz w:val="32"/>
          <w:szCs w:val="32"/>
        </w:rPr>
      </w:pPr>
    </w:p>
    <w:p>
      <w:pPr>
        <w:spacing w:line="360" w:lineRule="auto"/>
        <w:jc w:val="left"/>
        <w:rPr>
          <w:rFonts w:ascii="宋体" w:hAnsi="宋体" w:cs="宋体"/>
          <w:b/>
          <w:spacing w:val="6"/>
          <w:sz w:val="32"/>
          <w:szCs w:val="32"/>
        </w:rPr>
      </w:pPr>
      <w:r>
        <w:rPr>
          <w:rFonts w:hint="eastAsia" w:ascii="宋体" w:hAnsi="宋体" w:cs="宋体"/>
          <w:b/>
          <w:spacing w:val="6"/>
          <w:sz w:val="32"/>
          <w:szCs w:val="32"/>
        </w:rPr>
        <w:t>附件3：投诉书范本及制作说明</w:t>
      </w:r>
    </w:p>
    <w:p>
      <w:pPr>
        <w:spacing w:line="360" w:lineRule="auto"/>
        <w:jc w:val="center"/>
        <w:rPr>
          <w:rFonts w:ascii="宋体" w:hAnsi="宋体" w:cs="宋体"/>
          <w:b/>
          <w:sz w:val="24"/>
        </w:rPr>
      </w:pPr>
    </w:p>
    <w:p>
      <w:pPr>
        <w:spacing w:line="360" w:lineRule="auto"/>
        <w:jc w:val="center"/>
        <w:rPr>
          <w:rFonts w:ascii="宋体" w:hAnsi="宋体" w:cs="宋体"/>
          <w:b/>
          <w:spacing w:val="6"/>
          <w:sz w:val="32"/>
          <w:szCs w:val="32"/>
        </w:rPr>
      </w:pPr>
      <w:r>
        <w:rPr>
          <w:rFonts w:hint="eastAsia" w:ascii="宋体" w:hAnsi="宋体" w:cs="宋体"/>
          <w:b/>
          <w:spacing w:val="6"/>
          <w:sz w:val="32"/>
          <w:szCs w:val="32"/>
        </w:rPr>
        <w:t>投诉书范本</w:t>
      </w:r>
    </w:p>
    <w:p>
      <w:pPr>
        <w:spacing w:line="360" w:lineRule="auto"/>
        <w:rPr>
          <w:rFonts w:ascii="宋体" w:hAnsi="宋体" w:cs="宋体"/>
          <w:sz w:val="24"/>
        </w:rPr>
      </w:pPr>
      <w:r>
        <w:rPr>
          <w:rFonts w:hint="eastAsia" w:ascii="宋体" w:hAnsi="宋体" w:cs="宋体"/>
          <w:sz w:val="24"/>
        </w:rPr>
        <w:t>一、投诉相关主体基本情况</w:t>
      </w:r>
    </w:p>
    <w:p>
      <w:pPr>
        <w:spacing w:line="360" w:lineRule="auto"/>
        <w:rPr>
          <w:rFonts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pPr>
        <w:tabs>
          <w:tab w:val="left" w:pos="6510"/>
        </w:tabs>
        <w:spacing w:line="360" w:lineRule="auto"/>
        <w:jc w:val="left"/>
        <w:rPr>
          <w:rFonts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pPr>
        <w:tabs>
          <w:tab w:val="left" w:pos="6510"/>
        </w:tabs>
        <w:spacing w:line="360" w:lineRule="auto"/>
        <w:rPr>
          <w:rFonts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pPr>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pacing w:line="360" w:lineRule="auto"/>
        <w:rPr>
          <w:rFonts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r>
        <w:rPr>
          <w:rFonts w:hint="eastAsia" w:ascii="宋体" w:hAnsi="宋体" w:cs="宋体"/>
          <w:sz w:val="24"/>
          <w:u w:val="dotted"/>
        </w:rPr>
        <w:t xml:space="preserve">                   </w:t>
      </w:r>
    </w:p>
    <w:p>
      <w:pPr>
        <w:spacing w:line="360" w:lineRule="auto"/>
        <w:rPr>
          <w:rFonts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被投诉人2</w:t>
      </w:r>
    </w:p>
    <w:p>
      <w:pPr>
        <w:spacing w:line="360" w:lineRule="auto"/>
        <w:rPr>
          <w:rFonts w:ascii="宋体" w:hAnsi="宋体" w:cs="宋体"/>
          <w:sz w:val="24"/>
          <w:u w:val="dotted"/>
        </w:rPr>
      </w:pPr>
      <w:r>
        <w:rPr>
          <w:rFonts w:hint="eastAsia" w:ascii="宋体" w:hAnsi="宋体" w:cs="宋体"/>
          <w:sz w:val="24"/>
        </w:rPr>
        <w:t>……</w:t>
      </w:r>
    </w:p>
    <w:p>
      <w:pPr>
        <w:spacing w:line="360" w:lineRule="auto"/>
        <w:rPr>
          <w:rFonts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二、投诉项目基本情况</w:t>
      </w:r>
    </w:p>
    <w:p>
      <w:pPr>
        <w:spacing w:line="360" w:lineRule="auto"/>
        <w:rPr>
          <w:rFonts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p>
    <w:p>
      <w:pPr>
        <w:spacing w:line="360" w:lineRule="auto"/>
        <w:rPr>
          <w:rFonts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pPr>
        <w:spacing w:line="360" w:lineRule="auto"/>
        <w:rPr>
          <w:rFonts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pPr>
        <w:spacing w:line="360" w:lineRule="auto"/>
        <w:rPr>
          <w:rFonts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三、质疑基本情况</w:t>
      </w:r>
    </w:p>
    <w:p>
      <w:pPr>
        <w:spacing w:line="360" w:lineRule="auto"/>
        <w:ind w:firstLine="480" w:firstLineChars="200"/>
        <w:rPr>
          <w:rFonts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pPr>
        <w:spacing w:line="360" w:lineRule="auto"/>
        <w:rPr>
          <w:rFonts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pPr>
        <w:spacing w:line="360" w:lineRule="auto"/>
        <w:ind w:firstLine="360" w:firstLineChars="150"/>
        <w:rPr>
          <w:rFonts w:ascii="宋体" w:hAnsi="宋体" w:cs="宋体"/>
          <w:sz w:val="24"/>
        </w:rPr>
      </w:pPr>
      <w:r>
        <w:rPr>
          <w:rFonts w:hint="eastAsia" w:ascii="宋体" w:hAnsi="宋体" w:cs="宋体"/>
          <w:sz w:val="24"/>
          <w:u w:val="dotted"/>
        </w:rPr>
        <w:t>采购人/代理机构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pPr>
        <w:spacing w:line="360" w:lineRule="auto"/>
        <w:rPr>
          <w:rFonts w:ascii="宋体" w:hAnsi="宋体" w:cs="宋体"/>
          <w:sz w:val="24"/>
        </w:rPr>
      </w:pPr>
      <w:r>
        <w:rPr>
          <w:rFonts w:hint="eastAsia" w:ascii="宋体" w:hAnsi="宋体" w:cs="宋体"/>
          <w:sz w:val="24"/>
        </w:rPr>
        <w:t>四、投诉事项具体内容</w:t>
      </w:r>
    </w:p>
    <w:p>
      <w:pPr>
        <w:spacing w:line="360" w:lineRule="auto"/>
        <w:rPr>
          <w:rFonts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pPr>
        <w:spacing w:line="360" w:lineRule="auto"/>
        <w:rPr>
          <w:rFonts w:ascii="宋体" w:hAnsi="宋体" w:cs="宋体"/>
          <w:sz w:val="24"/>
          <w:u w:val="dotted"/>
        </w:rPr>
      </w:pPr>
      <w:r>
        <w:rPr>
          <w:rFonts w:hint="eastAsia" w:ascii="宋体" w:hAnsi="宋体" w:cs="宋体"/>
          <w:sz w:val="24"/>
          <w:u w:val="dotted"/>
        </w:rPr>
        <w:t xml:space="preserve">                                                      </w:t>
      </w:r>
    </w:p>
    <w:p>
      <w:pPr>
        <w:spacing w:line="360" w:lineRule="auto"/>
        <w:rPr>
          <w:rFonts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pPr>
        <w:spacing w:line="360" w:lineRule="auto"/>
        <w:rPr>
          <w:rFonts w:ascii="宋体" w:hAnsi="宋体" w:cs="宋体"/>
          <w:sz w:val="24"/>
          <w:u w:val="dotted"/>
        </w:rPr>
      </w:pP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投诉事项2</w:t>
      </w:r>
    </w:p>
    <w:p>
      <w:pPr>
        <w:spacing w:line="360" w:lineRule="auto"/>
        <w:rPr>
          <w:rFonts w:ascii="宋体" w:hAnsi="宋体" w:cs="宋体"/>
          <w:sz w:val="24"/>
          <w:u w:val="dotted"/>
        </w:rPr>
      </w:pP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五、与投诉事项相关的投诉请求</w:t>
      </w:r>
    </w:p>
    <w:p>
      <w:pPr>
        <w:spacing w:line="360" w:lineRule="auto"/>
        <w:rPr>
          <w:rFonts w:ascii="宋体" w:hAnsi="宋体" w:cs="宋体"/>
          <w:sz w:val="24"/>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pPr>
        <w:spacing w:line="360" w:lineRule="auto"/>
        <w:rPr>
          <w:rFonts w:ascii="宋体" w:hAnsi="宋体" w:cs="宋体"/>
          <w:sz w:val="24"/>
          <w:u w:val="single"/>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r>
        <w:rPr>
          <w:rFonts w:hint="eastAsia" w:ascii="宋体" w:hAnsi="宋体" w:cs="宋体"/>
          <w:b/>
          <w:sz w:val="24"/>
        </w:rPr>
        <w:t>投诉书制作说明：</w:t>
      </w:r>
    </w:p>
    <w:p>
      <w:pPr>
        <w:widowControl/>
        <w:spacing w:line="360" w:lineRule="auto"/>
        <w:ind w:firstLine="480" w:firstLineChars="200"/>
        <w:rPr>
          <w:rFonts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3.投诉人若对项目的某一分包进行投诉，投诉书应列明具体分包号。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4.投诉书应简要列明质疑事项，质疑函、质疑答复等作为附件材料提供。</w:t>
      </w:r>
    </w:p>
    <w:p>
      <w:pPr>
        <w:widowControl/>
        <w:spacing w:line="360" w:lineRule="auto"/>
        <w:ind w:firstLine="480" w:firstLineChars="200"/>
        <w:jc w:val="left"/>
        <w:rPr>
          <w:rFonts w:ascii="宋体" w:hAnsi="宋体" w:cs="宋体"/>
          <w:sz w:val="24"/>
        </w:rPr>
      </w:pPr>
      <w:r>
        <w:rPr>
          <w:rFonts w:hint="eastAsia" w:ascii="宋体" w:hAnsi="宋体" w:cs="宋体"/>
          <w:sz w:val="24"/>
        </w:rPr>
        <w:t>5.投诉书的投诉事项应具体、明确，并有必要的事实依据和法律依据。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6.投诉书的投诉请求应与投诉事项相关。</w:t>
      </w:r>
    </w:p>
    <w:p>
      <w:pPr>
        <w:widowControl/>
        <w:spacing w:line="360" w:lineRule="auto"/>
        <w:ind w:firstLine="480" w:firstLineChars="200"/>
        <w:jc w:val="left"/>
        <w:rPr>
          <w:rFonts w:ascii="宋体" w:hAnsi="宋体" w:cs="宋体"/>
          <w:kern w:val="0"/>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pPr>
        <w:spacing w:line="360" w:lineRule="auto"/>
        <w:rPr>
          <w:rFonts w:ascii="宋体" w:hAnsi="宋体" w:cs="宋体"/>
          <w:b/>
          <w:sz w:val="24"/>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bCs/>
          <w:sz w:val="32"/>
          <w:szCs w:val="32"/>
        </w:rPr>
      </w:pPr>
      <w:r>
        <w:rPr>
          <w:rFonts w:hint="eastAsia" w:ascii="宋体" w:hAnsi="宋体" w:cs="宋体"/>
          <w:b/>
          <w:spacing w:val="6"/>
          <w:sz w:val="32"/>
          <w:szCs w:val="32"/>
        </w:rPr>
        <w:t>附件4：</w:t>
      </w:r>
      <w:r>
        <w:rPr>
          <w:rFonts w:hint="eastAsia" w:ascii="宋体" w:hAnsi="宋体" w:cs="宋体"/>
          <w:b/>
          <w:bCs/>
          <w:sz w:val="32"/>
          <w:szCs w:val="32"/>
        </w:rPr>
        <w:t>业务专用章使用说明函</w:t>
      </w:r>
    </w:p>
    <w:p>
      <w:pPr>
        <w:spacing w:line="360" w:lineRule="auto"/>
        <w:rPr>
          <w:rFonts w:ascii="宋体" w:hAnsi="宋体" w:cs="宋体"/>
          <w:color w:val="0000FF"/>
          <w:sz w:val="24"/>
          <w:u w:val="single"/>
        </w:rPr>
      </w:pPr>
    </w:p>
    <w:p>
      <w:pPr>
        <w:spacing w:line="360" w:lineRule="auto"/>
        <w:rPr>
          <w:rFonts w:ascii="宋体" w:hAnsi="宋体" w:cs="宋体"/>
          <w:sz w:val="24"/>
        </w:rPr>
      </w:pPr>
      <w:r>
        <w:rPr>
          <w:rFonts w:hint="eastAsia" w:ascii="宋体" w:hAnsi="宋体" w:cs="宋体"/>
          <w:sz w:val="24"/>
          <w:u w:val="single"/>
          <w:lang w:eastAsia="zh-CN"/>
        </w:rPr>
        <w:t>杭州市转塘小学</w:t>
      </w:r>
      <w:r>
        <w:rPr>
          <w:rFonts w:hint="eastAsia" w:ascii="宋体" w:hAnsi="宋体" w:cs="宋体"/>
          <w:sz w:val="24"/>
          <w:u w:val="single"/>
        </w:rPr>
        <w:t>、杭州市西湖区政府采购中心：</w:t>
      </w:r>
    </w:p>
    <w:p>
      <w:pPr>
        <w:spacing w:line="360" w:lineRule="auto"/>
        <w:ind w:firstLine="480" w:firstLineChars="200"/>
        <w:rPr>
          <w:rFonts w:ascii="宋体" w:hAnsi="宋体" w:cs="宋体"/>
          <w:sz w:val="24"/>
        </w:rPr>
      </w:pPr>
      <w:r>
        <w:rPr>
          <w:rFonts w:hint="eastAsia" w:ascii="宋体" w:hAnsi="宋体" w:cs="宋体"/>
          <w:kern w:val="0"/>
          <w:sz w:val="24"/>
          <w:lang w:val="zh-CN"/>
        </w:rPr>
        <w:t>我方</w:t>
      </w:r>
      <w:r>
        <w:rPr>
          <w:rFonts w:hint="eastAsia" w:ascii="宋体" w:hAnsi="宋体" w:cs="宋体"/>
          <w:kern w:val="0"/>
          <w:sz w:val="24"/>
          <w:u w:val="single"/>
          <w:lang w:val="zh-CN"/>
        </w:rPr>
        <w:t xml:space="preserve">                         </w:t>
      </w:r>
      <w:r>
        <w:rPr>
          <w:rFonts w:hint="eastAsia" w:ascii="宋体" w:hAnsi="宋体" w:cs="宋体"/>
          <w:sz w:val="24"/>
        </w:rPr>
        <w:t>(投标人全称)是中华人民共和国依法登记注册的合法企业，</w:t>
      </w:r>
      <w:r>
        <w:rPr>
          <w:rFonts w:hint="eastAsia" w:ascii="宋体" w:hAnsi="宋体" w:cs="宋体"/>
          <w:bCs/>
          <w:sz w:val="24"/>
        </w:rPr>
        <w:t>在参加</w:t>
      </w:r>
      <w:r>
        <w:rPr>
          <w:rFonts w:hint="eastAsia" w:ascii="宋体" w:hAnsi="宋体" w:cs="宋体"/>
          <w:sz w:val="24"/>
        </w:rPr>
        <w:t>你方组织的</w:t>
      </w:r>
      <w:r>
        <w:rPr>
          <w:rFonts w:hint="eastAsia" w:ascii="宋体" w:hAnsi="宋体" w:cs="宋体"/>
          <w:sz w:val="24"/>
          <w:lang w:eastAsia="zh-CN"/>
        </w:rPr>
        <w:t>杭州市转塘小学（浮山新建校）电子显示屏采购项目</w:t>
      </w:r>
      <w:r>
        <w:rPr>
          <w:rFonts w:hint="eastAsia" w:ascii="宋体" w:hAnsi="宋体" w:cs="宋体"/>
          <w:sz w:val="24"/>
        </w:rPr>
        <w:t>【招标编号：</w:t>
      </w:r>
      <w:r>
        <w:rPr>
          <w:rFonts w:hint="eastAsia" w:ascii="宋体" w:hAnsi="宋体" w:cs="宋体"/>
          <w:sz w:val="24"/>
          <w:lang w:eastAsia="zh-CN"/>
        </w:rPr>
        <w:t>XHZFCG-2024-G-31</w:t>
      </w:r>
      <w:r>
        <w:rPr>
          <w:rFonts w:hint="eastAsia" w:ascii="宋体" w:hAnsi="宋体" w:cs="宋体"/>
          <w:sz w:val="24"/>
        </w:rPr>
        <w:t>】</w:t>
      </w:r>
      <w:r>
        <w:rPr>
          <w:rFonts w:hint="eastAsia" w:ascii="宋体" w:hAnsi="宋体" w:cs="宋体"/>
          <w:bCs/>
          <w:sz w:val="24"/>
        </w:rPr>
        <w:t>投标活动中作如下说明：</w:t>
      </w:r>
      <w:r>
        <w:rPr>
          <w:rFonts w:hint="eastAsia" w:ascii="宋体" w:hAnsi="宋体" w:cs="宋体"/>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ascii="宋体" w:hAnsi="宋体" w:cs="宋体"/>
          <w:sz w:val="24"/>
        </w:rPr>
      </w:pPr>
      <w:r>
        <w:rPr>
          <w:rFonts w:hint="eastAsia" w:ascii="宋体" w:hAnsi="宋体" w:cs="宋体"/>
          <w:sz w:val="24"/>
        </w:rPr>
        <w:t>特此说明。</w:t>
      </w:r>
    </w:p>
    <w:p>
      <w:pPr>
        <w:spacing w:line="360" w:lineRule="auto"/>
        <w:ind w:firstLine="494"/>
        <w:rPr>
          <w:rFonts w:ascii="宋体" w:hAnsi="宋体" w:cs="宋体"/>
          <w:sz w:val="24"/>
        </w:rPr>
      </w:pPr>
    </w:p>
    <w:p>
      <w:pPr>
        <w:spacing w:line="360" w:lineRule="auto"/>
        <w:ind w:firstLine="494"/>
        <w:rPr>
          <w:rFonts w:ascii="宋体" w:hAnsi="宋体" w:cs="宋体"/>
          <w:sz w:val="24"/>
        </w:rPr>
      </w:pPr>
    </w:p>
    <w:p>
      <w:pPr>
        <w:spacing w:line="360" w:lineRule="auto"/>
        <w:ind w:firstLine="494"/>
        <w:rPr>
          <w:rFonts w:ascii="宋体" w:hAnsi="宋体" w:cs="宋体"/>
          <w:sz w:val="24"/>
        </w:rPr>
      </w:pPr>
    </w:p>
    <w:p>
      <w:pPr>
        <w:spacing w:line="360" w:lineRule="auto"/>
        <w:ind w:right="480" w:firstLine="4080" w:firstLineChars="1700"/>
        <w:rPr>
          <w:rFonts w:ascii="宋体" w:hAnsi="宋体" w:cs="宋体"/>
          <w:sz w:val="24"/>
        </w:rPr>
      </w:pPr>
      <w:r>
        <w:rPr>
          <w:rFonts w:hint="eastAsia" w:ascii="宋体" w:hAnsi="宋体" w:cs="宋体"/>
          <w:sz w:val="24"/>
        </w:rPr>
        <w:t>投标单位（法定名称章）：</w:t>
      </w:r>
    </w:p>
    <w:p>
      <w:pPr>
        <w:ind w:right="1440" w:firstLine="494"/>
        <w:jc w:val="center"/>
        <w:rPr>
          <w:rFonts w:ascii="宋体" w:hAnsi="宋体" w:cs="宋体"/>
          <w:sz w:val="24"/>
        </w:rPr>
      </w:pPr>
      <w:r>
        <w:rPr>
          <w:rFonts w:hint="eastAsia" w:ascii="宋体" w:hAnsi="宋体" w:cs="宋体"/>
          <w:sz w:val="24"/>
        </w:rPr>
        <w:t xml:space="preserve">                              日期：       年     月     日</w:t>
      </w:r>
    </w:p>
    <w:p>
      <w:pPr>
        <w:rPr>
          <w:rFonts w:ascii="宋体" w:hAnsi="宋体" w:cs="宋体"/>
          <w:sz w:val="24"/>
        </w:rPr>
      </w:pPr>
      <w:r>
        <w:rPr>
          <w:rFonts w:hint="eastAsia" w:ascii="宋体" w:hAnsi="宋体" w:cs="宋体"/>
          <w:b/>
          <w:bCs/>
          <w:sz w:val="24"/>
        </w:rPr>
        <w:t>附：</w:t>
      </w:r>
    </w:p>
    <w:p>
      <w:pPr>
        <w:spacing w:line="360" w:lineRule="auto"/>
        <w:rPr>
          <w:rFonts w:ascii="宋体" w:hAnsi="宋体" w:cs="宋体"/>
          <w:bCs/>
          <w:sz w:val="24"/>
        </w:rPr>
      </w:pPr>
      <w:r>
        <w:rPr>
          <w:rFonts w:hint="eastAsia" w:ascii="宋体" w:hAnsi="宋体" w:cs="宋体"/>
          <w:b/>
          <w:bCs/>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sz w:val="24"/>
        </w:rPr>
        <w:t>投标单位法定名称章（印模）                投标单位“XX专用章”（印模）</w:t>
      </w: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snapToGrid w:val="0"/>
        <w:spacing w:line="360" w:lineRule="auto"/>
        <w:jc w:val="center"/>
        <w:outlineLvl w:val="0"/>
        <w:rPr>
          <w:rFonts w:ascii="宋体" w:hAnsi="宋体" w:cs="宋体"/>
          <w:b/>
          <w:kern w:val="0"/>
          <w:sz w:val="32"/>
          <w:szCs w:val="32"/>
        </w:rPr>
      </w:pPr>
      <w:r>
        <w:rPr>
          <w:rFonts w:hint="eastAsia" w:ascii="宋体" w:hAnsi="宋体" w:cs="宋体"/>
          <w:b/>
          <w:kern w:val="0"/>
          <w:sz w:val="32"/>
          <w:szCs w:val="32"/>
        </w:rPr>
        <w:t>附件</w:t>
      </w:r>
      <w:r>
        <w:rPr>
          <w:rFonts w:ascii="宋体" w:hAnsi="宋体" w:cs="宋体"/>
          <w:b/>
          <w:kern w:val="0"/>
          <w:sz w:val="32"/>
          <w:szCs w:val="32"/>
        </w:rPr>
        <w:t>5</w:t>
      </w:r>
      <w:r>
        <w:rPr>
          <w:rFonts w:hint="eastAsia" w:ascii="宋体" w:hAnsi="宋体" w:cs="宋体"/>
          <w:b/>
          <w:kern w:val="0"/>
          <w:sz w:val="32"/>
          <w:szCs w:val="32"/>
        </w:rPr>
        <w:t>：联合协议</w:t>
      </w:r>
    </w:p>
    <w:p>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（以联合体形式投标的，提供联合协议；本项目不接受联合体投标或者投标人不以联合体形式投标的，则不需要提供）</w:t>
      </w:r>
    </w:p>
    <w:p>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（联合体所有成员名称）</w:t>
      </w:r>
      <w:r>
        <w:rPr>
          <w:rFonts w:hint="eastAsia" w:ascii="宋体" w:hAnsi="宋体" w:cs="宋体"/>
          <w:kern w:val="0"/>
          <w:sz w:val="24"/>
        </w:rPr>
        <w:t>自愿</w:t>
      </w:r>
      <w:r>
        <w:rPr>
          <w:rFonts w:hint="eastAsia" w:ascii="宋体" w:hAnsi="宋体" w:cs="宋体"/>
          <w:kern w:val="0"/>
          <w:sz w:val="24"/>
          <w:lang w:val="zh-CN"/>
        </w:rPr>
        <w:t>组成一个联合体，以一个投标人的身份</w:t>
      </w:r>
      <w:r>
        <w:rPr>
          <w:rFonts w:hint="eastAsia" w:ascii="宋体" w:hAnsi="宋体" w:cs="宋体"/>
          <w:kern w:val="0"/>
          <w:sz w:val="24"/>
        </w:rPr>
        <w:t>参加</w:t>
      </w:r>
      <w:r>
        <w:rPr>
          <w:rFonts w:hint="eastAsia" w:ascii="宋体" w:hAnsi="宋体" w:cs="宋体"/>
          <w:sz w:val="24"/>
          <w:lang w:eastAsia="zh-CN"/>
        </w:rPr>
        <w:t>杭州市转塘小学（浮山新建校）电子显示屏采购项目</w:t>
      </w:r>
      <w:r>
        <w:rPr>
          <w:rFonts w:hint="eastAsia" w:ascii="宋体" w:hAnsi="宋体" w:cs="宋体"/>
          <w:sz w:val="24"/>
        </w:rPr>
        <w:t>【招标编号：</w:t>
      </w:r>
      <w:r>
        <w:rPr>
          <w:rFonts w:hint="eastAsia" w:ascii="宋体" w:hAnsi="宋体" w:cs="宋体"/>
          <w:sz w:val="24"/>
          <w:lang w:eastAsia="zh-CN"/>
        </w:rPr>
        <w:t>XHZFCG-2024-G-31</w:t>
      </w:r>
      <w:r>
        <w:rPr>
          <w:rFonts w:hint="eastAsia" w:ascii="宋体" w:hAnsi="宋体" w:cs="宋体"/>
          <w:sz w:val="24"/>
        </w:rPr>
        <w:t>】</w:t>
      </w:r>
      <w:r>
        <w:rPr>
          <w:rFonts w:hint="eastAsia" w:ascii="宋体" w:hAnsi="宋体" w:cs="宋体"/>
          <w:kern w:val="0"/>
          <w:sz w:val="24"/>
          <w:lang w:val="zh-CN"/>
        </w:rPr>
        <w:t xml:space="preserve">投标。 </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一、各方一致决定，</w:t>
      </w:r>
      <w:r>
        <w:rPr>
          <w:rFonts w:hint="eastAsia" w:ascii="宋体" w:hAnsi="宋体" w:cs="宋体"/>
          <w:kern w:val="0"/>
          <w:sz w:val="24"/>
          <w:u w:val="single"/>
        </w:rPr>
        <w:t>（某联合体成员名称）</w:t>
      </w:r>
      <w:r>
        <w:rPr>
          <w:rFonts w:hint="eastAsia" w:ascii="宋体" w:hAnsi="宋体" w:cs="宋体"/>
          <w:kern w:val="0"/>
          <w:sz w:val="24"/>
        </w:rPr>
        <w:t>为联合体</w:t>
      </w:r>
      <w:r>
        <w:rPr>
          <w:rFonts w:hint="eastAsia" w:ascii="宋体" w:hAnsi="宋体" w:cs="宋体"/>
          <w:kern w:val="0"/>
          <w:sz w:val="24"/>
          <w:lang w:val="zh-CN"/>
        </w:rPr>
        <w:t>牵头人</w:t>
      </w:r>
      <w:r>
        <w:rPr>
          <w:rFonts w:hint="eastAsia" w:ascii="宋体" w:hAnsi="宋体" w:cs="宋体"/>
          <w:sz w:val="24"/>
        </w:rPr>
        <w:t>，代表所有联合体成员负责投标和合同实施阶段的主办、协调工作</w:t>
      </w:r>
      <w:r>
        <w:rPr>
          <w:rFonts w:hint="eastAsia" w:ascii="宋体" w:hAnsi="宋体" w:cs="宋体"/>
          <w:kern w:val="0"/>
          <w:sz w:val="24"/>
          <w:lang w:val="zh-CN"/>
        </w:rPr>
        <w:t>。</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w:t>
      </w:r>
      <w:r>
        <w:rPr>
          <w:rFonts w:hint="eastAsia" w:ascii="宋体" w:hAnsi="宋体" w:cs="宋体"/>
          <w:sz w:val="24"/>
        </w:rPr>
        <w:t>所有联合体成员各方签署授权书，授权书载明的</w:t>
      </w:r>
      <w:r>
        <w:rPr>
          <w:rFonts w:hint="eastAsia" w:ascii="宋体" w:hAnsi="宋体" w:cs="宋体"/>
          <w:kern w:val="0"/>
          <w:sz w:val="24"/>
          <w:lang w:val="zh-CN"/>
        </w:rPr>
        <w:t>授权代表根据招标文件规定及投标内容而对采购人、采购机构所作的任何合法承诺，包括书面澄清及相应等均对联合投标各方产生约束力。</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三、本次联合投标中，分工如下：</w:t>
      </w:r>
    </w:p>
    <w:p>
      <w:pPr>
        <w:snapToGrid w:val="0"/>
        <w:spacing w:line="360" w:lineRule="auto"/>
        <w:ind w:firstLine="576"/>
        <w:rPr>
          <w:rFonts w:ascii="宋体" w:hAnsi="宋体" w:cs="宋体"/>
          <w:kern w:val="0"/>
          <w:sz w:val="24"/>
          <w:lang w:val="zh-CN"/>
        </w:rPr>
      </w:pPr>
      <w:bookmarkStart w:id="540" w:name="_Hlk101134295"/>
      <w:r>
        <w:rPr>
          <w:rFonts w:hint="eastAsia" w:ascii="宋体" w:hAnsi="宋体" w:cs="宋体"/>
          <w:kern w:val="0"/>
          <w:sz w:val="24"/>
          <w:u w:val="single"/>
        </w:rPr>
        <w:t>（联合体成员1）</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w:t>
      </w:r>
      <w:r>
        <w:rPr>
          <w:rFonts w:ascii="宋体" w:hAnsi="宋体" w:cs="宋体"/>
          <w:kern w:val="0"/>
          <w:sz w:val="24"/>
          <w:u w:val="single"/>
        </w:rPr>
        <w:t>2</w:t>
      </w:r>
      <w:r>
        <w:rPr>
          <w:rFonts w:hint="eastAsia" w:ascii="宋体" w:hAnsi="宋体" w:cs="宋体"/>
          <w:kern w:val="0"/>
          <w:sz w:val="24"/>
          <w:u w:val="single"/>
        </w:rPr>
        <w:t>）</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w:t>
      </w:r>
    </w:p>
    <w:bookmarkEnd w:id="540"/>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四、联合体成员中小企业合同份额。</w:t>
      </w:r>
    </w:p>
    <w:p>
      <w:pPr>
        <w:snapToGrid w:val="0"/>
        <w:spacing w:line="360" w:lineRule="auto"/>
        <w:ind w:firstLine="576"/>
        <w:rPr>
          <w:rFonts w:ascii="宋体" w:hAnsi="宋体" w:cs="宋体"/>
          <w:b/>
          <w:kern w:val="0"/>
          <w:sz w:val="24"/>
          <w:lang w:val="zh-CN"/>
        </w:rPr>
      </w:pPr>
      <w:r>
        <w:rPr>
          <w:rFonts w:hint="eastAsia" w:ascii="宋体" w:hAnsi="宋体" w:cs="宋体"/>
          <w:kern w:val="0"/>
          <w:sz w:val="24"/>
          <w:lang w:val="zh-CN"/>
        </w:rPr>
        <w:t>1、</w:t>
      </w:r>
      <w:r>
        <w:rPr>
          <w:rFonts w:hint="eastAsia" w:ascii="宋体" w:hAnsi="宋体" w:cs="宋体"/>
          <w:kern w:val="0"/>
          <w:sz w:val="24"/>
          <w:u w:val="single"/>
        </w:rPr>
        <w:t>（联合体成员</w:t>
      </w:r>
      <w:r>
        <w:rPr>
          <w:rFonts w:ascii="宋体" w:hAnsi="宋体" w:cs="宋体"/>
          <w:kern w:val="0"/>
          <w:sz w:val="24"/>
          <w:u w:val="single"/>
        </w:rPr>
        <w:t>X,</w:t>
      </w:r>
      <w:r>
        <w:rPr>
          <w:rFonts w:hint="eastAsia" w:ascii="宋体" w:hAnsi="宋体" w:cs="宋体"/>
          <w:kern w:val="0"/>
          <w:sz w:val="24"/>
          <w:u w:val="single"/>
        </w:rPr>
        <w:t>……）</w:t>
      </w:r>
      <w:r>
        <w:rPr>
          <w:rFonts w:hint="eastAsia" w:ascii="宋体" w:hAnsi="宋体" w:cs="宋体"/>
          <w:kern w:val="0"/>
          <w:sz w:val="24"/>
        </w:rPr>
        <w:t>提供的全部货物由小微企业制造，其合同份额占到合同总金额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kern w:val="0"/>
          <w:sz w:val="24"/>
          <w:lang w:val="zh-CN"/>
        </w:rPr>
        <w:t>……。</w:t>
      </w:r>
      <w:r>
        <w:rPr>
          <w:rFonts w:hint="eastAsia" w:ascii="宋体" w:hAnsi="宋体" w:cs="宋体"/>
          <w:b/>
          <w:kern w:val="0"/>
          <w:sz w:val="24"/>
          <w:lang w:val="zh-CN"/>
        </w:rPr>
        <w:t>（未预留份额专门面向中小企业采购的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pPr>
        <w:snapToGrid w:val="0"/>
        <w:spacing w:line="360" w:lineRule="auto"/>
        <w:ind w:firstLine="576"/>
        <w:rPr>
          <w:rFonts w:ascii="宋体" w:hAnsi="宋体" w:cs="宋体"/>
          <w:kern w:val="0"/>
          <w:sz w:val="24"/>
          <w:lang w:val="zh-CN"/>
        </w:rPr>
      </w:pPr>
      <w:r>
        <w:rPr>
          <w:rFonts w:hint="eastAsia" w:ascii="宋体" w:hAnsi="宋体" w:cs="宋体"/>
          <w:sz w:val="24"/>
        </w:rPr>
        <w:t>2、中小企业合同金额达到</w:t>
      </w:r>
      <w:r>
        <w:rPr>
          <w:rFonts w:hint="eastAsia" w:ascii="宋体" w:hAnsi="宋体" w:cs="宋体"/>
          <w:sz w:val="24"/>
          <w:u w:val="single"/>
        </w:rPr>
        <w:t xml:space="preserve">  </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要求以联合体形式参加的项目或采购包，供应商按招标文件第一部分招标公告申请人的资格要求中规定的联合协议中中小企业、其中小微企业合同金额应当达到的比例要求填写。</w:t>
      </w:r>
      <w:r>
        <w:rPr>
          <w:rFonts w:hint="eastAsia" w:ascii="宋体" w:hAnsi="宋体" w:cs="宋体"/>
          <w:b/>
          <w:bCs/>
          <w:kern w:val="0"/>
          <w:sz w:val="24"/>
          <w:lang w:val="zh-CN"/>
        </w:rPr>
        <w:t>）</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五、如果中标，</w:t>
      </w:r>
      <w:r>
        <w:rPr>
          <w:rFonts w:hint="eastAsia" w:ascii="宋体" w:hAnsi="宋体" w:cs="宋体"/>
          <w:sz w:val="24"/>
        </w:rPr>
        <w:t>联合体各成员方共同与采购人签订合同，并就采购合同约定的事项对采购人承担连带责任。</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六、有关本次联合投标的其他事宜：</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1、联合体各方不再单独参加或者与其他供应商另外组成联合体参加同一合同项下的政府采购活动。</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2、联合体中有同类资质的各方按照联合体分工承担相同工作的，按照资质等级较低的供应商确定资质等级。</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3、本协议提交采购人、采购机构后，联合体各方不得以任何形式对上述内容进行修改或撤销。</w:t>
      </w:r>
    </w:p>
    <w:p>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pPr>
        <w:snapToGrid w:val="0"/>
        <w:spacing w:line="360" w:lineRule="auto"/>
        <w:ind w:right="960"/>
        <w:jc w:val="center"/>
        <w:rPr>
          <w:rFonts w:ascii="宋体" w:hAnsi="宋体" w:cs="宋体"/>
          <w:kern w:val="0"/>
          <w:sz w:val="24"/>
          <w:lang w:val="zh-CN"/>
        </w:rPr>
      </w:pPr>
      <w:r>
        <w:rPr>
          <w:rFonts w:hint="eastAsia" w:ascii="宋体" w:hAnsi="宋体" w:cs="宋体"/>
          <w:kern w:val="0"/>
          <w:sz w:val="24"/>
          <w:lang w:val="zh-CN"/>
        </w:rPr>
        <w:t xml:space="preserve">                   ……</w:t>
      </w:r>
    </w:p>
    <w:p>
      <w:pPr>
        <w:snapToGrid w:val="0"/>
        <w:spacing w:line="360" w:lineRule="auto"/>
        <w:jc w:val="right"/>
        <w:rPr>
          <w:rFonts w:ascii="宋体" w:hAnsi="宋体" w:cs="宋体"/>
          <w:kern w:val="0"/>
          <w:sz w:val="24"/>
          <w:lang w:val="zh-CN"/>
        </w:rPr>
      </w:pPr>
      <w:r>
        <w:rPr>
          <w:rFonts w:hint="eastAsia" w:ascii="宋体" w:hAnsi="宋体" w:cs="宋体"/>
          <w:kern w:val="0"/>
          <w:sz w:val="24"/>
          <w:lang w:val="zh-CN"/>
        </w:rPr>
        <w:t>日期：  年  月   日</w:t>
      </w:r>
    </w:p>
    <w:p>
      <w:pPr>
        <w:spacing w:line="360" w:lineRule="auto"/>
        <w:ind w:right="420"/>
        <w:rPr>
          <w:rFonts w:ascii="宋体" w:hAnsi="宋体" w:cs="宋体"/>
          <w:sz w:val="24"/>
        </w:rPr>
      </w:pPr>
      <w:r>
        <w:rPr>
          <w:rFonts w:hint="eastAsia" w:ascii="宋体" w:hAnsi="宋体" w:cs="宋体"/>
          <w:sz w:val="24"/>
        </w:rPr>
        <w:t>注：按本格式和要求提供。</w:t>
      </w: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pStyle w:val="23"/>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both"/>
        <w:rPr>
          <w:rFonts w:ascii="宋体" w:hAnsi="宋体" w:cs="宋体"/>
          <w:b/>
          <w:spacing w:val="6"/>
          <w:sz w:val="32"/>
          <w:szCs w:val="32"/>
        </w:rPr>
      </w:pPr>
    </w:p>
    <w:p>
      <w:pPr>
        <w:snapToGrid w:val="0"/>
        <w:spacing w:line="360" w:lineRule="auto"/>
        <w:jc w:val="center"/>
        <w:outlineLvl w:val="0"/>
        <w:rPr>
          <w:rFonts w:hint="eastAsia" w:ascii="宋体" w:hAnsi="宋体" w:cs="宋体"/>
          <w:b/>
          <w:kern w:val="0"/>
          <w:sz w:val="32"/>
          <w:szCs w:val="32"/>
        </w:rPr>
      </w:pPr>
    </w:p>
    <w:p>
      <w:pPr>
        <w:snapToGrid w:val="0"/>
        <w:spacing w:line="360" w:lineRule="auto"/>
        <w:jc w:val="center"/>
        <w:outlineLvl w:val="0"/>
        <w:rPr>
          <w:rFonts w:ascii="宋体" w:hAnsi="宋体" w:cs="宋体"/>
          <w:b/>
          <w:kern w:val="0"/>
          <w:sz w:val="32"/>
          <w:szCs w:val="32"/>
        </w:rPr>
      </w:pPr>
      <w:r>
        <w:rPr>
          <w:rFonts w:hint="eastAsia" w:ascii="宋体" w:hAnsi="宋体" w:cs="宋体"/>
          <w:b/>
          <w:kern w:val="0"/>
          <w:sz w:val="32"/>
          <w:szCs w:val="32"/>
        </w:rPr>
        <w:t>附件</w:t>
      </w:r>
      <w:r>
        <w:rPr>
          <w:rFonts w:ascii="宋体" w:hAnsi="宋体" w:cs="宋体"/>
          <w:b/>
          <w:kern w:val="0"/>
          <w:sz w:val="32"/>
          <w:szCs w:val="32"/>
        </w:rPr>
        <w:t>6</w:t>
      </w:r>
      <w:r>
        <w:rPr>
          <w:rFonts w:hint="eastAsia" w:ascii="宋体" w:hAnsi="宋体" w:cs="宋体"/>
          <w:b/>
          <w:kern w:val="0"/>
          <w:sz w:val="32"/>
          <w:szCs w:val="32"/>
        </w:rPr>
        <w:t>：分包意向协议</w:t>
      </w:r>
    </w:p>
    <w:p>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中标后以分包方式履行合同的，提供分包意向协议；采购人不同意分包或者投标人中标后不以分包方式履行合同的，则不需要提供。</w:t>
      </w:r>
      <w:r>
        <w:rPr>
          <w:rFonts w:hint="eastAsia" w:ascii="宋体" w:hAnsi="宋体" w:cs="宋体"/>
          <w:sz w:val="24"/>
        </w:rPr>
        <w:t>）</w:t>
      </w:r>
    </w:p>
    <w:p>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若成为</w:t>
      </w:r>
      <w:r>
        <w:rPr>
          <w:rFonts w:hint="eastAsia" w:ascii="宋体" w:hAnsi="宋体" w:cs="宋体"/>
          <w:sz w:val="24"/>
          <w:lang w:eastAsia="zh-CN"/>
        </w:rPr>
        <w:t>杭州市转塘小学（浮山新建校）电子显示屏采购项目</w:t>
      </w:r>
      <w:r>
        <w:rPr>
          <w:rFonts w:hint="eastAsia" w:ascii="宋体" w:hAnsi="宋体" w:cs="宋体"/>
          <w:sz w:val="24"/>
        </w:rPr>
        <w:t>【招标编号：</w:t>
      </w:r>
      <w:r>
        <w:rPr>
          <w:rFonts w:hint="eastAsia" w:ascii="宋体" w:hAnsi="宋体" w:cs="宋体"/>
          <w:sz w:val="24"/>
          <w:lang w:eastAsia="zh-CN"/>
        </w:rPr>
        <w:t>XHZFCG-2024-G-31</w:t>
      </w:r>
      <w:r>
        <w:rPr>
          <w:rFonts w:hint="eastAsia" w:ascii="宋体" w:hAnsi="宋体" w:cs="宋体"/>
          <w:sz w:val="24"/>
        </w:rPr>
        <w:t>】</w:t>
      </w:r>
      <w:r>
        <w:rPr>
          <w:rFonts w:hint="eastAsia" w:ascii="宋体" w:hAnsi="宋体" w:cs="宋体"/>
          <w:kern w:val="0"/>
          <w:sz w:val="24"/>
          <w:lang w:val="zh-CN"/>
        </w:rPr>
        <w:t>的中标供应商，将依法采取分包方式履行合同。</w:t>
      </w:r>
      <w:r>
        <w:rPr>
          <w:rFonts w:hint="eastAsia" w:ascii="宋体" w:hAnsi="宋体" w:cs="宋体"/>
          <w:kern w:val="0"/>
          <w:sz w:val="24"/>
          <w:u w:val="single"/>
        </w:rPr>
        <w:t>（投标人名称）</w:t>
      </w:r>
      <w:r>
        <w:rPr>
          <w:rFonts w:hint="eastAsia" w:ascii="宋体" w:hAnsi="宋体" w:cs="宋体"/>
          <w:kern w:val="0"/>
          <w:sz w:val="24"/>
        </w:rPr>
        <w:t>与</w:t>
      </w:r>
      <w:r>
        <w:rPr>
          <w:rFonts w:hint="eastAsia" w:ascii="宋体" w:hAnsi="宋体" w:cs="宋体"/>
          <w:kern w:val="0"/>
          <w:sz w:val="24"/>
          <w:u w:val="single"/>
        </w:rPr>
        <w:t>（所有分包供应商名称）</w:t>
      </w:r>
      <w:r>
        <w:rPr>
          <w:rFonts w:hint="eastAsia" w:ascii="宋体" w:hAnsi="宋体" w:cs="宋体"/>
          <w:kern w:val="0"/>
          <w:sz w:val="24"/>
        </w:rPr>
        <w:t>达成分包意向协议</w:t>
      </w:r>
      <w:r>
        <w:rPr>
          <w:rFonts w:hint="eastAsia" w:ascii="宋体" w:hAnsi="宋体" w:cs="宋体"/>
          <w:kern w:val="0"/>
          <w:sz w:val="24"/>
          <w:lang w:val="zh-CN"/>
        </w:rPr>
        <w:t xml:space="preserve">。 </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一、分包标的及数量</w:t>
      </w:r>
    </w:p>
    <w:p>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将</w:t>
      </w:r>
      <w:r>
        <w:rPr>
          <w:rFonts w:hint="eastAsia" w:ascii="宋体" w:hAnsi="宋体" w:cs="宋体"/>
          <w:u w:val="single"/>
        </w:rPr>
        <w:t xml:space="preserve"> </w:t>
      </w:r>
      <w:r>
        <w:rPr>
          <w:rFonts w:ascii="宋体" w:hAnsi="宋体" w:cs="宋体"/>
          <w:kern w:val="0"/>
          <w:sz w:val="24"/>
          <w:u w:val="single"/>
        </w:rPr>
        <w:t xml:space="preserve">  XX工作内容   </w:t>
      </w:r>
      <w:r>
        <w:rPr>
          <w:rFonts w:hint="eastAsia" w:ascii="宋体" w:hAnsi="宋体" w:cs="宋体"/>
          <w:sz w:val="24"/>
        </w:rPr>
        <w:t>分包给</w:t>
      </w:r>
      <w:r>
        <w:rPr>
          <w:rFonts w:hint="eastAsia" w:ascii="宋体" w:hAnsi="宋体" w:cs="宋体"/>
          <w:kern w:val="0"/>
          <w:sz w:val="24"/>
          <w:u w:val="single"/>
        </w:rPr>
        <w:t>（分包供应商1名称）</w:t>
      </w:r>
      <w:r>
        <w:rPr>
          <w:rFonts w:hint="eastAsia" w:ascii="宋体" w:hAnsi="宋体" w:cs="宋体"/>
          <w:kern w:val="0"/>
          <w:sz w:val="24"/>
          <w:lang w:val="zh-CN"/>
        </w:rPr>
        <w:t>，</w:t>
      </w:r>
      <w:r>
        <w:rPr>
          <w:rFonts w:hint="eastAsia" w:ascii="宋体" w:hAnsi="宋体" w:cs="宋体"/>
          <w:kern w:val="0"/>
          <w:sz w:val="24"/>
          <w:u w:val="single"/>
        </w:rPr>
        <w:t>（分包供应商1名称），</w:t>
      </w:r>
      <w:r>
        <w:rPr>
          <w:rFonts w:hint="eastAsia" w:ascii="宋体" w:hAnsi="宋体" w:cs="宋体"/>
          <w:kern w:val="0"/>
          <w:sz w:val="24"/>
          <w:lang w:val="zh-CN"/>
        </w:rPr>
        <w:t>具备承</w:t>
      </w:r>
      <w:r>
        <w:rPr>
          <w:rFonts w:hint="eastAsia" w:ascii="宋体" w:hAnsi="宋体" w:cs="宋体"/>
          <w:kern w:val="0"/>
          <w:sz w:val="24"/>
        </w:rPr>
        <w:t>担</w:t>
      </w:r>
      <w:r>
        <w:rPr>
          <w:rFonts w:hint="eastAsia" w:ascii="宋体" w:hAnsi="宋体" w:cs="宋体"/>
          <w:kern w:val="0"/>
          <w:sz w:val="24"/>
          <w:u w:val="single"/>
          <w:lang w:val="zh-CN"/>
        </w:rPr>
        <w:t>XX工作内容</w:t>
      </w:r>
      <w:r>
        <w:rPr>
          <w:rFonts w:hint="eastAsia" w:ascii="宋体" w:hAnsi="宋体" w:cs="宋体"/>
          <w:kern w:val="0"/>
          <w:sz w:val="24"/>
          <w:lang w:val="zh-CN"/>
        </w:rPr>
        <w:t>相应资质条件且不得再次分包；</w:t>
      </w:r>
    </w:p>
    <w:p>
      <w:pPr>
        <w:pStyle w:val="2"/>
        <w:ind w:left="664" w:leftChars="316" w:firstLine="229" w:firstLineChars="95"/>
        <w:rPr>
          <w:rFonts w:ascii="宋体" w:hAnsi="宋体" w:eastAsia="宋体" w:cs="宋体"/>
          <w:kern w:val="0"/>
          <w:sz w:val="24"/>
          <w:szCs w:val="24"/>
        </w:rPr>
      </w:pPr>
      <w:r>
        <w:rPr>
          <w:rFonts w:hint="eastAsia" w:ascii="宋体" w:hAnsi="宋体" w:eastAsia="宋体" w:cs="宋体"/>
          <w:kern w:val="0"/>
          <w:sz w:val="24"/>
          <w:szCs w:val="24"/>
        </w:rPr>
        <w:t>……</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二、分包供应商中小企业合同份额</w:t>
      </w:r>
    </w:p>
    <w:p>
      <w:pPr>
        <w:snapToGrid w:val="0"/>
        <w:spacing w:line="360" w:lineRule="auto"/>
        <w:ind w:firstLine="576"/>
        <w:rPr>
          <w:rFonts w:ascii="宋体" w:hAnsi="宋体" w:cs="宋体"/>
          <w:b/>
          <w:kern w:val="0"/>
          <w:sz w:val="24"/>
          <w:lang w:val="zh-CN"/>
        </w:rPr>
      </w:pPr>
      <w:r>
        <w:rPr>
          <w:rFonts w:ascii="宋体" w:hAnsi="宋体" w:cs="宋体"/>
          <w:kern w:val="0"/>
          <w:sz w:val="24"/>
        </w:rPr>
        <w:t>1、</w:t>
      </w:r>
      <w:r>
        <w:rPr>
          <w:rFonts w:hint="eastAsia" w:ascii="宋体" w:hAnsi="宋体" w:cs="宋体"/>
          <w:kern w:val="0"/>
          <w:sz w:val="24"/>
          <w:u w:val="single"/>
        </w:rPr>
        <w:t>（分包供应商X</w:t>
      </w:r>
      <w:r>
        <w:rPr>
          <w:rFonts w:ascii="宋体" w:hAnsi="宋体" w:cs="宋体"/>
          <w:kern w:val="0"/>
          <w:sz w:val="24"/>
          <w:u w:val="single"/>
        </w:rPr>
        <w:t>,</w:t>
      </w:r>
      <w:r>
        <w:rPr>
          <w:rFonts w:hint="eastAsia" w:ascii="宋体" w:hAnsi="宋体" w:cs="宋体"/>
          <w:kern w:val="0"/>
          <w:sz w:val="24"/>
          <w:u w:val="single"/>
        </w:rPr>
        <w:t>……）提供的货物全部由小微企业制造，</w:t>
      </w:r>
      <w:r>
        <w:rPr>
          <w:rFonts w:hint="eastAsia" w:ascii="宋体" w:hAnsi="宋体" w:cs="宋体"/>
          <w:kern w:val="0"/>
          <w:sz w:val="24"/>
        </w:rPr>
        <w:t>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rPr>
        <w:t>。</w:t>
      </w:r>
      <w:r>
        <w:rPr>
          <w:rFonts w:hint="eastAsia" w:ascii="宋体" w:hAnsi="宋体" w:cs="宋体"/>
          <w:b/>
          <w:kern w:val="0"/>
          <w:sz w:val="24"/>
          <w:lang w:val="zh-CN"/>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pPr>
        <w:spacing w:line="360" w:lineRule="auto"/>
        <w:ind w:firstLine="480" w:firstLineChars="200"/>
        <w:rPr>
          <w:rFonts w:ascii="宋体" w:hAnsi="宋体" w:cs="宋体"/>
          <w:b/>
          <w:bCs/>
          <w:kern w:val="0"/>
          <w:sz w:val="24"/>
          <w:lang w:val="zh-CN"/>
        </w:rPr>
      </w:pPr>
      <w:r>
        <w:rPr>
          <w:rFonts w:hint="eastAsia" w:ascii="宋体" w:hAnsi="宋体" w:cs="宋体"/>
          <w:sz w:val="24"/>
        </w:rPr>
        <w:t>2、</w:t>
      </w:r>
      <w:bookmarkStart w:id="541" w:name="_Hlk101133173"/>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要求合同分包形式参加的项目或采购包，供应商按招标文件第一部分招标公告申请人的资格要求中规定的</w:t>
      </w:r>
      <w:r>
        <w:rPr>
          <w:rFonts w:hint="eastAsia" w:ascii="宋体" w:hAnsi="宋体" w:cs="宋体"/>
          <w:b/>
          <w:kern w:val="0"/>
          <w:sz w:val="24"/>
          <w:lang w:val="zh-CN"/>
        </w:rPr>
        <w:t>分包意向协议</w:t>
      </w:r>
      <w:r>
        <w:rPr>
          <w:rFonts w:hint="eastAsia" w:ascii="宋体" w:hAnsi="宋体" w:cs="宋体"/>
          <w:b/>
          <w:bCs/>
          <w:sz w:val="24"/>
        </w:rPr>
        <w:t>中中小企业、其中小微企业合同金额应当达到的比例要求填写。</w:t>
      </w:r>
      <w:r>
        <w:rPr>
          <w:rFonts w:hint="eastAsia" w:ascii="宋体" w:hAnsi="宋体" w:cs="宋体"/>
          <w:b/>
          <w:bCs/>
          <w:kern w:val="0"/>
          <w:sz w:val="24"/>
          <w:lang w:val="zh-CN"/>
        </w:rPr>
        <w:t>）</w:t>
      </w:r>
      <w:bookmarkEnd w:id="541"/>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四、质量</w:t>
      </w:r>
    </w:p>
    <w:p>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五、价款或者报酬</w:t>
      </w:r>
    </w:p>
    <w:p>
      <w:pPr>
        <w:snapToGrid w:val="0"/>
        <w:spacing w:line="360" w:lineRule="auto"/>
        <w:ind w:left="573" w:leftChars="273"/>
        <w:rPr>
          <w:rFonts w:ascii="宋体" w:hAnsi="宋体" w:cs="宋体"/>
          <w:kern w:val="0"/>
          <w:sz w:val="24"/>
          <w:lang w:val="zh-CN"/>
        </w:rPr>
      </w:pPr>
      <w:r>
        <w:rPr>
          <w:rFonts w:hint="eastAsia" w:ascii="宋体" w:hAnsi="宋体" w:cs="宋体"/>
          <w:u w:val="single"/>
        </w:rPr>
        <w:t xml:space="preserve">                                                                                     </w:t>
      </w:r>
    </w:p>
    <w:p>
      <w:pPr>
        <w:snapToGrid w:val="0"/>
        <w:spacing w:line="360" w:lineRule="auto"/>
        <w:ind w:left="573" w:leftChars="273"/>
        <w:rPr>
          <w:rFonts w:ascii="宋体" w:hAnsi="宋体" w:cs="宋体"/>
          <w:kern w:val="0"/>
          <w:sz w:val="24"/>
          <w:lang w:val="zh-CN"/>
        </w:rPr>
      </w:pPr>
      <w:r>
        <w:rPr>
          <w:rFonts w:hint="eastAsia" w:ascii="宋体" w:hAnsi="宋体" w:cs="宋体"/>
          <w:kern w:val="0"/>
          <w:sz w:val="24"/>
          <w:lang w:val="zh-CN"/>
        </w:rPr>
        <w:t>六、违约责任</w:t>
      </w:r>
    </w:p>
    <w:p>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七、争议解决的办法</w:t>
      </w:r>
    </w:p>
    <w:p>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pPr>
        <w:snapToGrid w:val="0"/>
        <w:spacing w:line="360" w:lineRule="auto"/>
        <w:ind w:left="5758" w:leftChars="342" w:hanging="5040" w:hangingChars="2100"/>
        <w:rPr>
          <w:rFonts w:ascii="宋体" w:hAnsi="宋体" w:cs="宋体"/>
          <w:kern w:val="0"/>
          <w:sz w:val="24"/>
          <w:lang w:val="zh-CN"/>
        </w:rPr>
      </w:pPr>
      <w:r>
        <w:rPr>
          <w:rFonts w:hint="eastAsia" w:ascii="宋体" w:hAnsi="宋体" w:cs="宋体"/>
          <w:kern w:val="0"/>
          <w:sz w:val="24"/>
          <w:lang w:val="zh-CN"/>
        </w:rPr>
        <w:t xml:space="preserve">                                          投标人名称(电子签名)：</w:t>
      </w:r>
    </w:p>
    <w:p>
      <w:pPr>
        <w:snapToGrid w:val="0"/>
        <w:spacing w:line="360" w:lineRule="auto"/>
        <w:jc w:val="right"/>
        <w:rPr>
          <w:rFonts w:ascii="宋体" w:hAnsi="宋体" w:cs="宋体"/>
          <w:kern w:val="0"/>
          <w:sz w:val="24"/>
          <w:lang w:val="zh-CN"/>
        </w:rPr>
      </w:pPr>
      <w:r>
        <w:rPr>
          <w:rFonts w:hint="eastAsia" w:ascii="宋体" w:hAnsi="宋体" w:cs="宋体"/>
          <w:kern w:val="0"/>
          <w:sz w:val="24"/>
          <w:lang w:val="zh-CN"/>
        </w:rPr>
        <w:t>分包供应商名称(电子签名/公章)：</w:t>
      </w:r>
    </w:p>
    <w:p>
      <w:pPr>
        <w:snapToGrid w:val="0"/>
        <w:spacing w:line="360" w:lineRule="auto"/>
        <w:ind w:firstLine="5760" w:firstLineChars="2400"/>
        <w:rPr>
          <w:rFonts w:ascii="宋体" w:hAnsi="宋体" w:cs="宋体"/>
        </w:rPr>
      </w:pPr>
      <w:r>
        <w:rPr>
          <w:rFonts w:hint="eastAsia" w:ascii="宋体" w:hAnsi="宋体" w:cs="宋体"/>
          <w:kern w:val="0"/>
          <w:sz w:val="24"/>
          <w:lang w:val="zh-CN"/>
        </w:rPr>
        <w:t>……</w:t>
      </w:r>
    </w:p>
    <w:p>
      <w:pPr>
        <w:spacing w:line="360" w:lineRule="auto"/>
        <w:jc w:val="center"/>
        <w:rPr>
          <w:rFonts w:ascii="宋体" w:hAnsi="宋体" w:cs="宋体"/>
          <w:kern w:val="0"/>
          <w:sz w:val="24"/>
          <w:lang w:val="zh-CN"/>
        </w:rPr>
      </w:pPr>
      <w:r>
        <w:rPr>
          <w:rFonts w:hint="eastAsia" w:ascii="宋体" w:hAnsi="宋体" w:cs="宋体"/>
          <w:kern w:val="0"/>
          <w:sz w:val="24"/>
          <w:lang w:val="zh-CN"/>
        </w:rPr>
        <w:t xml:space="preserve">                                        日期：  年  月   日</w:t>
      </w:r>
    </w:p>
    <w:p>
      <w:pPr>
        <w:spacing w:line="360" w:lineRule="auto"/>
        <w:ind w:right="420"/>
        <w:rPr>
          <w:rFonts w:ascii="宋体" w:hAnsi="宋体" w:cs="宋体"/>
          <w:sz w:val="24"/>
        </w:rPr>
      </w:pPr>
      <w:r>
        <w:rPr>
          <w:rFonts w:hint="eastAsia" w:ascii="宋体" w:hAnsi="宋体" w:cs="宋体"/>
          <w:sz w:val="24"/>
        </w:rPr>
        <w:t>注：按本格式和要求提供。</w:t>
      </w: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autoSpaceDE w:val="0"/>
        <w:autoSpaceDN w:val="0"/>
        <w:jc w:val="center"/>
        <w:rPr>
          <w:rFonts w:ascii="宋体" w:hAnsi="宋体" w:cs="宋体"/>
          <w:b/>
          <w:spacing w:val="6"/>
          <w:sz w:val="32"/>
          <w:szCs w:val="32"/>
        </w:rPr>
      </w:pPr>
    </w:p>
    <w:p>
      <w:pPr>
        <w:widowControl/>
        <w:adjustRightInd/>
        <w:jc w:val="left"/>
        <w:rPr>
          <w:rFonts w:ascii="宋体" w:hAnsi="宋体" w:cs="宋体"/>
          <w:b/>
          <w:kern w:val="0"/>
          <w:sz w:val="32"/>
          <w:szCs w:val="32"/>
        </w:rPr>
      </w:pPr>
      <w:r>
        <w:rPr>
          <w:rFonts w:ascii="宋体" w:hAnsi="宋体" w:cs="宋体"/>
          <w:b/>
          <w:kern w:val="0"/>
          <w:sz w:val="32"/>
          <w:szCs w:val="32"/>
        </w:rPr>
        <w:br w:type="page"/>
      </w:r>
    </w:p>
    <w:p>
      <w:pPr>
        <w:snapToGrid w:val="0"/>
        <w:spacing w:line="360" w:lineRule="auto"/>
        <w:outlineLvl w:val="0"/>
        <w:rPr>
          <w:rFonts w:ascii="宋体" w:hAnsi="宋体" w:cs="宋体"/>
          <w:b/>
          <w:kern w:val="0"/>
          <w:sz w:val="44"/>
          <w:szCs w:val="44"/>
        </w:rPr>
      </w:pPr>
      <w:r>
        <w:rPr>
          <w:rFonts w:hint="eastAsia" w:ascii="宋体" w:hAnsi="宋体" w:cs="宋体"/>
          <w:b/>
          <w:kern w:val="0"/>
          <w:sz w:val="44"/>
          <w:szCs w:val="44"/>
        </w:rPr>
        <w:t>附件</w:t>
      </w:r>
      <w:r>
        <w:rPr>
          <w:rFonts w:ascii="宋体" w:hAnsi="宋体" w:cs="宋体"/>
          <w:b/>
          <w:kern w:val="0"/>
          <w:sz w:val="44"/>
          <w:szCs w:val="44"/>
        </w:rPr>
        <w:t>7</w:t>
      </w:r>
      <w:r>
        <w:rPr>
          <w:rFonts w:hint="eastAsia" w:ascii="宋体" w:hAnsi="宋体" w:cs="宋体"/>
          <w:b/>
          <w:kern w:val="0"/>
          <w:sz w:val="44"/>
          <w:szCs w:val="44"/>
        </w:rPr>
        <w:t>：中小企业声明函</w:t>
      </w:r>
    </w:p>
    <w:p>
      <w:pPr>
        <w:spacing w:line="360" w:lineRule="auto"/>
        <w:jc w:val="center"/>
        <w:rPr>
          <w:rFonts w:ascii="宋体" w:hAnsi="宋体" w:cs="宋体"/>
          <w:sz w:val="24"/>
          <w:u w:val="single"/>
        </w:rPr>
      </w:pPr>
    </w:p>
    <w:p>
      <w:pPr>
        <w:spacing w:line="360" w:lineRule="auto"/>
        <w:jc w:val="center"/>
        <w:rPr>
          <w:rFonts w:ascii="宋体" w:hAnsi="宋体" w:cs="宋体"/>
          <w:b/>
          <w:sz w:val="32"/>
          <w:szCs w:val="32"/>
        </w:rPr>
      </w:pPr>
      <w:r>
        <w:rPr>
          <w:rFonts w:hint="eastAsia" w:ascii="宋体" w:hAnsi="宋体" w:cs="宋体"/>
          <w:b/>
          <w:sz w:val="32"/>
          <w:szCs w:val="32"/>
        </w:rPr>
        <w:t>中小企业声明函（货物）</w:t>
      </w:r>
    </w:p>
    <w:p>
      <w:pPr>
        <w:spacing w:line="360" w:lineRule="auto"/>
        <w:ind w:firstLine="480" w:firstLineChars="200"/>
        <w:rPr>
          <w:rFonts w:ascii="宋体" w:hAnsi="宋体" w:cs="宋体"/>
          <w:sz w:val="24"/>
        </w:rPr>
      </w:pPr>
      <w:r>
        <w:rPr>
          <w:rFonts w:hint="eastAsia" w:ascii="宋体" w:hAnsi="宋体" w:cs="宋体"/>
          <w:sz w:val="24"/>
        </w:rPr>
        <w:t xml:space="preserve">本公司（联合体）郑重声明，根据《政府采购促进中小企业发展管理办法》（财库﹝2020﹞46 号）的规定，本公司（联合体）参加 </w:t>
      </w:r>
      <w:r>
        <w:rPr>
          <w:rFonts w:hint="eastAsia" w:ascii="宋体" w:hAnsi="宋体" w:cs="宋体"/>
          <w:sz w:val="24"/>
          <w:u w:val="single"/>
          <w:lang w:eastAsia="zh-CN"/>
        </w:rPr>
        <w:t>杭州市转塘小学</w:t>
      </w:r>
      <w:r>
        <w:rPr>
          <w:rFonts w:hint="eastAsia" w:ascii="宋体" w:hAnsi="宋体" w:cs="宋体"/>
          <w:sz w:val="24"/>
          <w:u w:val="single"/>
        </w:rPr>
        <w:t xml:space="preserve"> </w:t>
      </w:r>
      <w:r>
        <w:rPr>
          <w:rFonts w:hint="eastAsia" w:ascii="宋体" w:hAnsi="宋体" w:cs="宋体"/>
          <w:sz w:val="24"/>
        </w:rPr>
        <w:t xml:space="preserve">的 </w:t>
      </w:r>
      <w:r>
        <w:rPr>
          <w:rFonts w:hint="eastAsia" w:ascii="宋体" w:hAnsi="宋体" w:cs="宋体"/>
          <w:sz w:val="24"/>
          <w:u w:val="single"/>
          <w:lang w:eastAsia="zh-CN"/>
        </w:rPr>
        <w:t>杭州市转塘小学（浮山新建校）电子显示屏采购项目</w:t>
      </w:r>
      <w:r>
        <w:rPr>
          <w:rFonts w:hint="eastAsia" w:ascii="宋体" w:hAnsi="宋体" w:cs="宋体"/>
          <w:sz w:val="24"/>
        </w:rPr>
        <w:t xml:space="preserve"> 采购活动，提供的货物全部由符合政策要求的中小企业制造。相关企业（含联合体中的中小企业、签订分包意向协议的中小企业）的具体情况如下：</w:t>
      </w:r>
    </w:p>
    <w:p>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rPr>
        <w:t xml:space="preserve"> </w:t>
      </w:r>
      <w:r>
        <w:rPr>
          <w:rFonts w:hint="eastAsia" w:ascii="宋体" w:hAnsi="宋体" w:cs="宋体"/>
          <w:sz w:val="24"/>
          <w:u w:val="single"/>
        </w:rPr>
        <w:t>（标的名称）</w:t>
      </w:r>
      <w:r>
        <w:rPr>
          <w:rFonts w:hint="eastAsia" w:ascii="宋体" w:hAnsi="宋体" w:cs="宋体"/>
          <w:sz w:val="24"/>
        </w:rPr>
        <w:t xml:space="preserve"> ，属于 </w:t>
      </w:r>
      <w:r>
        <w:rPr>
          <w:rFonts w:hint="eastAsia" w:ascii="宋体" w:hAnsi="宋体" w:cs="宋体"/>
          <w:sz w:val="24"/>
          <w:u w:val="single"/>
        </w:rPr>
        <w:t>（采购文件中明确的所属行业）</w:t>
      </w:r>
      <w:r>
        <w:rPr>
          <w:rFonts w:hint="eastAsia" w:ascii="宋体" w:hAnsi="宋体" w:cs="宋体"/>
          <w:sz w:val="24"/>
        </w:rPr>
        <w:t>行业 ；制造商为</w:t>
      </w:r>
      <w:r>
        <w:rPr>
          <w:rFonts w:hint="eastAsia" w:ascii="宋体" w:hAnsi="宋体" w:cs="宋体"/>
          <w:sz w:val="24"/>
          <w:u w:val="single"/>
        </w:rPr>
        <w:t xml:space="preserve"> （企业名称）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w:t>
      </w:r>
      <w:r>
        <w:rPr>
          <w:rFonts w:hint="eastAsia" w:ascii="宋体" w:hAnsi="宋体" w:cs="宋体"/>
          <w:color w:val="auto"/>
          <w:sz w:val="24"/>
          <w:u w:val="single"/>
        </w:rPr>
        <w:t>（</w:t>
      </w:r>
      <w:sdt>
        <w:sdtPr>
          <w:rPr>
            <w:rFonts w:hint="eastAsia" w:ascii="宋体" w:hAnsi="宋体" w:cs="宋体"/>
            <w:color w:val="auto"/>
            <w:kern w:val="0"/>
            <w:sz w:val="24"/>
          </w:rPr>
          <w:id w:val="-1024704304"/>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Gothic" w:hAnsi="MS Gothic" w:eastAsia="MS Gothic" w:cs="宋体"/>
              <w:color w:val="auto"/>
              <w:kern w:val="0"/>
              <w:sz w:val="24"/>
              <w:szCs w:val="24"/>
              <w:lang w:val="en-US" w:eastAsia="zh-CN" w:bidi="ar-SA"/>
            </w:rPr>
            <w:t>☐</w:t>
          </w:r>
        </w:sdtContent>
      </w:sdt>
      <w:r>
        <w:rPr>
          <w:rFonts w:hint="eastAsia" w:ascii="宋体" w:hAnsi="宋体" w:cs="宋体"/>
          <w:color w:val="auto"/>
          <w:sz w:val="24"/>
          <w:u w:val="single"/>
        </w:rPr>
        <w:t>中型企业、</w:t>
      </w:r>
      <w:sdt>
        <w:sdtPr>
          <w:rPr>
            <w:rFonts w:hint="eastAsia" w:ascii="宋体" w:hAnsi="宋体" w:cs="宋体"/>
            <w:color w:val="auto"/>
            <w:kern w:val="0"/>
            <w:sz w:val="24"/>
          </w:rPr>
          <w:id w:val="-1024704304"/>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Gothic" w:hAnsi="MS Gothic" w:eastAsia="MS Gothic" w:cs="宋体"/>
              <w:color w:val="auto"/>
              <w:kern w:val="0"/>
              <w:sz w:val="24"/>
              <w:szCs w:val="24"/>
              <w:lang w:val="en-US" w:eastAsia="zh-CN" w:bidi="ar-SA"/>
            </w:rPr>
            <w:t>☐</w:t>
          </w:r>
        </w:sdtContent>
      </w:sdt>
      <w:r>
        <w:rPr>
          <w:rFonts w:hint="eastAsia" w:ascii="宋体" w:hAnsi="宋体" w:cs="宋体"/>
          <w:color w:val="auto"/>
          <w:sz w:val="24"/>
          <w:u w:val="single"/>
        </w:rPr>
        <w:t>小型企业、</w:t>
      </w:r>
      <w:sdt>
        <w:sdtPr>
          <w:rPr>
            <w:rFonts w:hint="eastAsia" w:ascii="宋体" w:hAnsi="宋体" w:cs="宋体"/>
            <w:color w:val="auto"/>
            <w:kern w:val="0"/>
            <w:sz w:val="24"/>
          </w:rPr>
          <w:id w:val="-1024704304"/>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Gothic" w:hAnsi="MS Gothic" w:eastAsia="MS Gothic" w:cs="宋体"/>
              <w:color w:val="auto"/>
              <w:kern w:val="0"/>
              <w:sz w:val="24"/>
              <w:szCs w:val="24"/>
              <w:lang w:val="en-US" w:eastAsia="zh-CN" w:bidi="ar-SA"/>
            </w:rPr>
            <w:t>☐</w:t>
          </w:r>
        </w:sdtContent>
      </w:sdt>
      <w:r>
        <w:rPr>
          <w:rFonts w:hint="eastAsia" w:ascii="宋体" w:hAnsi="宋体" w:cs="宋体"/>
          <w:color w:val="auto"/>
          <w:sz w:val="24"/>
          <w:u w:val="single"/>
        </w:rPr>
        <w:t>微型企业）</w:t>
      </w:r>
      <w:r>
        <w:rPr>
          <w:rFonts w:hint="eastAsia" w:ascii="宋体" w:hAnsi="宋体" w:cs="宋体"/>
          <w:sz w:val="24"/>
        </w:rPr>
        <w:t xml:space="preserve"> ；</w:t>
      </w:r>
    </w:p>
    <w:p>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rPr>
        <w:t xml:space="preserve"> </w:t>
      </w:r>
      <w:r>
        <w:rPr>
          <w:rFonts w:hint="eastAsia" w:ascii="宋体" w:hAnsi="宋体" w:cs="宋体"/>
          <w:sz w:val="24"/>
          <w:u w:val="single"/>
        </w:rPr>
        <w:t>（标的名称）</w:t>
      </w:r>
      <w:r>
        <w:rPr>
          <w:rFonts w:hint="eastAsia" w:ascii="宋体" w:hAnsi="宋体" w:cs="宋体"/>
          <w:sz w:val="24"/>
        </w:rPr>
        <w:t xml:space="preserve"> ，属于 </w:t>
      </w:r>
      <w:r>
        <w:rPr>
          <w:rFonts w:hint="eastAsia" w:ascii="宋体" w:hAnsi="宋体" w:cs="宋体"/>
          <w:sz w:val="24"/>
          <w:u w:val="single"/>
        </w:rPr>
        <w:t>（采购文件中明确的所属行业）</w:t>
      </w:r>
      <w:r>
        <w:rPr>
          <w:rFonts w:hint="eastAsia" w:ascii="宋体" w:hAnsi="宋体" w:cs="宋体"/>
          <w:sz w:val="24"/>
        </w:rPr>
        <w:t>行业 ；制造商为</w:t>
      </w:r>
      <w:r>
        <w:rPr>
          <w:rFonts w:hint="eastAsia" w:ascii="宋体" w:hAnsi="宋体" w:cs="宋体"/>
          <w:sz w:val="24"/>
          <w:u w:val="single"/>
        </w:rPr>
        <w:t xml:space="preserve"> （企业名称）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w:t>
      </w:r>
      <w:r>
        <w:rPr>
          <w:rFonts w:hint="eastAsia" w:ascii="宋体" w:hAnsi="宋体" w:cs="宋体"/>
          <w:color w:val="auto"/>
          <w:sz w:val="24"/>
          <w:u w:val="single"/>
        </w:rPr>
        <w:t>（</w:t>
      </w:r>
      <w:sdt>
        <w:sdtPr>
          <w:rPr>
            <w:rFonts w:hint="eastAsia" w:ascii="宋体" w:hAnsi="宋体" w:cs="宋体"/>
            <w:color w:val="auto"/>
            <w:kern w:val="0"/>
            <w:sz w:val="24"/>
          </w:rPr>
          <w:id w:val="-1024704304"/>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Gothic" w:hAnsi="MS Gothic" w:eastAsia="MS Gothic" w:cs="宋体"/>
              <w:color w:val="auto"/>
              <w:kern w:val="0"/>
              <w:sz w:val="24"/>
              <w:szCs w:val="24"/>
              <w:lang w:val="en-US" w:eastAsia="zh-CN" w:bidi="ar-SA"/>
            </w:rPr>
            <w:t>☐</w:t>
          </w:r>
        </w:sdtContent>
      </w:sdt>
      <w:r>
        <w:rPr>
          <w:rFonts w:hint="eastAsia" w:ascii="宋体" w:hAnsi="宋体" w:cs="宋体"/>
          <w:color w:val="auto"/>
          <w:sz w:val="24"/>
          <w:u w:val="single"/>
        </w:rPr>
        <w:t>中型企业、</w:t>
      </w:r>
      <w:sdt>
        <w:sdtPr>
          <w:rPr>
            <w:rFonts w:hint="eastAsia" w:ascii="宋体" w:hAnsi="宋体" w:cs="宋体"/>
            <w:color w:val="auto"/>
            <w:kern w:val="0"/>
            <w:sz w:val="24"/>
          </w:rPr>
          <w:id w:val="-1024704304"/>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Gothic" w:hAnsi="MS Gothic" w:eastAsia="MS Gothic" w:cs="宋体"/>
              <w:color w:val="auto"/>
              <w:kern w:val="0"/>
              <w:sz w:val="24"/>
              <w:szCs w:val="24"/>
              <w:lang w:val="en-US" w:eastAsia="zh-CN" w:bidi="ar-SA"/>
            </w:rPr>
            <w:t>☐</w:t>
          </w:r>
        </w:sdtContent>
      </w:sdt>
      <w:r>
        <w:rPr>
          <w:rFonts w:hint="eastAsia" w:ascii="宋体" w:hAnsi="宋体" w:cs="宋体"/>
          <w:color w:val="auto"/>
          <w:sz w:val="24"/>
          <w:u w:val="single"/>
        </w:rPr>
        <w:t>小型企业、</w:t>
      </w:r>
      <w:sdt>
        <w:sdtPr>
          <w:rPr>
            <w:rFonts w:hint="eastAsia" w:ascii="宋体" w:hAnsi="宋体" w:cs="宋体"/>
            <w:color w:val="auto"/>
            <w:kern w:val="0"/>
            <w:sz w:val="24"/>
          </w:rPr>
          <w:id w:val="-1024704304"/>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Gothic" w:hAnsi="MS Gothic" w:eastAsia="MS Gothic" w:cs="宋体"/>
              <w:color w:val="auto"/>
              <w:kern w:val="0"/>
              <w:sz w:val="24"/>
              <w:szCs w:val="24"/>
              <w:lang w:val="en-US" w:eastAsia="zh-CN" w:bidi="ar-SA"/>
            </w:rPr>
            <w:t>☐</w:t>
          </w:r>
        </w:sdtContent>
      </w:sdt>
      <w:r>
        <w:rPr>
          <w:rFonts w:hint="eastAsia" w:ascii="宋体" w:hAnsi="宋体" w:cs="宋体"/>
          <w:color w:val="auto"/>
          <w:sz w:val="24"/>
          <w:u w:val="single"/>
        </w:rPr>
        <w:t>微型企业）</w:t>
      </w:r>
      <w:r>
        <w:rPr>
          <w:rFonts w:hint="eastAsia" w:ascii="宋体" w:hAnsi="宋体" w:cs="宋体"/>
          <w:sz w:val="24"/>
        </w:rPr>
        <w:t xml:space="preserve"> ；</w:t>
      </w:r>
    </w:p>
    <w:p>
      <w:pPr>
        <w:spacing w:line="360" w:lineRule="auto"/>
        <w:ind w:firstLine="480" w:firstLineChars="200"/>
        <w:rPr>
          <w:rFonts w:ascii="宋体" w:hAnsi="宋体" w:cs="宋体"/>
          <w:sz w:val="24"/>
        </w:rPr>
      </w:pP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s="宋体"/>
          <w:sz w:val="24"/>
        </w:rPr>
      </w:pPr>
      <w:r>
        <w:rPr>
          <w:rFonts w:hint="eastAsia" w:ascii="宋体" w:hAnsi="宋体" w:cs="宋体"/>
          <w:sz w:val="24"/>
        </w:rPr>
        <w:t>本企业对上述声明内容的真实性负责。如有虚假，将依法承担相应责任。</w:t>
      </w:r>
    </w:p>
    <w:p>
      <w:pPr>
        <w:snapToGrid w:val="0"/>
        <w:spacing w:line="360" w:lineRule="auto"/>
        <w:ind w:firstLine="5160" w:firstLineChars="2150"/>
        <w:rPr>
          <w:rFonts w:ascii="宋体" w:hAnsi="宋体" w:cs="宋体"/>
          <w:kern w:val="0"/>
          <w:sz w:val="24"/>
        </w:rPr>
      </w:pPr>
      <w:r>
        <w:rPr>
          <w:rFonts w:hint="eastAsia" w:ascii="宋体" w:hAnsi="宋体" w:cs="宋体"/>
          <w:kern w:val="0"/>
          <w:sz w:val="24"/>
          <w:lang w:val="zh-CN"/>
        </w:rPr>
        <w:t>投标人名称(电子签名)：</w:t>
      </w:r>
    </w:p>
    <w:p>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spacing w:line="360" w:lineRule="auto"/>
        <w:jc w:val="left"/>
        <w:rPr>
          <w:rFonts w:ascii="宋体" w:hAnsi="宋体" w:cs="宋体"/>
          <w:sz w:val="18"/>
          <w:szCs w:val="18"/>
        </w:rPr>
      </w:pPr>
      <w:r>
        <w:rPr>
          <w:rFonts w:hint="eastAsia" w:ascii="宋体" w:hAnsi="宋体" w:cs="宋体"/>
          <w:sz w:val="18"/>
          <w:szCs w:val="18"/>
        </w:rPr>
        <w:t>从业人员、营业收入、资产总额填报上一年度数据，无上一年度数据的新成立企业可不填报。</w:t>
      </w:r>
    </w:p>
    <w:p>
      <w:pPr>
        <w:spacing w:line="360" w:lineRule="auto"/>
        <w:ind w:right="420" w:firstLine="480" w:firstLineChars="200"/>
        <w:rPr>
          <w:rFonts w:ascii="宋体" w:hAnsi="宋体" w:cs="宋体"/>
          <w:sz w:val="24"/>
        </w:rPr>
      </w:pPr>
      <w:r>
        <w:rPr>
          <w:rFonts w:hint="eastAsia" w:ascii="宋体" w:hAnsi="宋体" w:cs="宋体"/>
          <w:sz w:val="24"/>
        </w:rPr>
        <w:t>注：</w:t>
      </w:r>
    </w:p>
    <w:p>
      <w:pPr>
        <w:spacing w:line="360" w:lineRule="auto"/>
        <w:ind w:right="420" w:firstLine="480" w:firstLineChars="200"/>
        <w:rPr>
          <w:rFonts w:ascii="宋体" w:hAnsi="宋体" w:cs="宋体"/>
          <w:b/>
          <w:bCs/>
          <w:sz w:val="24"/>
        </w:rPr>
      </w:pPr>
      <w:r>
        <w:rPr>
          <w:rFonts w:hint="eastAsia" w:ascii="宋体" w:hAnsi="宋体" w:cs="宋体"/>
          <w:sz w:val="24"/>
        </w:rPr>
        <w:t>1、填写要求：①“标的名称”、“采购文件中明确的所属行业”依据招标文件第二部分投标人须知前附表中“采购标的及其对应的中小企业划分标准所属行业”的指引，</w:t>
      </w:r>
      <w:r>
        <w:rPr>
          <w:rFonts w:hint="eastAsia" w:ascii="宋体" w:hAnsi="宋体" w:cs="宋体"/>
          <w:b/>
          <w:bCs/>
          <w:sz w:val="24"/>
        </w:rPr>
        <w:t>逐一填写，不得缺漏；</w:t>
      </w:r>
      <w:r>
        <w:rPr>
          <w:rFonts w:hint="eastAsia" w:ascii="宋体" w:hAnsi="宋体" w:cs="宋体"/>
          <w:sz w:val="24"/>
        </w:rPr>
        <w:t>②从业人员、营业收入、资产总额填报上一年度数据，无上一年度数据的新成立企业可不填报；③中型企业、小型企业、微型企业等3种企业类型，结合以上数据，依据《中小企业划型标准规定》（工信部联企业〔2011〕300号）</w:t>
      </w:r>
      <w:r>
        <w:rPr>
          <w:rFonts w:hint="eastAsia" w:ascii="宋体" w:hAnsi="宋体" w:cs="宋体"/>
          <w:b/>
          <w:bCs/>
          <w:sz w:val="24"/>
        </w:rPr>
        <w:t>确定；④投标人提供的《中小企业声明函》与实际情况不符的或者未按以上要求填写的，中小企业声明函无效，不享受中小企业扶持政策。声明内容不实的，属于提供虚假材料谋取中标、成交的，依法承担法律责任。</w:t>
      </w:r>
    </w:p>
    <w:p>
      <w:pPr>
        <w:spacing w:line="360" w:lineRule="auto"/>
        <w:ind w:right="420" w:firstLine="480" w:firstLineChars="200"/>
        <w:rPr>
          <w:rFonts w:ascii="宋体" w:hAnsi="宋体" w:cs="宋体"/>
          <w:sz w:val="24"/>
        </w:rPr>
      </w:pPr>
      <w:r>
        <w:rPr>
          <w:rFonts w:hint="eastAsia" w:ascii="宋体" w:hAnsi="宋体" w:cs="宋体"/>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rPr>
          <w:rFonts w:ascii="宋体" w:hAnsi="宋体" w:cs="宋体"/>
          <w:bCs/>
          <w:sz w:val="24"/>
        </w:rPr>
      </w:pPr>
    </w:p>
    <w:sectPr>
      <w:headerReference r:id="rId25" w:type="first"/>
      <w:footerReference r:id="rId28" w:type="first"/>
      <w:headerReference r:id="rId24" w:type="default"/>
      <w:footerReference r:id="rId26" w:type="default"/>
      <w:footerReference r:id="rId27"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Futura Bk">
    <w:altName w:val="Segoe Print"/>
    <w:panose1 w:val="00000000000000000000"/>
    <w:charset w:val="00"/>
    <w:family w:val="decorative"/>
    <w:pitch w:val="default"/>
    <w:sig w:usb0="00000000" w:usb1="00000000" w:usb2="00000000" w:usb3="00000000" w:csb0="0000001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decorative"/>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moder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decorative"/>
    <w:pitch w:val="default"/>
    <w:sig w:usb0="00000000" w:usb1="00000000" w:usb2="00000010" w:usb3="00000000" w:csb0="00040000" w:csb1="00000000"/>
  </w:font>
  <w:font w:name="Arial (W1)">
    <w:altName w:val="Arial"/>
    <w:panose1 w:val="00000000000000000000"/>
    <w:charset w:val="00"/>
    <w:family w:val="decorative"/>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swiss"/>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decorative"/>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altName w:val="Yu Gothic UI"/>
    <w:panose1 w:val="020B0502020202020204"/>
    <w:charset w:val="00"/>
    <w:family w:val="swiss"/>
    <w:pitch w:val="default"/>
    <w:sig w:usb0="00000000" w:usb1="00000000" w:usb2="00000000" w:usb3="00000000" w:csb0="2000009F" w:csb1="DFD70000"/>
  </w:font>
  <w:font w:name="Aldine401 BT">
    <w:altName w:val="Segoe Print"/>
    <w:panose1 w:val="00000000000000000000"/>
    <w:charset w:val="00"/>
    <w:family w:val="modern"/>
    <w:pitch w:val="default"/>
    <w:sig w:usb0="00000000" w:usb1="00000000" w:usb2="00000000" w:usb3="00000000" w:csb0="00000011" w:csb1="00000000"/>
  </w:font>
  <w:font w:name=".PingFang SC">
    <w:altName w:val="微软雅黑"/>
    <w:panose1 w:val="00000000000000000000"/>
    <w:charset w:val="00"/>
    <w:family w:val="swiss"/>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88</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75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88</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73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88</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88</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right" w:y="1"/>
      <w:rPr>
        <w:rStyle w:val="72"/>
      </w:rPr>
    </w:pPr>
    <w:r>
      <w:fldChar w:fldCharType="begin"/>
    </w:r>
    <w:r>
      <w:rPr>
        <w:rStyle w:val="72"/>
      </w:rPr>
      <w:instrText xml:space="preserve">PAGE  </w:instrText>
    </w:r>
    <w:r>
      <w:fldChar w:fldCharType="end"/>
    </w:r>
  </w:p>
  <w:p>
    <w:pPr>
      <w:pStyle w:val="40"/>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76</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88</w:t>
    </w:r>
    <w:r>
      <w:rPr>
        <w:rFonts w:hint="eastAsia" w:ascii="仿宋_GB2312" w:eastAsia="仿宋_GB2312"/>
        <w:kern w:val="0"/>
        <w:szCs w:val="21"/>
      </w:rPr>
      <w:fldChar w:fldCharType="end"/>
    </w:r>
    <w:bookmarkStart w:id="542" w:name="_Toc131845147"/>
    <w:bookmarkStart w:id="543" w:name="_Toc91899912"/>
    <w:bookmarkStart w:id="544" w:name="_Toc164085800"/>
    <w:bookmarkStart w:id="545" w:name="_Toc36110187"/>
    <w:r>
      <w:rPr>
        <w:rFonts w:hint="eastAsia" w:ascii="仿宋_GB2312" w:eastAsia="仿宋_GB2312"/>
        <w:kern w:val="0"/>
        <w:szCs w:val="21"/>
      </w:rPr>
      <w:t xml:space="preserve"> 页</w:t>
    </w:r>
    <w:bookmarkEnd w:id="542"/>
    <w:bookmarkEnd w:id="543"/>
    <w:bookmarkEnd w:id="544"/>
    <w:bookmarkEnd w:id="54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right" w:y="1"/>
      <w:rPr>
        <w:rStyle w:val="72"/>
      </w:rPr>
    </w:pPr>
    <w:r>
      <w:fldChar w:fldCharType="begin"/>
    </w:r>
    <w:r>
      <w:rPr>
        <w:rStyle w:val="72"/>
      </w:rPr>
      <w:instrText xml:space="preserve">PAGE  </w:instrText>
    </w:r>
    <w:r>
      <w:fldChar w:fldCharType="end"/>
    </w:r>
  </w:p>
  <w:p>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88</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84</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84</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88</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88</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88</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70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88</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Bdr>
        <w:bottom w:val="single" w:color="auto" w:sz="6" w:space="4"/>
      </w:pBdr>
      <w:jc w:val="right"/>
    </w:pPr>
    <w:r>
      <w:t></w:t>
    </w:r>
    <w:r>
      <w:rPr>
        <w:rFonts w:hint="eastAsia"/>
      </w:rPr>
      <w:t xml:space="preserve">             西湖区</w:t>
    </w:r>
    <w:r>
      <w:t>政府采购公开招标文件</w:t>
    </w:r>
  </w:p>
  <w:p>
    <w:pPr>
      <w:pStyle w:val="59"/>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right"/>
    </w:pPr>
    <w:r>
      <w:rPr>
        <w:rFonts w:hint="eastAsia"/>
      </w:rPr>
      <w:t xml:space="preserve">                                                                                                        西湖区</w:t>
    </w:r>
    <w:r>
      <w:t>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right"/>
      <w:rPr>
        <w:rFonts w:ascii="仿宋_GB2312" w:eastAsia="仿宋_GB2312"/>
        <w:b/>
        <w:i/>
        <w:iCs/>
        <w:u w:val="single"/>
      </w:rPr>
    </w:pPr>
    <w:r>
      <w:t></w:t>
    </w:r>
    <w:r>
      <w:rPr>
        <w:rFonts w:hint="eastAsia"/>
      </w:rPr>
      <w:t>西湖区</w:t>
    </w:r>
    <w:r>
      <w:t>政府采购公开招标文件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t></w:t>
    </w:r>
    <w:r>
      <w:rPr>
        <w:rFonts w:hint="eastAsia"/>
      </w:rPr>
      <w:t xml:space="preserve">                                             西湖区</w:t>
    </w:r>
    <w:r>
      <w:t>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rFonts w:hint="eastAsia"/>
      </w:rPr>
      <w:t>西湖区</w:t>
    </w:r>
    <w:r>
      <w:rPr>
        <w:lang w:val="zh-CN"/>
      </w:rPr>
      <w:t>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right"/>
      <w:rPr>
        <w:rFonts w:hint="eastAsia" w:ascii="仿宋_GB2312"/>
        <w:b/>
        <w:i/>
        <w:u w:val="single"/>
      </w:rPr>
    </w:pPr>
    <w:r>
      <w:t></w:t>
    </w:r>
    <w:r>
      <w:rPr>
        <w:rFonts w:hint="eastAsia"/>
      </w:rPr>
      <w:t xml:space="preserve">                                               西湖区政府采购公开招标文件</w:t>
    </w:r>
  </w:p>
  <w:p>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pPr>
    <w:r>
      <w:rPr>
        <w:rFonts w:hint="eastAsia"/>
      </w:rPr>
      <w:t xml:space="preserve">       </w:t>
    </w:r>
  </w:p>
  <w:p>
    <w:pPr>
      <w:pStyle w:val="41"/>
      <w:rPr>
        <w:rFonts w:hint="eastAsia"/>
      </w:rPr>
    </w:pPr>
    <w:r>
      <w:rPr>
        <w:rFonts w:hint="eastAsia"/>
      </w:rPr>
      <w:t xml:space="preserve">                                                                  西湖区政府采购公开招标文件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right"/>
      <w:rPr>
        <w:rFonts w:ascii="仿宋_GB2312" w:eastAsia="仿宋_GB2312"/>
        <w:b/>
        <w:i/>
        <w:u w:val="single"/>
      </w:rPr>
    </w:pPr>
    <w:r>
      <w:t></w:t>
    </w:r>
    <w:r>
      <w:rPr>
        <w:rFonts w:hint="eastAsia"/>
      </w:rPr>
      <w:t xml:space="preserve">                                西湖区</w:t>
    </w:r>
    <w:r>
      <w:t>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t></w:t>
    </w:r>
    <w:r>
      <w:rPr>
        <w:rFonts w:hint="eastAsia"/>
      </w:rPr>
      <w:t xml:space="preserve">         </w:t>
    </w:r>
  </w:p>
  <w:p>
    <w:pPr>
      <w:pStyle w:val="41"/>
    </w:pPr>
    <w:r>
      <w:rPr>
        <w:rFonts w:hint="eastAsia"/>
      </w:rPr>
      <w:t xml:space="preserve">                                                                 西湖区</w:t>
    </w:r>
    <w:r>
      <w:t>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rPr>
        <w:rFonts w:ascii="仿宋_GB2312" w:eastAsia="仿宋_GB2312"/>
        <w:b/>
        <w:i/>
        <w:u w:val="single"/>
      </w:rPr>
    </w:pPr>
    <w:r>
      <w:t></w:t>
    </w:r>
    <w:r>
      <w:rPr>
        <w:rFonts w:hint="eastAsia"/>
      </w:rPr>
      <w:t xml:space="preserve">                                                西湖区</w:t>
    </w:r>
    <w:r>
      <w:t>政府采购公开招标文件</w:t>
    </w:r>
  </w:p>
  <w:p>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right"/>
    </w:pPr>
    <w:r>
      <w:t></w:t>
    </w:r>
    <w:r>
      <w:rPr>
        <w:rFonts w:hint="eastAsia"/>
      </w:rPr>
      <w:t xml:space="preserve">                                                                    西湖区</w:t>
    </w:r>
    <w:r>
      <w:t>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right"/>
      <w:rPr>
        <w:rFonts w:ascii="仿宋_GB2312" w:eastAsia="仿宋_GB2312"/>
        <w:b/>
        <w:i/>
        <w:u w:val="single"/>
      </w:rPr>
    </w:pPr>
    <w:r>
      <w:rPr>
        <w:rFonts w:hint="eastAsia"/>
      </w:rPr>
      <w:t xml:space="preserve">                                  西湖区</w:t>
    </w:r>
    <w:r>
      <w:t>政府采购公开招标文件</w:t>
    </w:r>
  </w:p>
  <w:p>
    <w:pPr>
      <w:rPr>
        <w:rFonts w:ascii="仿宋_GB2312" w:eastAsia="仿宋_GB2312"/>
        <w:b/>
        <w:i/>
        <w:sz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kZTI1ZWRlNjc1YWE0ZmE2Y2VlZGYyZTJlMzliYTc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190A"/>
    <w:rsid w:val="0003206A"/>
    <w:rsid w:val="000326A7"/>
    <w:rsid w:val="00032EA0"/>
    <w:rsid w:val="000331B0"/>
    <w:rsid w:val="0003353E"/>
    <w:rsid w:val="000336D4"/>
    <w:rsid w:val="00034FA7"/>
    <w:rsid w:val="0003533D"/>
    <w:rsid w:val="000357E4"/>
    <w:rsid w:val="00035ACA"/>
    <w:rsid w:val="00036A08"/>
    <w:rsid w:val="00036C29"/>
    <w:rsid w:val="00037B93"/>
    <w:rsid w:val="00040447"/>
    <w:rsid w:val="00040494"/>
    <w:rsid w:val="00040B70"/>
    <w:rsid w:val="00042441"/>
    <w:rsid w:val="00042533"/>
    <w:rsid w:val="00042DBB"/>
    <w:rsid w:val="00042E65"/>
    <w:rsid w:val="0004347C"/>
    <w:rsid w:val="00043907"/>
    <w:rsid w:val="00044F48"/>
    <w:rsid w:val="00047354"/>
    <w:rsid w:val="0005041A"/>
    <w:rsid w:val="00050656"/>
    <w:rsid w:val="00050A19"/>
    <w:rsid w:val="000511B6"/>
    <w:rsid w:val="00051B00"/>
    <w:rsid w:val="00051C2A"/>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7C0"/>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26"/>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1D6"/>
    <w:rsid w:val="000B456C"/>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4A76"/>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2C"/>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32A"/>
    <w:rsid w:val="001248EF"/>
    <w:rsid w:val="00124AC0"/>
    <w:rsid w:val="00124FC4"/>
    <w:rsid w:val="001253AB"/>
    <w:rsid w:val="0012574C"/>
    <w:rsid w:val="001259B8"/>
    <w:rsid w:val="001264B9"/>
    <w:rsid w:val="00126900"/>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1452"/>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06A"/>
    <w:rsid w:val="001A79A2"/>
    <w:rsid w:val="001A7FA5"/>
    <w:rsid w:val="001B06A6"/>
    <w:rsid w:val="001B13BF"/>
    <w:rsid w:val="001B15B9"/>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787"/>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1F3"/>
    <w:rsid w:val="001F56D0"/>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878"/>
    <w:rsid w:val="00242F79"/>
    <w:rsid w:val="0024415B"/>
    <w:rsid w:val="00244968"/>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2382"/>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1DF"/>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4D8D"/>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4E2"/>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56E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4BC"/>
    <w:rsid w:val="004619A5"/>
    <w:rsid w:val="00461F80"/>
    <w:rsid w:val="0046240D"/>
    <w:rsid w:val="00462898"/>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653"/>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E90"/>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809"/>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861"/>
    <w:rsid w:val="0050591C"/>
    <w:rsid w:val="005059BD"/>
    <w:rsid w:val="005060AE"/>
    <w:rsid w:val="0050790B"/>
    <w:rsid w:val="00507FDF"/>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BF8"/>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69F"/>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5CA3"/>
    <w:rsid w:val="005D65BF"/>
    <w:rsid w:val="005D6D84"/>
    <w:rsid w:val="005D70A1"/>
    <w:rsid w:val="005D79D1"/>
    <w:rsid w:val="005D79F2"/>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32C"/>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2CDB"/>
    <w:rsid w:val="00633769"/>
    <w:rsid w:val="00633FE3"/>
    <w:rsid w:val="00634276"/>
    <w:rsid w:val="00634570"/>
    <w:rsid w:val="0063487C"/>
    <w:rsid w:val="00635B73"/>
    <w:rsid w:val="00635BB7"/>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6895"/>
    <w:rsid w:val="006673B9"/>
    <w:rsid w:val="0066790C"/>
    <w:rsid w:val="00667A67"/>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1FF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6FC"/>
    <w:rsid w:val="00760A5A"/>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5397"/>
    <w:rsid w:val="007C60A8"/>
    <w:rsid w:val="007C6158"/>
    <w:rsid w:val="007C660F"/>
    <w:rsid w:val="007C6664"/>
    <w:rsid w:val="007C66FF"/>
    <w:rsid w:val="007C69AE"/>
    <w:rsid w:val="007C6FE9"/>
    <w:rsid w:val="007C7688"/>
    <w:rsid w:val="007C76E3"/>
    <w:rsid w:val="007C76F3"/>
    <w:rsid w:val="007C7DD9"/>
    <w:rsid w:val="007D03BC"/>
    <w:rsid w:val="007D0418"/>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2887"/>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603"/>
    <w:rsid w:val="007F682B"/>
    <w:rsid w:val="007F78E8"/>
    <w:rsid w:val="007F79FA"/>
    <w:rsid w:val="007F7F8F"/>
    <w:rsid w:val="00800509"/>
    <w:rsid w:val="0080078E"/>
    <w:rsid w:val="00800B7F"/>
    <w:rsid w:val="008012B1"/>
    <w:rsid w:val="008019E5"/>
    <w:rsid w:val="00801D63"/>
    <w:rsid w:val="0080348B"/>
    <w:rsid w:val="00803D82"/>
    <w:rsid w:val="00803D98"/>
    <w:rsid w:val="008052CE"/>
    <w:rsid w:val="0080548A"/>
    <w:rsid w:val="008058D0"/>
    <w:rsid w:val="00806A4C"/>
    <w:rsid w:val="0080705B"/>
    <w:rsid w:val="0080723C"/>
    <w:rsid w:val="00807F71"/>
    <w:rsid w:val="0081000F"/>
    <w:rsid w:val="008102F1"/>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004"/>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4780A"/>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227"/>
    <w:rsid w:val="00867501"/>
    <w:rsid w:val="00867D8E"/>
    <w:rsid w:val="008700C0"/>
    <w:rsid w:val="0087058B"/>
    <w:rsid w:val="008705AA"/>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4775"/>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1B6"/>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239"/>
    <w:rsid w:val="009A1ECA"/>
    <w:rsid w:val="009A2BE9"/>
    <w:rsid w:val="009A2BF3"/>
    <w:rsid w:val="009A3688"/>
    <w:rsid w:val="009A3713"/>
    <w:rsid w:val="009A3C3E"/>
    <w:rsid w:val="009A4153"/>
    <w:rsid w:val="009A4C2C"/>
    <w:rsid w:val="009A59B3"/>
    <w:rsid w:val="009A5FAE"/>
    <w:rsid w:val="009A6B3A"/>
    <w:rsid w:val="009A70A3"/>
    <w:rsid w:val="009A73C5"/>
    <w:rsid w:val="009A7E7C"/>
    <w:rsid w:val="009B05D2"/>
    <w:rsid w:val="009B152B"/>
    <w:rsid w:val="009B2731"/>
    <w:rsid w:val="009B2DCF"/>
    <w:rsid w:val="009B39D8"/>
    <w:rsid w:val="009B3D38"/>
    <w:rsid w:val="009B4368"/>
    <w:rsid w:val="009B4D4C"/>
    <w:rsid w:val="009B6186"/>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27FC4"/>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185"/>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423"/>
    <w:rsid w:val="00A94A32"/>
    <w:rsid w:val="00A94AFC"/>
    <w:rsid w:val="00A94BF5"/>
    <w:rsid w:val="00A94D97"/>
    <w:rsid w:val="00A9686A"/>
    <w:rsid w:val="00A96B4A"/>
    <w:rsid w:val="00A97BDA"/>
    <w:rsid w:val="00AA0118"/>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3CCB"/>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700"/>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4DD1"/>
    <w:rsid w:val="00B55F64"/>
    <w:rsid w:val="00B56ECA"/>
    <w:rsid w:val="00B57093"/>
    <w:rsid w:val="00B574DA"/>
    <w:rsid w:val="00B57B5D"/>
    <w:rsid w:val="00B60613"/>
    <w:rsid w:val="00B61AEC"/>
    <w:rsid w:val="00B6244C"/>
    <w:rsid w:val="00B62774"/>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6D0C"/>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59FB"/>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3D8"/>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0AA3"/>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3DF"/>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379F5"/>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6E10"/>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A2E"/>
    <w:rsid w:val="00CA6B56"/>
    <w:rsid w:val="00CA7D3E"/>
    <w:rsid w:val="00CB0317"/>
    <w:rsid w:val="00CB0662"/>
    <w:rsid w:val="00CB06C7"/>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1FA"/>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37B"/>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118F"/>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3E38"/>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02D"/>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DA1"/>
    <w:rsid w:val="00DE6E4D"/>
    <w:rsid w:val="00DE7498"/>
    <w:rsid w:val="00DE75EF"/>
    <w:rsid w:val="00DE7611"/>
    <w:rsid w:val="00DE7D19"/>
    <w:rsid w:val="00DF05A0"/>
    <w:rsid w:val="00DF1162"/>
    <w:rsid w:val="00DF1BA8"/>
    <w:rsid w:val="00DF1DDB"/>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376D"/>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587E"/>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6F9A"/>
    <w:rsid w:val="00ED71BA"/>
    <w:rsid w:val="00ED728F"/>
    <w:rsid w:val="00ED73A1"/>
    <w:rsid w:val="00ED7CA2"/>
    <w:rsid w:val="00EE04F9"/>
    <w:rsid w:val="00EE05E0"/>
    <w:rsid w:val="00EE0FF6"/>
    <w:rsid w:val="00EE13DA"/>
    <w:rsid w:val="00EE1595"/>
    <w:rsid w:val="00EE1E71"/>
    <w:rsid w:val="00EE2087"/>
    <w:rsid w:val="00EE20C2"/>
    <w:rsid w:val="00EE224D"/>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2644"/>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5FFF"/>
    <w:rsid w:val="00FB63F6"/>
    <w:rsid w:val="00FB7823"/>
    <w:rsid w:val="00FC05B2"/>
    <w:rsid w:val="00FC08B3"/>
    <w:rsid w:val="00FC09D7"/>
    <w:rsid w:val="00FC0ABE"/>
    <w:rsid w:val="00FC1269"/>
    <w:rsid w:val="00FC22D0"/>
    <w:rsid w:val="00FC285C"/>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651D9"/>
    <w:rsid w:val="011C32AB"/>
    <w:rsid w:val="011F6449"/>
    <w:rsid w:val="0123437B"/>
    <w:rsid w:val="01236AFB"/>
    <w:rsid w:val="01541149"/>
    <w:rsid w:val="015679D0"/>
    <w:rsid w:val="019F7441"/>
    <w:rsid w:val="01B37585"/>
    <w:rsid w:val="01C90301"/>
    <w:rsid w:val="01D55165"/>
    <w:rsid w:val="01DF6BF8"/>
    <w:rsid w:val="01EC2C57"/>
    <w:rsid w:val="01F50C0A"/>
    <w:rsid w:val="0224362A"/>
    <w:rsid w:val="02251CF9"/>
    <w:rsid w:val="025F0711"/>
    <w:rsid w:val="026B2E25"/>
    <w:rsid w:val="027240B0"/>
    <w:rsid w:val="02824D4D"/>
    <w:rsid w:val="02A55B44"/>
    <w:rsid w:val="02DC4B10"/>
    <w:rsid w:val="02DD76CE"/>
    <w:rsid w:val="02F36323"/>
    <w:rsid w:val="02F5619C"/>
    <w:rsid w:val="0326446A"/>
    <w:rsid w:val="032D5555"/>
    <w:rsid w:val="03307093"/>
    <w:rsid w:val="036634D2"/>
    <w:rsid w:val="03BE6034"/>
    <w:rsid w:val="03DD35E4"/>
    <w:rsid w:val="03FB03BA"/>
    <w:rsid w:val="04076900"/>
    <w:rsid w:val="041A5A3B"/>
    <w:rsid w:val="042311BA"/>
    <w:rsid w:val="042B157A"/>
    <w:rsid w:val="0432392B"/>
    <w:rsid w:val="044B7594"/>
    <w:rsid w:val="044D2C6F"/>
    <w:rsid w:val="048F763B"/>
    <w:rsid w:val="049F330E"/>
    <w:rsid w:val="04AA775C"/>
    <w:rsid w:val="04AF1889"/>
    <w:rsid w:val="04B9487B"/>
    <w:rsid w:val="04F33787"/>
    <w:rsid w:val="04F66F48"/>
    <w:rsid w:val="05251E14"/>
    <w:rsid w:val="05342432"/>
    <w:rsid w:val="055B6897"/>
    <w:rsid w:val="058A36E6"/>
    <w:rsid w:val="05A16594"/>
    <w:rsid w:val="05A7762D"/>
    <w:rsid w:val="05BB22D0"/>
    <w:rsid w:val="05DD4263"/>
    <w:rsid w:val="05F10B7C"/>
    <w:rsid w:val="060E5941"/>
    <w:rsid w:val="06110FAF"/>
    <w:rsid w:val="06493CA7"/>
    <w:rsid w:val="06544FE4"/>
    <w:rsid w:val="065A6178"/>
    <w:rsid w:val="066F1CF3"/>
    <w:rsid w:val="06930BB8"/>
    <w:rsid w:val="06DD48E1"/>
    <w:rsid w:val="07245D42"/>
    <w:rsid w:val="07264C62"/>
    <w:rsid w:val="072E3409"/>
    <w:rsid w:val="0779354C"/>
    <w:rsid w:val="08061376"/>
    <w:rsid w:val="08452D77"/>
    <w:rsid w:val="086401F8"/>
    <w:rsid w:val="08751CAA"/>
    <w:rsid w:val="087E4C40"/>
    <w:rsid w:val="08A871D0"/>
    <w:rsid w:val="08D66AD6"/>
    <w:rsid w:val="08DA33A3"/>
    <w:rsid w:val="08E80F13"/>
    <w:rsid w:val="09272004"/>
    <w:rsid w:val="09280C56"/>
    <w:rsid w:val="09335624"/>
    <w:rsid w:val="0944690F"/>
    <w:rsid w:val="09535675"/>
    <w:rsid w:val="095F057D"/>
    <w:rsid w:val="09642282"/>
    <w:rsid w:val="09733572"/>
    <w:rsid w:val="09772C16"/>
    <w:rsid w:val="098353B5"/>
    <w:rsid w:val="09A92330"/>
    <w:rsid w:val="09B06B87"/>
    <w:rsid w:val="09BB2363"/>
    <w:rsid w:val="09C13146"/>
    <w:rsid w:val="09D25A0C"/>
    <w:rsid w:val="09E04166"/>
    <w:rsid w:val="0A1C0718"/>
    <w:rsid w:val="0A3E7710"/>
    <w:rsid w:val="0A4153BD"/>
    <w:rsid w:val="0A5B7E63"/>
    <w:rsid w:val="0A5D6CD6"/>
    <w:rsid w:val="0AA374A5"/>
    <w:rsid w:val="0AAB7649"/>
    <w:rsid w:val="0ABC5606"/>
    <w:rsid w:val="0B0644FD"/>
    <w:rsid w:val="0B30404E"/>
    <w:rsid w:val="0B4C5836"/>
    <w:rsid w:val="0B4C6C14"/>
    <w:rsid w:val="0B547599"/>
    <w:rsid w:val="0B631A88"/>
    <w:rsid w:val="0B683D45"/>
    <w:rsid w:val="0B7F3F11"/>
    <w:rsid w:val="0B884417"/>
    <w:rsid w:val="0BA66F6F"/>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56F6F"/>
    <w:rsid w:val="0D184CFB"/>
    <w:rsid w:val="0D390E53"/>
    <w:rsid w:val="0D4A7419"/>
    <w:rsid w:val="0D827401"/>
    <w:rsid w:val="0D84094E"/>
    <w:rsid w:val="0D8A00E9"/>
    <w:rsid w:val="0D8D589E"/>
    <w:rsid w:val="0D957AD2"/>
    <w:rsid w:val="0DA01C73"/>
    <w:rsid w:val="0DD63300"/>
    <w:rsid w:val="0DF50604"/>
    <w:rsid w:val="0DF702FE"/>
    <w:rsid w:val="0DF84D71"/>
    <w:rsid w:val="0E060E51"/>
    <w:rsid w:val="0E5604B2"/>
    <w:rsid w:val="0E6D5D79"/>
    <w:rsid w:val="0E9D0089"/>
    <w:rsid w:val="0EB803EE"/>
    <w:rsid w:val="0EF94D4B"/>
    <w:rsid w:val="0F4958DC"/>
    <w:rsid w:val="0F515DF7"/>
    <w:rsid w:val="0F52772B"/>
    <w:rsid w:val="0F596BA8"/>
    <w:rsid w:val="0F6248D2"/>
    <w:rsid w:val="0F693536"/>
    <w:rsid w:val="0F7B0511"/>
    <w:rsid w:val="0F7B76D9"/>
    <w:rsid w:val="0F816ACD"/>
    <w:rsid w:val="0F8B4F1D"/>
    <w:rsid w:val="0F9832DB"/>
    <w:rsid w:val="0FBF3FD2"/>
    <w:rsid w:val="0FBF7FF3"/>
    <w:rsid w:val="0FDC5544"/>
    <w:rsid w:val="1054157E"/>
    <w:rsid w:val="10646583"/>
    <w:rsid w:val="10750A53"/>
    <w:rsid w:val="107D4B15"/>
    <w:rsid w:val="108A3C80"/>
    <w:rsid w:val="10A654EE"/>
    <w:rsid w:val="10C26171"/>
    <w:rsid w:val="10C70674"/>
    <w:rsid w:val="10CA6F12"/>
    <w:rsid w:val="10D91757"/>
    <w:rsid w:val="10E362BD"/>
    <w:rsid w:val="10F33360"/>
    <w:rsid w:val="10FC16EA"/>
    <w:rsid w:val="11035DE8"/>
    <w:rsid w:val="110B454A"/>
    <w:rsid w:val="110F1D40"/>
    <w:rsid w:val="11266F33"/>
    <w:rsid w:val="11556EAD"/>
    <w:rsid w:val="1158509E"/>
    <w:rsid w:val="11692E07"/>
    <w:rsid w:val="118963A1"/>
    <w:rsid w:val="11C6522A"/>
    <w:rsid w:val="11E104CC"/>
    <w:rsid w:val="11E20309"/>
    <w:rsid w:val="11F178D3"/>
    <w:rsid w:val="1202500A"/>
    <w:rsid w:val="12255233"/>
    <w:rsid w:val="123D1751"/>
    <w:rsid w:val="12530213"/>
    <w:rsid w:val="127723A9"/>
    <w:rsid w:val="12862074"/>
    <w:rsid w:val="12883966"/>
    <w:rsid w:val="129E45B4"/>
    <w:rsid w:val="12D81596"/>
    <w:rsid w:val="12EF1A32"/>
    <w:rsid w:val="13072A44"/>
    <w:rsid w:val="13326359"/>
    <w:rsid w:val="133D7AFB"/>
    <w:rsid w:val="1346452F"/>
    <w:rsid w:val="135B54DB"/>
    <w:rsid w:val="135F4BE2"/>
    <w:rsid w:val="139B1A0A"/>
    <w:rsid w:val="139D25C7"/>
    <w:rsid w:val="13BF3CE4"/>
    <w:rsid w:val="1405452A"/>
    <w:rsid w:val="141008D8"/>
    <w:rsid w:val="14125FE6"/>
    <w:rsid w:val="141A2ADF"/>
    <w:rsid w:val="146D271E"/>
    <w:rsid w:val="14982588"/>
    <w:rsid w:val="149A5AD9"/>
    <w:rsid w:val="14A7619D"/>
    <w:rsid w:val="14DB462C"/>
    <w:rsid w:val="14FB5D1B"/>
    <w:rsid w:val="150536C3"/>
    <w:rsid w:val="150C1963"/>
    <w:rsid w:val="151439D2"/>
    <w:rsid w:val="151447A0"/>
    <w:rsid w:val="154A6454"/>
    <w:rsid w:val="15555725"/>
    <w:rsid w:val="15762120"/>
    <w:rsid w:val="157624AF"/>
    <w:rsid w:val="165E7F28"/>
    <w:rsid w:val="167E718A"/>
    <w:rsid w:val="169D3398"/>
    <w:rsid w:val="16A8729C"/>
    <w:rsid w:val="16B33777"/>
    <w:rsid w:val="16BC70A7"/>
    <w:rsid w:val="16C6339E"/>
    <w:rsid w:val="172F2D79"/>
    <w:rsid w:val="17557BEF"/>
    <w:rsid w:val="176C0058"/>
    <w:rsid w:val="17D349C1"/>
    <w:rsid w:val="17DC50A7"/>
    <w:rsid w:val="18242340"/>
    <w:rsid w:val="1830729E"/>
    <w:rsid w:val="1870062C"/>
    <w:rsid w:val="18817102"/>
    <w:rsid w:val="18830A15"/>
    <w:rsid w:val="18852B28"/>
    <w:rsid w:val="188B5321"/>
    <w:rsid w:val="189D783A"/>
    <w:rsid w:val="18F50886"/>
    <w:rsid w:val="193C7053"/>
    <w:rsid w:val="197C0F51"/>
    <w:rsid w:val="19932372"/>
    <w:rsid w:val="19A20DD5"/>
    <w:rsid w:val="19A94BA0"/>
    <w:rsid w:val="19AE03F1"/>
    <w:rsid w:val="1A071A03"/>
    <w:rsid w:val="1A1F16AE"/>
    <w:rsid w:val="1A3B5C77"/>
    <w:rsid w:val="1A5C781E"/>
    <w:rsid w:val="1A984BAD"/>
    <w:rsid w:val="1A9961E9"/>
    <w:rsid w:val="1AB549F1"/>
    <w:rsid w:val="1AB8220E"/>
    <w:rsid w:val="1AE4166C"/>
    <w:rsid w:val="1AF06CFB"/>
    <w:rsid w:val="1AF11B8D"/>
    <w:rsid w:val="1B09565B"/>
    <w:rsid w:val="1B11359C"/>
    <w:rsid w:val="1B2A271F"/>
    <w:rsid w:val="1B530544"/>
    <w:rsid w:val="1B713184"/>
    <w:rsid w:val="1B83082F"/>
    <w:rsid w:val="1BA209CF"/>
    <w:rsid w:val="1BB4777D"/>
    <w:rsid w:val="1BBD7862"/>
    <w:rsid w:val="1BC4480A"/>
    <w:rsid w:val="1BD75AB8"/>
    <w:rsid w:val="1C0459C2"/>
    <w:rsid w:val="1C183DA8"/>
    <w:rsid w:val="1C1B3B4A"/>
    <w:rsid w:val="1C6849E9"/>
    <w:rsid w:val="1C88086E"/>
    <w:rsid w:val="1CD852E5"/>
    <w:rsid w:val="1D266CE1"/>
    <w:rsid w:val="1D3963AF"/>
    <w:rsid w:val="1D55566A"/>
    <w:rsid w:val="1D570B7F"/>
    <w:rsid w:val="1D6372A4"/>
    <w:rsid w:val="1D6A673C"/>
    <w:rsid w:val="1D9247AE"/>
    <w:rsid w:val="1DB567EC"/>
    <w:rsid w:val="1DD27F86"/>
    <w:rsid w:val="1DF428D0"/>
    <w:rsid w:val="1DF51A98"/>
    <w:rsid w:val="1E033075"/>
    <w:rsid w:val="1E1561BA"/>
    <w:rsid w:val="1E3D060F"/>
    <w:rsid w:val="1E3F7D2E"/>
    <w:rsid w:val="1E4134E4"/>
    <w:rsid w:val="1E5062B3"/>
    <w:rsid w:val="1E523514"/>
    <w:rsid w:val="1E714A66"/>
    <w:rsid w:val="1E802593"/>
    <w:rsid w:val="1E8B6156"/>
    <w:rsid w:val="1EA703CC"/>
    <w:rsid w:val="1EB7330C"/>
    <w:rsid w:val="1F0A0FF3"/>
    <w:rsid w:val="1F5771FF"/>
    <w:rsid w:val="1FAE13DA"/>
    <w:rsid w:val="1FDE6F42"/>
    <w:rsid w:val="1FE868A9"/>
    <w:rsid w:val="20034907"/>
    <w:rsid w:val="20123A41"/>
    <w:rsid w:val="20173E4B"/>
    <w:rsid w:val="203A3B01"/>
    <w:rsid w:val="204E48BC"/>
    <w:rsid w:val="20743D86"/>
    <w:rsid w:val="208921B3"/>
    <w:rsid w:val="20973DEB"/>
    <w:rsid w:val="20B26522"/>
    <w:rsid w:val="20B44310"/>
    <w:rsid w:val="20BA3D5E"/>
    <w:rsid w:val="20F12B13"/>
    <w:rsid w:val="21046E16"/>
    <w:rsid w:val="211116EB"/>
    <w:rsid w:val="2111256C"/>
    <w:rsid w:val="2159573F"/>
    <w:rsid w:val="216133FC"/>
    <w:rsid w:val="21875FBF"/>
    <w:rsid w:val="21D56769"/>
    <w:rsid w:val="21E52EF3"/>
    <w:rsid w:val="21FB5D7B"/>
    <w:rsid w:val="22015E94"/>
    <w:rsid w:val="220B1C3D"/>
    <w:rsid w:val="221D1D20"/>
    <w:rsid w:val="22334A87"/>
    <w:rsid w:val="22410236"/>
    <w:rsid w:val="22A77C33"/>
    <w:rsid w:val="22B84145"/>
    <w:rsid w:val="22BE6801"/>
    <w:rsid w:val="22CD67A8"/>
    <w:rsid w:val="22E444EC"/>
    <w:rsid w:val="233500BF"/>
    <w:rsid w:val="23377FF7"/>
    <w:rsid w:val="236B425F"/>
    <w:rsid w:val="23836192"/>
    <w:rsid w:val="23901F29"/>
    <w:rsid w:val="239C0061"/>
    <w:rsid w:val="239E1C75"/>
    <w:rsid w:val="23B908A4"/>
    <w:rsid w:val="23E95BEF"/>
    <w:rsid w:val="23FD0064"/>
    <w:rsid w:val="24132770"/>
    <w:rsid w:val="244451FC"/>
    <w:rsid w:val="24476BBD"/>
    <w:rsid w:val="245375B0"/>
    <w:rsid w:val="24642C0A"/>
    <w:rsid w:val="24B22173"/>
    <w:rsid w:val="24B95AD9"/>
    <w:rsid w:val="24BE24DA"/>
    <w:rsid w:val="24CF5825"/>
    <w:rsid w:val="24D663E6"/>
    <w:rsid w:val="24D77F2B"/>
    <w:rsid w:val="256D1C89"/>
    <w:rsid w:val="258B00E2"/>
    <w:rsid w:val="25A917A6"/>
    <w:rsid w:val="25BE27CC"/>
    <w:rsid w:val="25CC175F"/>
    <w:rsid w:val="25D235A2"/>
    <w:rsid w:val="25F74A5C"/>
    <w:rsid w:val="2628662C"/>
    <w:rsid w:val="262D45DE"/>
    <w:rsid w:val="266619D9"/>
    <w:rsid w:val="26871DC8"/>
    <w:rsid w:val="26A53EF9"/>
    <w:rsid w:val="26A94201"/>
    <w:rsid w:val="26AC274F"/>
    <w:rsid w:val="27044A29"/>
    <w:rsid w:val="271D34C8"/>
    <w:rsid w:val="274716AC"/>
    <w:rsid w:val="275D69B6"/>
    <w:rsid w:val="276142BF"/>
    <w:rsid w:val="27783712"/>
    <w:rsid w:val="278B7A6D"/>
    <w:rsid w:val="27907362"/>
    <w:rsid w:val="27DF39CB"/>
    <w:rsid w:val="2805783E"/>
    <w:rsid w:val="28333E1D"/>
    <w:rsid w:val="28454BD6"/>
    <w:rsid w:val="28455253"/>
    <w:rsid w:val="28551971"/>
    <w:rsid w:val="285B1C53"/>
    <w:rsid w:val="289F7086"/>
    <w:rsid w:val="28C32028"/>
    <w:rsid w:val="28CC490F"/>
    <w:rsid w:val="28DE40AA"/>
    <w:rsid w:val="28DF17A9"/>
    <w:rsid w:val="28E514B5"/>
    <w:rsid w:val="290F7686"/>
    <w:rsid w:val="29345E77"/>
    <w:rsid w:val="29363ABF"/>
    <w:rsid w:val="294C65AD"/>
    <w:rsid w:val="29806583"/>
    <w:rsid w:val="298B3C4C"/>
    <w:rsid w:val="29914557"/>
    <w:rsid w:val="29D539A8"/>
    <w:rsid w:val="29F26D24"/>
    <w:rsid w:val="2A15033F"/>
    <w:rsid w:val="2A1662C1"/>
    <w:rsid w:val="2A1C7367"/>
    <w:rsid w:val="2A21651D"/>
    <w:rsid w:val="2A2815FA"/>
    <w:rsid w:val="2A4006F6"/>
    <w:rsid w:val="2A6D6092"/>
    <w:rsid w:val="2A7D76B4"/>
    <w:rsid w:val="2A8B7165"/>
    <w:rsid w:val="2AE83D45"/>
    <w:rsid w:val="2AFD47A6"/>
    <w:rsid w:val="2B437463"/>
    <w:rsid w:val="2B4F2C16"/>
    <w:rsid w:val="2B7807EE"/>
    <w:rsid w:val="2BA50BF7"/>
    <w:rsid w:val="2BBF00EC"/>
    <w:rsid w:val="2BC37CFD"/>
    <w:rsid w:val="2BD5237F"/>
    <w:rsid w:val="2BE536CE"/>
    <w:rsid w:val="2BE758D9"/>
    <w:rsid w:val="2C09049E"/>
    <w:rsid w:val="2C0A653C"/>
    <w:rsid w:val="2C191F85"/>
    <w:rsid w:val="2CCB67BD"/>
    <w:rsid w:val="2CE82D6F"/>
    <w:rsid w:val="2D343236"/>
    <w:rsid w:val="2D3D7B03"/>
    <w:rsid w:val="2D6044C5"/>
    <w:rsid w:val="2D6E226B"/>
    <w:rsid w:val="2D973713"/>
    <w:rsid w:val="2DA8073A"/>
    <w:rsid w:val="2DD15014"/>
    <w:rsid w:val="2DE87C12"/>
    <w:rsid w:val="2DF72DE4"/>
    <w:rsid w:val="2E0220AF"/>
    <w:rsid w:val="2E0B7C6B"/>
    <w:rsid w:val="2E4B082A"/>
    <w:rsid w:val="2E5D4E86"/>
    <w:rsid w:val="2E5D790B"/>
    <w:rsid w:val="2E7A26A0"/>
    <w:rsid w:val="2E9A3C18"/>
    <w:rsid w:val="2EBB0FEE"/>
    <w:rsid w:val="2EC63002"/>
    <w:rsid w:val="2F0A6B38"/>
    <w:rsid w:val="2F4D3B17"/>
    <w:rsid w:val="2F946CCB"/>
    <w:rsid w:val="2FB87BF6"/>
    <w:rsid w:val="2FD25781"/>
    <w:rsid w:val="2FDC745C"/>
    <w:rsid w:val="2FFD7934"/>
    <w:rsid w:val="306E3B3E"/>
    <w:rsid w:val="30733ACD"/>
    <w:rsid w:val="307A64D1"/>
    <w:rsid w:val="308C3862"/>
    <w:rsid w:val="309379D8"/>
    <w:rsid w:val="30A270F7"/>
    <w:rsid w:val="30BA3228"/>
    <w:rsid w:val="30DD3443"/>
    <w:rsid w:val="30DF1478"/>
    <w:rsid w:val="30EC586F"/>
    <w:rsid w:val="31175E86"/>
    <w:rsid w:val="319C6071"/>
    <w:rsid w:val="31AC537E"/>
    <w:rsid w:val="31D411CA"/>
    <w:rsid w:val="31E3559F"/>
    <w:rsid w:val="31E3679B"/>
    <w:rsid w:val="31E732FD"/>
    <w:rsid w:val="3248651D"/>
    <w:rsid w:val="324B0876"/>
    <w:rsid w:val="32517576"/>
    <w:rsid w:val="32BE5C2C"/>
    <w:rsid w:val="32D70846"/>
    <w:rsid w:val="32DC56D7"/>
    <w:rsid w:val="32FB6478"/>
    <w:rsid w:val="3303324A"/>
    <w:rsid w:val="33263B3F"/>
    <w:rsid w:val="332E2CA3"/>
    <w:rsid w:val="33394111"/>
    <w:rsid w:val="336963EB"/>
    <w:rsid w:val="33816EEB"/>
    <w:rsid w:val="33B027B6"/>
    <w:rsid w:val="33DC5263"/>
    <w:rsid w:val="33EB55CD"/>
    <w:rsid w:val="33EC4C02"/>
    <w:rsid w:val="340D2360"/>
    <w:rsid w:val="3410665D"/>
    <w:rsid w:val="34211214"/>
    <w:rsid w:val="342E63AB"/>
    <w:rsid w:val="34950E68"/>
    <w:rsid w:val="34986E94"/>
    <w:rsid w:val="34AF62C9"/>
    <w:rsid w:val="34CB4388"/>
    <w:rsid w:val="34FA6E12"/>
    <w:rsid w:val="352D0401"/>
    <w:rsid w:val="354D7158"/>
    <w:rsid w:val="358D5588"/>
    <w:rsid w:val="35B1059E"/>
    <w:rsid w:val="35EB5C31"/>
    <w:rsid w:val="35FA00EE"/>
    <w:rsid w:val="363A3B40"/>
    <w:rsid w:val="365302AE"/>
    <w:rsid w:val="365E5857"/>
    <w:rsid w:val="36607A0A"/>
    <w:rsid w:val="366E227C"/>
    <w:rsid w:val="366F2E0D"/>
    <w:rsid w:val="3672468B"/>
    <w:rsid w:val="367B6A5C"/>
    <w:rsid w:val="36806379"/>
    <w:rsid w:val="369E361B"/>
    <w:rsid w:val="36A74ADA"/>
    <w:rsid w:val="36AD60D5"/>
    <w:rsid w:val="36B224F9"/>
    <w:rsid w:val="36EC0CC9"/>
    <w:rsid w:val="37377380"/>
    <w:rsid w:val="373D4ECF"/>
    <w:rsid w:val="373F410B"/>
    <w:rsid w:val="37842308"/>
    <w:rsid w:val="37C1033F"/>
    <w:rsid w:val="37DA7D0B"/>
    <w:rsid w:val="37EE7094"/>
    <w:rsid w:val="38296C89"/>
    <w:rsid w:val="383002EB"/>
    <w:rsid w:val="38366E7F"/>
    <w:rsid w:val="384A4E91"/>
    <w:rsid w:val="38586797"/>
    <w:rsid w:val="38B65EC5"/>
    <w:rsid w:val="38BC0149"/>
    <w:rsid w:val="38D87D1C"/>
    <w:rsid w:val="39143840"/>
    <w:rsid w:val="39177F29"/>
    <w:rsid w:val="393C1EBB"/>
    <w:rsid w:val="395835DE"/>
    <w:rsid w:val="39636459"/>
    <w:rsid w:val="396B7F6C"/>
    <w:rsid w:val="399D6E3A"/>
    <w:rsid w:val="39B417A9"/>
    <w:rsid w:val="39BF540B"/>
    <w:rsid w:val="39FC5695"/>
    <w:rsid w:val="3A006D8E"/>
    <w:rsid w:val="3A234986"/>
    <w:rsid w:val="3A254876"/>
    <w:rsid w:val="3A3651E5"/>
    <w:rsid w:val="3A425723"/>
    <w:rsid w:val="3A544C74"/>
    <w:rsid w:val="3A744481"/>
    <w:rsid w:val="3A772A1D"/>
    <w:rsid w:val="3A8C7BEF"/>
    <w:rsid w:val="3A906246"/>
    <w:rsid w:val="3B2349B7"/>
    <w:rsid w:val="3B616CFF"/>
    <w:rsid w:val="3B6259F6"/>
    <w:rsid w:val="3B937886"/>
    <w:rsid w:val="3B976654"/>
    <w:rsid w:val="3BC01EFC"/>
    <w:rsid w:val="3BCA786A"/>
    <w:rsid w:val="3BD157FC"/>
    <w:rsid w:val="3BD31E2F"/>
    <w:rsid w:val="3BF15831"/>
    <w:rsid w:val="3C105946"/>
    <w:rsid w:val="3C471448"/>
    <w:rsid w:val="3C5F759A"/>
    <w:rsid w:val="3C6C525A"/>
    <w:rsid w:val="3CB054DF"/>
    <w:rsid w:val="3CCE23CB"/>
    <w:rsid w:val="3CD17D17"/>
    <w:rsid w:val="3D0E2029"/>
    <w:rsid w:val="3D3C7F39"/>
    <w:rsid w:val="3D440F09"/>
    <w:rsid w:val="3D4504A0"/>
    <w:rsid w:val="3D8734BB"/>
    <w:rsid w:val="3D9A11D4"/>
    <w:rsid w:val="3DA07CFC"/>
    <w:rsid w:val="3DA16D89"/>
    <w:rsid w:val="3DA364BE"/>
    <w:rsid w:val="3DE041CB"/>
    <w:rsid w:val="3E0D48F6"/>
    <w:rsid w:val="3E1868B4"/>
    <w:rsid w:val="3E377251"/>
    <w:rsid w:val="3E42664B"/>
    <w:rsid w:val="3E5A7334"/>
    <w:rsid w:val="3E73788E"/>
    <w:rsid w:val="3E7B5D6B"/>
    <w:rsid w:val="3E843E66"/>
    <w:rsid w:val="3E8B7FB1"/>
    <w:rsid w:val="3E8F51FE"/>
    <w:rsid w:val="3E926F87"/>
    <w:rsid w:val="3E9A59DE"/>
    <w:rsid w:val="3EAF4836"/>
    <w:rsid w:val="3EC33DFA"/>
    <w:rsid w:val="3EEA117C"/>
    <w:rsid w:val="3F060E16"/>
    <w:rsid w:val="3F1D1096"/>
    <w:rsid w:val="3F2F0234"/>
    <w:rsid w:val="3F6363FE"/>
    <w:rsid w:val="3F756B8F"/>
    <w:rsid w:val="3F7E5A0A"/>
    <w:rsid w:val="3F95482B"/>
    <w:rsid w:val="3FAC2049"/>
    <w:rsid w:val="3FB12ADB"/>
    <w:rsid w:val="4019356B"/>
    <w:rsid w:val="40592157"/>
    <w:rsid w:val="406E1CAE"/>
    <w:rsid w:val="407E4DEC"/>
    <w:rsid w:val="40A0133A"/>
    <w:rsid w:val="40AE2DE8"/>
    <w:rsid w:val="40C31A53"/>
    <w:rsid w:val="40FF545D"/>
    <w:rsid w:val="410067C8"/>
    <w:rsid w:val="410D171D"/>
    <w:rsid w:val="41151DB4"/>
    <w:rsid w:val="4139159A"/>
    <w:rsid w:val="417506DF"/>
    <w:rsid w:val="418F0D2A"/>
    <w:rsid w:val="41D01505"/>
    <w:rsid w:val="42241E8F"/>
    <w:rsid w:val="42474939"/>
    <w:rsid w:val="424C3C57"/>
    <w:rsid w:val="42613FF3"/>
    <w:rsid w:val="42660D96"/>
    <w:rsid w:val="428667D2"/>
    <w:rsid w:val="42CD1CE0"/>
    <w:rsid w:val="42E1381E"/>
    <w:rsid w:val="42ED6459"/>
    <w:rsid w:val="42FE58DD"/>
    <w:rsid w:val="43174B3D"/>
    <w:rsid w:val="43316CF3"/>
    <w:rsid w:val="434B790E"/>
    <w:rsid w:val="4360274F"/>
    <w:rsid w:val="43977AB6"/>
    <w:rsid w:val="439A302D"/>
    <w:rsid w:val="43A3342B"/>
    <w:rsid w:val="43AC5CEE"/>
    <w:rsid w:val="43C77C27"/>
    <w:rsid w:val="43DE09EE"/>
    <w:rsid w:val="43F1369A"/>
    <w:rsid w:val="43F565F9"/>
    <w:rsid w:val="44002FAD"/>
    <w:rsid w:val="449101DD"/>
    <w:rsid w:val="44C21719"/>
    <w:rsid w:val="44DE1391"/>
    <w:rsid w:val="44E34E30"/>
    <w:rsid w:val="44F06DC0"/>
    <w:rsid w:val="4517259F"/>
    <w:rsid w:val="451B225C"/>
    <w:rsid w:val="452410C9"/>
    <w:rsid w:val="45317DFB"/>
    <w:rsid w:val="456D3CE4"/>
    <w:rsid w:val="4579042C"/>
    <w:rsid w:val="457F0571"/>
    <w:rsid w:val="45851176"/>
    <w:rsid w:val="45C10595"/>
    <w:rsid w:val="45C63B94"/>
    <w:rsid w:val="460E7DA5"/>
    <w:rsid w:val="46422483"/>
    <w:rsid w:val="4659254A"/>
    <w:rsid w:val="465B0637"/>
    <w:rsid w:val="465E3F0D"/>
    <w:rsid w:val="466A16E6"/>
    <w:rsid w:val="46893F2B"/>
    <w:rsid w:val="46AF61FB"/>
    <w:rsid w:val="46C4686E"/>
    <w:rsid w:val="46CB5810"/>
    <w:rsid w:val="46D31A9E"/>
    <w:rsid w:val="475C24EB"/>
    <w:rsid w:val="476475F1"/>
    <w:rsid w:val="477B778F"/>
    <w:rsid w:val="477E73BF"/>
    <w:rsid w:val="478203EC"/>
    <w:rsid w:val="47B025FA"/>
    <w:rsid w:val="47F31563"/>
    <w:rsid w:val="4809698F"/>
    <w:rsid w:val="4811697D"/>
    <w:rsid w:val="483C3354"/>
    <w:rsid w:val="485E078C"/>
    <w:rsid w:val="487A3E25"/>
    <w:rsid w:val="488B5503"/>
    <w:rsid w:val="48937E21"/>
    <w:rsid w:val="489A0361"/>
    <w:rsid w:val="48B620CF"/>
    <w:rsid w:val="48B94FF3"/>
    <w:rsid w:val="48E37AAB"/>
    <w:rsid w:val="48FD4B4C"/>
    <w:rsid w:val="4907092E"/>
    <w:rsid w:val="490A68E0"/>
    <w:rsid w:val="491055FE"/>
    <w:rsid w:val="495F5B3E"/>
    <w:rsid w:val="496F77D7"/>
    <w:rsid w:val="497654FD"/>
    <w:rsid w:val="49B64211"/>
    <w:rsid w:val="49F41101"/>
    <w:rsid w:val="49F6167F"/>
    <w:rsid w:val="4A043318"/>
    <w:rsid w:val="4A064FA0"/>
    <w:rsid w:val="4A16615C"/>
    <w:rsid w:val="4A4424D7"/>
    <w:rsid w:val="4AB82D0F"/>
    <w:rsid w:val="4ABC0DB9"/>
    <w:rsid w:val="4AEB7664"/>
    <w:rsid w:val="4AFD7C19"/>
    <w:rsid w:val="4B0567D1"/>
    <w:rsid w:val="4B236AAE"/>
    <w:rsid w:val="4B5160DF"/>
    <w:rsid w:val="4B707271"/>
    <w:rsid w:val="4B9739F7"/>
    <w:rsid w:val="4BEE2503"/>
    <w:rsid w:val="4C0253BF"/>
    <w:rsid w:val="4C245A30"/>
    <w:rsid w:val="4C2757BD"/>
    <w:rsid w:val="4C885B30"/>
    <w:rsid w:val="4C9676DB"/>
    <w:rsid w:val="4C9E35A6"/>
    <w:rsid w:val="4CB6685F"/>
    <w:rsid w:val="4CBD3199"/>
    <w:rsid w:val="4CC367FE"/>
    <w:rsid w:val="4CFC466E"/>
    <w:rsid w:val="4D077F3C"/>
    <w:rsid w:val="4D123355"/>
    <w:rsid w:val="4D2A3B31"/>
    <w:rsid w:val="4D312C52"/>
    <w:rsid w:val="4D550108"/>
    <w:rsid w:val="4D794AC2"/>
    <w:rsid w:val="4D905305"/>
    <w:rsid w:val="4D964A72"/>
    <w:rsid w:val="4D9C1254"/>
    <w:rsid w:val="4D9C6E2F"/>
    <w:rsid w:val="4DF2725F"/>
    <w:rsid w:val="4E3576E6"/>
    <w:rsid w:val="4E5054FE"/>
    <w:rsid w:val="4E54216E"/>
    <w:rsid w:val="4E693057"/>
    <w:rsid w:val="4E793892"/>
    <w:rsid w:val="4E800872"/>
    <w:rsid w:val="4E976EE4"/>
    <w:rsid w:val="4EC569ED"/>
    <w:rsid w:val="4ED50EA1"/>
    <w:rsid w:val="4EEC050C"/>
    <w:rsid w:val="4F0E4FE6"/>
    <w:rsid w:val="4F104EC3"/>
    <w:rsid w:val="4F2F6737"/>
    <w:rsid w:val="4F47354A"/>
    <w:rsid w:val="4F82557B"/>
    <w:rsid w:val="4F911C54"/>
    <w:rsid w:val="4FE625E0"/>
    <w:rsid w:val="5021480F"/>
    <w:rsid w:val="50962ECB"/>
    <w:rsid w:val="50A42E38"/>
    <w:rsid w:val="50A4577F"/>
    <w:rsid w:val="50A948F7"/>
    <w:rsid w:val="50B73D1F"/>
    <w:rsid w:val="50BD5BC9"/>
    <w:rsid w:val="50C11EEE"/>
    <w:rsid w:val="50E249D7"/>
    <w:rsid w:val="50E97CFC"/>
    <w:rsid w:val="50FA4028"/>
    <w:rsid w:val="510D65B7"/>
    <w:rsid w:val="511157AB"/>
    <w:rsid w:val="512172AC"/>
    <w:rsid w:val="5142540C"/>
    <w:rsid w:val="517D7EB1"/>
    <w:rsid w:val="518832C8"/>
    <w:rsid w:val="519D3C50"/>
    <w:rsid w:val="51A0432A"/>
    <w:rsid w:val="51A86090"/>
    <w:rsid w:val="51B7396D"/>
    <w:rsid w:val="51DD00A4"/>
    <w:rsid w:val="522E4CC3"/>
    <w:rsid w:val="523A7DED"/>
    <w:rsid w:val="523E73BD"/>
    <w:rsid w:val="5244713B"/>
    <w:rsid w:val="52615633"/>
    <w:rsid w:val="526A01B2"/>
    <w:rsid w:val="526F4DE4"/>
    <w:rsid w:val="52977FD4"/>
    <w:rsid w:val="529E4679"/>
    <w:rsid w:val="52A25790"/>
    <w:rsid w:val="52A96B6F"/>
    <w:rsid w:val="52B45975"/>
    <w:rsid w:val="52D94AA4"/>
    <w:rsid w:val="52EA3A62"/>
    <w:rsid w:val="52F50BB8"/>
    <w:rsid w:val="5305459B"/>
    <w:rsid w:val="53097272"/>
    <w:rsid w:val="53472776"/>
    <w:rsid w:val="5348333F"/>
    <w:rsid w:val="53544462"/>
    <w:rsid w:val="5397158E"/>
    <w:rsid w:val="53E0189E"/>
    <w:rsid w:val="53F56B69"/>
    <w:rsid w:val="54013861"/>
    <w:rsid w:val="54486E1F"/>
    <w:rsid w:val="54487265"/>
    <w:rsid w:val="544D6070"/>
    <w:rsid w:val="54605E1E"/>
    <w:rsid w:val="546C03EF"/>
    <w:rsid w:val="54B3506A"/>
    <w:rsid w:val="54B52BAA"/>
    <w:rsid w:val="54BE2914"/>
    <w:rsid w:val="54CA0D16"/>
    <w:rsid w:val="54DD4057"/>
    <w:rsid w:val="54E7490F"/>
    <w:rsid w:val="550764A4"/>
    <w:rsid w:val="550B2BF6"/>
    <w:rsid w:val="55214EB5"/>
    <w:rsid w:val="552A2BBF"/>
    <w:rsid w:val="55364EFD"/>
    <w:rsid w:val="555D4828"/>
    <w:rsid w:val="5564512F"/>
    <w:rsid w:val="557A4C8B"/>
    <w:rsid w:val="558268B5"/>
    <w:rsid w:val="558365FF"/>
    <w:rsid w:val="558931E1"/>
    <w:rsid w:val="55923347"/>
    <w:rsid w:val="55925180"/>
    <w:rsid w:val="55983B1B"/>
    <w:rsid w:val="55A8376B"/>
    <w:rsid w:val="55C747C4"/>
    <w:rsid w:val="55DC29B6"/>
    <w:rsid w:val="55DD4241"/>
    <w:rsid w:val="55F85AD5"/>
    <w:rsid w:val="56170651"/>
    <w:rsid w:val="561804BE"/>
    <w:rsid w:val="56222F2B"/>
    <w:rsid w:val="56226FF5"/>
    <w:rsid w:val="566B6D1E"/>
    <w:rsid w:val="56764C4B"/>
    <w:rsid w:val="56A7044E"/>
    <w:rsid w:val="56C67981"/>
    <w:rsid w:val="57032A2C"/>
    <w:rsid w:val="570452C9"/>
    <w:rsid w:val="5705369A"/>
    <w:rsid w:val="570F5219"/>
    <w:rsid w:val="574E17B0"/>
    <w:rsid w:val="575D12B5"/>
    <w:rsid w:val="57610A87"/>
    <w:rsid w:val="577B1140"/>
    <w:rsid w:val="577B7F21"/>
    <w:rsid w:val="577F181B"/>
    <w:rsid w:val="57921984"/>
    <w:rsid w:val="579737F0"/>
    <w:rsid w:val="57AB7B30"/>
    <w:rsid w:val="57AF5251"/>
    <w:rsid w:val="57B26373"/>
    <w:rsid w:val="57B63F04"/>
    <w:rsid w:val="57CD20C2"/>
    <w:rsid w:val="57D675AB"/>
    <w:rsid w:val="57D95FDD"/>
    <w:rsid w:val="57E80CD6"/>
    <w:rsid w:val="58214B5B"/>
    <w:rsid w:val="585C64AD"/>
    <w:rsid w:val="58743B68"/>
    <w:rsid w:val="58917D2F"/>
    <w:rsid w:val="5894085C"/>
    <w:rsid w:val="58A13BA6"/>
    <w:rsid w:val="58AE4F0C"/>
    <w:rsid w:val="58B85899"/>
    <w:rsid w:val="58C95888"/>
    <w:rsid w:val="58DD40CC"/>
    <w:rsid w:val="58E363A9"/>
    <w:rsid w:val="58FA5A5A"/>
    <w:rsid w:val="591744C4"/>
    <w:rsid w:val="595E1678"/>
    <w:rsid w:val="596D5BD4"/>
    <w:rsid w:val="597E3DD8"/>
    <w:rsid w:val="59AA5338"/>
    <w:rsid w:val="59DD0221"/>
    <w:rsid w:val="59F80043"/>
    <w:rsid w:val="5A09252F"/>
    <w:rsid w:val="5A0B2778"/>
    <w:rsid w:val="5A0D633C"/>
    <w:rsid w:val="5A173BF5"/>
    <w:rsid w:val="5A2A7C7B"/>
    <w:rsid w:val="5A3E2560"/>
    <w:rsid w:val="5A5D3B6E"/>
    <w:rsid w:val="5A637A76"/>
    <w:rsid w:val="5A6802F5"/>
    <w:rsid w:val="5A6D33BA"/>
    <w:rsid w:val="5A792B1F"/>
    <w:rsid w:val="5A874767"/>
    <w:rsid w:val="5AA85BE2"/>
    <w:rsid w:val="5AAD6F28"/>
    <w:rsid w:val="5ABD553F"/>
    <w:rsid w:val="5AD63A24"/>
    <w:rsid w:val="5AF76FC2"/>
    <w:rsid w:val="5AFE642B"/>
    <w:rsid w:val="5B2E1A1D"/>
    <w:rsid w:val="5B843A1C"/>
    <w:rsid w:val="5B873E3F"/>
    <w:rsid w:val="5BA02AEE"/>
    <w:rsid w:val="5BB36F1D"/>
    <w:rsid w:val="5C02690E"/>
    <w:rsid w:val="5C196DA7"/>
    <w:rsid w:val="5C230847"/>
    <w:rsid w:val="5C2A048C"/>
    <w:rsid w:val="5C645C72"/>
    <w:rsid w:val="5C80234E"/>
    <w:rsid w:val="5C8A680C"/>
    <w:rsid w:val="5CA51F4F"/>
    <w:rsid w:val="5D0C4701"/>
    <w:rsid w:val="5D0F0395"/>
    <w:rsid w:val="5D145C71"/>
    <w:rsid w:val="5D221076"/>
    <w:rsid w:val="5D235B2D"/>
    <w:rsid w:val="5D397964"/>
    <w:rsid w:val="5D5A391C"/>
    <w:rsid w:val="5D5F10C0"/>
    <w:rsid w:val="5D891B7B"/>
    <w:rsid w:val="5DA034F3"/>
    <w:rsid w:val="5DAD38EE"/>
    <w:rsid w:val="5DB06C95"/>
    <w:rsid w:val="5E006862"/>
    <w:rsid w:val="5E0207B9"/>
    <w:rsid w:val="5E1834A1"/>
    <w:rsid w:val="5E261785"/>
    <w:rsid w:val="5E4A7017"/>
    <w:rsid w:val="5E552BBA"/>
    <w:rsid w:val="5E611C10"/>
    <w:rsid w:val="5E7A0F3F"/>
    <w:rsid w:val="5EFC7377"/>
    <w:rsid w:val="5F06174D"/>
    <w:rsid w:val="5F27019F"/>
    <w:rsid w:val="5F370D45"/>
    <w:rsid w:val="5F3A3602"/>
    <w:rsid w:val="5F45733B"/>
    <w:rsid w:val="5F6277C6"/>
    <w:rsid w:val="5F6D0B1D"/>
    <w:rsid w:val="5F7A40CD"/>
    <w:rsid w:val="5F8D0B82"/>
    <w:rsid w:val="5FCC5339"/>
    <w:rsid w:val="5FD03C7C"/>
    <w:rsid w:val="5FDF2F46"/>
    <w:rsid w:val="5FE34A5B"/>
    <w:rsid w:val="5FFE1E36"/>
    <w:rsid w:val="60130589"/>
    <w:rsid w:val="60232584"/>
    <w:rsid w:val="60273055"/>
    <w:rsid w:val="6045400C"/>
    <w:rsid w:val="605A39AF"/>
    <w:rsid w:val="607330CE"/>
    <w:rsid w:val="60825176"/>
    <w:rsid w:val="6090036C"/>
    <w:rsid w:val="609F2AC4"/>
    <w:rsid w:val="60AD7508"/>
    <w:rsid w:val="60D13B6A"/>
    <w:rsid w:val="60E455D3"/>
    <w:rsid w:val="60FA2EE8"/>
    <w:rsid w:val="61054A27"/>
    <w:rsid w:val="61063EE4"/>
    <w:rsid w:val="610A52BC"/>
    <w:rsid w:val="611D2366"/>
    <w:rsid w:val="61421856"/>
    <w:rsid w:val="6151138E"/>
    <w:rsid w:val="615227C4"/>
    <w:rsid w:val="61524EF4"/>
    <w:rsid w:val="61654E3F"/>
    <w:rsid w:val="6182292A"/>
    <w:rsid w:val="619F7F92"/>
    <w:rsid w:val="61A066BA"/>
    <w:rsid w:val="61BA4B30"/>
    <w:rsid w:val="61F94C26"/>
    <w:rsid w:val="62000E56"/>
    <w:rsid w:val="624F3E49"/>
    <w:rsid w:val="62632286"/>
    <w:rsid w:val="62885958"/>
    <w:rsid w:val="62DF143B"/>
    <w:rsid w:val="62E775FD"/>
    <w:rsid w:val="62F40B65"/>
    <w:rsid w:val="62FC2CFE"/>
    <w:rsid w:val="63024505"/>
    <w:rsid w:val="63502A9B"/>
    <w:rsid w:val="635600A5"/>
    <w:rsid w:val="635B1DB5"/>
    <w:rsid w:val="63711FED"/>
    <w:rsid w:val="63880DDC"/>
    <w:rsid w:val="638D750D"/>
    <w:rsid w:val="63A31068"/>
    <w:rsid w:val="63AC6CC0"/>
    <w:rsid w:val="63BF2076"/>
    <w:rsid w:val="64055776"/>
    <w:rsid w:val="641C64BD"/>
    <w:rsid w:val="64240056"/>
    <w:rsid w:val="643318AD"/>
    <w:rsid w:val="643E143A"/>
    <w:rsid w:val="64455D50"/>
    <w:rsid w:val="64491666"/>
    <w:rsid w:val="648B6EEF"/>
    <w:rsid w:val="64C158BF"/>
    <w:rsid w:val="64CE2EAA"/>
    <w:rsid w:val="65145537"/>
    <w:rsid w:val="65362175"/>
    <w:rsid w:val="653C3090"/>
    <w:rsid w:val="655002F5"/>
    <w:rsid w:val="65854376"/>
    <w:rsid w:val="658575CF"/>
    <w:rsid w:val="658701F2"/>
    <w:rsid w:val="658767BE"/>
    <w:rsid w:val="65892531"/>
    <w:rsid w:val="6589446E"/>
    <w:rsid w:val="66195831"/>
    <w:rsid w:val="662E75B1"/>
    <w:rsid w:val="66342C2E"/>
    <w:rsid w:val="663E784C"/>
    <w:rsid w:val="668B6A45"/>
    <w:rsid w:val="66CE48A9"/>
    <w:rsid w:val="66EF082E"/>
    <w:rsid w:val="67017B81"/>
    <w:rsid w:val="672F3F24"/>
    <w:rsid w:val="6734416E"/>
    <w:rsid w:val="673E055F"/>
    <w:rsid w:val="67551CE3"/>
    <w:rsid w:val="679255E8"/>
    <w:rsid w:val="67930446"/>
    <w:rsid w:val="67982C74"/>
    <w:rsid w:val="67A22552"/>
    <w:rsid w:val="67B22DCC"/>
    <w:rsid w:val="67BE71AA"/>
    <w:rsid w:val="67D90273"/>
    <w:rsid w:val="67DE5875"/>
    <w:rsid w:val="67E55852"/>
    <w:rsid w:val="67EB1AB4"/>
    <w:rsid w:val="67FA1285"/>
    <w:rsid w:val="683E788E"/>
    <w:rsid w:val="68551F4F"/>
    <w:rsid w:val="687C10C9"/>
    <w:rsid w:val="68840C16"/>
    <w:rsid w:val="68876EFB"/>
    <w:rsid w:val="68884654"/>
    <w:rsid w:val="689F444F"/>
    <w:rsid w:val="68B96DBB"/>
    <w:rsid w:val="68CA2805"/>
    <w:rsid w:val="68E937A3"/>
    <w:rsid w:val="68F71C1C"/>
    <w:rsid w:val="69101CA8"/>
    <w:rsid w:val="693E15D3"/>
    <w:rsid w:val="6956111F"/>
    <w:rsid w:val="69627681"/>
    <w:rsid w:val="6977531D"/>
    <w:rsid w:val="699B1743"/>
    <w:rsid w:val="69CC2BFF"/>
    <w:rsid w:val="69FD55B8"/>
    <w:rsid w:val="6A0B1C62"/>
    <w:rsid w:val="6A0E1913"/>
    <w:rsid w:val="6A2406C8"/>
    <w:rsid w:val="6ADE0BD1"/>
    <w:rsid w:val="6AE96859"/>
    <w:rsid w:val="6B147746"/>
    <w:rsid w:val="6B24787C"/>
    <w:rsid w:val="6B43066B"/>
    <w:rsid w:val="6B573233"/>
    <w:rsid w:val="6B5B6274"/>
    <w:rsid w:val="6B935D53"/>
    <w:rsid w:val="6BD81954"/>
    <w:rsid w:val="6C196F71"/>
    <w:rsid w:val="6C226FCB"/>
    <w:rsid w:val="6C31226F"/>
    <w:rsid w:val="6C552F0B"/>
    <w:rsid w:val="6C7D602C"/>
    <w:rsid w:val="6C8C67B7"/>
    <w:rsid w:val="6C97174C"/>
    <w:rsid w:val="6C9C3206"/>
    <w:rsid w:val="6C9D744C"/>
    <w:rsid w:val="6D0B6BF8"/>
    <w:rsid w:val="6D167928"/>
    <w:rsid w:val="6D26299B"/>
    <w:rsid w:val="6D4772EC"/>
    <w:rsid w:val="6D4819D7"/>
    <w:rsid w:val="6D9078AF"/>
    <w:rsid w:val="6DAA3FEF"/>
    <w:rsid w:val="6DBE0F5A"/>
    <w:rsid w:val="6DC0172B"/>
    <w:rsid w:val="6DCB690C"/>
    <w:rsid w:val="6DD41A5B"/>
    <w:rsid w:val="6DF43C2E"/>
    <w:rsid w:val="6DF51CA3"/>
    <w:rsid w:val="6DFB3F5C"/>
    <w:rsid w:val="6E4B0C97"/>
    <w:rsid w:val="6E8335BD"/>
    <w:rsid w:val="6E8E12EF"/>
    <w:rsid w:val="6E972936"/>
    <w:rsid w:val="6ED446C5"/>
    <w:rsid w:val="6F2A7D94"/>
    <w:rsid w:val="6F2B261F"/>
    <w:rsid w:val="6F8331F1"/>
    <w:rsid w:val="6FAA5C3A"/>
    <w:rsid w:val="6FAE1A09"/>
    <w:rsid w:val="6FCF56A0"/>
    <w:rsid w:val="6FD75BF8"/>
    <w:rsid w:val="6FFF1196"/>
    <w:rsid w:val="705B7651"/>
    <w:rsid w:val="707723D0"/>
    <w:rsid w:val="70784068"/>
    <w:rsid w:val="70C0418A"/>
    <w:rsid w:val="70F5661B"/>
    <w:rsid w:val="71360107"/>
    <w:rsid w:val="713B688E"/>
    <w:rsid w:val="71500A63"/>
    <w:rsid w:val="71B1620F"/>
    <w:rsid w:val="71B33E83"/>
    <w:rsid w:val="71CD79BE"/>
    <w:rsid w:val="71D129F4"/>
    <w:rsid w:val="71D43752"/>
    <w:rsid w:val="71F1796A"/>
    <w:rsid w:val="72154626"/>
    <w:rsid w:val="72262B5D"/>
    <w:rsid w:val="72283FF7"/>
    <w:rsid w:val="722E7212"/>
    <w:rsid w:val="723A0474"/>
    <w:rsid w:val="725923E4"/>
    <w:rsid w:val="72864BF7"/>
    <w:rsid w:val="729023FC"/>
    <w:rsid w:val="736616A6"/>
    <w:rsid w:val="7372383F"/>
    <w:rsid w:val="73AF4B09"/>
    <w:rsid w:val="73C0646E"/>
    <w:rsid w:val="742003C3"/>
    <w:rsid w:val="742222F5"/>
    <w:rsid w:val="74476126"/>
    <w:rsid w:val="74706664"/>
    <w:rsid w:val="747F3682"/>
    <w:rsid w:val="748950CE"/>
    <w:rsid w:val="749C4185"/>
    <w:rsid w:val="74D3135E"/>
    <w:rsid w:val="74F94121"/>
    <w:rsid w:val="75067759"/>
    <w:rsid w:val="752E6DCD"/>
    <w:rsid w:val="75457CE2"/>
    <w:rsid w:val="754F6D66"/>
    <w:rsid w:val="7551380D"/>
    <w:rsid w:val="75600BE5"/>
    <w:rsid w:val="7564475C"/>
    <w:rsid w:val="758355F3"/>
    <w:rsid w:val="7583797F"/>
    <w:rsid w:val="758B5587"/>
    <w:rsid w:val="75C62101"/>
    <w:rsid w:val="75D20F1D"/>
    <w:rsid w:val="75DA2C18"/>
    <w:rsid w:val="75F54412"/>
    <w:rsid w:val="761D08E0"/>
    <w:rsid w:val="765D347C"/>
    <w:rsid w:val="76826699"/>
    <w:rsid w:val="76C87133"/>
    <w:rsid w:val="76CD08D5"/>
    <w:rsid w:val="76DB4B92"/>
    <w:rsid w:val="77052AA4"/>
    <w:rsid w:val="77136511"/>
    <w:rsid w:val="772A6DB7"/>
    <w:rsid w:val="77340A39"/>
    <w:rsid w:val="77351FD0"/>
    <w:rsid w:val="77472422"/>
    <w:rsid w:val="77730E2B"/>
    <w:rsid w:val="777F31F2"/>
    <w:rsid w:val="77B70EF4"/>
    <w:rsid w:val="77BB4637"/>
    <w:rsid w:val="77BE4DB2"/>
    <w:rsid w:val="77D1700D"/>
    <w:rsid w:val="77E44502"/>
    <w:rsid w:val="77EB37B4"/>
    <w:rsid w:val="77EC04CC"/>
    <w:rsid w:val="78775729"/>
    <w:rsid w:val="78A42DB0"/>
    <w:rsid w:val="78A656AB"/>
    <w:rsid w:val="78B2245C"/>
    <w:rsid w:val="78CB6D45"/>
    <w:rsid w:val="78E172CC"/>
    <w:rsid w:val="78EA1D1F"/>
    <w:rsid w:val="7904172F"/>
    <w:rsid w:val="790F7E27"/>
    <w:rsid w:val="79273E57"/>
    <w:rsid w:val="792A231A"/>
    <w:rsid w:val="79316829"/>
    <w:rsid w:val="797E66A9"/>
    <w:rsid w:val="7984057E"/>
    <w:rsid w:val="798518A4"/>
    <w:rsid w:val="79A97383"/>
    <w:rsid w:val="79BD70A9"/>
    <w:rsid w:val="79E27E8B"/>
    <w:rsid w:val="79F850CE"/>
    <w:rsid w:val="79FD443C"/>
    <w:rsid w:val="7A1D1975"/>
    <w:rsid w:val="7A3E5150"/>
    <w:rsid w:val="7A4670D6"/>
    <w:rsid w:val="7A534B63"/>
    <w:rsid w:val="7A615382"/>
    <w:rsid w:val="7A67303B"/>
    <w:rsid w:val="7A747128"/>
    <w:rsid w:val="7A993E97"/>
    <w:rsid w:val="7AAB1D04"/>
    <w:rsid w:val="7ABA4368"/>
    <w:rsid w:val="7AD05746"/>
    <w:rsid w:val="7AF14A3A"/>
    <w:rsid w:val="7B257FFD"/>
    <w:rsid w:val="7B343476"/>
    <w:rsid w:val="7B5A2978"/>
    <w:rsid w:val="7B5A7E4C"/>
    <w:rsid w:val="7B667AF9"/>
    <w:rsid w:val="7B7468F8"/>
    <w:rsid w:val="7BEB2BB9"/>
    <w:rsid w:val="7BEE0103"/>
    <w:rsid w:val="7BFB6C41"/>
    <w:rsid w:val="7C0A0FE4"/>
    <w:rsid w:val="7C254906"/>
    <w:rsid w:val="7C590818"/>
    <w:rsid w:val="7C7C10F6"/>
    <w:rsid w:val="7C853BEA"/>
    <w:rsid w:val="7C881368"/>
    <w:rsid w:val="7CE27788"/>
    <w:rsid w:val="7D0C32F1"/>
    <w:rsid w:val="7D0F408D"/>
    <w:rsid w:val="7D4635D3"/>
    <w:rsid w:val="7D491C6C"/>
    <w:rsid w:val="7D5429C0"/>
    <w:rsid w:val="7D6E6D43"/>
    <w:rsid w:val="7D6F6A8D"/>
    <w:rsid w:val="7DB57A34"/>
    <w:rsid w:val="7DE60973"/>
    <w:rsid w:val="7DE93453"/>
    <w:rsid w:val="7DEF0916"/>
    <w:rsid w:val="7DF63252"/>
    <w:rsid w:val="7E0929FF"/>
    <w:rsid w:val="7E1E5218"/>
    <w:rsid w:val="7E3231B3"/>
    <w:rsid w:val="7E6B5D53"/>
    <w:rsid w:val="7E780A30"/>
    <w:rsid w:val="7E9A4E1F"/>
    <w:rsid w:val="7EA7723A"/>
    <w:rsid w:val="7ECF4278"/>
    <w:rsid w:val="7EF56FBB"/>
    <w:rsid w:val="7F0768EB"/>
    <w:rsid w:val="7F107071"/>
    <w:rsid w:val="7F143BEC"/>
    <w:rsid w:val="7F5A16D1"/>
    <w:rsid w:val="7F6F0C68"/>
    <w:rsid w:val="7F715AF2"/>
    <w:rsid w:val="7F886E69"/>
    <w:rsid w:val="BB7FA927"/>
    <w:rsid w:val="F5FFD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1"/>
    <w:autoRedefine/>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1"/>
    <w:next w:val="1"/>
    <w:autoRedefine/>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1"/>
    <w:autoRedefine/>
    <w:qFormat/>
    <w:uiPriority w:val="0"/>
    <w:pPr>
      <w:keepNext/>
      <w:keepLines/>
      <w:tabs>
        <w:tab w:val="left" w:pos="900"/>
      </w:tabs>
      <w:spacing w:before="260" w:after="260" w:line="416" w:lineRule="auto"/>
      <w:ind w:left="900" w:hanging="720"/>
      <w:outlineLvl w:val="2"/>
    </w:pPr>
    <w:rPr>
      <w:b/>
      <w:bCs/>
      <w:sz w:val="32"/>
      <w:szCs w:val="32"/>
    </w:rPr>
  </w:style>
  <w:style w:type="paragraph" w:styleId="5">
    <w:name w:val="heading 4"/>
    <w:basedOn w:val="1"/>
    <w:next w:val="1"/>
    <w:link w:val="325"/>
    <w:autoRedefine/>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6">
    <w:name w:val="heading 5"/>
    <w:basedOn w:val="1"/>
    <w:next w:val="1"/>
    <w:link w:val="291"/>
    <w:autoRedefine/>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145"/>
    <w:autoRedefine/>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305"/>
    <w:autoRedefine/>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56"/>
    <w:autoRedefine/>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180"/>
    <w:autoRedefine/>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autoRedefine/>
    <w:semiHidden/>
    <w:unhideWhenUsed/>
    <w:qFormat/>
    <w:uiPriority w:val="1"/>
  </w:style>
  <w:style w:type="table" w:default="1" w:styleId="62">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style>
  <w:style w:type="paragraph" w:styleId="12">
    <w:name w:val="List Number 2"/>
    <w:basedOn w:val="1"/>
    <w:autoRedefine/>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autoRedefine/>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autoRedefine/>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191"/>
    <w:autoRedefine/>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link w:val="227"/>
    <w:autoRedefine/>
    <w:qFormat/>
    <w:uiPriority w:val="0"/>
    <w:rPr>
      <w:b/>
      <w:sz w:val="28"/>
      <w:szCs w:val="20"/>
    </w:rPr>
  </w:style>
  <w:style w:type="paragraph" w:styleId="17">
    <w:name w:val="index 5"/>
    <w:basedOn w:val="1"/>
    <w:next w:val="1"/>
    <w:autoRedefine/>
    <w:qFormat/>
    <w:uiPriority w:val="0"/>
    <w:pPr>
      <w:adjustRightInd/>
      <w:ind w:left="800" w:leftChars="800" w:firstLine="200" w:firstLineChars="200"/>
    </w:pPr>
  </w:style>
  <w:style w:type="paragraph" w:styleId="18">
    <w:name w:val="Document Map"/>
    <w:basedOn w:val="1"/>
    <w:link w:val="200"/>
    <w:autoRedefine/>
    <w:qFormat/>
    <w:uiPriority w:val="0"/>
    <w:pPr>
      <w:shd w:val="clear" w:color="auto" w:fill="000080"/>
    </w:pPr>
  </w:style>
  <w:style w:type="paragraph" w:styleId="19">
    <w:name w:val="annotation text"/>
    <w:basedOn w:val="1"/>
    <w:link w:val="342"/>
    <w:autoRedefine/>
    <w:qFormat/>
    <w:uiPriority w:val="99"/>
    <w:pPr>
      <w:jc w:val="left"/>
    </w:pPr>
  </w:style>
  <w:style w:type="paragraph" w:styleId="20">
    <w:name w:val="Salutation"/>
    <w:basedOn w:val="1"/>
    <w:next w:val="1"/>
    <w:link w:val="296"/>
    <w:autoRedefine/>
    <w:qFormat/>
    <w:uiPriority w:val="0"/>
    <w:rPr>
      <w:rFonts w:ascii="仿宋_GB2312" w:eastAsia="仿宋_GB2312"/>
      <w:sz w:val="28"/>
      <w:szCs w:val="20"/>
    </w:rPr>
  </w:style>
  <w:style w:type="paragraph" w:styleId="21">
    <w:name w:val="Body Text 3"/>
    <w:basedOn w:val="1"/>
    <w:link w:val="328"/>
    <w:autoRedefine/>
    <w:qFormat/>
    <w:uiPriority w:val="0"/>
    <w:pPr>
      <w:jc w:val="center"/>
    </w:pPr>
    <w:rPr>
      <w:szCs w:val="20"/>
    </w:rPr>
  </w:style>
  <w:style w:type="paragraph" w:styleId="22">
    <w:name w:val="List Bullet 3"/>
    <w:basedOn w:val="1"/>
    <w:autoRedefine/>
    <w:unhideWhenUsed/>
    <w:qFormat/>
    <w:uiPriority w:val="0"/>
    <w:pPr>
      <w:snapToGrid w:val="0"/>
      <w:spacing w:line="360" w:lineRule="auto"/>
      <w:ind w:left="360" w:right="238" w:hanging="360"/>
      <w:contextualSpacing/>
    </w:pPr>
    <w:rPr>
      <w:sz w:val="24"/>
    </w:rPr>
  </w:style>
  <w:style w:type="paragraph" w:styleId="23">
    <w:name w:val="Body Text"/>
    <w:basedOn w:val="1"/>
    <w:next w:val="1"/>
    <w:link w:val="428"/>
    <w:autoRedefine/>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next w:val="25"/>
    <w:link w:val="263"/>
    <w:autoRedefine/>
    <w:qFormat/>
    <w:uiPriority w:val="0"/>
    <w:pPr>
      <w:spacing w:line="480" w:lineRule="exact"/>
      <w:ind w:firstLine="480" w:firstLineChars="200"/>
    </w:pPr>
    <w:rPr>
      <w:rFonts w:ascii="宋体" w:hAnsi="宋体"/>
      <w:sz w:val="24"/>
    </w:rPr>
  </w:style>
  <w:style w:type="paragraph" w:styleId="25">
    <w:name w:val="Body Text First Indent 2"/>
    <w:basedOn w:val="24"/>
    <w:next w:val="1"/>
    <w:link w:val="119"/>
    <w:autoRedefine/>
    <w:qFormat/>
    <w:uiPriority w:val="0"/>
    <w:pPr>
      <w:adjustRightInd/>
      <w:spacing w:after="120" w:line="240" w:lineRule="auto"/>
      <w:ind w:left="420" w:leftChars="200" w:firstLine="210"/>
    </w:pPr>
    <w:rPr>
      <w:sz w:val="21"/>
    </w:rPr>
  </w:style>
  <w:style w:type="paragraph" w:styleId="26">
    <w:name w:val="List Number 3"/>
    <w:basedOn w:val="1"/>
    <w:autoRedefine/>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autoRedefine/>
    <w:qFormat/>
    <w:uiPriority w:val="0"/>
    <w:pPr>
      <w:adjustRightInd/>
      <w:spacing w:line="360" w:lineRule="auto"/>
      <w:ind w:left="100" w:leftChars="200" w:hanging="200" w:hangingChars="200"/>
    </w:pPr>
    <w:rPr>
      <w:rFonts w:eastAsia="微软雅黑"/>
    </w:rPr>
  </w:style>
  <w:style w:type="paragraph" w:styleId="28">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17"/>
    <w:autoRedefine/>
    <w:qFormat/>
    <w:uiPriority w:val="0"/>
    <w:pPr>
      <w:widowControl/>
      <w:adjustRightInd/>
      <w:ind w:firstLine="200" w:firstLineChars="200"/>
      <w:jc w:val="left"/>
    </w:pPr>
    <w:rPr>
      <w:rFonts w:ascii="宋体" w:hAnsi="宋体"/>
      <w:i/>
      <w:iCs/>
      <w:kern w:val="0"/>
      <w:sz w:val="24"/>
    </w:rPr>
  </w:style>
  <w:style w:type="paragraph" w:styleId="31">
    <w:name w:val="toc 5"/>
    <w:basedOn w:val="1"/>
    <w:next w:val="1"/>
    <w:autoRedefine/>
    <w:qFormat/>
    <w:uiPriority w:val="0"/>
    <w:pPr>
      <w:ind w:left="1680" w:leftChars="800"/>
    </w:pPr>
  </w:style>
  <w:style w:type="paragraph" w:styleId="32">
    <w:name w:val="toc 3"/>
    <w:basedOn w:val="1"/>
    <w:next w:val="1"/>
    <w:autoRedefine/>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123"/>
    <w:autoRedefine/>
    <w:qFormat/>
    <w:uiPriority w:val="0"/>
    <w:rPr>
      <w:rFonts w:ascii="宋体" w:hAnsi="Courier New" w:cs="Arial"/>
      <w:snapToGrid w:val="0"/>
      <w:szCs w:val="21"/>
    </w:rPr>
  </w:style>
  <w:style w:type="paragraph" w:styleId="34">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autoRedefine/>
    <w:qFormat/>
    <w:uiPriority w:val="0"/>
    <w:pPr>
      <w:ind w:left="2940" w:leftChars="1400"/>
    </w:pPr>
  </w:style>
  <w:style w:type="paragraph" w:styleId="36">
    <w:name w:val="Date"/>
    <w:basedOn w:val="1"/>
    <w:next w:val="1"/>
    <w:link w:val="179"/>
    <w:autoRedefine/>
    <w:qFormat/>
    <w:uiPriority w:val="0"/>
    <w:pPr>
      <w:ind w:left="100" w:leftChars="2500"/>
    </w:pPr>
    <w:rPr>
      <w:rFonts w:ascii="宋体"/>
      <w:sz w:val="24"/>
      <w:szCs w:val="21"/>
      <w:lang w:val="zh-CN"/>
    </w:rPr>
  </w:style>
  <w:style w:type="paragraph" w:styleId="37">
    <w:name w:val="Body Text Indent 2"/>
    <w:basedOn w:val="1"/>
    <w:link w:val="306"/>
    <w:autoRedefine/>
    <w:qFormat/>
    <w:uiPriority w:val="0"/>
    <w:pPr>
      <w:spacing w:line="360" w:lineRule="auto"/>
      <w:ind w:firstLine="601"/>
      <w:textAlignment w:val="baseline"/>
    </w:pPr>
    <w:rPr>
      <w:rFonts w:ascii="宋体"/>
      <w:kern w:val="0"/>
      <w:sz w:val="28"/>
      <w:szCs w:val="20"/>
    </w:rPr>
  </w:style>
  <w:style w:type="paragraph" w:styleId="38">
    <w:name w:val="endnote text"/>
    <w:basedOn w:val="1"/>
    <w:link w:val="929"/>
    <w:autoRedefine/>
    <w:qFormat/>
    <w:uiPriority w:val="0"/>
    <w:rPr>
      <w:lang w:val="zh-CN"/>
    </w:rPr>
  </w:style>
  <w:style w:type="paragraph" w:styleId="39">
    <w:name w:val="Balloon Text"/>
    <w:basedOn w:val="1"/>
    <w:link w:val="186"/>
    <w:autoRedefine/>
    <w:qFormat/>
    <w:uiPriority w:val="0"/>
    <w:rPr>
      <w:sz w:val="18"/>
      <w:szCs w:val="18"/>
    </w:rPr>
  </w:style>
  <w:style w:type="paragraph" w:styleId="40">
    <w:name w:val="footer"/>
    <w:basedOn w:val="1"/>
    <w:link w:val="381"/>
    <w:autoRedefine/>
    <w:qFormat/>
    <w:uiPriority w:val="99"/>
    <w:pPr>
      <w:tabs>
        <w:tab w:val="center" w:pos="4153"/>
        <w:tab w:val="right" w:pos="8306"/>
      </w:tabs>
      <w:snapToGrid w:val="0"/>
      <w:jc w:val="left"/>
    </w:pPr>
    <w:rPr>
      <w:sz w:val="18"/>
      <w:szCs w:val="18"/>
    </w:rPr>
  </w:style>
  <w:style w:type="paragraph" w:styleId="41">
    <w:name w:val="header"/>
    <w:basedOn w:val="1"/>
    <w:link w:val="390"/>
    <w:autoRedefine/>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3"/>
    <w:autoRedefine/>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autoRedefine/>
    <w:qFormat/>
    <w:uiPriority w:val="0"/>
  </w:style>
  <w:style w:type="paragraph" w:styleId="44">
    <w:name w:val="toc 4"/>
    <w:basedOn w:val="1"/>
    <w:next w:val="1"/>
    <w:autoRedefine/>
    <w:qFormat/>
    <w:uiPriority w:val="0"/>
    <w:pPr>
      <w:ind w:left="1260" w:leftChars="600"/>
    </w:pPr>
  </w:style>
  <w:style w:type="paragraph" w:styleId="45">
    <w:name w:val="index heading"/>
    <w:basedOn w:val="1"/>
    <w:next w:val="46"/>
    <w:autoRedefine/>
    <w:qFormat/>
    <w:uiPriority w:val="0"/>
    <w:pPr>
      <w:adjustRightInd/>
      <w:ind w:firstLine="200" w:firstLineChars="200"/>
    </w:pPr>
  </w:style>
  <w:style w:type="paragraph" w:styleId="46">
    <w:name w:val="index 1"/>
    <w:basedOn w:val="1"/>
    <w:next w:val="1"/>
    <w:autoRedefine/>
    <w:qFormat/>
    <w:uiPriority w:val="0"/>
    <w:pPr>
      <w:adjustRightInd/>
      <w:spacing w:line="360" w:lineRule="auto"/>
      <w:ind w:firstLine="200" w:firstLineChars="200"/>
      <w:jc w:val="center"/>
    </w:pPr>
    <w:rPr>
      <w:sz w:val="24"/>
      <w:szCs w:val="20"/>
    </w:rPr>
  </w:style>
  <w:style w:type="paragraph" w:styleId="47">
    <w:name w:val="Subtitle"/>
    <w:link w:val="131"/>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autoRedefine/>
    <w:qFormat/>
    <w:uiPriority w:val="0"/>
    <w:pPr>
      <w:tabs>
        <w:tab w:val="left" w:pos="902"/>
      </w:tabs>
      <w:adjustRightInd/>
      <w:spacing w:line="400" w:lineRule="exact"/>
      <w:ind w:left="902" w:hanging="420"/>
    </w:pPr>
    <w:rPr>
      <w:sz w:val="24"/>
      <w:szCs w:val="20"/>
    </w:rPr>
  </w:style>
  <w:style w:type="paragraph" w:styleId="49">
    <w:name w:val="List"/>
    <w:basedOn w:val="1"/>
    <w:autoRedefine/>
    <w:qFormat/>
    <w:uiPriority w:val="0"/>
    <w:pPr>
      <w:ind w:left="200" w:hanging="200" w:hangingChars="200"/>
    </w:pPr>
  </w:style>
  <w:style w:type="paragraph" w:styleId="50">
    <w:name w:val="footnote text"/>
    <w:basedOn w:val="15"/>
    <w:link w:val="308"/>
    <w:autoRedefine/>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autoRedefine/>
    <w:qFormat/>
    <w:uiPriority w:val="0"/>
    <w:pPr>
      <w:ind w:left="2100" w:leftChars="1000"/>
    </w:pPr>
  </w:style>
  <w:style w:type="paragraph" w:styleId="52">
    <w:name w:val="List 5"/>
    <w:basedOn w:val="1"/>
    <w:autoRedefine/>
    <w:qFormat/>
    <w:uiPriority w:val="0"/>
    <w:pPr>
      <w:adjustRightInd/>
      <w:ind w:left="100" w:leftChars="800" w:hanging="200" w:hangingChars="200"/>
    </w:pPr>
  </w:style>
  <w:style w:type="paragraph" w:styleId="53">
    <w:name w:val="Body Text Indent 3"/>
    <w:basedOn w:val="1"/>
    <w:link w:val="373"/>
    <w:autoRedefine/>
    <w:qFormat/>
    <w:uiPriority w:val="0"/>
    <w:pPr>
      <w:spacing w:line="360" w:lineRule="auto"/>
      <w:ind w:firstLine="420"/>
    </w:pPr>
    <w:rPr>
      <w:sz w:val="24"/>
      <w:szCs w:val="20"/>
    </w:rPr>
  </w:style>
  <w:style w:type="paragraph" w:styleId="54">
    <w:name w:val="toc 2"/>
    <w:basedOn w:val="1"/>
    <w:next w:val="1"/>
    <w:autoRedefine/>
    <w:qFormat/>
    <w:uiPriority w:val="0"/>
    <w:pPr>
      <w:ind w:left="420" w:leftChars="200"/>
    </w:pPr>
  </w:style>
  <w:style w:type="paragraph" w:styleId="55">
    <w:name w:val="toc 9"/>
    <w:basedOn w:val="1"/>
    <w:next w:val="1"/>
    <w:autoRedefine/>
    <w:qFormat/>
    <w:uiPriority w:val="0"/>
    <w:pPr>
      <w:ind w:left="3360" w:leftChars="1600"/>
    </w:pPr>
  </w:style>
  <w:style w:type="paragraph" w:styleId="56">
    <w:name w:val="Body Text 2"/>
    <w:basedOn w:val="1"/>
    <w:link w:val="300"/>
    <w:autoRedefine/>
    <w:qFormat/>
    <w:uiPriority w:val="0"/>
    <w:pPr>
      <w:spacing w:after="120" w:line="480" w:lineRule="auto"/>
    </w:pPr>
  </w:style>
  <w:style w:type="paragraph" w:styleId="57">
    <w:name w:val="HTML Preformatted"/>
    <w:basedOn w:val="1"/>
    <w:link w:val="299"/>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4"/>
    <w:autoRedefine/>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19"/>
    <w:next w:val="19"/>
    <w:link w:val="94"/>
    <w:autoRedefine/>
    <w:qFormat/>
    <w:uiPriority w:val="0"/>
    <w:rPr>
      <w:b/>
      <w:bCs/>
    </w:rPr>
  </w:style>
  <w:style w:type="paragraph" w:styleId="61">
    <w:name w:val="Body Text First Indent"/>
    <w:basedOn w:val="23"/>
    <w:link w:val="319"/>
    <w:autoRedefine/>
    <w:qFormat/>
    <w:uiPriority w:val="0"/>
    <w:pPr>
      <w:ind w:firstLine="420"/>
    </w:pPr>
    <w:rPr>
      <w:rFonts w:hAnsi="Calibri" w:cs="Times New Roman"/>
      <w:snapToGrid/>
      <w:szCs w:val="20"/>
    </w:rPr>
  </w:style>
  <w:style w:type="table" w:styleId="63">
    <w:name w:val="Table Grid"/>
    <w:basedOn w:val="6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Theme"/>
    <w:basedOn w:val="6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Elegant"/>
    <w:basedOn w:val="62"/>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autoRedefine/>
    <w:qFormat/>
    <w:uiPriority w:val="22"/>
    <w:rPr>
      <w:b/>
      <w:bCs/>
    </w:rPr>
  </w:style>
  <w:style w:type="character" w:styleId="71">
    <w:name w:val="endnote reference"/>
    <w:autoRedefine/>
    <w:qFormat/>
    <w:uiPriority w:val="0"/>
    <w:rPr>
      <w:vertAlign w:val="superscript"/>
    </w:rPr>
  </w:style>
  <w:style w:type="character" w:styleId="72">
    <w:name w:val="page number"/>
    <w:basedOn w:val="69"/>
    <w:autoRedefine/>
    <w:qFormat/>
    <w:uiPriority w:val="0"/>
    <w:rPr>
      <w:rFonts w:ascii="Arial" w:hAnsi="Arial" w:eastAsia="黑体" w:cs="Arial"/>
      <w:snapToGrid w:val="0"/>
      <w:kern w:val="0"/>
      <w:szCs w:val="21"/>
    </w:rPr>
  </w:style>
  <w:style w:type="character" w:styleId="73">
    <w:name w:val="FollowedHyperlink"/>
    <w:autoRedefine/>
    <w:qFormat/>
    <w:uiPriority w:val="99"/>
    <w:rPr>
      <w:rFonts w:ascii="Arial" w:hAnsi="Arial" w:eastAsia="黑体" w:cs="Arial"/>
      <w:snapToGrid w:val="0"/>
      <w:color w:val="000000"/>
      <w:kern w:val="0"/>
      <w:sz w:val="18"/>
      <w:szCs w:val="18"/>
      <w:u w:val="none"/>
    </w:rPr>
  </w:style>
  <w:style w:type="character" w:styleId="74">
    <w:name w:val="Emphasis"/>
    <w:autoRedefine/>
    <w:qFormat/>
    <w:uiPriority w:val="20"/>
    <w:rPr>
      <w:color w:val="CC0033"/>
    </w:rPr>
  </w:style>
  <w:style w:type="character" w:styleId="75">
    <w:name w:val="line number"/>
    <w:basedOn w:val="69"/>
    <w:autoRedefine/>
    <w:qFormat/>
    <w:uiPriority w:val="0"/>
    <w:rPr>
      <w:rFonts w:ascii="Arial" w:hAnsi="Arial" w:eastAsia="黑体" w:cs="Arial"/>
      <w:snapToGrid w:val="0"/>
      <w:kern w:val="0"/>
      <w:szCs w:val="21"/>
    </w:rPr>
  </w:style>
  <w:style w:type="character" w:styleId="76">
    <w:name w:val="Hyperlink"/>
    <w:autoRedefine/>
    <w:qFormat/>
    <w:uiPriority w:val="99"/>
    <w:rPr>
      <w:rFonts w:ascii="Arial" w:hAnsi="Arial" w:eastAsia="黑体" w:cs="Arial"/>
      <w:snapToGrid w:val="0"/>
      <w:color w:val="000000"/>
      <w:kern w:val="0"/>
      <w:sz w:val="18"/>
      <w:szCs w:val="18"/>
      <w:u w:val="none"/>
    </w:rPr>
  </w:style>
  <w:style w:type="character" w:styleId="77">
    <w:name w:val="HTML Code"/>
    <w:autoRedefine/>
    <w:qFormat/>
    <w:uiPriority w:val="0"/>
    <w:rPr>
      <w:rFonts w:ascii="黑体" w:hAnsi="Courier New" w:eastAsia="黑体" w:cs="楷体_GB2312"/>
      <w:sz w:val="20"/>
      <w:szCs w:val="20"/>
    </w:rPr>
  </w:style>
  <w:style w:type="character" w:styleId="78">
    <w:name w:val="annotation reference"/>
    <w:autoRedefine/>
    <w:qFormat/>
    <w:uiPriority w:val="99"/>
    <w:rPr>
      <w:sz w:val="21"/>
      <w:szCs w:val="21"/>
    </w:rPr>
  </w:style>
  <w:style w:type="paragraph" w:customStyle="1" w:styleId="79">
    <w:name w:val="标准正文"/>
    <w:basedOn w:val="1"/>
    <w:autoRedefine/>
    <w:qFormat/>
    <w:uiPriority w:val="0"/>
    <w:pPr>
      <w:tabs>
        <w:tab w:val="left" w:pos="780"/>
      </w:tabs>
      <w:adjustRightInd/>
      <w:spacing w:line="360" w:lineRule="auto"/>
      <w:ind w:left="200" w:leftChars="200" w:firstLine="200" w:firstLineChars="200"/>
    </w:pPr>
    <w:rPr>
      <w:sz w:val="24"/>
    </w:rPr>
  </w:style>
  <w:style w:type="character" w:customStyle="1" w:styleId="80">
    <w:name w:val="表格非标题文字 Char"/>
    <w:link w:val="81"/>
    <w:autoRedefine/>
    <w:qFormat/>
    <w:uiPriority w:val="0"/>
    <w:rPr>
      <w:rFonts w:ascii="Futura Bk" w:hAnsi="Futura Bk"/>
      <w:kern w:val="2"/>
      <w:sz w:val="18"/>
      <w:szCs w:val="21"/>
      <w:lang w:val="en-US" w:eastAsia="zh-CN" w:bidi="ar-SA"/>
    </w:rPr>
  </w:style>
  <w:style w:type="paragraph" w:customStyle="1" w:styleId="81">
    <w:name w:val="表格非标题文字"/>
    <w:link w:val="80"/>
    <w:autoRedefine/>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2">
    <w:name w:val="*正文 Char"/>
    <w:link w:val="83"/>
    <w:autoRedefine/>
    <w:qFormat/>
    <w:locked/>
    <w:uiPriority w:val="0"/>
    <w:rPr>
      <w:rFonts w:ascii="宋体" w:hAnsi="宋体"/>
      <w:sz w:val="24"/>
    </w:rPr>
  </w:style>
  <w:style w:type="paragraph" w:customStyle="1" w:styleId="83">
    <w:name w:val="*正文"/>
    <w:basedOn w:val="1"/>
    <w:link w:val="82"/>
    <w:autoRedefine/>
    <w:qFormat/>
    <w:uiPriority w:val="0"/>
    <w:pPr>
      <w:snapToGrid w:val="0"/>
      <w:spacing w:line="360" w:lineRule="auto"/>
      <w:ind w:firstLine="482"/>
      <w:jc w:val="left"/>
    </w:pPr>
    <w:rPr>
      <w:rFonts w:ascii="宋体" w:hAnsi="宋体"/>
      <w:kern w:val="0"/>
      <w:sz w:val="24"/>
      <w:szCs w:val="20"/>
    </w:rPr>
  </w:style>
  <w:style w:type="character" w:customStyle="1" w:styleId="84">
    <w:name w:val="Char Char71"/>
    <w:autoRedefine/>
    <w:semiHidden/>
    <w:qFormat/>
    <w:uiPriority w:val="0"/>
    <w:rPr>
      <w:rFonts w:eastAsia="宋体"/>
      <w:kern w:val="2"/>
      <w:sz w:val="21"/>
      <w:szCs w:val="24"/>
      <w:lang w:val="en-US" w:eastAsia="zh-CN" w:bidi="ar-SA"/>
    </w:rPr>
  </w:style>
  <w:style w:type="character" w:customStyle="1" w:styleId="85">
    <w:name w:val="Char Char6"/>
    <w:autoRedefine/>
    <w:qFormat/>
    <w:uiPriority w:val="0"/>
    <w:rPr>
      <w:rFonts w:eastAsia="宋体"/>
      <w:kern w:val="2"/>
      <w:sz w:val="21"/>
      <w:szCs w:val="24"/>
      <w:lang w:val="en-US" w:eastAsia="zh-CN" w:bidi="ar-SA"/>
    </w:rPr>
  </w:style>
  <w:style w:type="character" w:customStyle="1" w:styleId="86">
    <w:name w:val="正文缩进 Char"/>
    <w:autoRedefine/>
    <w:qFormat/>
    <w:uiPriority w:val="0"/>
    <w:rPr>
      <w:rFonts w:eastAsia="宋体"/>
      <w:kern w:val="2"/>
      <w:sz w:val="21"/>
      <w:lang w:val="en-US" w:eastAsia="zh-CN"/>
    </w:rPr>
  </w:style>
  <w:style w:type="character" w:customStyle="1" w:styleId="87">
    <w:name w:val="正文首行缩进 Char1"/>
    <w:autoRedefine/>
    <w:qFormat/>
    <w:uiPriority w:val="0"/>
    <w:rPr>
      <w:rFonts w:ascii="宋体" w:hAnsi="Times New Roman" w:eastAsia="宋体" w:cs="Times New Roman"/>
      <w:snapToGrid w:val="0"/>
      <w:kern w:val="2"/>
      <w:sz w:val="24"/>
      <w:szCs w:val="21"/>
      <w:lang w:val="zh-CN"/>
    </w:rPr>
  </w:style>
  <w:style w:type="character" w:customStyle="1" w:styleId="88">
    <w:name w:val="Char Char28"/>
    <w:autoRedefine/>
    <w:qFormat/>
    <w:uiPriority w:val="6"/>
    <w:rPr>
      <w:rFonts w:ascii="仿宋_GB2312" w:hAnsi="仿宋_GB2312" w:eastAsia="仿宋_GB2312"/>
      <w:kern w:val="1"/>
      <w:sz w:val="28"/>
    </w:rPr>
  </w:style>
  <w:style w:type="character" w:customStyle="1" w:styleId="89">
    <w:name w:val="标题 3 Char1"/>
    <w:autoRedefine/>
    <w:qFormat/>
    <w:uiPriority w:val="0"/>
    <w:rPr>
      <w:rFonts w:hint="eastAsia" w:ascii="华文中宋" w:hAnsi="华文中宋" w:eastAsia="华文中宋"/>
      <w:b/>
      <w:bCs/>
      <w:kern w:val="2"/>
      <w:sz w:val="32"/>
      <w:szCs w:val="32"/>
      <w:lang w:val="en-US" w:eastAsia="zh-CN" w:bidi="ar-SA"/>
    </w:rPr>
  </w:style>
  <w:style w:type="character" w:customStyle="1" w:styleId="90">
    <w:name w:val="Heading 1 Char"/>
    <w:autoRedefine/>
    <w:qFormat/>
    <w:uiPriority w:val="6"/>
    <w:rPr>
      <w:rFonts w:ascii="Times New Roman" w:hAnsi="Times New Roman" w:eastAsia="黑体" w:cs="Times New Roman"/>
      <w:b/>
      <w:kern w:val="0"/>
      <w:sz w:val="24"/>
      <w:szCs w:val="24"/>
    </w:rPr>
  </w:style>
  <w:style w:type="character" w:customStyle="1" w:styleId="91">
    <w:name w:val="U_正文 Char"/>
    <w:link w:val="92"/>
    <w:autoRedefine/>
    <w:qFormat/>
    <w:uiPriority w:val="0"/>
    <w:rPr>
      <w:sz w:val="24"/>
      <w:szCs w:val="24"/>
    </w:rPr>
  </w:style>
  <w:style w:type="paragraph" w:customStyle="1" w:styleId="92">
    <w:name w:val="U_正文"/>
    <w:basedOn w:val="1"/>
    <w:link w:val="91"/>
    <w:autoRedefine/>
    <w:qFormat/>
    <w:uiPriority w:val="0"/>
    <w:pPr>
      <w:adjustRightInd/>
      <w:spacing w:beforeLines="20" w:afterLines="20" w:line="300" w:lineRule="auto"/>
      <w:ind w:firstLine="200" w:firstLineChars="200"/>
    </w:pPr>
    <w:rPr>
      <w:kern w:val="0"/>
      <w:sz w:val="24"/>
    </w:rPr>
  </w:style>
  <w:style w:type="character" w:customStyle="1" w:styleId="93">
    <w:name w:val="HTML 地址 Char1"/>
    <w:autoRedefine/>
    <w:qFormat/>
    <w:uiPriority w:val="0"/>
    <w:rPr>
      <w:rFonts w:ascii="Times New Roman" w:hAnsi="Times New Roman" w:eastAsia="宋体" w:cs="Times New Roman"/>
      <w:i/>
      <w:iCs/>
      <w:szCs w:val="24"/>
    </w:rPr>
  </w:style>
  <w:style w:type="character" w:customStyle="1" w:styleId="94">
    <w:name w:val="批注主题 字符"/>
    <w:link w:val="60"/>
    <w:autoRedefine/>
    <w:qFormat/>
    <w:uiPriority w:val="0"/>
    <w:rPr>
      <w:b/>
      <w:bCs/>
      <w:kern w:val="2"/>
      <w:sz w:val="21"/>
      <w:szCs w:val="24"/>
    </w:rPr>
  </w:style>
  <w:style w:type="character" w:customStyle="1" w:styleId="95">
    <w:name w:val="Char Char51"/>
    <w:autoRedefine/>
    <w:qFormat/>
    <w:uiPriority w:val="0"/>
    <w:rPr>
      <w:rFonts w:ascii="宋体" w:hAnsi="Courier New" w:eastAsia="宋体"/>
      <w:kern w:val="2"/>
      <w:sz w:val="21"/>
      <w:lang w:val="en-US" w:eastAsia="zh-CN"/>
    </w:rPr>
  </w:style>
  <w:style w:type="character" w:customStyle="1" w:styleId="96">
    <w:name w:val="表正文 Char"/>
    <w:autoRedefine/>
    <w:qFormat/>
    <w:uiPriority w:val="0"/>
    <w:rPr>
      <w:rFonts w:ascii="宋体" w:eastAsia="宋体"/>
      <w:snapToGrid w:val="0"/>
      <w:color w:val="000000"/>
      <w:kern w:val="28"/>
      <w:sz w:val="28"/>
      <w:lang w:val="en-US" w:eastAsia="zh-CN" w:bidi="ar-SA"/>
    </w:rPr>
  </w:style>
  <w:style w:type="character" w:customStyle="1" w:styleId="97">
    <w:name w:val="Char Char34"/>
    <w:autoRedefine/>
    <w:qFormat/>
    <w:uiPriority w:val="6"/>
    <w:rPr>
      <w:b/>
      <w:kern w:val="1"/>
      <w:sz w:val="28"/>
      <w:szCs w:val="28"/>
    </w:rPr>
  </w:style>
  <w:style w:type="character" w:customStyle="1" w:styleId="98">
    <w:name w:val="Normal Indent Char"/>
    <w:autoRedefine/>
    <w:qFormat/>
    <w:locked/>
    <w:uiPriority w:val="0"/>
    <w:rPr>
      <w:rFonts w:ascii="Calibri" w:hAnsi="Calibri" w:eastAsia="宋体" w:cs="黑体"/>
      <w:snapToGrid w:val="0"/>
      <w:kern w:val="2"/>
      <w:sz w:val="24"/>
      <w:szCs w:val="22"/>
      <w:lang w:val="en-US" w:eastAsia="zh-CN" w:bidi="ar-SA"/>
    </w:rPr>
  </w:style>
  <w:style w:type="character" w:customStyle="1" w:styleId="99">
    <w:name w:val="哈哈正文 Char"/>
    <w:link w:val="100"/>
    <w:autoRedefine/>
    <w:qFormat/>
    <w:uiPriority w:val="0"/>
    <w:rPr>
      <w:rFonts w:ascii="宋体" w:hAnsi="宋体" w:eastAsia="宋体"/>
      <w:kern w:val="2"/>
      <w:sz w:val="24"/>
      <w:lang w:bidi="ar-SA"/>
    </w:rPr>
  </w:style>
  <w:style w:type="paragraph" w:customStyle="1" w:styleId="100">
    <w:name w:val="哈哈正文"/>
    <w:basedOn w:val="1"/>
    <w:link w:val="99"/>
    <w:autoRedefine/>
    <w:qFormat/>
    <w:uiPriority w:val="0"/>
    <w:pPr>
      <w:adjustRightInd/>
      <w:spacing w:line="360" w:lineRule="auto"/>
      <w:ind w:firstLine="200" w:firstLineChars="200"/>
    </w:pPr>
    <w:rPr>
      <w:rFonts w:ascii="宋体" w:hAnsi="宋体"/>
      <w:sz w:val="24"/>
      <w:szCs w:val="20"/>
    </w:rPr>
  </w:style>
  <w:style w:type="character" w:customStyle="1" w:styleId="101">
    <w:name w:val="未处理的提及1"/>
    <w:autoRedefine/>
    <w:qFormat/>
    <w:uiPriority w:val="0"/>
    <w:rPr>
      <w:color w:val="808080"/>
      <w:shd w:val="clear" w:color="auto" w:fill="E6E6E6"/>
    </w:rPr>
  </w:style>
  <w:style w:type="character" w:customStyle="1" w:styleId="102">
    <w:name w:val="txt"/>
    <w:autoRedefine/>
    <w:qFormat/>
    <w:uiPriority w:val="0"/>
    <w:rPr>
      <w:rFonts w:ascii="仿宋_GB2312" w:eastAsia="微软雅黑"/>
      <w:b/>
      <w:kern w:val="2"/>
      <w:sz w:val="32"/>
      <w:szCs w:val="32"/>
      <w:lang w:val="en-US" w:eastAsia="zh-CN" w:bidi="ar-SA"/>
    </w:rPr>
  </w:style>
  <w:style w:type="character" w:customStyle="1" w:styleId="103">
    <w:name w:val="二级标题 Char Char"/>
    <w:autoRedefine/>
    <w:qFormat/>
    <w:uiPriority w:val="0"/>
    <w:rPr>
      <w:rFonts w:ascii="宋体" w:hAnsi="宋体" w:eastAsia="宋体"/>
      <w:b/>
      <w:snapToGrid w:val="0"/>
      <w:kern w:val="2"/>
      <w:sz w:val="24"/>
      <w:szCs w:val="24"/>
      <w:lang w:val="en-US" w:eastAsia="zh-CN" w:bidi="ar-SA"/>
    </w:rPr>
  </w:style>
  <w:style w:type="character" w:customStyle="1" w:styleId="104">
    <w:name w:val="Char Char32"/>
    <w:autoRedefine/>
    <w:qFormat/>
    <w:uiPriority w:val="6"/>
    <w:rPr>
      <w:b/>
      <w:kern w:val="1"/>
      <w:sz w:val="24"/>
      <w:szCs w:val="24"/>
    </w:rPr>
  </w:style>
  <w:style w:type="character" w:customStyle="1" w:styleId="105">
    <w:name w:val="PI Char1"/>
    <w:autoRedefine/>
    <w:qFormat/>
    <w:uiPriority w:val="0"/>
    <w:rPr>
      <w:rFonts w:ascii="宋体" w:hAnsi="宋体"/>
      <w:kern w:val="2"/>
      <w:sz w:val="24"/>
      <w:szCs w:val="24"/>
    </w:rPr>
  </w:style>
  <w:style w:type="character" w:customStyle="1" w:styleId="106">
    <w:name w:val="tw4winTerm"/>
    <w:autoRedefine/>
    <w:qFormat/>
    <w:uiPriority w:val="0"/>
    <w:rPr>
      <w:color w:val="0000FF"/>
    </w:rPr>
  </w:style>
  <w:style w:type="character" w:customStyle="1" w:styleId="107">
    <w:name w:val="Footer Char"/>
    <w:autoRedefine/>
    <w:qFormat/>
    <w:locked/>
    <w:uiPriority w:val="0"/>
    <w:rPr>
      <w:rFonts w:eastAsia="宋体"/>
      <w:kern w:val="2"/>
      <w:sz w:val="18"/>
      <w:lang w:val="en-US" w:eastAsia="zh-CN" w:bidi="ar-SA"/>
    </w:rPr>
  </w:style>
  <w:style w:type="character" w:customStyle="1" w:styleId="108">
    <w:name w:val="普通文字 Char Char1"/>
    <w:autoRedefine/>
    <w:qFormat/>
    <w:uiPriority w:val="0"/>
    <w:rPr>
      <w:rFonts w:ascii="宋体" w:hAnsi="Courier New"/>
      <w:kern w:val="2"/>
      <w:sz w:val="21"/>
    </w:rPr>
  </w:style>
  <w:style w:type="character" w:customStyle="1" w:styleId="109">
    <w:name w:val="Char Char101"/>
    <w:autoRedefine/>
    <w:qFormat/>
    <w:uiPriority w:val="6"/>
    <w:rPr>
      <w:rFonts w:ascii="宋体" w:hAnsi="宋体"/>
      <w:kern w:val="2"/>
      <w:sz w:val="21"/>
      <w:szCs w:val="24"/>
      <w:lang w:val="en-US" w:eastAsia="zh-CN"/>
    </w:rPr>
  </w:style>
  <w:style w:type="character" w:customStyle="1" w:styleId="110">
    <w:name w:val="标题 4 Char"/>
    <w:autoRedefine/>
    <w:qFormat/>
    <w:uiPriority w:val="0"/>
    <w:rPr>
      <w:rFonts w:ascii="Arial" w:hAnsi="Arial" w:eastAsia="黑体"/>
      <w:b/>
      <w:kern w:val="2"/>
      <w:sz w:val="28"/>
    </w:rPr>
  </w:style>
  <w:style w:type="character" w:customStyle="1" w:styleId="111">
    <w:name w:val="链接"/>
    <w:autoRedefine/>
    <w:qFormat/>
    <w:uiPriority w:val="0"/>
    <w:rPr>
      <w:color w:val="0000FF"/>
      <w:sz w:val="21"/>
      <w:szCs w:val="21"/>
      <w:u w:val="single"/>
    </w:rPr>
  </w:style>
  <w:style w:type="character" w:customStyle="1" w:styleId="112">
    <w:name w:val="h4 Char"/>
    <w:autoRedefine/>
    <w:qFormat/>
    <w:uiPriority w:val="0"/>
    <w:rPr>
      <w:rFonts w:ascii="Arial" w:hAnsi="Arial" w:eastAsia="黑体"/>
      <w:b/>
      <w:bCs/>
      <w:kern w:val="2"/>
      <w:sz w:val="28"/>
      <w:szCs w:val="28"/>
      <w:lang w:val="zh-CN" w:eastAsia="zh-CN" w:bidi="ar-SA"/>
    </w:rPr>
  </w:style>
  <w:style w:type="character" w:customStyle="1" w:styleId="113">
    <w:name w:val="5正文 Char"/>
    <w:link w:val="114"/>
    <w:autoRedefine/>
    <w:qFormat/>
    <w:uiPriority w:val="0"/>
    <w:rPr>
      <w:rFonts w:ascii="仿宋_GB2312" w:hAnsi="微软雅黑" w:eastAsia="仿宋_GB2312"/>
      <w:sz w:val="28"/>
      <w:szCs w:val="21"/>
    </w:rPr>
  </w:style>
  <w:style w:type="paragraph" w:customStyle="1" w:styleId="114">
    <w:name w:val="5正文"/>
    <w:basedOn w:val="1"/>
    <w:link w:val="113"/>
    <w:autoRedefine/>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5">
    <w:name w:val="标题 3 字符"/>
    <w:autoRedefine/>
    <w:qFormat/>
    <w:uiPriority w:val="9"/>
    <w:rPr>
      <w:b/>
      <w:bCs/>
      <w:kern w:val="2"/>
      <w:sz w:val="32"/>
      <w:szCs w:val="32"/>
    </w:rPr>
  </w:style>
  <w:style w:type="character" w:customStyle="1" w:styleId="116">
    <w:name w:val="样式6 Char"/>
    <w:autoRedefine/>
    <w:qFormat/>
    <w:uiPriority w:val="0"/>
    <w:rPr>
      <w:rFonts w:ascii="仿宋_GB2312" w:hAnsi="宋体" w:eastAsia="仿宋_GB2312"/>
      <w:b/>
      <w:bCs/>
      <w:kern w:val="2"/>
      <w:sz w:val="24"/>
      <w:szCs w:val="24"/>
      <w:lang w:val="en-US" w:eastAsia="zh-CN" w:bidi="ar-SA"/>
    </w:rPr>
  </w:style>
  <w:style w:type="character" w:customStyle="1" w:styleId="117">
    <w:name w:val="Char Char14"/>
    <w:autoRedefine/>
    <w:qFormat/>
    <w:uiPriority w:val="6"/>
    <w:rPr>
      <w:rFonts w:ascii="黑体" w:hAnsi="黑体" w:eastAsia="黑体"/>
    </w:rPr>
  </w:style>
  <w:style w:type="character" w:customStyle="1" w:styleId="118">
    <w:name w:val="Heading 2 Hidden Char"/>
    <w:autoRedefine/>
    <w:qFormat/>
    <w:uiPriority w:val="0"/>
    <w:rPr>
      <w:rFonts w:ascii="仿宋_GB2312" w:eastAsia="仿宋_GB2312"/>
      <w:b/>
      <w:bCs/>
      <w:kern w:val="2"/>
      <w:sz w:val="24"/>
      <w:szCs w:val="24"/>
      <w:lang w:val="zh-CN" w:eastAsia="zh-CN" w:bidi="ar-SA"/>
    </w:rPr>
  </w:style>
  <w:style w:type="character" w:customStyle="1" w:styleId="119">
    <w:name w:val="正文首行缩进 2 字符"/>
    <w:link w:val="25"/>
    <w:autoRedefine/>
    <w:qFormat/>
    <w:uiPriority w:val="0"/>
    <w:rPr>
      <w:rFonts w:ascii="宋体" w:hAnsi="宋体"/>
      <w:kern w:val="2"/>
      <w:sz w:val="21"/>
      <w:szCs w:val="24"/>
    </w:rPr>
  </w:style>
  <w:style w:type="character" w:customStyle="1" w:styleId="120">
    <w:name w:val="font11"/>
    <w:autoRedefine/>
    <w:qFormat/>
    <w:uiPriority w:val="0"/>
    <w:rPr>
      <w:rFonts w:hint="default" w:ascii="Times New Roman" w:hAnsi="Times New Roman" w:cs="Times New Roman"/>
      <w:color w:val="000000"/>
      <w:sz w:val="22"/>
      <w:szCs w:val="22"/>
      <w:u w:val="none"/>
    </w:rPr>
  </w:style>
  <w:style w:type="character" w:customStyle="1" w:styleId="121">
    <w:name w:val="表正文 Char1"/>
    <w:autoRedefine/>
    <w:qFormat/>
    <w:uiPriority w:val="0"/>
    <w:rPr>
      <w:rFonts w:ascii="宋体" w:eastAsia="宋体"/>
      <w:snapToGrid w:val="0"/>
      <w:color w:val="000000"/>
      <w:kern w:val="28"/>
      <w:sz w:val="28"/>
    </w:rPr>
  </w:style>
  <w:style w:type="character" w:customStyle="1" w:styleId="122">
    <w:name w:val="blue1"/>
    <w:basedOn w:val="69"/>
    <w:autoRedefine/>
    <w:qFormat/>
    <w:uiPriority w:val="0"/>
    <w:rPr>
      <w:rFonts w:ascii="Arial" w:hAnsi="Arial" w:eastAsia="黑体" w:cs="Arial"/>
      <w:snapToGrid w:val="0"/>
      <w:kern w:val="0"/>
      <w:szCs w:val="21"/>
    </w:rPr>
  </w:style>
  <w:style w:type="character" w:customStyle="1" w:styleId="123">
    <w:name w:val="纯文本 字符1"/>
    <w:link w:val="33"/>
    <w:autoRedefine/>
    <w:qFormat/>
    <w:uiPriority w:val="0"/>
    <w:rPr>
      <w:rFonts w:ascii="宋体" w:hAnsi="Courier New" w:eastAsia="宋体" w:cs="Arial"/>
      <w:snapToGrid w:val="0"/>
      <w:kern w:val="2"/>
      <w:sz w:val="21"/>
      <w:szCs w:val="21"/>
      <w:lang w:val="en-US" w:eastAsia="zh-CN" w:bidi="ar-SA"/>
    </w:rPr>
  </w:style>
  <w:style w:type="character" w:customStyle="1" w:styleId="124">
    <w:name w:val="标书1 Char"/>
    <w:autoRedefine/>
    <w:qFormat/>
    <w:uiPriority w:val="0"/>
    <w:rPr>
      <w:rFonts w:eastAsia="宋体"/>
      <w:b/>
      <w:bCs/>
      <w:kern w:val="44"/>
      <w:sz w:val="44"/>
      <w:szCs w:val="44"/>
      <w:lang w:val="en-US" w:eastAsia="zh-CN" w:bidi="ar-SA"/>
    </w:rPr>
  </w:style>
  <w:style w:type="character" w:customStyle="1" w:styleId="125">
    <w:name w:val="样式5 Char"/>
    <w:autoRedefine/>
    <w:qFormat/>
    <w:uiPriority w:val="0"/>
    <w:rPr>
      <w:rFonts w:ascii="仿宋_GB2312" w:hAnsi="仿宋" w:eastAsia="仿宋_GB2312"/>
      <w:kern w:val="2"/>
      <w:sz w:val="24"/>
      <w:szCs w:val="24"/>
    </w:rPr>
  </w:style>
  <w:style w:type="character" w:customStyle="1" w:styleId="126">
    <w:name w:val="样式4 Char"/>
    <w:autoRedefine/>
    <w:qFormat/>
    <w:uiPriority w:val="0"/>
    <w:rPr>
      <w:rFonts w:ascii="仿宋_GB2312" w:hAnsi="仿宋" w:eastAsia="仿宋_GB2312"/>
      <w:b/>
      <w:kern w:val="2"/>
      <w:sz w:val="32"/>
      <w:szCs w:val="32"/>
      <w:lang w:bidi="ar-SA"/>
    </w:rPr>
  </w:style>
  <w:style w:type="character" w:customStyle="1" w:styleId="127">
    <w:name w:val="插图说明 Char"/>
    <w:autoRedefine/>
    <w:qFormat/>
    <w:uiPriority w:val="0"/>
    <w:rPr>
      <w:rFonts w:eastAsia="黑体"/>
      <w:sz w:val="24"/>
      <w:lang w:val="en-US" w:eastAsia="zh-CN"/>
    </w:rPr>
  </w:style>
  <w:style w:type="character" w:customStyle="1" w:styleId="128">
    <w:name w:val="正文2 Char Char"/>
    <w:link w:val="129"/>
    <w:autoRedefine/>
    <w:qFormat/>
    <w:uiPriority w:val="0"/>
    <w:rPr>
      <w:rFonts w:eastAsia="宋体"/>
      <w:kern w:val="2"/>
      <w:sz w:val="24"/>
      <w:lang w:val="en-US" w:eastAsia="zh-CN" w:bidi="ar-SA"/>
    </w:rPr>
  </w:style>
  <w:style w:type="paragraph" w:customStyle="1" w:styleId="129">
    <w:name w:val="正文2"/>
    <w:basedOn w:val="1"/>
    <w:link w:val="128"/>
    <w:autoRedefine/>
    <w:qFormat/>
    <w:uiPriority w:val="0"/>
    <w:pPr>
      <w:spacing w:before="156" w:line="360" w:lineRule="auto"/>
      <w:ind w:firstLine="510" w:firstLineChars="200"/>
    </w:pPr>
    <w:rPr>
      <w:sz w:val="24"/>
      <w:szCs w:val="20"/>
    </w:rPr>
  </w:style>
  <w:style w:type="character" w:customStyle="1" w:styleId="130">
    <w:name w:val="Char Char24"/>
    <w:autoRedefine/>
    <w:qFormat/>
    <w:uiPriority w:val="6"/>
    <w:rPr>
      <w:kern w:val="1"/>
      <w:sz w:val="21"/>
    </w:rPr>
  </w:style>
  <w:style w:type="character" w:customStyle="1" w:styleId="131">
    <w:name w:val="副标题 字符"/>
    <w:link w:val="47"/>
    <w:autoRedefine/>
    <w:qFormat/>
    <w:uiPriority w:val="0"/>
    <w:rPr>
      <w:rFonts w:ascii="Arial" w:hAnsi="Arial" w:eastAsia="隶书"/>
      <w:b/>
      <w:bCs/>
      <w:kern w:val="28"/>
      <w:sz w:val="44"/>
      <w:szCs w:val="32"/>
      <w:lang w:val="en-US" w:eastAsia="zh-CN" w:bidi="ar-SA"/>
    </w:rPr>
  </w:style>
  <w:style w:type="character" w:customStyle="1" w:styleId="132">
    <w:name w:val="普通文字 Char1 Char"/>
    <w:autoRedefine/>
    <w:qFormat/>
    <w:uiPriority w:val="0"/>
    <w:rPr>
      <w:rFonts w:ascii="宋体" w:hAnsi="Courier New" w:eastAsia="宋体"/>
      <w:kern w:val="2"/>
      <w:sz w:val="21"/>
      <w:szCs w:val="24"/>
      <w:lang w:val="en-US" w:eastAsia="zh-CN" w:bidi="ar-SA"/>
    </w:rPr>
  </w:style>
  <w:style w:type="character" w:customStyle="1" w:styleId="133">
    <w:name w:val="h3 Char1"/>
    <w:autoRedefine/>
    <w:qFormat/>
    <w:uiPriority w:val="0"/>
    <w:rPr>
      <w:rFonts w:eastAsia="宋体"/>
      <w:b/>
      <w:bCs/>
      <w:kern w:val="2"/>
      <w:sz w:val="32"/>
      <w:szCs w:val="32"/>
      <w:lang w:bidi="ar-SA"/>
    </w:rPr>
  </w:style>
  <w:style w:type="character" w:customStyle="1" w:styleId="134">
    <w:name w:val="标题 Char1"/>
    <w:autoRedefine/>
    <w:qFormat/>
    <w:uiPriority w:val="0"/>
    <w:rPr>
      <w:rFonts w:ascii="Cambria" w:hAnsi="Cambria" w:eastAsia="宋体" w:cs="Times New Roman"/>
      <w:b/>
      <w:bCs/>
      <w:sz w:val="32"/>
      <w:szCs w:val="32"/>
      <w:lang w:bidi="ar-SA"/>
    </w:rPr>
  </w:style>
  <w:style w:type="character" w:customStyle="1" w:styleId="135">
    <w:name w:val="gf正文1 Char"/>
    <w:autoRedefine/>
    <w:qFormat/>
    <w:uiPriority w:val="0"/>
    <w:rPr>
      <w:rFonts w:ascii="宋体" w:hAnsi="宋体" w:eastAsia="宋体" w:cs="宋体"/>
      <w:kern w:val="2"/>
      <w:sz w:val="24"/>
      <w:szCs w:val="24"/>
      <w:lang w:val="en-US" w:eastAsia="zh-CN" w:bidi="ar-SA"/>
    </w:rPr>
  </w:style>
  <w:style w:type="character" w:customStyle="1" w:styleId="136">
    <w:name w:val="正文文本缩进 Char1"/>
    <w:autoRedefine/>
    <w:qFormat/>
    <w:uiPriority w:val="0"/>
    <w:rPr>
      <w:rFonts w:ascii="Calibri" w:hAnsi="Calibri"/>
      <w:sz w:val="28"/>
    </w:rPr>
  </w:style>
  <w:style w:type="character" w:customStyle="1" w:styleId="137">
    <w:name w:val="No Spacing Char"/>
    <w:link w:val="138"/>
    <w:autoRedefine/>
    <w:qFormat/>
    <w:uiPriority w:val="1"/>
    <w:rPr>
      <w:sz w:val="22"/>
      <w:szCs w:val="22"/>
      <w:lang w:val="en-US" w:eastAsia="zh-CN" w:bidi="ar-SA"/>
    </w:rPr>
  </w:style>
  <w:style w:type="paragraph" w:customStyle="1" w:styleId="138">
    <w:name w:val="无间隔1"/>
    <w:link w:val="137"/>
    <w:autoRedefine/>
    <w:qFormat/>
    <w:uiPriority w:val="1"/>
    <w:rPr>
      <w:rFonts w:ascii="Times New Roman" w:hAnsi="Times New Roman" w:eastAsia="宋体" w:cs="Times New Roman"/>
      <w:sz w:val="22"/>
      <w:szCs w:val="22"/>
      <w:lang w:val="en-US" w:eastAsia="zh-CN" w:bidi="ar-SA"/>
    </w:rPr>
  </w:style>
  <w:style w:type="character" w:customStyle="1" w:styleId="139">
    <w:name w:val="样式7 Char"/>
    <w:autoRedefine/>
    <w:qFormat/>
    <w:uiPriority w:val="0"/>
    <w:rPr>
      <w:rFonts w:ascii="仿宋_GB2312" w:hAnsi="仿宋" w:eastAsia="仿宋_GB2312"/>
      <w:b/>
      <w:kern w:val="2"/>
      <w:sz w:val="24"/>
      <w:szCs w:val="24"/>
    </w:rPr>
  </w:style>
  <w:style w:type="character" w:customStyle="1" w:styleId="140">
    <w:name w:val="font12gray1"/>
    <w:autoRedefine/>
    <w:qFormat/>
    <w:uiPriority w:val="0"/>
    <w:rPr>
      <w:rFonts w:ascii="仿宋_GB2312" w:eastAsia="微软雅黑"/>
      <w:b/>
      <w:spacing w:val="300"/>
      <w:kern w:val="2"/>
      <w:sz w:val="18"/>
      <w:szCs w:val="18"/>
      <w:lang w:val="en-US" w:eastAsia="zh-CN" w:bidi="ar-SA"/>
    </w:rPr>
  </w:style>
  <w:style w:type="character" w:customStyle="1" w:styleId="141">
    <w:name w:val="Char Char7"/>
    <w:autoRedefine/>
    <w:semiHidden/>
    <w:qFormat/>
    <w:uiPriority w:val="0"/>
    <w:rPr>
      <w:rFonts w:eastAsia="宋体"/>
      <w:kern w:val="2"/>
      <w:sz w:val="21"/>
      <w:szCs w:val="24"/>
      <w:lang w:val="en-US" w:eastAsia="zh-CN" w:bidi="ar-SA"/>
    </w:rPr>
  </w:style>
  <w:style w:type="character" w:customStyle="1" w:styleId="142">
    <w:name w:val="表名 Char"/>
    <w:autoRedefine/>
    <w:qFormat/>
    <w:uiPriority w:val="0"/>
    <w:rPr>
      <w:rFonts w:eastAsia="宋体"/>
      <w:b/>
      <w:bCs/>
      <w:kern w:val="2"/>
      <w:sz w:val="24"/>
      <w:szCs w:val="24"/>
      <w:lang w:val="en-US" w:eastAsia="zh-CN" w:bidi="ar-SA"/>
    </w:rPr>
  </w:style>
  <w:style w:type="character" w:customStyle="1" w:styleId="143">
    <w:name w:val="Document Map Char"/>
    <w:autoRedefine/>
    <w:qFormat/>
    <w:locked/>
    <w:uiPriority w:val="0"/>
    <w:rPr>
      <w:rFonts w:eastAsia="宋体"/>
      <w:kern w:val="2"/>
      <w:sz w:val="21"/>
      <w:szCs w:val="24"/>
      <w:lang w:val="en-US" w:eastAsia="zh-CN" w:bidi="ar-SA"/>
    </w:rPr>
  </w:style>
  <w:style w:type="character" w:customStyle="1" w:styleId="144">
    <w:name w:val="font41"/>
    <w:autoRedefine/>
    <w:qFormat/>
    <w:uiPriority w:val="0"/>
    <w:rPr>
      <w:rFonts w:hint="eastAsia" w:ascii="仿宋_GB2312" w:eastAsia="仿宋_GB2312" w:cs="仿宋_GB2312"/>
      <w:color w:val="000000"/>
      <w:sz w:val="22"/>
      <w:szCs w:val="22"/>
      <w:u w:val="none"/>
    </w:rPr>
  </w:style>
  <w:style w:type="character" w:customStyle="1" w:styleId="145">
    <w:name w:val="标题 6 字符"/>
    <w:link w:val="7"/>
    <w:autoRedefine/>
    <w:qFormat/>
    <w:uiPriority w:val="0"/>
    <w:rPr>
      <w:rFonts w:ascii="Arial" w:hAnsi="Arial" w:eastAsia="黑体"/>
      <w:b/>
      <w:bCs/>
      <w:kern w:val="2"/>
      <w:sz w:val="24"/>
      <w:szCs w:val="24"/>
    </w:rPr>
  </w:style>
  <w:style w:type="character" w:customStyle="1" w:styleId="146">
    <w:name w:val="纯文本 Char_0"/>
    <w:link w:val="147"/>
    <w:autoRedefine/>
    <w:qFormat/>
    <w:uiPriority w:val="0"/>
    <w:rPr>
      <w:rFonts w:ascii="宋体" w:hAnsi="Courier New"/>
      <w:kern w:val="2"/>
      <w:sz w:val="21"/>
      <w:szCs w:val="21"/>
      <w:lang w:val="en-US" w:eastAsia="zh-CN"/>
    </w:rPr>
  </w:style>
  <w:style w:type="paragraph" w:customStyle="1" w:styleId="147">
    <w:name w:val="纯文本_0_0"/>
    <w:basedOn w:val="148"/>
    <w:link w:val="146"/>
    <w:autoRedefine/>
    <w:qFormat/>
    <w:uiPriority w:val="0"/>
    <w:rPr>
      <w:rFonts w:ascii="宋体" w:hAnsi="Courier New"/>
      <w:szCs w:val="21"/>
    </w:rPr>
  </w:style>
  <w:style w:type="paragraph" w:customStyle="1" w:styleId="14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Balloon Text Char"/>
    <w:autoRedefine/>
    <w:qFormat/>
    <w:locked/>
    <w:uiPriority w:val="0"/>
    <w:rPr>
      <w:rFonts w:eastAsia="宋体"/>
      <w:kern w:val="2"/>
      <w:sz w:val="18"/>
      <w:szCs w:val="18"/>
      <w:lang w:val="en-US" w:eastAsia="zh-CN" w:bidi="ar-SA"/>
    </w:rPr>
  </w:style>
  <w:style w:type="character" w:customStyle="1" w:styleId="150">
    <w:name w:val="正文 项目2 Char"/>
    <w:basedOn w:val="151"/>
    <w:autoRedefine/>
    <w:qFormat/>
    <w:uiPriority w:val="0"/>
    <w:rPr>
      <w:rFonts w:ascii="仿宋_GB2312" w:hAnsi="仿宋_GB2312" w:eastAsia="仿宋_GB2312"/>
      <w:kern w:val="2"/>
      <w:sz w:val="24"/>
      <w:lang w:bidi="ar-SA"/>
    </w:rPr>
  </w:style>
  <w:style w:type="character" w:customStyle="1" w:styleId="151">
    <w:name w:val="正文 项目 Char"/>
    <w:autoRedefine/>
    <w:qFormat/>
    <w:uiPriority w:val="0"/>
    <w:rPr>
      <w:rFonts w:ascii="仿宋_GB2312" w:hAnsi="仿宋_GB2312" w:eastAsia="仿宋_GB2312"/>
      <w:kern w:val="2"/>
      <w:sz w:val="24"/>
      <w:lang w:bidi="ar-SA"/>
    </w:rPr>
  </w:style>
  <w:style w:type="character" w:customStyle="1" w:styleId="152">
    <w:name w:val="h Char Char1"/>
    <w:autoRedefine/>
    <w:qFormat/>
    <w:uiPriority w:val="0"/>
    <w:rPr>
      <w:rFonts w:eastAsia="宋体"/>
      <w:kern w:val="2"/>
      <w:sz w:val="18"/>
      <w:szCs w:val="18"/>
      <w:lang w:val="en-US" w:eastAsia="zh-CN" w:bidi="ar-SA"/>
    </w:rPr>
  </w:style>
  <w:style w:type="character" w:customStyle="1" w:styleId="153">
    <w:name w:val="Char Char27"/>
    <w:autoRedefine/>
    <w:qFormat/>
    <w:uiPriority w:val="6"/>
    <w:rPr>
      <w:rFonts w:ascii="宋体" w:hAnsi="宋体" w:eastAsia="宋体"/>
      <w:color w:val="000000"/>
      <w:kern w:val="1"/>
      <w:sz w:val="28"/>
      <w:lang w:val="en-US" w:eastAsia="zh-CN" w:bidi="ar-SA"/>
    </w:rPr>
  </w:style>
  <w:style w:type="character" w:customStyle="1" w:styleId="154">
    <w:name w:val="px14"/>
    <w:autoRedefine/>
    <w:qFormat/>
    <w:uiPriority w:val="0"/>
    <w:rPr>
      <w:rFonts w:ascii="仿宋_GB2312" w:eastAsia="微软雅黑" w:cs="Times New Roman"/>
      <w:b/>
      <w:kern w:val="2"/>
      <w:sz w:val="32"/>
      <w:szCs w:val="32"/>
      <w:lang w:val="en-US" w:eastAsia="zh-CN" w:bidi="ar-SA"/>
    </w:rPr>
  </w:style>
  <w:style w:type="character" w:customStyle="1" w:styleId="155">
    <w:name w:val="HTML 预设格式 Char1"/>
    <w:autoRedefine/>
    <w:qFormat/>
    <w:uiPriority w:val="0"/>
    <w:rPr>
      <w:rFonts w:ascii="Courier New" w:hAnsi="Courier New" w:eastAsia="宋体" w:cs="Courier New"/>
      <w:sz w:val="20"/>
      <w:szCs w:val="20"/>
    </w:rPr>
  </w:style>
  <w:style w:type="character" w:customStyle="1" w:styleId="156">
    <w:name w:val="普通文字 Char1"/>
    <w:autoRedefine/>
    <w:qFormat/>
    <w:uiPriority w:val="0"/>
    <w:rPr>
      <w:rFonts w:ascii="宋体" w:hAnsi="Courier New" w:eastAsia="宋体"/>
      <w:kern w:val="2"/>
      <w:sz w:val="21"/>
      <w:lang w:val="en-US" w:eastAsia="zh-CN"/>
    </w:rPr>
  </w:style>
  <w:style w:type="character" w:customStyle="1" w:styleId="157">
    <w:name w:val="hei16b1"/>
    <w:autoRedefine/>
    <w:qFormat/>
    <w:uiPriority w:val="0"/>
    <w:rPr>
      <w:rFonts w:hint="default" w:ascii="Arial" w:hAnsi="Arial" w:cs="Arial"/>
      <w:b/>
      <w:bCs/>
      <w:color w:val="000000"/>
      <w:sz w:val="24"/>
      <w:szCs w:val="24"/>
    </w:rPr>
  </w:style>
  <w:style w:type="character" w:customStyle="1" w:styleId="158">
    <w:name w:val="正文（绿盟科技） Char"/>
    <w:link w:val="159"/>
    <w:autoRedefine/>
    <w:qFormat/>
    <w:uiPriority w:val="0"/>
    <w:rPr>
      <w:rFonts w:ascii="Arial" w:hAnsi="Arial"/>
      <w:sz w:val="21"/>
      <w:szCs w:val="21"/>
    </w:rPr>
  </w:style>
  <w:style w:type="paragraph" w:customStyle="1" w:styleId="159">
    <w:name w:val="正文（绿盟科技）"/>
    <w:link w:val="158"/>
    <w:autoRedefine/>
    <w:qFormat/>
    <w:uiPriority w:val="0"/>
    <w:pPr>
      <w:spacing w:line="300" w:lineRule="auto"/>
    </w:pPr>
    <w:rPr>
      <w:rFonts w:ascii="Arial" w:hAnsi="Arial" w:eastAsia="宋体" w:cs="Times New Roman"/>
      <w:sz w:val="21"/>
      <w:szCs w:val="21"/>
      <w:lang w:val="en-US" w:eastAsia="zh-CN" w:bidi="ar-SA"/>
    </w:rPr>
  </w:style>
  <w:style w:type="character" w:customStyle="1" w:styleId="160">
    <w:name w:val="Char Char19"/>
    <w:autoRedefine/>
    <w:qFormat/>
    <w:uiPriority w:val="6"/>
    <w:rPr>
      <w:rFonts w:ascii="宋体" w:hAnsi="宋体"/>
      <w:i/>
      <w:sz w:val="24"/>
      <w:szCs w:val="24"/>
    </w:rPr>
  </w:style>
  <w:style w:type="character" w:customStyle="1" w:styleId="161">
    <w:name w:val="页脚 Char"/>
    <w:autoRedefine/>
    <w:qFormat/>
    <w:uiPriority w:val="0"/>
    <w:rPr>
      <w:rFonts w:eastAsia="仿宋_GB2312"/>
      <w:kern w:val="2"/>
      <w:sz w:val="18"/>
      <w:lang w:val="en-US" w:eastAsia="zh-CN"/>
    </w:rPr>
  </w:style>
  <w:style w:type="character" w:customStyle="1" w:styleId="162">
    <w:name w:val="批注主题 Char"/>
    <w:autoRedefine/>
    <w:qFormat/>
    <w:uiPriority w:val="0"/>
    <w:rPr>
      <w:rFonts w:eastAsia="宋体"/>
      <w:b/>
      <w:bCs/>
      <w:kern w:val="2"/>
      <w:sz w:val="21"/>
      <w:szCs w:val="24"/>
      <w:lang w:val="en-US" w:eastAsia="zh-CN" w:bidi="ar-SA"/>
    </w:rPr>
  </w:style>
  <w:style w:type="character" w:customStyle="1" w:styleId="163">
    <w:name w:val="Comment Text Char"/>
    <w:autoRedefine/>
    <w:qFormat/>
    <w:locked/>
    <w:uiPriority w:val="0"/>
    <w:rPr>
      <w:rFonts w:ascii="宋体" w:hAnsi="宋体" w:eastAsia="宋体"/>
      <w:kern w:val="2"/>
      <w:sz w:val="24"/>
      <w:lang w:val="en-US" w:eastAsia="zh-CN" w:bidi="ar-SA"/>
    </w:rPr>
  </w:style>
  <w:style w:type="character" w:customStyle="1" w:styleId="164">
    <w:name w:val="标题 2 字符"/>
    <w:autoRedefine/>
    <w:qFormat/>
    <w:uiPriority w:val="1"/>
    <w:rPr>
      <w:rFonts w:ascii="仿宋_GB2312" w:hAnsi="Times New Roman" w:eastAsia="仿宋_GB2312" w:cs="Times New Roman"/>
      <w:b/>
      <w:kern w:val="2"/>
      <w:sz w:val="24"/>
      <w:lang w:val="zh-CN"/>
    </w:rPr>
  </w:style>
  <w:style w:type="character" w:customStyle="1" w:styleId="165">
    <w:name w:val="Char Char72"/>
    <w:autoRedefine/>
    <w:qFormat/>
    <w:uiPriority w:val="0"/>
    <w:rPr>
      <w:rFonts w:eastAsia="宋体"/>
      <w:kern w:val="2"/>
      <w:sz w:val="21"/>
      <w:szCs w:val="24"/>
      <w:lang w:val="en-US" w:eastAsia="zh-CN" w:bidi="ar-SA"/>
    </w:rPr>
  </w:style>
  <w:style w:type="character" w:customStyle="1" w:styleId="166">
    <w:name w:val="正文文本缩进 Char2"/>
    <w:autoRedefine/>
    <w:qFormat/>
    <w:uiPriority w:val="0"/>
    <w:rPr>
      <w:rFonts w:ascii="Times New Roman" w:hAnsi="Times New Roman" w:eastAsia="宋体" w:cs="Times New Roman"/>
      <w:snapToGrid w:val="0"/>
      <w:kern w:val="0"/>
      <w:szCs w:val="24"/>
    </w:rPr>
  </w:style>
  <w:style w:type="character" w:customStyle="1" w:styleId="167">
    <w:name w:val="样式2 Char"/>
    <w:autoRedefine/>
    <w:qFormat/>
    <w:uiPriority w:val="0"/>
    <w:rPr>
      <w:rFonts w:ascii="仿宋_GB2312" w:hAnsi="仿宋" w:eastAsia="仿宋_GB2312" w:cs="仿宋_GB2312"/>
      <w:b/>
      <w:bCs/>
      <w:sz w:val="32"/>
      <w:szCs w:val="30"/>
      <w:lang w:val="zh-CN"/>
    </w:rPr>
  </w:style>
  <w:style w:type="character" w:customStyle="1" w:styleId="168">
    <w:name w:val="表格名称[858D7CFB-ED40-4347-BF05-701D383B685F]"/>
    <w:link w:val="169"/>
    <w:autoRedefine/>
    <w:qFormat/>
    <w:uiPriority w:val="0"/>
    <w:rPr>
      <w:sz w:val="32"/>
    </w:rPr>
  </w:style>
  <w:style w:type="paragraph" w:customStyle="1" w:styleId="169">
    <w:name w:val="表格名称"/>
    <w:basedOn w:val="2"/>
    <w:link w:val="168"/>
    <w:autoRedefine/>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0">
    <w:name w:val="Char Char4"/>
    <w:autoRedefine/>
    <w:qFormat/>
    <w:uiPriority w:val="0"/>
    <w:rPr>
      <w:rFonts w:eastAsia="宋体"/>
      <w:b/>
      <w:sz w:val="24"/>
      <w:lang w:val="en-GB" w:eastAsia="zh-CN" w:bidi="ar-SA"/>
    </w:rPr>
  </w:style>
  <w:style w:type="character" w:customStyle="1" w:styleId="171">
    <w:name w:val="c7 style3"/>
    <w:autoRedefine/>
    <w:qFormat/>
    <w:uiPriority w:val="0"/>
  </w:style>
  <w:style w:type="character" w:customStyle="1" w:styleId="172">
    <w:name w:val="正文文本 3 Char1"/>
    <w:autoRedefine/>
    <w:semiHidden/>
    <w:qFormat/>
    <w:uiPriority w:val="99"/>
    <w:rPr>
      <w:rFonts w:ascii="Times New Roman" w:hAnsi="Times New Roman" w:eastAsia="宋体" w:cs="Times New Roman"/>
      <w:sz w:val="16"/>
      <w:szCs w:val="16"/>
    </w:rPr>
  </w:style>
  <w:style w:type="character" w:customStyle="1" w:styleId="173">
    <w:name w:val="tw4winInternal"/>
    <w:autoRedefine/>
    <w:qFormat/>
    <w:uiPriority w:val="0"/>
    <w:rPr>
      <w:rFonts w:ascii="Courier New" w:hAnsi="Courier New" w:cs="Courier New"/>
      <w:color w:val="FF0000"/>
      <w:lang w:val="en-US" w:eastAsia="zh-CN"/>
    </w:rPr>
  </w:style>
  <w:style w:type="character" w:customStyle="1" w:styleId="174">
    <w:name w:val="Char Char10"/>
    <w:autoRedefine/>
    <w:semiHidden/>
    <w:qFormat/>
    <w:uiPriority w:val="0"/>
    <w:rPr>
      <w:rFonts w:ascii="宋体" w:hAnsi="宋体"/>
      <w:kern w:val="2"/>
      <w:sz w:val="21"/>
      <w:szCs w:val="24"/>
      <w:lang w:val="en-US" w:eastAsia="zh-CN"/>
    </w:rPr>
  </w:style>
  <w:style w:type="character" w:customStyle="1" w:styleId="175">
    <w:name w:val="shadow11"/>
    <w:autoRedefine/>
    <w:qFormat/>
    <w:uiPriority w:val="0"/>
    <w:rPr>
      <w:color w:val="000000"/>
      <w:sz w:val="21"/>
    </w:rPr>
  </w:style>
  <w:style w:type="character" w:customStyle="1" w:styleId="176">
    <w:name w:val="正文非缩进 Char3"/>
    <w:autoRedefine/>
    <w:qFormat/>
    <w:uiPriority w:val="0"/>
    <w:rPr>
      <w:rFonts w:ascii="宋体" w:eastAsia="宋体"/>
      <w:snapToGrid w:val="0"/>
      <w:color w:val="000000"/>
      <w:kern w:val="28"/>
      <w:sz w:val="28"/>
      <w:lang w:val="en-US" w:eastAsia="zh-CN" w:bidi="ar-SA"/>
    </w:rPr>
  </w:style>
  <w:style w:type="character" w:customStyle="1" w:styleId="177">
    <w:name w:val="Char Char"/>
    <w:autoRedefine/>
    <w:qFormat/>
    <w:uiPriority w:val="0"/>
    <w:rPr>
      <w:rFonts w:ascii="宋体" w:hAnsi="Courier New" w:eastAsia="宋体"/>
      <w:kern w:val="2"/>
      <w:sz w:val="21"/>
      <w:lang w:val="en-US" w:eastAsia="zh-CN" w:bidi="ar-SA"/>
    </w:rPr>
  </w:style>
  <w:style w:type="character" w:customStyle="1" w:styleId="178">
    <w:name w:val="签名 Char1"/>
    <w:autoRedefine/>
    <w:qFormat/>
    <w:uiPriority w:val="0"/>
    <w:rPr>
      <w:rFonts w:ascii="Times New Roman" w:hAnsi="Times New Roman" w:eastAsia="宋体" w:cs="Times New Roman"/>
      <w:szCs w:val="24"/>
    </w:rPr>
  </w:style>
  <w:style w:type="character" w:customStyle="1" w:styleId="179">
    <w:name w:val="日期 字符"/>
    <w:link w:val="36"/>
    <w:autoRedefine/>
    <w:qFormat/>
    <w:uiPriority w:val="0"/>
    <w:rPr>
      <w:rFonts w:ascii="宋体"/>
      <w:kern w:val="2"/>
      <w:sz w:val="24"/>
      <w:szCs w:val="21"/>
      <w:lang w:val="zh-CN"/>
    </w:rPr>
  </w:style>
  <w:style w:type="character" w:customStyle="1" w:styleId="180">
    <w:name w:val="标题 9 字符"/>
    <w:link w:val="10"/>
    <w:autoRedefine/>
    <w:qFormat/>
    <w:uiPriority w:val="0"/>
    <w:rPr>
      <w:rFonts w:ascii="Arial" w:hAnsi="Arial" w:eastAsia="黑体"/>
      <w:kern w:val="2"/>
      <w:sz w:val="21"/>
      <w:szCs w:val="21"/>
    </w:rPr>
  </w:style>
  <w:style w:type="character" w:customStyle="1" w:styleId="181">
    <w:name w:val="Char Char18"/>
    <w:autoRedefine/>
    <w:qFormat/>
    <w:uiPriority w:val="6"/>
    <w:rPr>
      <w:rFonts w:ascii="宋体" w:hAnsi="宋体"/>
      <w:sz w:val="28"/>
    </w:rPr>
  </w:style>
  <w:style w:type="character" w:customStyle="1" w:styleId="182">
    <w:name w:val="批注文字 Char"/>
    <w:autoRedefine/>
    <w:qFormat/>
    <w:uiPriority w:val="99"/>
    <w:rPr>
      <w:kern w:val="2"/>
      <w:sz w:val="21"/>
      <w:szCs w:val="24"/>
    </w:rPr>
  </w:style>
  <w:style w:type="character" w:customStyle="1" w:styleId="183">
    <w:name w:val="Char Char22"/>
    <w:autoRedefine/>
    <w:qFormat/>
    <w:uiPriority w:val="6"/>
    <w:rPr>
      <w:rFonts w:ascii="宋体" w:hAnsi="宋体"/>
      <w:kern w:val="1"/>
      <w:sz w:val="24"/>
      <w:szCs w:val="24"/>
    </w:rPr>
  </w:style>
  <w:style w:type="character" w:customStyle="1" w:styleId="184">
    <w:name w:val="pt141"/>
    <w:autoRedefine/>
    <w:qFormat/>
    <w:uiPriority w:val="0"/>
    <w:rPr>
      <w:color w:val="330066"/>
      <w:sz w:val="22"/>
      <w:szCs w:val="22"/>
    </w:rPr>
  </w:style>
  <w:style w:type="character" w:customStyle="1" w:styleId="185">
    <w:name w:val="正文文本缩进 2 Char1"/>
    <w:autoRedefine/>
    <w:semiHidden/>
    <w:qFormat/>
    <w:uiPriority w:val="99"/>
    <w:rPr>
      <w:rFonts w:ascii="Times New Roman" w:hAnsi="Times New Roman" w:eastAsia="宋体" w:cs="Times New Roman"/>
      <w:szCs w:val="24"/>
    </w:rPr>
  </w:style>
  <w:style w:type="character" w:customStyle="1" w:styleId="186">
    <w:name w:val="批注框文本 字符1"/>
    <w:link w:val="39"/>
    <w:autoRedefine/>
    <w:qFormat/>
    <w:uiPriority w:val="0"/>
    <w:rPr>
      <w:kern w:val="2"/>
      <w:sz w:val="18"/>
      <w:szCs w:val="18"/>
    </w:rPr>
  </w:style>
  <w:style w:type="character" w:customStyle="1" w:styleId="187">
    <w:name w:val="Char Char611"/>
    <w:autoRedefine/>
    <w:qFormat/>
    <w:uiPriority w:val="0"/>
    <w:rPr>
      <w:rFonts w:eastAsia="宋体"/>
      <w:kern w:val="2"/>
      <w:sz w:val="21"/>
      <w:szCs w:val="24"/>
      <w:lang w:val="en-US" w:eastAsia="zh-CN" w:bidi="ar-SA"/>
    </w:rPr>
  </w:style>
  <w:style w:type="character" w:customStyle="1" w:styleId="188">
    <w:name w:val="highlight1"/>
    <w:autoRedefine/>
    <w:qFormat/>
    <w:uiPriority w:val="0"/>
    <w:rPr>
      <w:rFonts w:ascii="仿宋_GB2312" w:eastAsia="微软雅黑"/>
      <w:b/>
      <w:kern w:val="2"/>
      <w:sz w:val="23"/>
      <w:szCs w:val="23"/>
      <w:lang w:val="en-US" w:eastAsia="zh-CN" w:bidi="ar-SA"/>
    </w:rPr>
  </w:style>
  <w:style w:type="character" w:customStyle="1" w:styleId="189">
    <w:name w:val="my正文 Char"/>
    <w:link w:val="190"/>
    <w:autoRedefine/>
    <w:qFormat/>
    <w:locked/>
    <w:uiPriority w:val="0"/>
    <w:rPr>
      <w:rFonts w:ascii="Tahoma" w:hAnsi="Tahoma"/>
      <w:sz w:val="24"/>
      <w:szCs w:val="24"/>
    </w:rPr>
  </w:style>
  <w:style w:type="paragraph" w:customStyle="1" w:styleId="190">
    <w:name w:val="my正文"/>
    <w:basedOn w:val="1"/>
    <w:link w:val="189"/>
    <w:autoRedefine/>
    <w:qFormat/>
    <w:uiPriority w:val="0"/>
    <w:pPr>
      <w:adjustRightInd/>
      <w:spacing w:line="360" w:lineRule="auto"/>
      <w:ind w:firstLine="480" w:firstLineChars="200"/>
    </w:pPr>
    <w:rPr>
      <w:rFonts w:ascii="Tahoma" w:hAnsi="Tahoma"/>
      <w:kern w:val="0"/>
      <w:sz w:val="24"/>
    </w:rPr>
  </w:style>
  <w:style w:type="character" w:customStyle="1" w:styleId="191">
    <w:name w:val="正文缩进 字符2"/>
    <w:link w:val="15"/>
    <w:autoRedefine/>
    <w:qFormat/>
    <w:uiPriority w:val="0"/>
    <w:rPr>
      <w:rFonts w:ascii="宋体" w:eastAsia="宋体"/>
      <w:snapToGrid w:val="0"/>
      <w:color w:val="000000"/>
      <w:kern w:val="28"/>
      <w:sz w:val="28"/>
      <w:lang w:val="en-US" w:eastAsia="zh-CN" w:bidi="ar-SA"/>
    </w:rPr>
  </w:style>
  <w:style w:type="character" w:customStyle="1" w:styleId="192">
    <w:name w:val="Used by Word for text of Help footnotes Char Char1"/>
    <w:autoRedefine/>
    <w:qFormat/>
    <w:uiPriority w:val="0"/>
    <w:rPr>
      <w:color w:val="0000FF"/>
      <w:sz w:val="21"/>
    </w:rPr>
  </w:style>
  <w:style w:type="character" w:customStyle="1" w:styleId="193">
    <w:name w:val="页眉 Char"/>
    <w:autoRedefine/>
    <w:qFormat/>
    <w:uiPriority w:val="0"/>
    <w:rPr>
      <w:rFonts w:eastAsia="仿宋_GB2312"/>
      <w:kern w:val="2"/>
      <w:sz w:val="18"/>
      <w:lang w:val="en-US" w:eastAsia="zh-CN"/>
    </w:rPr>
  </w:style>
  <w:style w:type="character" w:customStyle="1" w:styleId="194">
    <w:name w:val="FA正文 Char Char"/>
    <w:autoRedefine/>
    <w:qFormat/>
    <w:uiPriority w:val="0"/>
    <w:rPr>
      <w:rFonts w:hAnsi="宋体"/>
      <w:kern w:val="2"/>
      <w:sz w:val="24"/>
      <w:lang w:bidi="ar-SA"/>
    </w:rPr>
  </w:style>
  <w:style w:type="character" w:customStyle="1" w:styleId="195">
    <w:name w:val="纯文本 字符"/>
    <w:autoRedefine/>
    <w:qFormat/>
    <w:uiPriority w:val="0"/>
    <w:rPr>
      <w:rFonts w:ascii="宋体" w:hAnsi="Courier New" w:eastAsia="宋体" w:cs="Arial"/>
      <w:snapToGrid w:val="0"/>
      <w:kern w:val="2"/>
      <w:sz w:val="21"/>
      <w:szCs w:val="21"/>
      <w:lang w:val="en-US" w:eastAsia="zh-CN" w:bidi="ar-SA"/>
    </w:rPr>
  </w:style>
  <w:style w:type="character" w:customStyle="1" w:styleId="196">
    <w:name w:val="3级 Char"/>
    <w:link w:val="197"/>
    <w:autoRedefine/>
    <w:qFormat/>
    <w:uiPriority w:val="0"/>
    <w:rPr>
      <w:rFonts w:ascii="宋体" w:hAnsi="宋体"/>
      <w:b/>
      <w:bCs/>
      <w:snapToGrid/>
      <w:sz w:val="28"/>
    </w:rPr>
  </w:style>
  <w:style w:type="paragraph" w:customStyle="1" w:styleId="197">
    <w:name w:val="3级"/>
    <w:basedOn w:val="198"/>
    <w:link w:val="196"/>
    <w:autoRedefine/>
    <w:qFormat/>
    <w:uiPriority w:val="0"/>
    <w:pPr>
      <w:ind w:left="0" w:right="466" w:firstLine="288"/>
    </w:pPr>
    <w:rPr>
      <w:rFonts w:hAnsi="宋体"/>
      <w:snapToGrid/>
    </w:rPr>
  </w:style>
  <w:style w:type="paragraph" w:customStyle="1" w:styleId="198">
    <w:name w:val="样式 标题 3h33rd level3BOD 0H3l3CTHeading 3 - oldLevel 3 He..."/>
    <w:basedOn w:val="4"/>
    <w:autoRedefine/>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9">
    <w:name w:val="myp11"/>
    <w:autoRedefine/>
    <w:qFormat/>
    <w:uiPriority w:val="0"/>
    <w:rPr>
      <w:rFonts w:ascii="仿宋_GB2312" w:eastAsia="微软雅黑"/>
      <w:b/>
      <w:kern w:val="2"/>
      <w:sz w:val="32"/>
      <w:szCs w:val="32"/>
      <w:lang w:val="en-US" w:eastAsia="zh-CN" w:bidi="ar-SA"/>
    </w:rPr>
  </w:style>
  <w:style w:type="character" w:customStyle="1" w:styleId="200">
    <w:name w:val="文档结构图 字符"/>
    <w:link w:val="18"/>
    <w:autoRedefine/>
    <w:qFormat/>
    <w:uiPriority w:val="0"/>
    <w:rPr>
      <w:kern w:val="2"/>
      <w:sz w:val="21"/>
      <w:szCs w:val="24"/>
      <w:shd w:val="clear" w:color="auto" w:fill="000080"/>
    </w:rPr>
  </w:style>
  <w:style w:type="character" w:customStyle="1" w:styleId="201">
    <w:name w:val="H6 Char"/>
    <w:autoRedefine/>
    <w:qFormat/>
    <w:uiPriority w:val="0"/>
    <w:rPr>
      <w:rFonts w:ascii="Arial" w:hAnsi="Arial" w:eastAsia="黑体"/>
      <w:b/>
      <w:bCs/>
      <w:kern w:val="2"/>
      <w:sz w:val="24"/>
      <w:szCs w:val="24"/>
    </w:rPr>
  </w:style>
  <w:style w:type="character" w:customStyle="1" w:styleId="202">
    <w:name w:val="Char Char91"/>
    <w:autoRedefine/>
    <w:qFormat/>
    <w:uiPriority w:val="0"/>
    <w:rPr>
      <w:rFonts w:eastAsia="宋体"/>
      <w:kern w:val="2"/>
      <w:sz w:val="18"/>
      <w:szCs w:val="18"/>
      <w:lang w:val="en-US" w:eastAsia="zh-CN" w:bidi="ar-SA"/>
    </w:rPr>
  </w:style>
  <w:style w:type="character" w:customStyle="1" w:styleId="203">
    <w:name w:val="副标题 Char1"/>
    <w:autoRedefine/>
    <w:qFormat/>
    <w:uiPriority w:val="0"/>
    <w:rPr>
      <w:rFonts w:ascii="Cambria" w:hAnsi="Cambria" w:eastAsia="宋体" w:cs="Times New Roman"/>
      <w:b/>
      <w:bCs/>
      <w:snapToGrid w:val="0"/>
      <w:kern w:val="28"/>
      <w:sz w:val="32"/>
      <w:szCs w:val="32"/>
    </w:rPr>
  </w:style>
  <w:style w:type="character" w:customStyle="1" w:styleId="204">
    <w:name w:val="font61"/>
    <w:autoRedefine/>
    <w:qFormat/>
    <w:uiPriority w:val="0"/>
    <w:rPr>
      <w:rFonts w:hint="eastAsia" w:ascii="仿宋" w:hAnsi="仿宋" w:eastAsia="仿宋" w:cs="仿宋"/>
      <w:color w:val="000000"/>
      <w:sz w:val="20"/>
      <w:szCs w:val="20"/>
      <w:u w:val="none"/>
    </w:rPr>
  </w:style>
  <w:style w:type="character" w:customStyle="1" w:styleId="205">
    <w:name w:val="bod1"/>
    <w:autoRedefine/>
    <w:qFormat/>
    <w:uiPriority w:val="0"/>
    <w:rPr>
      <w:rFonts w:ascii="MS Sans Serif" w:hAnsi="MS Sans Serif" w:eastAsia="微软雅黑" w:cs="Times New Roman"/>
      <w:b/>
      <w:color w:val="000000"/>
      <w:kern w:val="2"/>
      <w:sz w:val="20"/>
      <w:szCs w:val="20"/>
      <w:lang w:val="en-US" w:eastAsia="zh-CN" w:bidi="ar-SA"/>
    </w:rPr>
  </w:style>
  <w:style w:type="character" w:customStyle="1" w:styleId="206">
    <w:name w:val="Char Char211"/>
    <w:autoRedefine/>
    <w:qFormat/>
    <w:uiPriority w:val="0"/>
    <w:rPr>
      <w:rFonts w:eastAsia="宋体"/>
      <w:b/>
      <w:bCs/>
      <w:kern w:val="2"/>
      <w:sz w:val="21"/>
      <w:szCs w:val="24"/>
      <w:lang w:val="en-US" w:eastAsia="zh-CN" w:bidi="ar-SA"/>
    </w:rPr>
  </w:style>
  <w:style w:type="character" w:customStyle="1" w:styleId="207">
    <w:name w:val="标题 2 Char"/>
    <w:autoRedefine/>
    <w:qFormat/>
    <w:uiPriority w:val="0"/>
    <w:rPr>
      <w:rFonts w:ascii="Arial" w:hAnsi="Arial" w:eastAsia="黑体"/>
      <w:b/>
      <w:kern w:val="2"/>
      <w:sz w:val="32"/>
      <w:lang w:val="en-US" w:eastAsia="zh-CN"/>
    </w:rPr>
  </w:style>
  <w:style w:type="character" w:customStyle="1" w:styleId="208">
    <w:name w:val="maywed421"/>
    <w:autoRedefine/>
    <w:qFormat/>
    <w:uiPriority w:val="0"/>
    <w:rPr>
      <w:color w:val="366FB6"/>
      <w:u w:val="none"/>
    </w:rPr>
  </w:style>
  <w:style w:type="character" w:customStyle="1" w:styleId="209">
    <w:name w:val="正文文本缩进 Char"/>
    <w:autoRedefine/>
    <w:qFormat/>
    <w:uiPriority w:val="0"/>
    <w:rPr>
      <w:rFonts w:ascii="宋体" w:hAnsi="宋体"/>
      <w:kern w:val="2"/>
      <w:sz w:val="24"/>
      <w:szCs w:val="24"/>
    </w:rPr>
  </w:style>
  <w:style w:type="character" w:customStyle="1" w:styleId="210">
    <w:name w:val="Char Char102"/>
    <w:autoRedefine/>
    <w:semiHidden/>
    <w:qFormat/>
    <w:uiPriority w:val="0"/>
    <w:rPr>
      <w:rFonts w:ascii="宋体" w:hAnsi="宋体"/>
      <w:kern w:val="2"/>
      <w:sz w:val="21"/>
      <w:szCs w:val="24"/>
      <w:lang w:val="en-US" w:eastAsia="zh-CN"/>
    </w:rPr>
  </w:style>
  <w:style w:type="character" w:customStyle="1" w:styleId="211">
    <w:name w:val="页眉 Char1"/>
    <w:autoRedefine/>
    <w:qFormat/>
    <w:uiPriority w:val="0"/>
    <w:rPr>
      <w:rFonts w:eastAsia="宋体"/>
      <w:kern w:val="2"/>
      <w:sz w:val="18"/>
      <w:szCs w:val="18"/>
      <w:lang w:val="en-US" w:eastAsia="zh-CN" w:bidi="ar-SA"/>
    </w:rPr>
  </w:style>
  <w:style w:type="character" w:customStyle="1" w:styleId="212">
    <w:name w:val="md"/>
    <w:basedOn w:val="69"/>
    <w:autoRedefine/>
    <w:qFormat/>
    <w:uiPriority w:val="0"/>
    <w:rPr>
      <w:rFonts w:ascii="Arial" w:hAnsi="Arial" w:eastAsia="黑体" w:cs="Arial"/>
      <w:snapToGrid w:val="0"/>
      <w:kern w:val="0"/>
      <w:szCs w:val="21"/>
    </w:rPr>
  </w:style>
  <w:style w:type="character" w:customStyle="1" w:styleId="213">
    <w:name w:val="big1"/>
    <w:autoRedefine/>
    <w:qFormat/>
    <w:uiPriority w:val="0"/>
    <w:rPr>
      <w:rFonts w:hint="eastAsia" w:ascii="宋体" w:hAnsi="宋体" w:eastAsia="宋体"/>
      <w:color w:val="333333"/>
      <w:sz w:val="22"/>
      <w:szCs w:val="22"/>
    </w:rPr>
  </w:style>
  <w:style w:type="character" w:customStyle="1" w:styleId="214">
    <w:name w:val="Char Char311"/>
    <w:autoRedefine/>
    <w:qFormat/>
    <w:uiPriority w:val="0"/>
    <w:rPr>
      <w:rFonts w:eastAsia="宋体"/>
      <w:kern w:val="2"/>
      <w:sz w:val="21"/>
      <w:szCs w:val="24"/>
      <w:lang w:val="en-US" w:eastAsia="zh-CN" w:bidi="ar-SA"/>
    </w:rPr>
  </w:style>
  <w:style w:type="character" w:customStyle="1" w:styleId="215">
    <w:name w:val="Char Char81"/>
    <w:autoRedefine/>
    <w:qFormat/>
    <w:uiPriority w:val="6"/>
    <w:rPr>
      <w:rFonts w:eastAsia="宋体"/>
      <w:b/>
      <w:sz w:val="24"/>
      <w:lang w:val="en-GB" w:eastAsia="zh-CN"/>
    </w:rPr>
  </w:style>
  <w:style w:type="character" w:customStyle="1" w:styleId="216">
    <w:name w:val="样式3 Char"/>
    <w:basedOn w:val="167"/>
    <w:autoRedefine/>
    <w:qFormat/>
    <w:uiPriority w:val="0"/>
    <w:rPr>
      <w:rFonts w:ascii="仿宋_GB2312" w:hAnsi="仿宋" w:eastAsia="仿宋_GB2312" w:cs="仿宋_GB2312"/>
      <w:sz w:val="32"/>
      <w:szCs w:val="30"/>
      <w:lang w:val="zh-CN"/>
    </w:rPr>
  </w:style>
  <w:style w:type="character" w:customStyle="1" w:styleId="217">
    <w:name w:val="HTML 地址 字符"/>
    <w:link w:val="30"/>
    <w:autoRedefine/>
    <w:qFormat/>
    <w:uiPriority w:val="0"/>
    <w:rPr>
      <w:rFonts w:ascii="宋体" w:hAnsi="宋体"/>
      <w:i/>
      <w:iCs/>
      <w:sz w:val="24"/>
      <w:szCs w:val="24"/>
    </w:rPr>
  </w:style>
  <w:style w:type="character" w:customStyle="1" w:styleId="218">
    <w:name w:val="正文首行缩进 2 Char1"/>
    <w:autoRedefine/>
    <w:qFormat/>
    <w:uiPriority w:val="0"/>
    <w:rPr>
      <w:rFonts w:ascii="Times New Roman" w:hAnsi="Times New Roman" w:eastAsia="宋体" w:cs="Times New Roman"/>
      <w:kern w:val="2"/>
      <w:sz w:val="24"/>
      <w:szCs w:val="24"/>
    </w:rPr>
  </w:style>
  <w:style w:type="character" w:customStyle="1" w:styleId="219">
    <w:name w:val="副标题 Char2"/>
    <w:autoRedefine/>
    <w:qFormat/>
    <w:uiPriority w:val="0"/>
    <w:rPr>
      <w:rFonts w:ascii="Cambria" w:hAnsi="Cambria" w:eastAsia="宋体" w:cs="Times New Roman"/>
      <w:b/>
      <w:bCs/>
      <w:snapToGrid w:val="0"/>
      <w:kern w:val="28"/>
      <w:sz w:val="32"/>
      <w:szCs w:val="32"/>
    </w:rPr>
  </w:style>
  <w:style w:type="character" w:customStyle="1" w:styleId="220">
    <w:name w:val="标题4-dyf Char"/>
    <w:link w:val="221"/>
    <w:autoRedefine/>
    <w:qFormat/>
    <w:uiPriority w:val="0"/>
    <w:rPr>
      <w:rFonts w:ascii="Cambria" w:hAnsi="Cambria"/>
      <w:b/>
      <w:bCs/>
      <w:color w:val="000000"/>
      <w:kern w:val="2"/>
      <w:sz w:val="21"/>
      <w:szCs w:val="21"/>
    </w:rPr>
  </w:style>
  <w:style w:type="paragraph" w:customStyle="1" w:styleId="221">
    <w:name w:val="标题4-dyf"/>
    <w:basedOn w:val="5"/>
    <w:link w:val="220"/>
    <w:autoRedefine/>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2">
    <w:name w:val="dectext1"/>
    <w:autoRedefine/>
    <w:qFormat/>
    <w:uiPriority w:val="0"/>
    <w:rPr>
      <w:rFonts w:ascii="宋体" w:hAnsi="宋体" w:eastAsia="宋体"/>
      <w:color w:val="333333"/>
      <w:sz w:val="21"/>
      <w:szCs w:val="21"/>
      <w:u w:val="none"/>
    </w:rPr>
  </w:style>
  <w:style w:type="character" w:customStyle="1" w:styleId="223">
    <w:name w:val="冯 Char"/>
    <w:link w:val="224"/>
    <w:autoRedefine/>
    <w:qFormat/>
    <w:uiPriority w:val="0"/>
    <w:rPr>
      <w:rFonts w:ascii="宋体" w:hAnsi="宋体"/>
      <w:color w:val="000000"/>
      <w:sz w:val="24"/>
      <w:szCs w:val="24"/>
    </w:rPr>
  </w:style>
  <w:style w:type="paragraph" w:customStyle="1" w:styleId="224">
    <w:name w:val="冯"/>
    <w:basedOn w:val="1"/>
    <w:link w:val="223"/>
    <w:autoRedefine/>
    <w:qFormat/>
    <w:uiPriority w:val="0"/>
    <w:pPr>
      <w:widowControl/>
      <w:adjustRightInd/>
      <w:spacing w:line="360" w:lineRule="auto"/>
      <w:ind w:firstLine="480" w:firstLineChars="200"/>
    </w:pPr>
    <w:rPr>
      <w:rFonts w:ascii="宋体" w:hAnsi="宋体"/>
      <w:color w:val="000000"/>
      <w:kern w:val="0"/>
      <w:sz w:val="24"/>
    </w:rPr>
  </w:style>
  <w:style w:type="character" w:customStyle="1" w:styleId="225">
    <w:name w:val="Header Char"/>
    <w:autoRedefine/>
    <w:qFormat/>
    <w:locked/>
    <w:uiPriority w:val="0"/>
    <w:rPr>
      <w:rFonts w:eastAsia="宋体"/>
      <w:kern w:val="2"/>
      <w:sz w:val="18"/>
      <w:szCs w:val="18"/>
      <w:lang w:val="en-US" w:eastAsia="zh-CN" w:bidi="ar-SA"/>
    </w:rPr>
  </w:style>
  <w:style w:type="character" w:customStyle="1" w:styleId="226">
    <w:name w:val="Char Char12"/>
    <w:autoRedefine/>
    <w:qFormat/>
    <w:uiPriority w:val="0"/>
    <w:rPr>
      <w:rFonts w:ascii="仿宋_GB2312" w:eastAsia="仿宋_GB2312"/>
      <w:b/>
      <w:bCs/>
      <w:kern w:val="2"/>
      <w:sz w:val="24"/>
      <w:szCs w:val="24"/>
      <w:lang w:val="zh-CN" w:eastAsia="zh-CN" w:bidi="ar-SA"/>
    </w:rPr>
  </w:style>
  <w:style w:type="character" w:customStyle="1" w:styleId="227">
    <w:name w:val="题注 字符"/>
    <w:link w:val="16"/>
    <w:autoRedefine/>
    <w:qFormat/>
    <w:uiPriority w:val="0"/>
    <w:rPr>
      <w:b/>
      <w:kern w:val="2"/>
      <w:sz w:val="28"/>
    </w:rPr>
  </w:style>
  <w:style w:type="character" w:customStyle="1" w:styleId="228">
    <w:name w:val="普通文字 Char3"/>
    <w:autoRedefine/>
    <w:qFormat/>
    <w:uiPriority w:val="0"/>
    <w:rPr>
      <w:rFonts w:ascii="宋体" w:hAnsi="Courier New" w:eastAsia="宋体"/>
      <w:kern w:val="2"/>
      <w:sz w:val="21"/>
      <w:lang w:val="en-US" w:eastAsia="zh-CN" w:bidi="ar-SA"/>
    </w:rPr>
  </w:style>
  <w:style w:type="character" w:customStyle="1" w:styleId="229">
    <w:name w:val="公文正文 Char"/>
    <w:autoRedefine/>
    <w:qFormat/>
    <w:uiPriority w:val="0"/>
    <w:rPr>
      <w:rFonts w:ascii="仿宋_GB2312" w:eastAsia="仿宋_GB2312"/>
      <w:kern w:val="2"/>
      <w:sz w:val="24"/>
      <w:szCs w:val="24"/>
      <w:lang w:val="en-US" w:eastAsia="zh-CN" w:bidi="ar-SA"/>
    </w:rPr>
  </w:style>
  <w:style w:type="character" w:customStyle="1" w:styleId="230">
    <w:name w:val="正文首行缩进 Char Char Char Char Char"/>
    <w:autoRedefine/>
    <w:qFormat/>
    <w:uiPriority w:val="0"/>
    <w:rPr>
      <w:rFonts w:ascii="宋体"/>
      <w:kern w:val="2"/>
      <w:sz w:val="24"/>
      <w:lang w:val="zh-CN"/>
    </w:rPr>
  </w:style>
  <w:style w:type="character" w:customStyle="1" w:styleId="231">
    <w:name w:val="PI Char"/>
    <w:autoRedefine/>
    <w:qFormat/>
    <w:uiPriority w:val="0"/>
    <w:rPr>
      <w:rFonts w:ascii="宋体" w:hAnsi="宋体" w:eastAsia="宋体"/>
      <w:kern w:val="2"/>
      <w:sz w:val="24"/>
      <w:szCs w:val="24"/>
      <w:lang w:val="en-US" w:eastAsia="zh-CN" w:bidi="ar-SA"/>
    </w:rPr>
  </w:style>
  <w:style w:type="character" w:customStyle="1" w:styleId="232">
    <w:name w:val="Default Char"/>
    <w:link w:val="233"/>
    <w:autoRedefine/>
    <w:qFormat/>
    <w:uiPriority w:val="0"/>
    <w:rPr>
      <w:rFonts w:ascii="仿宋_GB2312" w:eastAsia="仿宋_GB2312" w:cs="仿宋_GB2312"/>
      <w:color w:val="000000"/>
      <w:sz w:val="24"/>
      <w:szCs w:val="24"/>
      <w:lang w:val="en-US" w:eastAsia="zh-CN" w:bidi="ar-SA"/>
    </w:rPr>
  </w:style>
  <w:style w:type="paragraph" w:customStyle="1" w:styleId="233">
    <w:name w:val="Default"/>
    <w:link w:val="232"/>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4">
    <w:name w:val="style91"/>
    <w:autoRedefine/>
    <w:qFormat/>
    <w:uiPriority w:val="0"/>
    <w:rPr>
      <w:color w:val="333333"/>
    </w:rPr>
  </w:style>
  <w:style w:type="character" w:customStyle="1" w:styleId="235">
    <w:name w:val="列出段落 Char2"/>
    <w:autoRedefine/>
    <w:qFormat/>
    <w:uiPriority w:val="34"/>
    <w:rPr>
      <w:rFonts w:ascii="Calibri" w:hAnsi="Calibri"/>
      <w:kern w:val="2"/>
      <w:sz w:val="28"/>
    </w:rPr>
  </w:style>
  <w:style w:type="character" w:customStyle="1" w:styleId="236">
    <w:name w:val="mdeck"/>
    <w:autoRedefine/>
    <w:qFormat/>
    <w:uiPriority w:val="0"/>
    <w:rPr>
      <w:rFonts w:ascii="仿宋_GB2312" w:eastAsia="微软雅黑"/>
      <w:b/>
      <w:kern w:val="2"/>
      <w:sz w:val="32"/>
      <w:szCs w:val="32"/>
      <w:lang w:val="en-US" w:eastAsia="zh-CN" w:bidi="ar-SA"/>
    </w:rPr>
  </w:style>
  <w:style w:type="character" w:customStyle="1" w:styleId="237">
    <w:name w:val="unnamed11"/>
    <w:autoRedefine/>
    <w:qFormat/>
    <w:uiPriority w:val="0"/>
    <w:rPr>
      <w:sz w:val="20"/>
      <w:szCs w:val="20"/>
    </w:rPr>
  </w:style>
  <w:style w:type="character" w:customStyle="1" w:styleId="238">
    <w:name w:val="正文文本 Char2"/>
    <w:autoRedefine/>
    <w:semiHidden/>
    <w:qFormat/>
    <w:uiPriority w:val="99"/>
    <w:rPr>
      <w:rFonts w:ascii="Times New Roman" w:hAnsi="Times New Roman" w:eastAsia="宋体" w:cs="Times New Roman"/>
      <w:snapToGrid w:val="0"/>
      <w:kern w:val="0"/>
      <w:szCs w:val="24"/>
    </w:rPr>
  </w:style>
  <w:style w:type="character" w:customStyle="1" w:styleId="239">
    <w:name w:val="标书正文格式 Char"/>
    <w:autoRedefine/>
    <w:qFormat/>
    <w:uiPriority w:val="0"/>
    <w:rPr>
      <w:rFonts w:eastAsia="楷体_GB2312"/>
      <w:kern w:val="2"/>
      <w:sz w:val="24"/>
      <w:szCs w:val="24"/>
      <w:lang w:bidi="ar-SA"/>
    </w:rPr>
  </w:style>
  <w:style w:type="character" w:customStyle="1" w:styleId="240">
    <w:name w:val="Char Char11"/>
    <w:autoRedefine/>
    <w:qFormat/>
    <w:locked/>
    <w:uiPriority w:val="0"/>
    <w:rPr>
      <w:rFonts w:ascii="宋体" w:hAnsi="宋体" w:eastAsia="宋体"/>
      <w:b/>
      <w:kern w:val="2"/>
      <w:sz w:val="24"/>
      <w:szCs w:val="24"/>
      <w:lang w:val="en-US" w:eastAsia="zh-CN" w:bidi="ar-SA"/>
    </w:rPr>
  </w:style>
  <w:style w:type="character" w:customStyle="1" w:styleId="241">
    <w:name w:val="ca-131"/>
    <w:autoRedefine/>
    <w:qFormat/>
    <w:uiPriority w:val="0"/>
    <w:rPr>
      <w:rFonts w:hint="eastAsia" w:ascii="仿宋_GB2312" w:eastAsia="仿宋_GB2312"/>
      <w:b/>
      <w:bCs/>
      <w:color w:val="000000"/>
      <w:spacing w:val="-20"/>
      <w:sz w:val="24"/>
      <w:szCs w:val="24"/>
    </w:rPr>
  </w:style>
  <w:style w:type="character" w:customStyle="1" w:styleId="242">
    <w:name w:val="tw4winMark"/>
    <w:autoRedefine/>
    <w:qFormat/>
    <w:uiPriority w:val="0"/>
    <w:rPr>
      <w:rFonts w:ascii="Courier New" w:hAnsi="Courier New" w:cs="Courier New"/>
      <w:vanish/>
      <w:color w:val="800080"/>
      <w:sz w:val="24"/>
      <w:szCs w:val="24"/>
      <w:vertAlign w:val="subscript"/>
    </w:rPr>
  </w:style>
  <w:style w:type="character" w:customStyle="1" w:styleId="243">
    <w:name w:val="正文样式 Char"/>
    <w:link w:val="244"/>
    <w:autoRedefine/>
    <w:qFormat/>
    <w:uiPriority w:val="0"/>
    <w:rPr>
      <w:rFonts w:ascii="Calibri" w:hAnsi="Calibri"/>
      <w:sz w:val="24"/>
      <w:szCs w:val="24"/>
    </w:rPr>
  </w:style>
  <w:style w:type="paragraph" w:customStyle="1" w:styleId="244">
    <w:name w:val="正文样式"/>
    <w:basedOn w:val="1"/>
    <w:link w:val="243"/>
    <w:autoRedefine/>
    <w:qFormat/>
    <w:uiPriority w:val="0"/>
    <w:pPr>
      <w:adjustRightInd/>
      <w:spacing w:line="360" w:lineRule="auto"/>
      <w:ind w:firstLine="480" w:firstLineChars="200"/>
    </w:pPr>
    <w:rPr>
      <w:kern w:val="0"/>
      <w:sz w:val="24"/>
    </w:rPr>
  </w:style>
  <w:style w:type="character" w:customStyle="1" w:styleId="245">
    <w:name w:val="表正文 Char3"/>
    <w:autoRedefine/>
    <w:qFormat/>
    <w:uiPriority w:val="0"/>
    <w:rPr>
      <w:rFonts w:eastAsia="宋体"/>
    </w:rPr>
  </w:style>
  <w:style w:type="character" w:customStyle="1" w:styleId="246">
    <w:name w:val="H5 Char"/>
    <w:autoRedefine/>
    <w:qFormat/>
    <w:uiPriority w:val="0"/>
    <w:rPr>
      <w:b/>
      <w:bCs/>
      <w:kern w:val="2"/>
      <w:sz w:val="28"/>
      <w:szCs w:val="28"/>
    </w:rPr>
  </w:style>
  <w:style w:type="character" w:customStyle="1" w:styleId="247">
    <w:name w:val="Char Char3"/>
    <w:autoRedefine/>
    <w:qFormat/>
    <w:uiPriority w:val="0"/>
    <w:rPr>
      <w:rFonts w:eastAsia="宋体"/>
      <w:kern w:val="2"/>
      <w:sz w:val="21"/>
      <w:szCs w:val="24"/>
      <w:lang w:val="en-US" w:eastAsia="zh-CN" w:bidi="ar-SA"/>
    </w:rPr>
  </w:style>
  <w:style w:type="character" w:customStyle="1" w:styleId="248">
    <w:name w:val="正文 编号 Char"/>
    <w:qFormat/>
    <w:uiPriority w:val="0"/>
    <w:rPr>
      <w:rFonts w:ascii="仿宋_GB2312" w:hAnsi="仿宋_GB2312" w:eastAsia="仿宋_GB2312"/>
      <w:kern w:val="2"/>
      <w:sz w:val="24"/>
      <w:lang w:bidi="ar-SA"/>
    </w:rPr>
  </w:style>
  <w:style w:type="character" w:customStyle="1" w:styleId="249">
    <w:name w:val="question-title2"/>
    <w:autoRedefine/>
    <w:qFormat/>
    <w:uiPriority w:val="6"/>
    <w:rPr>
      <w:rFonts w:ascii="Arial" w:hAnsi="Arial" w:eastAsia="黑体" w:cs="Arial"/>
      <w:snapToGrid w:val="0"/>
      <w:kern w:val="0"/>
      <w:szCs w:val="21"/>
    </w:rPr>
  </w:style>
  <w:style w:type="character" w:customStyle="1" w:styleId="250">
    <w:name w:val="gf正文1 Char Char"/>
    <w:link w:val="251"/>
    <w:autoRedefine/>
    <w:qFormat/>
    <w:uiPriority w:val="0"/>
    <w:rPr>
      <w:rFonts w:ascii="宋体" w:hAnsi="宋体" w:cs="宋体"/>
      <w:kern w:val="2"/>
      <w:sz w:val="24"/>
      <w:szCs w:val="24"/>
    </w:rPr>
  </w:style>
  <w:style w:type="paragraph" w:customStyle="1" w:styleId="251">
    <w:name w:val="gf正文1"/>
    <w:basedOn w:val="1"/>
    <w:link w:val="250"/>
    <w:autoRedefine/>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2">
    <w:name w:val="Char Char15"/>
    <w:autoRedefine/>
    <w:qFormat/>
    <w:uiPriority w:val="6"/>
    <w:rPr>
      <w:rFonts w:ascii="宋体" w:hAnsi="宋体"/>
      <w:kern w:val="1"/>
      <w:sz w:val="21"/>
    </w:rPr>
  </w:style>
  <w:style w:type="character" w:customStyle="1" w:styleId="253">
    <w:name w:val="正文缩进 Char3"/>
    <w:autoRedefine/>
    <w:qFormat/>
    <w:uiPriority w:val="0"/>
    <w:rPr>
      <w:rFonts w:ascii="宋体" w:eastAsia="宋体"/>
      <w:snapToGrid w:val="0"/>
      <w:color w:val="000000"/>
      <w:kern w:val="28"/>
      <w:sz w:val="28"/>
      <w:lang w:val="en-US" w:eastAsia="zh-CN" w:bidi="ar-SA"/>
    </w:rPr>
  </w:style>
  <w:style w:type="character" w:customStyle="1" w:styleId="254">
    <w:name w:val="列出段落 Char1"/>
    <w:link w:val="255"/>
    <w:autoRedefine/>
    <w:qFormat/>
    <w:uiPriority w:val="0"/>
    <w:rPr>
      <w:rFonts w:ascii="Calibri" w:hAnsi="Calibri"/>
      <w:sz w:val="24"/>
      <w:lang w:eastAsia="en-US"/>
    </w:rPr>
  </w:style>
  <w:style w:type="paragraph" w:customStyle="1" w:styleId="255">
    <w:name w:val="列表1"/>
    <w:basedOn w:val="1"/>
    <w:next w:val="256"/>
    <w:link w:val="254"/>
    <w:autoRedefine/>
    <w:qFormat/>
    <w:uiPriority w:val="0"/>
    <w:pPr>
      <w:widowControl/>
      <w:adjustRightInd/>
      <w:spacing w:after="200" w:line="360" w:lineRule="auto"/>
      <w:ind w:left="720" w:firstLine="200" w:firstLineChars="200"/>
      <w:jc w:val="left"/>
    </w:pPr>
    <w:rPr>
      <w:kern w:val="0"/>
      <w:sz w:val="24"/>
      <w:szCs w:val="20"/>
      <w:lang w:eastAsia="en-US"/>
    </w:rPr>
  </w:style>
  <w:style w:type="paragraph" w:styleId="256">
    <w:name w:val="List Paragraph"/>
    <w:basedOn w:val="1"/>
    <w:autoRedefine/>
    <w:qFormat/>
    <w:uiPriority w:val="34"/>
    <w:pPr>
      <w:spacing w:line="360" w:lineRule="auto"/>
      <w:ind w:firstLine="200" w:firstLineChars="200"/>
    </w:pPr>
    <w:rPr>
      <w:rFonts w:eastAsia="楷体_GB2312" w:cs="Lucida Sans"/>
      <w:sz w:val="24"/>
    </w:rPr>
  </w:style>
  <w:style w:type="character" w:customStyle="1" w:styleId="257">
    <w:name w:val="Char Char8"/>
    <w:qFormat/>
    <w:uiPriority w:val="0"/>
    <w:rPr>
      <w:rFonts w:eastAsia="宋体"/>
      <w:b/>
      <w:sz w:val="24"/>
      <w:lang w:val="en-GB" w:eastAsia="zh-CN"/>
    </w:rPr>
  </w:style>
  <w:style w:type="character" w:customStyle="1" w:styleId="258">
    <w:name w:val="Normal Indent Char Char"/>
    <w:qFormat/>
    <w:uiPriority w:val="0"/>
    <w:rPr>
      <w:rFonts w:eastAsia="宋体"/>
      <w:kern w:val="2"/>
      <w:sz w:val="21"/>
      <w:lang w:val="en-US" w:eastAsia="zh-CN" w:bidi="ar-SA"/>
    </w:rPr>
  </w:style>
  <w:style w:type="character" w:customStyle="1" w:styleId="259">
    <w:name w:val="列表段落 字符"/>
    <w:autoRedefine/>
    <w:qFormat/>
    <w:uiPriority w:val="99"/>
  </w:style>
  <w:style w:type="character" w:customStyle="1" w:styleId="260">
    <w:name w:val="Ò³Ã¼ Char Char1"/>
    <w:autoRedefine/>
    <w:qFormat/>
    <w:uiPriority w:val="0"/>
    <w:rPr>
      <w:rFonts w:eastAsia="宋体"/>
      <w:kern w:val="2"/>
      <w:sz w:val="18"/>
      <w:szCs w:val="18"/>
      <w:lang w:val="en-US" w:eastAsia="zh-CN" w:bidi="ar-SA"/>
    </w:rPr>
  </w:style>
  <w:style w:type="character" w:customStyle="1" w:styleId="261">
    <w:name w:val="方案正文 Char"/>
    <w:qFormat/>
    <w:uiPriority w:val="0"/>
    <w:rPr>
      <w:rFonts w:ascii="仿宋_GB2312" w:eastAsia="仿宋_GB2312"/>
      <w:b/>
      <w:color w:val="000000"/>
      <w:kern w:val="2"/>
      <w:sz w:val="24"/>
      <w:lang w:val="en-US" w:eastAsia="zh-CN" w:bidi="ar-SA"/>
    </w:rPr>
  </w:style>
  <w:style w:type="character" w:customStyle="1" w:styleId="262">
    <w:name w:val="Char Char30"/>
    <w:qFormat/>
    <w:uiPriority w:val="6"/>
    <w:rPr>
      <w:rFonts w:ascii="Arial" w:hAnsi="Arial" w:eastAsia="黑体"/>
      <w:kern w:val="1"/>
      <w:sz w:val="21"/>
      <w:szCs w:val="21"/>
    </w:rPr>
  </w:style>
  <w:style w:type="character" w:customStyle="1" w:styleId="263">
    <w:name w:val="正文文本缩进 字符1"/>
    <w:link w:val="24"/>
    <w:qFormat/>
    <w:uiPriority w:val="0"/>
    <w:rPr>
      <w:rFonts w:ascii="宋体" w:hAnsi="宋体"/>
      <w:kern w:val="2"/>
      <w:sz w:val="24"/>
      <w:szCs w:val="24"/>
    </w:rPr>
  </w:style>
  <w:style w:type="character" w:customStyle="1" w:styleId="264">
    <w:name w:val="font01"/>
    <w:qFormat/>
    <w:uiPriority w:val="0"/>
    <w:rPr>
      <w:rFonts w:hint="eastAsia" w:ascii="微软雅黑" w:hAnsi="微软雅黑" w:eastAsia="微软雅黑" w:cs="微软雅黑"/>
      <w:color w:val="000000"/>
      <w:sz w:val="20"/>
      <w:szCs w:val="20"/>
      <w:u w:val="none"/>
    </w:rPr>
  </w:style>
  <w:style w:type="character" w:customStyle="1" w:styleId="265">
    <w:name w:val="Char Char20"/>
    <w:autoRedefine/>
    <w:qFormat/>
    <w:uiPriority w:val="6"/>
    <w:rPr>
      <w:kern w:val="1"/>
      <w:sz w:val="24"/>
    </w:rPr>
  </w:style>
  <w:style w:type="character" w:customStyle="1" w:styleId="266">
    <w:name w:val="tw4winExternal"/>
    <w:autoRedefine/>
    <w:qFormat/>
    <w:uiPriority w:val="0"/>
    <w:rPr>
      <w:rFonts w:ascii="Courier New" w:hAnsi="Courier New" w:cs="Courier New"/>
      <w:color w:val="808080"/>
      <w:lang w:val="en-US" w:eastAsia="zh-CN"/>
    </w:rPr>
  </w:style>
  <w:style w:type="character" w:customStyle="1" w:styleId="267">
    <w:name w:val="标题 4 Char1"/>
    <w:autoRedefine/>
    <w:qFormat/>
    <w:uiPriority w:val="9"/>
    <w:rPr>
      <w:rFonts w:ascii="Cambria" w:hAnsi="Cambria" w:eastAsia="宋体" w:cs="Times New Roman"/>
      <w:b/>
      <w:bCs/>
      <w:kern w:val="2"/>
      <w:sz w:val="28"/>
      <w:szCs w:val="28"/>
    </w:rPr>
  </w:style>
  <w:style w:type="character" w:customStyle="1" w:styleId="268">
    <w:name w:val="批注文字 Char2"/>
    <w:qFormat/>
    <w:uiPriority w:val="99"/>
    <w:rPr>
      <w:rFonts w:ascii="Times New Roman" w:hAnsi="Times New Roman" w:eastAsia="宋体" w:cs="Times New Roman"/>
      <w:snapToGrid w:val="0"/>
      <w:kern w:val="0"/>
      <w:szCs w:val="24"/>
    </w:rPr>
  </w:style>
  <w:style w:type="character" w:customStyle="1" w:styleId="269">
    <w:name w:val="正文文本 2 Char"/>
    <w:autoRedefine/>
    <w:qFormat/>
    <w:uiPriority w:val="0"/>
    <w:rPr>
      <w:rFonts w:eastAsia="宋体"/>
      <w:kern w:val="2"/>
      <w:sz w:val="21"/>
      <w:szCs w:val="24"/>
      <w:lang w:val="en-US" w:eastAsia="zh-CN" w:bidi="ar-SA"/>
    </w:rPr>
  </w:style>
  <w:style w:type="character" w:customStyle="1" w:styleId="270">
    <w:name w:val="Ò³Ã¼ Char Char"/>
    <w:autoRedefine/>
    <w:qFormat/>
    <w:uiPriority w:val="0"/>
    <w:rPr>
      <w:rFonts w:eastAsia="宋体"/>
      <w:kern w:val="2"/>
      <w:sz w:val="18"/>
      <w:lang w:val="en-US" w:eastAsia="zh-CN" w:bidi="ar-SA"/>
    </w:rPr>
  </w:style>
  <w:style w:type="character" w:customStyle="1" w:styleId="271">
    <w:name w:val="message1"/>
    <w:autoRedefine/>
    <w:qFormat/>
    <w:uiPriority w:val="0"/>
    <w:rPr>
      <w:rFonts w:hint="default" w:ascii="Tahoma" w:hAnsi="Tahoma" w:cs="Tahoma"/>
      <w:sz w:val="18"/>
      <w:szCs w:val="18"/>
    </w:rPr>
  </w:style>
  <w:style w:type="character" w:customStyle="1" w:styleId="272">
    <w:name w:val="Char Char23"/>
    <w:qFormat/>
    <w:uiPriority w:val="6"/>
    <w:rPr>
      <w:color w:val="0000FF"/>
      <w:sz w:val="21"/>
    </w:rPr>
  </w:style>
  <w:style w:type="character" w:customStyle="1" w:styleId="273">
    <w:name w:val="批注框文本 字符"/>
    <w:autoRedefine/>
    <w:qFormat/>
    <w:uiPriority w:val="0"/>
    <w:rPr>
      <w:rFonts w:ascii="Arial" w:hAnsi="Arial" w:eastAsia="黑体" w:cs="Arial"/>
      <w:snapToGrid w:val="0"/>
      <w:kern w:val="0"/>
      <w:sz w:val="18"/>
      <w:szCs w:val="18"/>
    </w:rPr>
  </w:style>
  <w:style w:type="character" w:customStyle="1" w:styleId="274">
    <w:name w:val="纯文本 Char2"/>
    <w:autoRedefine/>
    <w:semiHidden/>
    <w:qFormat/>
    <w:uiPriority w:val="99"/>
    <w:rPr>
      <w:rFonts w:ascii="宋体" w:hAnsi="Courier New" w:eastAsia="宋体" w:cs="Courier New"/>
    </w:rPr>
  </w:style>
  <w:style w:type="character" w:customStyle="1" w:styleId="275">
    <w:name w:val="Char Char25"/>
    <w:qFormat/>
    <w:uiPriority w:val="6"/>
    <w:rPr>
      <w:rFonts w:ascii="宋体" w:hAnsi="宋体"/>
      <w:kern w:val="1"/>
      <w:sz w:val="24"/>
      <w:lang w:val="zh-CN"/>
    </w:rPr>
  </w:style>
  <w:style w:type="character" w:customStyle="1" w:styleId="276">
    <w:name w:val="Char Char411"/>
    <w:autoRedefine/>
    <w:qFormat/>
    <w:uiPriority w:val="0"/>
    <w:rPr>
      <w:rFonts w:eastAsia="宋体"/>
      <w:b/>
      <w:sz w:val="24"/>
      <w:lang w:val="en-GB" w:eastAsia="zh-CN" w:bidi="ar-SA"/>
    </w:rPr>
  </w:style>
  <w:style w:type="character" w:customStyle="1" w:styleId="277">
    <w:name w:val="Heading 7 Char"/>
    <w:qFormat/>
    <w:locked/>
    <w:uiPriority w:val="0"/>
    <w:rPr>
      <w:rFonts w:ascii="宋体" w:hAnsi="宋体" w:eastAsia="宋体"/>
      <w:b/>
      <w:bCs/>
      <w:kern w:val="2"/>
      <w:sz w:val="24"/>
      <w:szCs w:val="24"/>
      <w:lang w:val="en-US" w:eastAsia="zh-CN" w:bidi="ar-SA"/>
    </w:rPr>
  </w:style>
  <w:style w:type="character" w:customStyle="1" w:styleId="278">
    <w:name w:val="此正文 Char"/>
    <w:link w:val="279"/>
    <w:autoRedefine/>
    <w:qFormat/>
    <w:uiPriority w:val="0"/>
    <w:rPr>
      <w:kern w:val="2"/>
      <w:sz w:val="24"/>
      <w:szCs w:val="24"/>
    </w:rPr>
  </w:style>
  <w:style w:type="paragraph" w:customStyle="1" w:styleId="279">
    <w:name w:val="此正文"/>
    <w:basedOn w:val="1"/>
    <w:link w:val="278"/>
    <w:qFormat/>
    <w:uiPriority w:val="0"/>
    <w:pPr>
      <w:adjustRightInd/>
      <w:spacing w:line="360" w:lineRule="auto"/>
      <w:ind w:firstLine="200" w:firstLineChars="200"/>
    </w:pPr>
    <w:rPr>
      <w:sz w:val="24"/>
    </w:rPr>
  </w:style>
  <w:style w:type="character" w:customStyle="1" w:styleId="280">
    <w:name w:val="Char Char2"/>
    <w:autoRedefine/>
    <w:qFormat/>
    <w:uiPriority w:val="0"/>
    <w:rPr>
      <w:rFonts w:eastAsia="宋体"/>
      <w:b/>
      <w:bCs/>
      <w:kern w:val="2"/>
      <w:sz w:val="21"/>
      <w:szCs w:val="24"/>
      <w:lang w:val="en-US" w:eastAsia="zh-CN" w:bidi="ar-SA"/>
    </w:rPr>
  </w:style>
  <w:style w:type="character" w:customStyle="1" w:styleId="281">
    <w:name w:val="标题 1 字符1"/>
    <w:link w:val="3"/>
    <w:qFormat/>
    <w:uiPriority w:val="9"/>
    <w:rPr>
      <w:b/>
      <w:bCs/>
      <w:kern w:val="44"/>
      <w:sz w:val="44"/>
      <w:szCs w:val="44"/>
    </w:rPr>
  </w:style>
  <w:style w:type="character" w:customStyle="1" w:styleId="282">
    <w:name w:val="Footer-Even Char1"/>
    <w:autoRedefine/>
    <w:qFormat/>
    <w:uiPriority w:val="0"/>
    <w:rPr>
      <w:rFonts w:eastAsia="宋体"/>
      <w:kern w:val="2"/>
      <w:sz w:val="18"/>
      <w:szCs w:val="18"/>
      <w:lang w:val="en-US" w:eastAsia="zh-CN" w:bidi="ar-SA"/>
    </w:rPr>
  </w:style>
  <w:style w:type="character" w:customStyle="1" w:styleId="283">
    <w:name w:val="Char Char29"/>
    <w:qFormat/>
    <w:uiPriority w:val="6"/>
    <w:rPr>
      <w:rFonts w:ascii="Arial" w:hAnsi="Arial" w:eastAsia="微软雅黑"/>
      <w:b/>
      <w:kern w:val="1"/>
      <w:sz w:val="44"/>
      <w:szCs w:val="32"/>
      <w:lang w:val="en-US" w:eastAsia="zh-CN" w:bidi="ar-SA"/>
    </w:rPr>
  </w:style>
  <w:style w:type="character" w:customStyle="1" w:styleId="284">
    <w:name w:val="标题 字符"/>
    <w:link w:val="59"/>
    <w:autoRedefine/>
    <w:qFormat/>
    <w:uiPriority w:val="10"/>
    <w:rPr>
      <w:b/>
      <w:sz w:val="24"/>
      <w:lang w:val="en-GB"/>
    </w:rPr>
  </w:style>
  <w:style w:type="character" w:customStyle="1" w:styleId="285">
    <w:name w:val="font81"/>
    <w:qFormat/>
    <w:uiPriority w:val="0"/>
    <w:rPr>
      <w:rFonts w:ascii="微软雅黑" w:hAnsi="微软雅黑" w:eastAsia="微软雅黑" w:cs="微软雅黑"/>
      <w:color w:val="000000"/>
      <w:sz w:val="20"/>
      <w:szCs w:val="20"/>
      <w:u w:val="none"/>
    </w:rPr>
  </w:style>
  <w:style w:type="character" w:customStyle="1" w:styleId="286">
    <w:name w:val="Char Char312"/>
    <w:qFormat/>
    <w:uiPriority w:val="0"/>
    <w:rPr>
      <w:rFonts w:ascii="Times New Roman" w:hAnsi="Times New Roman" w:eastAsia="宋体" w:cs="Times New Roman"/>
      <w:b/>
      <w:kern w:val="2"/>
      <w:sz w:val="32"/>
      <w:szCs w:val="24"/>
      <w:lang w:val="en-US" w:eastAsia="zh-CN" w:bidi="ar-SA"/>
    </w:rPr>
  </w:style>
  <w:style w:type="character" w:customStyle="1" w:styleId="287">
    <w:name w:val="t21"/>
    <w:autoRedefine/>
    <w:qFormat/>
    <w:uiPriority w:val="0"/>
    <w:rPr>
      <w:rFonts w:ascii="仿宋_GB2312" w:eastAsia="微软雅黑"/>
      <w:b/>
      <w:kern w:val="2"/>
      <w:sz w:val="23"/>
      <w:szCs w:val="23"/>
      <w:lang w:val="en-US" w:eastAsia="zh-CN" w:bidi="ar-SA"/>
    </w:rPr>
  </w:style>
  <w:style w:type="character" w:customStyle="1" w:styleId="288">
    <w:name w:val="样式8 Char"/>
    <w:qFormat/>
    <w:uiPriority w:val="0"/>
    <w:rPr>
      <w:rFonts w:ascii="仿宋_GB2312" w:hAnsi="宋体" w:eastAsia="仿宋_GB2312"/>
      <w:b/>
      <w:bCs/>
      <w:kern w:val="2"/>
      <w:sz w:val="24"/>
      <w:szCs w:val="24"/>
    </w:rPr>
  </w:style>
  <w:style w:type="character" w:customStyle="1" w:styleId="289">
    <w:name w:val="表格 Char Char"/>
    <w:autoRedefine/>
    <w:qFormat/>
    <w:uiPriority w:val="0"/>
    <w:rPr>
      <w:rFonts w:ascii="宋体" w:hAnsi="宋体" w:eastAsia="宋体"/>
      <w:lang w:bidi="ar-SA"/>
    </w:rPr>
  </w:style>
  <w:style w:type="character" w:customStyle="1" w:styleId="290">
    <w:name w:val="正文文本 字符1"/>
    <w:autoRedefine/>
    <w:qFormat/>
    <w:uiPriority w:val="0"/>
    <w:rPr>
      <w:rFonts w:ascii="Calibri" w:hAnsi="Calibri" w:eastAsia="黑体" w:cs="Arial"/>
      <w:snapToGrid w:val="0"/>
      <w:kern w:val="2"/>
      <w:sz w:val="28"/>
      <w:szCs w:val="21"/>
    </w:rPr>
  </w:style>
  <w:style w:type="character" w:customStyle="1" w:styleId="291">
    <w:name w:val="标题 5 字符"/>
    <w:link w:val="6"/>
    <w:autoRedefine/>
    <w:qFormat/>
    <w:uiPriority w:val="9"/>
    <w:rPr>
      <w:b/>
      <w:bCs/>
      <w:kern w:val="2"/>
      <w:sz w:val="28"/>
      <w:szCs w:val="28"/>
    </w:rPr>
  </w:style>
  <w:style w:type="character" w:customStyle="1" w:styleId="292">
    <w:name w:val="标题 6 Char1"/>
    <w:qFormat/>
    <w:uiPriority w:val="0"/>
    <w:rPr>
      <w:rFonts w:ascii="Arial" w:hAnsi="Arial" w:eastAsia="黑体" w:cs="Times New Roman"/>
      <w:b/>
      <w:sz w:val="24"/>
      <w:szCs w:val="20"/>
      <w:lang w:bidi="ar-SA"/>
    </w:rPr>
  </w:style>
  <w:style w:type="character" w:customStyle="1" w:styleId="293">
    <w:name w:val="带编号样式 Char"/>
    <w:autoRedefine/>
    <w:qFormat/>
    <w:uiPriority w:val="0"/>
    <w:rPr>
      <w:rFonts w:ascii="仿宋_GB2312" w:eastAsia="仿宋_GB2312"/>
      <w:color w:val="000000"/>
      <w:sz w:val="24"/>
      <w:lang w:bidi="ar-SA"/>
    </w:rPr>
  </w:style>
  <w:style w:type="character" w:customStyle="1" w:styleId="294">
    <w:name w:val="unnamed31"/>
    <w:autoRedefine/>
    <w:qFormat/>
    <w:uiPriority w:val="0"/>
    <w:rPr>
      <w:rFonts w:ascii="Tahoma" w:hAnsi="Tahoma" w:eastAsia="宋体"/>
      <w:b/>
      <w:kern w:val="2"/>
      <w:sz w:val="24"/>
      <w:szCs w:val="32"/>
      <w:u w:val="none"/>
      <w:lang w:val="en-US" w:eastAsia="zh-CN" w:bidi="ar-SA"/>
    </w:rPr>
  </w:style>
  <w:style w:type="character" w:customStyle="1" w:styleId="295">
    <w:name w:val="正文首行缩进 Char Char Char Char Char Char1"/>
    <w:qFormat/>
    <w:uiPriority w:val="0"/>
    <w:rPr>
      <w:rFonts w:ascii="宋体" w:eastAsia="宋体"/>
      <w:kern w:val="2"/>
      <w:sz w:val="24"/>
      <w:szCs w:val="24"/>
      <w:lang w:val="zh-CN" w:bidi="ar-SA"/>
    </w:rPr>
  </w:style>
  <w:style w:type="character" w:customStyle="1" w:styleId="296">
    <w:name w:val="称呼 字符"/>
    <w:link w:val="20"/>
    <w:autoRedefine/>
    <w:qFormat/>
    <w:uiPriority w:val="0"/>
    <w:rPr>
      <w:rFonts w:ascii="仿宋_GB2312" w:eastAsia="仿宋_GB2312"/>
      <w:kern w:val="2"/>
      <w:sz w:val="28"/>
    </w:rPr>
  </w:style>
  <w:style w:type="character" w:customStyle="1" w:styleId="297">
    <w:name w:val="文本正文 Char Char"/>
    <w:autoRedefine/>
    <w:qFormat/>
    <w:locked/>
    <w:uiPriority w:val="0"/>
    <w:rPr>
      <w:sz w:val="24"/>
      <w:lang w:bidi="ar-SA"/>
    </w:rPr>
  </w:style>
  <w:style w:type="character" w:customStyle="1" w:styleId="298">
    <w:name w:val="正文缩进 字符"/>
    <w:autoRedefine/>
    <w:qFormat/>
    <w:uiPriority w:val="0"/>
    <w:rPr>
      <w:rFonts w:ascii="宋体" w:eastAsia="宋体"/>
      <w:snapToGrid w:val="0"/>
      <w:color w:val="000000"/>
      <w:kern w:val="28"/>
      <w:sz w:val="28"/>
      <w:lang w:val="en-US" w:eastAsia="zh-CN" w:bidi="ar-SA"/>
    </w:rPr>
  </w:style>
  <w:style w:type="character" w:customStyle="1" w:styleId="299">
    <w:name w:val="HTML 预设格式 字符"/>
    <w:link w:val="57"/>
    <w:autoRedefine/>
    <w:qFormat/>
    <w:uiPriority w:val="0"/>
    <w:rPr>
      <w:rFonts w:ascii="黑体" w:hAnsi="Courier New" w:eastAsia="黑体"/>
    </w:rPr>
  </w:style>
  <w:style w:type="character" w:customStyle="1" w:styleId="300">
    <w:name w:val="正文文本 2 字符1"/>
    <w:link w:val="56"/>
    <w:autoRedefine/>
    <w:qFormat/>
    <w:uiPriority w:val="0"/>
    <w:rPr>
      <w:kern w:val="2"/>
      <w:sz w:val="21"/>
      <w:szCs w:val="24"/>
    </w:rPr>
  </w:style>
  <w:style w:type="character" w:customStyle="1" w:styleId="301">
    <w:name w:val="样式 样式 标题 4h4H4Fab-4T5Ref Heading 1rh1Heading sqlsect 1.2.3.... +... Char"/>
    <w:link w:val="302"/>
    <w:autoRedefine/>
    <w:qFormat/>
    <w:uiPriority w:val="0"/>
    <w:rPr>
      <w:rFonts w:ascii="微软雅黑" w:hAnsi="微软雅黑" w:eastAsia="微软雅黑"/>
      <w:b/>
      <w:bCs/>
      <w:kern w:val="2"/>
      <w:sz w:val="24"/>
      <w:szCs w:val="28"/>
    </w:rPr>
  </w:style>
  <w:style w:type="paragraph" w:customStyle="1" w:styleId="302">
    <w:name w:val="样式 样式 标题 4h4H4Fab-4T5Ref Heading 1rh1Heading sqlsect 1.2.3.... +..."/>
    <w:basedOn w:val="303"/>
    <w:link w:val="301"/>
    <w:autoRedefine/>
    <w:qFormat/>
    <w:uiPriority w:val="0"/>
    <w:pPr>
      <w:tabs>
        <w:tab w:val="left" w:pos="2356"/>
      </w:tabs>
    </w:pPr>
  </w:style>
  <w:style w:type="paragraph" w:customStyle="1" w:styleId="303">
    <w:name w:val="样式 标题 4h4H4Fab-4T5Ref Heading 1rh1Heading sqlsect 1.2.3...."/>
    <w:basedOn w:val="5"/>
    <w:link w:val="411"/>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4">
    <w:name w:val="正文非缩进 Char"/>
    <w:autoRedefine/>
    <w:qFormat/>
    <w:uiPriority w:val="0"/>
    <w:rPr>
      <w:rFonts w:ascii="宋体" w:eastAsia="宋体"/>
      <w:snapToGrid w:val="0"/>
      <w:color w:val="000000"/>
      <w:kern w:val="28"/>
      <w:sz w:val="28"/>
      <w:lang w:val="en-US" w:eastAsia="zh-CN" w:bidi="ar-SA"/>
    </w:rPr>
  </w:style>
  <w:style w:type="character" w:customStyle="1" w:styleId="305">
    <w:name w:val="标题 7 字符"/>
    <w:link w:val="8"/>
    <w:autoRedefine/>
    <w:qFormat/>
    <w:uiPriority w:val="0"/>
    <w:rPr>
      <w:b/>
      <w:bCs/>
      <w:kern w:val="2"/>
      <w:sz w:val="24"/>
      <w:szCs w:val="24"/>
    </w:rPr>
  </w:style>
  <w:style w:type="character" w:customStyle="1" w:styleId="306">
    <w:name w:val="正文文本缩进 2 字符"/>
    <w:link w:val="37"/>
    <w:qFormat/>
    <w:uiPriority w:val="0"/>
    <w:rPr>
      <w:rFonts w:ascii="宋体"/>
      <w:sz w:val="28"/>
    </w:rPr>
  </w:style>
  <w:style w:type="character" w:customStyle="1" w:styleId="307">
    <w:name w:val="Char Char5"/>
    <w:autoRedefine/>
    <w:qFormat/>
    <w:uiPriority w:val="0"/>
    <w:rPr>
      <w:rFonts w:ascii="宋体" w:hAnsi="Courier New" w:eastAsia="宋体"/>
      <w:kern w:val="2"/>
      <w:sz w:val="21"/>
      <w:lang w:val="en-US" w:eastAsia="zh-CN"/>
    </w:rPr>
  </w:style>
  <w:style w:type="character" w:customStyle="1" w:styleId="308">
    <w:name w:val="脚注文本 字符"/>
    <w:link w:val="50"/>
    <w:autoRedefine/>
    <w:qFormat/>
    <w:uiPriority w:val="0"/>
    <w:rPr>
      <w:color w:val="0000FF"/>
      <w:sz w:val="21"/>
    </w:rPr>
  </w:style>
  <w:style w:type="character" w:customStyle="1" w:styleId="309">
    <w:name w:val="称呼 Char1"/>
    <w:autoRedefine/>
    <w:qFormat/>
    <w:uiPriority w:val="0"/>
    <w:rPr>
      <w:rFonts w:ascii="Times New Roman" w:hAnsi="Times New Roman" w:eastAsia="宋体" w:cs="Times New Roman"/>
      <w:szCs w:val="24"/>
    </w:rPr>
  </w:style>
  <w:style w:type="character" w:customStyle="1" w:styleId="310">
    <w:name w:val="正文1 Char"/>
    <w:autoRedefine/>
    <w:qFormat/>
    <w:uiPriority w:val="0"/>
    <w:rPr>
      <w:rFonts w:ascii="宋体" w:eastAsia="宋体"/>
      <w:snapToGrid w:val="0"/>
      <w:color w:val="000000"/>
      <w:kern w:val="28"/>
      <w:sz w:val="28"/>
      <w:lang w:val="en-US" w:eastAsia="zh-CN" w:bidi="ar-SA"/>
    </w:rPr>
  </w:style>
  <w:style w:type="character" w:customStyle="1" w:styleId="311">
    <w:name w:val="正文缩进 Char1"/>
    <w:autoRedefine/>
    <w:qFormat/>
    <w:uiPriority w:val="0"/>
    <w:rPr>
      <w:rFonts w:ascii="宋体" w:eastAsia="宋体"/>
      <w:snapToGrid w:val="0"/>
      <w:color w:val="000000"/>
      <w:kern w:val="28"/>
      <w:sz w:val="28"/>
      <w:lang w:val="en-US" w:eastAsia="zh-CN" w:bidi="ar-SA"/>
    </w:rPr>
  </w:style>
  <w:style w:type="character" w:customStyle="1" w:styleId="312">
    <w:name w:val="font21"/>
    <w:autoRedefine/>
    <w:qFormat/>
    <w:uiPriority w:val="0"/>
    <w:rPr>
      <w:rFonts w:hint="eastAsia" w:ascii="宋体" w:hAnsi="宋体" w:eastAsia="宋体"/>
      <w:kern w:val="2"/>
      <w:sz w:val="28"/>
      <w:szCs w:val="28"/>
      <w:lang w:val="en-US" w:eastAsia="zh-CN" w:bidi="ar-SA"/>
    </w:rPr>
  </w:style>
  <w:style w:type="character" w:customStyle="1" w:styleId="313">
    <w:name w:val="Char Char26"/>
    <w:autoRedefine/>
    <w:qFormat/>
    <w:uiPriority w:val="6"/>
    <w:rPr>
      <w:kern w:val="1"/>
      <w:sz w:val="21"/>
      <w:szCs w:val="24"/>
    </w:rPr>
  </w:style>
  <w:style w:type="character" w:customStyle="1" w:styleId="314">
    <w:name w:val="Item List Char"/>
    <w:link w:val="315"/>
    <w:autoRedefine/>
    <w:qFormat/>
    <w:uiPriority w:val="0"/>
    <w:rPr>
      <w:rFonts w:ascii="Arial"/>
      <w:bCs/>
      <w:sz w:val="21"/>
      <w:szCs w:val="21"/>
      <w:lang w:val="en-US" w:eastAsia="zh-CN" w:bidi="ar-SA"/>
    </w:rPr>
  </w:style>
  <w:style w:type="paragraph" w:customStyle="1" w:styleId="315">
    <w:name w:val="Item List"/>
    <w:link w:val="314"/>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6">
    <w:name w:val="批注框文本 Char1"/>
    <w:autoRedefine/>
    <w:qFormat/>
    <w:uiPriority w:val="0"/>
    <w:rPr>
      <w:rFonts w:ascii="Times New Roman" w:hAnsi="Times New Roman" w:eastAsia="宋体" w:cs="Times New Roman"/>
      <w:sz w:val="18"/>
      <w:szCs w:val="18"/>
    </w:rPr>
  </w:style>
  <w:style w:type="character" w:customStyle="1" w:styleId="317">
    <w:name w:val="纯文本 Char1"/>
    <w:link w:val="318"/>
    <w:autoRedefine/>
    <w:qFormat/>
    <w:uiPriority w:val="0"/>
    <w:rPr>
      <w:rFonts w:ascii="宋体" w:hAnsi="Courier New"/>
    </w:rPr>
  </w:style>
  <w:style w:type="paragraph" w:customStyle="1" w:styleId="318">
    <w:name w:val="纯文本1"/>
    <w:basedOn w:val="1"/>
    <w:link w:val="317"/>
    <w:autoRedefine/>
    <w:qFormat/>
    <w:uiPriority w:val="0"/>
    <w:pPr>
      <w:adjustRightInd/>
    </w:pPr>
    <w:rPr>
      <w:rFonts w:ascii="宋体" w:hAnsi="Courier New"/>
      <w:kern w:val="0"/>
      <w:sz w:val="20"/>
      <w:szCs w:val="20"/>
    </w:rPr>
  </w:style>
  <w:style w:type="character" w:customStyle="1" w:styleId="319">
    <w:name w:val="正文首行缩进 字符"/>
    <w:link w:val="61"/>
    <w:autoRedefine/>
    <w:qFormat/>
    <w:uiPriority w:val="0"/>
    <w:rPr>
      <w:rFonts w:ascii="宋体"/>
      <w:kern w:val="2"/>
      <w:sz w:val="24"/>
      <w:lang w:val="zh-CN"/>
    </w:rPr>
  </w:style>
  <w:style w:type="character" w:customStyle="1" w:styleId="320">
    <w:name w:val="h3 Char"/>
    <w:autoRedefine/>
    <w:qFormat/>
    <w:uiPriority w:val="0"/>
    <w:rPr>
      <w:rFonts w:eastAsia="宋体"/>
      <w:b/>
      <w:kern w:val="2"/>
      <w:sz w:val="32"/>
      <w:lang w:val="en-US" w:eastAsia="zh-CN" w:bidi="ar-SA"/>
    </w:rPr>
  </w:style>
  <w:style w:type="character" w:customStyle="1" w:styleId="321">
    <w:name w:val="dandyren_title1"/>
    <w:autoRedefine/>
    <w:qFormat/>
    <w:uiPriority w:val="0"/>
    <w:rPr>
      <w:b/>
      <w:bCs/>
      <w:color w:val="FF6633"/>
      <w:sz w:val="18"/>
      <w:szCs w:val="18"/>
    </w:rPr>
  </w:style>
  <w:style w:type="character" w:customStyle="1" w:styleId="322">
    <w:name w:val="Char Char31"/>
    <w:qFormat/>
    <w:uiPriority w:val="6"/>
    <w:rPr>
      <w:rFonts w:ascii="Arial" w:hAnsi="Arial" w:eastAsia="黑体"/>
      <w:kern w:val="1"/>
      <w:sz w:val="24"/>
      <w:szCs w:val="24"/>
    </w:rPr>
  </w:style>
  <w:style w:type="character" w:customStyle="1" w:styleId="323">
    <w:name w:val="h Char1"/>
    <w:autoRedefine/>
    <w:qFormat/>
    <w:uiPriority w:val="0"/>
    <w:rPr>
      <w:sz w:val="18"/>
      <w:szCs w:val="18"/>
    </w:rPr>
  </w:style>
  <w:style w:type="character" w:customStyle="1" w:styleId="324">
    <w:name w:val="solutionfonts"/>
    <w:autoRedefine/>
    <w:qFormat/>
    <w:uiPriority w:val="0"/>
  </w:style>
  <w:style w:type="character" w:customStyle="1" w:styleId="325">
    <w:name w:val="标题 4 字符1"/>
    <w:link w:val="5"/>
    <w:autoRedefine/>
    <w:qFormat/>
    <w:uiPriority w:val="9"/>
    <w:rPr>
      <w:rFonts w:ascii="Arial" w:hAnsi="Arial" w:eastAsia="黑体"/>
      <w:b/>
      <w:bCs/>
      <w:kern w:val="2"/>
      <w:sz w:val="28"/>
      <w:szCs w:val="28"/>
      <w:lang w:val="zh-CN"/>
    </w:rPr>
  </w:style>
  <w:style w:type="character" w:customStyle="1" w:styleId="326">
    <w:name w:val="首行缩进 Char"/>
    <w:autoRedefine/>
    <w:qFormat/>
    <w:uiPriority w:val="0"/>
    <w:rPr>
      <w:rFonts w:ascii="宋体" w:eastAsia="宋体"/>
      <w:kern w:val="2"/>
      <w:sz w:val="24"/>
      <w:lang w:val="en-US" w:eastAsia="zh-CN" w:bidi="ar-SA"/>
    </w:rPr>
  </w:style>
  <w:style w:type="character" w:customStyle="1" w:styleId="327">
    <w:name w:val="Char Char52"/>
    <w:autoRedefine/>
    <w:qFormat/>
    <w:uiPriority w:val="0"/>
    <w:rPr>
      <w:rFonts w:ascii="宋体" w:hAnsi="Courier New" w:eastAsia="宋体"/>
      <w:kern w:val="2"/>
      <w:sz w:val="21"/>
      <w:lang w:val="en-US" w:eastAsia="zh-CN"/>
    </w:rPr>
  </w:style>
  <w:style w:type="character" w:customStyle="1" w:styleId="328">
    <w:name w:val="正文文本 3 字符"/>
    <w:link w:val="21"/>
    <w:autoRedefine/>
    <w:qFormat/>
    <w:uiPriority w:val="0"/>
    <w:rPr>
      <w:kern w:val="2"/>
      <w:sz w:val="21"/>
    </w:rPr>
  </w:style>
  <w:style w:type="character" w:customStyle="1" w:styleId="329">
    <w:name w:val="font31"/>
    <w:autoRedefine/>
    <w:qFormat/>
    <w:uiPriority w:val="0"/>
    <w:rPr>
      <w:rFonts w:hint="eastAsia" w:ascii="仿宋" w:hAnsi="仿宋" w:eastAsia="仿宋" w:cs="仿宋"/>
      <w:color w:val="000000"/>
      <w:sz w:val="20"/>
      <w:szCs w:val="20"/>
      <w:u w:val="none"/>
    </w:rPr>
  </w:style>
  <w:style w:type="character" w:customStyle="1" w:styleId="330">
    <w:name w:val="正文说明 Char"/>
    <w:link w:val="331"/>
    <w:autoRedefine/>
    <w:qFormat/>
    <w:uiPriority w:val="0"/>
    <w:rPr>
      <w:sz w:val="24"/>
      <w:szCs w:val="24"/>
    </w:rPr>
  </w:style>
  <w:style w:type="paragraph" w:customStyle="1" w:styleId="331">
    <w:name w:val="正文说明"/>
    <w:basedOn w:val="1"/>
    <w:link w:val="330"/>
    <w:autoRedefine/>
    <w:qFormat/>
    <w:uiPriority w:val="0"/>
    <w:pPr>
      <w:adjustRightInd/>
      <w:spacing w:line="360" w:lineRule="auto"/>
    </w:pPr>
    <w:rPr>
      <w:kern w:val="0"/>
      <w:sz w:val="24"/>
    </w:rPr>
  </w:style>
  <w:style w:type="character" w:customStyle="1" w:styleId="332">
    <w:name w:val="脚注文本 Char1"/>
    <w:autoRedefine/>
    <w:qFormat/>
    <w:uiPriority w:val="0"/>
    <w:rPr>
      <w:rFonts w:ascii="Times New Roman" w:hAnsi="Times New Roman" w:eastAsia="宋体" w:cs="Times New Roman"/>
      <w:sz w:val="18"/>
      <w:szCs w:val="18"/>
    </w:rPr>
  </w:style>
  <w:style w:type="character" w:customStyle="1" w:styleId="333">
    <w:name w:val="Char Char1211"/>
    <w:qFormat/>
    <w:uiPriority w:val="0"/>
    <w:rPr>
      <w:rFonts w:ascii="仿宋_GB2312" w:eastAsia="仿宋_GB2312"/>
      <w:b/>
      <w:bCs/>
      <w:kern w:val="2"/>
      <w:sz w:val="24"/>
      <w:szCs w:val="24"/>
      <w:lang w:val="zh-CN" w:eastAsia="zh-CN" w:bidi="ar-SA"/>
    </w:rPr>
  </w:style>
  <w:style w:type="character" w:customStyle="1" w:styleId="334">
    <w:name w:val="标题 Char"/>
    <w:autoRedefine/>
    <w:qFormat/>
    <w:uiPriority w:val="0"/>
    <w:rPr>
      <w:rFonts w:eastAsia="宋体"/>
      <w:b/>
      <w:sz w:val="24"/>
      <w:lang w:val="en-GB" w:eastAsia="zh-CN" w:bidi="ar-SA"/>
    </w:rPr>
  </w:style>
  <w:style w:type="character" w:customStyle="1" w:styleId="335">
    <w:name w:val="Char Char35"/>
    <w:autoRedefine/>
    <w:qFormat/>
    <w:uiPriority w:val="6"/>
    <w:rPr>
      <w:rFonts w:ascii="Arial" w:hAnsi="Arial" w:eastAsia="黑体"/>
      <w:b/>
      <w:kern w:val="1"/>
      <w:sz w:val="28"/>
      <w:szCs w:val="28"/>
      <w:lang w:val="zh-CN"/>
    </w:rPr>
  </w:style>
  <w:style w:type="character" w:customStyle="1" w:styleId="336">
    <w:name w:val="纯文本 Char Char Char"/>
    <w:autoRedefine/>
    <w:qFormat/>
    <w:uiPriority w:val="0"/>
    <w:rPr>
      <w:rFonts w:ascii="宋体" w:hAnsi="Courier New" w:eastAsia="宋体"/>
      <w:kern w:val="2"/>
      <w:sz w:val="21"/>
      <w:lang w:val="en-US" w:eastAsia="zh-CN" w:bidi="ar-SA"/>
    </w:rPr>
  </w:style>
  <w:style w:type="character" w:customStyle="1" w:styleId="337">
    <w:name w:val="Table Text Char"/>
    <w:link w:val="338"/>
    <w:autoRedefine/>
    <w:qFormat/>
    <w:uiPriority w:val="0"/>
    <w:rPr>
      <w:sz w:val="24"/>
      <w:szCs w:val="24"/>
    </w:rPr>
  </w:style>
  <w:style w:type="paragraph" w:customStyle="1" w:styleId="338">
    <w:name w:val="Table Text"/>
    <w:basedOn w:val="1"/>
    <w:link w:val="337"/>
    <w:autoRedefine/>
    <w:qFormat/>
    <w:uiPriority w:val="0"/>
    <w:pPr>
      <w:widowControl/>
      <w:spacing w:before="60" w:after="60"/>
      <w:jc w:val="left"/>
    </w:pPr>
    <w:rPr>
      <w:kern w:val="0"/>
      <w:sz w:val="24"/>
    </w:rPr>
  </w:style>
  <w:style w:type="character" w:customStyle="1" w:styleId="339">
    <w:name w:val="正文1 Char1"/>
    <w:autoRedefine/>
    <w:qFormat/>
    <w:uiPriority w:val="0"/>
    <w:rPr>
      <w:rFonts w:ascii="仿宋_GB2312" w:hAnsi="Courier New" w:eastAsia="仿宋_GB2312"/>
      <w:kern w:val="28"/>
      <w:sz w:val="24"/>
      <w:szCs w:val="24"/>
      <w:lang w:val="en-US" w:eastAsia="zh-CN"/>
    </w:rPr>
  </w:style>
  <w:style w:type="character" w:customStyle="1" w:styleId="340">
    <w:name w:val="页脚 Char1"/>
    <w:autoRedefine/>
    <w:qFormat/>
    <w:uiPriority w:val="0"/>
    <w:rPr>
      <w:rFonts w:eastAsia="宋体"/>
      <w:kern w:val="2"/>
      <w:sz w:val="18"/>
      <w:szCs w:val="18"/>
      <w:lang w:val="en-US" w:eastAsia="zh-CN" w:bidi="ar-SA"/>
    </w:rPr>
  </w:style>
  <w:style w:type="character" w:customStyle="1" w:styleId="341">
    <w:name w:val="Bold"/>
    <w:qFormat/>
    <w:uiPriority w:val="0"/>
    <w:rPr>
      <w:rFonts w:ascii="Arial" w:hAnsi="Arial" w:eastAsia="黑体" w:cs="Times New Roman"/>
      <w:b/>
      <w:kern w:val="2"/>
      <w:sz w:val="32"/>
      <w:szCs w:val="32"/>
      <w:lang w:val="en-US" w:eastAsia="zh-CN" w:bidi="ar-SA"/>
    </w:rPr>
  </w:style>
  <w:style w:type="character" w:customStyle="1" w:styleId="342">
    <w:name w:val="批注文字 字符1"/>
    <w:link w:val="19"/>
    <w:autoRedefine/>
    <w:qFormat/>
    <w:uiPriority w:val="0"/>
    <w:rPr>
      <w:kern w:val="2"/>
      <w:sz w:val="21"/>
      <w:szCs w:val="24"/>
    </w:rPr>
  </w:style>
  <w:style w:type="character" w:customStyle="1" w:styleId="343">
    <w:name w:val="签名 字符"/>
    <w:link w:val="42"/>
    <w:autoRedefine/>
    <w:qFormat/>
    <w:uiPriority w:val="0"/>
    <w:rPr>
      <w:rFonts w:eastAsia="仿宋_GB2312"/>
      <w:sz w:val="24"/>
    </w:rPr>
  </w:style>
  <w:style w:type="character" w:customStyle="1" w:styleId="344">
    <w:name w:val="hui3"/>
    <w:autoRedefine/>
    <w:qFormat/>
    <w:uiPriority w:val="0"/>
    <w:rPr>
      <w:color w:val="333333"/>
    </w:rPr>
  </w:style>
  <w:style w:type="character" w:customStyle="1" w:styleId="345">
    <w:name w:val="Char Char17"/>
    <w:autoRedefine/>
    <w:qFormat/>
    <w:uiPriority w:val="6"/>
    <w:rPr>
      <w:rFonts w:eastAsia="仿宋_GB2312"/>
      <w:sz w:val="24"/>
    </w:rPr>
  </w:style>
  <w:style w:type="character" w:customStyle="1" w:styleId="346">
    <w:name w:val="标题 4 字符"/>
    <w:autoRedefine/>
    <w:qFormat/>
    <w:uiPriority w:val="9"/>
    <w:rPr>
      <w:rFonts w:ascii="等线 Light" w:hAnsi="等线 Light" w:eastAsia="等线 Light" w:cs="Times New Roman"/>
      <w:b/>
      <w:bCs/>
      <w:snapToGrid w:val="0"/>
      <w:kern w:val="0"/>
      <w:sz w:val="28"/>
      <w:szCs w:val="28"/>
    </w:rPr>
  </w:style>
  <w:style w:type="character" w:customStyle="1" w:styleId="347">
    <w:name w:val="Char Char37"/>
    <w:autoRedefine/>
    <w:qFormat/>
    <w:uiPriority w:val="6"/>
    <w:rPr>
      <w:b/>
      <w:kern w:val="1"/>
      <w:sz w:val="44"/>
      <w:szCs w:val="44"/>
    </w:rPr>
  </w:style>
  <w:style w:type="character" w:customStyle="1" w:styleId="348">
    <w:name w:val="列出段落 Char"/>
    <w:autoRedefine/>
    <w:qFormat/>
    <w:uiPriority w:val="0"/>
    <w:rPr>
      <w:rFonts w:eastAsia="楷体_GB2312" w:cs="Lucida Sans"/>
      <w:kern w:val="2"/>
      <w:sz w:val="24"/>
      <w:szCs w:val="24"/>
      <w:lang w:val="en-US" w:eastAsia="zh-CN" w:bidi="ar-SA"/>
    </w:rPr>
  </w:style>
  <w:style w:type="character" w:customStyle="1" w:styleId="349">
    <w:name w:val="正文文本缩进 3 Char1"/>
    <w:autoRedefine/>
    <w:semiHidden/>
    <w:qFormat/>
    <w:uiPriority w:val="99"/>
    <w:rPr>
      <w:rFonts w:ascii="Times New Roman" w:hAnsi="Times New Roman" w:eastAsia="宋体" w:cs="Times New Roman"/>
      <w:sz w:val="16"/>
      <w:szCs w:val="16"/>
    </w:rPr>
  </w:style>
  <w:style w:type="character" w:customStyle="1" w:styleId="350">
    <w:name w:val="公文正文 Char Char"/>
    <w:link w:val="351"/>
    <w:autoRedefine/>
    <w:qFormat/>
    <w:uiPriority w:val="0"/>
    <w:rPr>
      <w:rFonts w:ascii="仿宋_GB2312" w:eastAsia="仿宋_GB2312"/>
      <w:kern w:val="2"/>
      <w:sz w:val="24"/>
      <w:szCs w:val="24"/>
    </w:rPr>
  </w:style>
  <w:style w:type="paragraph" w:customStyle="1" w:styleId="351">
    <w:name w:val="公文正文"/>
    <w:basedOn w:val="1"/>
    <w:link w:val="350"/>
    <w:qFormat/>
    <w:uiPriority w:val="0"/>
    <w:pPr>
      <w:adjustRightInd/>
      <w:spacing w:before="156" w:line="360" w:lineRule="auto"/>
      <w:ind w:firstLine="360" w:firstLineChars="200"/>
    </w:pPr>
    <w:rPr>
      <w:rFonts w:ascii="仿宋_GB2312" w:eastAsia="仿宋_GB2312"/>
      <w:sz w:val="24"/>
    </w:rPr>
  </w:style>
  <w:style w:type="character" w:customStyle="1" w:styleId="352">
    <w:name w:val="Table Text Char1"/>
    <w:autoRedefine/>
    <w:qFormat/>
    <w:uiPriority w:val="0"/>
    <w:rPr>
      <w:rFonts w:eastAsia="宋体"/>
      <w:sz w:val="24"/>
      <w:szCs w:val="24"/>
      <w:lang w:val="en-US" w:eastAsia="zh-CN" w:bidi="ar-SA"/>
    </w:rPr>
  </w:style>
  <w:style w:type="character" w:customStyle="1" w:styleId="353">
    <w:name w:val="标题 1 Char Char"/>
    <w:autoRedefine/>
    <w:qFormat/>
    <w:uiPriority w:val="0"/>
    <w:rPr>
      <w:rFonts w:hint="eastAsia" w:ascii="宋体" w:hAnsi="宋体" w:eastAsia="宋体"/>
      <w:b/>
      <w:spacing w:val="-2"/>
      <w:sz w:val="24"/>
      <w:lang w:val="en-US" w:eastAsia="zh-CN" w:bidi="ar-SA"/>
    </w:rPr>
  </w:style>
  <w:style w:type="character" w:customStyle="1" w:styleId="354">
    <w:name w:val="正文（缩进2汉字） Char"/>
    <w:link w:val="355"/>
    <w:autoRedefine/>
    <w:qFormat/>
    <w:uiPriority w:val="0"/>
    <w:rPr>
      <w:rFonts w:ascii="宋体"/>
    </w:rPr>
  </w:style>
  <w:style w:type="paragraph" w:customStyle="1" w:styleId="355">
    <w:name w:val="正文（缩进2汉字）"/>
    <w:basedOn w:val="1"/>
    <w:link w:val="354"/>
    <w:autoRedefine/>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6">
    <w:name w:val="标题 8 字符"/>
    <w:link w:val="9"/>
    <w:autoRedefine/>
    <w:qFormat/>
    <w:uiPriority w:val="0"/>
    <w:rPr>
      <w:rFonts w:ascii="Arial" w:hAnsi="Arial" w:eastAsia="黑体"/>
      <w:kern w:val="2"/>
      <w:sz w:val="24"/>
      <w:szCs w:val="24"/>
    </w:rPr>
  </w:style>
  <w:style w:type="character" w:customStyle="1" w:styleId="357">
    <w:name w:val="标书表格字体格式 Char"/>
    <w:autoRedefine/>
    <w:qFormat/>
    <w:uiPriority w:val="0"/>
    <w:rPr>
      <w:kern w:val="2"/>
      <w:sz w:val="21"/>
      <w:szCs w:val="24"/>
      <w:lang w:bidi="ar-SA"/>
    </w:rPr>
  </w:style>
  <w:style w:type="character" w:customStyle="1" w:styleId="358">
    <w:name w:val="tw4winError"/>
    <w:autoRedefine/>
    <w:qFormat/>
    <w:uiPriority w:val="0"/>
    <w:rPr>
      <w:rFonts w:ascii="Courier New" w:hAnsi="Courier New" w:cs="Courier New"/>
      <w:color w:val="00FF00"/>
      <w:sz w:val="40"/>
      <w:szCs w:val="40"/>
    </w:rPr>
  </w:style>
  <w:style w:type="character" w:customStyle="1" w:styleId="359">
    <w:name w:val="Body Text(ch) Char Char"/>
    <w:autoRedefine/>
    <w:qFormat/>
    <w:uiPriority w:val="0"/>
    <w:rPr>
      <w:rFonts w:ascii="宋体"/>
      <w:kern w:val="2"/>
      <w:sz w:val="24"/>
      <w:szCs w:val="21"/>
      <w:lang w:val="zh-CN"/>
    </w:rPr>
  </w:style>
  <w:style w:type="character" w:customStyle="1" w:styleId="360">
    <w:name w:val="正文首行缩进两字 Char"/>
    <w:autoRedefine/>
    <w:qFormat/>
    <w:uiPriority w:val="0"/>
    <w:rPr>
      <w:sz w:val="24"/>
      <w:szCs w:val="24"/>
      <w:lang w:val="en-US" w:eastAsia="zh-CN" w:bidi="ar-SA"/>
    </w:rPr>
  </w:style>
  <w:style w:type="character" w:customStyle="1" w:styleId="361">
    <w:name w:val="正文文本 Char"/>
    <w:autoRedefine/>
    <w:qFormat/>
    <w:uiPriority w:val="0"/>
    <w:rPr>
      <w:rFonts w:eastAsia="宋体"/>
      <w:kern w:val="2"/>
      <w:sz w:val="24"/>
      <w:szCs w:val="24"/>
      <w:lang w:val="en-US" w:eastAsia="zh-CN" w:bidi="ar-SA"/>
    </w:rPr>
  </w:style>
  <w:style w:type="character" w:customStyle="1" w:styleId="362">
    <w:name w:val="文档结构图 字符1"/>
    <w:autoRedefine/>
    <w:qFormat/>
    <w:uiPriority w:val="0"/>
    <w:rPr>
      <w:rFonts w:ascii="宋体" w:hAnsi="Calibri" w:eastAsia="黑体" w:cs="Arial"/>
      <w:snapToGrid w:val="0"/>
      <w:kern w:val="2"/>
      <w:sz w:val="18"/>
      <w:szCs w:val="18"/>
    </w:rPr>
  </w:style>
  <w:style w:type="character" w:customStyle="1" w:styleId="363">
    <w:name w:val="content"/>
    <w:autoRedefine/>
    <w:qFormat/>
    <w:uiPriority w:val="0"/>
  </w:style>
  <w:style w:type="character" w:customStyle="1" w:styleId="364">
    <w:name w:val="tw4winPopup"/>
    <w:autoRedefine/>
    <w:qFormat/>
    <w:uiPriority w:val="0"/>
    <w:rPr>
      <w:rFonts w:ascii="Courier New" w:hAnsi="Courier New" w:cs="Courier New"/>
      <w:color w:val="008000"/>
      <w:lang w:val="en-US" w:eastAsia="zh-CN"/>
    </w:rPr>
  </w:style>
  <w:style w:type="character" w:customStyle="1" w:styleId="365">
    <w:name w:val="param-name"/>
    <w:autoRedefine/>
    <w:qFormat/>
    <w:uiPriority w:val="99"/>
    <w:rPr>
      <w:rFonts w:ascii="Arial" w:hAnsi="Arial" w:eastAsia="黑体" w:cs="Arial"/>
      <w:snapToGrid w:val="0"/>
      <w:kern w:val="0"/>
      <w:szCs w:val="21"/>
    </w:rPr>
  </w:style>
  <w:style w:type="character" w:customStyle="1" w:styleId="366">
    <w:name w:val="标准正文格式 Char"/>
    <w:autoRedefine/>
    <w:qFormat/>
    <w:uiPriority w:val="0"/>
    <w:rPr>
      <w:rFonts w:ascii="宋体" w:eastAsia="仿宋_GB2312" w:cs="宋体"/>
      <w:color w:val="000000"/>
      <w:sz w:val="24"/>
      <w:lang w:val="en-US" w:eastAsia="zh-CN" w:bidi="ar-SA"/>
    </w:rPr>
  </w:style>
  <w:style w:type="character" w:customStyle="1" w:styleId="367">
    <w:name w:val="Char Char212"/>
    <w:autoRedefine/>
    <w:qFormat/>
    <w:uiPriority w:val="0"/>
    <w:rPr>
      <w:rFonts w:eastAsia="宋体"/>
      <w:b/>
      <w:bCs/>
      <w:kern w:val="2"/>
      <w:sz w:val="21"/>
      <w:szCs w:val="24"/>
      <w:lang w:val="en-US" w:eastAsia="zh-CN" w:bidi="ar-SA"/>
    </w:rPr>
  </w:style>
  <w:style w:type="character" w:customStyle="1" w:styleId="368">
    <w:name w:val="文档结构图 Char"/>
    <w:autoRedefine/>
    <w:qFormat/>
    <w:uiPriority w:val="0"/>
    <w:rPr>
      <w:rFonts w:eastAsia="宋体"/>
      <w:kern w:val="2"/>
      <w:sz w:val="21"/>
      <w:szCs w:val="24"/>
      <w:lang w:val="en-US" w:eastAsia="zh-CN" w:bidi="ar-SA"/>
    </w:rPr>
  </w:style>
  <w:style w:type="character" w:customStyle="1" w:styleId="369">
    <w:name w:val="zbggmain style9"/>
    <w:autoRedefine/>
    <w:qFormat/>
    <w:uiPriority w:val="0"/>
  </w:style>
  <w:style w:type="character" w:customStyle="1" w:styleId="370">
    <w:name w:val="Char Char16"/>
    <w:autoRedefine/>
    <w:qFormat/>
    <w:uiPriority w:val="6"/>
    <w:rPr>
      <w:kern w:val="1"/>
      <w:sz w:val="18"/>
      <w:szCs w:val="18"/>
    </w:rPr>
  </w:style>
  <w:style w:type="character" w:customStyle="1" w:styleId="371">
    <w:name w:val="font51"/>
    <w:autoRedefine/>
    <w:qFormat/>
    <w:uiPriority w:val="0"/>
    <w:rPr>
      <w:rFonts w:hint="eastAsia" w:ascii="仿宋" w:hAnsi="仿宋" w:eastAsia="仿宋" w:cs="仿宋"/>
      <w:color w:val="000000"/>
      <w:sz w:val="20"/>
      <w:szCs w:val="20"/>
      <w:u w:val="none"/>
    </w:rPr>
  </w:style>
  <w:style w:type="character" w:customStyle="1" w:styleId="372">
    <w:name w:val="Char Char82"/>
    <w:autoRedefine/>
    <w:qFormat/>
    <w:uiPriority w:val="0"/>
    <w:rPr>
      <w:rFonts w:eastAsia="宋体"/>
      <w:b/>
      <w:sz w:val="24"/>
      <w:lang w:val="en-GB" w:eastAsia="zh-CN"/>
    </w:rPr>
  </w:style>
  <w:style w:type="character" w:customStyle="1" w:styleId="373">
    <w:name w:val="正文文本缩进 3 字符"/>
    <w:link w:val="53"/>
    <w:autoRedefine/>
    <w:qFormat/>
    <w:uiPriority w:val="0"/>
    <w:rPr>
      <w:kern w:val="2"/>
      <w:sz w:val="24"/>
    </w:rPr>
  </w:style>
  <w:style w:type="character" w:customStyle="1" w:styleId="374">
    <w:name w:val="日期 Char1"/>
    <w:autoRedefine/>
    <w:semiHidden/>
    <w:qFormat/>
    <w:uiPriority w:val="99"/>
    <w:rPr>
      <w:rFonts w:ascii="Times New Roman" w:hAnsi="Times New Roman" w:eastAsia="宋体" w:cs="Times New Roman"/>
      <w:szCs w:val="24"/>
    </w:rPr>
  </w:style>
  <w:style w:type="character" w:customStyle="1" w:styleId="375">
    <w:name w:val="页眉 字符"/>
    <w:autoRedefine/>
    <w:qFormat/>
    <w:uiPriority w:val="99"/>
    <w:rPr>
      <w:kern w:val="2"/>
      <w:sz w:val="18"/>
      <w:szCs w:val="18"/>
    </w:rPr>
  </w:style>
  <w:style w:type="character" w:customStyle="1" w:styleId="376">
    <w:name w:val="Char Char33"/>
    <w:autoRedefine/>
    <w:qFormat/>
    <w:uiPriority w:val="6"/>
    <w:rPr>
      <w:rFonts w:ascii="Arial" w:hAnsi="Arial" w:eastAsia="黑体"/>
      <w:b/>
      <w:kern w:val="1"/>
      <w:sz w:val="24"/>
      <w:szCs w:val="24"/>
    </w:rPr>
  </w:style>
  <w:style w:type="character" w:customStyle="1" w:styleId="377">
    <w:name w:val="b11_01b Char"/>
    <w:link w:val="378"/>
    <w:autoRedefine/>
    <w:qFormat/>
    <w:uiPriority w:val="0"/>
    <w:rPr>
      <w:rFonts w:ascii="Verdana" w:hAnsi="Verdana"/>
      <w:b/>
      <w:bCs/>
      <w:color w:val="4A82CA"/>
      <w:sz w:val="17"/>
      <w:szCs w:val="17"/>
    </w:rPr>
  </w:style>
  <w:style w:type="paragraph" w:customStyle="1" w:styleId="378">
    <w:name w:val="b11_01b"/>
    <w:basedOn w:val="1"/>
    <w:next w:val="1"/>
    <w:link w:val="377"/>
    <w:autoRedefine/>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9">
    <w:name w:val="Char Char121"/>
    <w:autoRedefine/>
    <w:qFormat/>
    <w:uiPriority w:val="6"/>
    <w:rPr>
      <w:rFonts w:ascii="仿宋_GB2312" w:eastAsia="仿宋_GB2312"/>
      <w:b/>
      <w:bCs/>
      <w:kern w:val="2"/>
      <w:sz w:val="24"/>
      <w:szCs w:val="24"/>
      <w:lang w:val="zh-CN" w:eastAsia="zh-CN" w:bidi="ar-SA"/>
    </w:rPr>
  </w:style>
  <w:style w:type="character" w:customStyle="1" w:styleId="380">
    <w:name w:val="Footer-Even Char"/>
    <w:autoRedefine/>
    <w:qFormat/>
    <w:uiPriority w:val="0"/>
    <w:rPr>
      <w:rFonts w:eastAsia="宋体"/>
      <w:kern w:val="2"/>
      <w:sz w:val="18"/>
      <w:lang w:val="en-US" w:eastAsia="zh-CN" w:bidi="ar-SA"/>
    </w:rPr>
  </w:style>
  <w:style w:type="character" w:customStyle="1" w:styleId="381">
    <w:name w:val="页脚 字符2"/>
    <w:link w:val="40"/>
    <w:autoRedefine/>
    <w:qFormat/>
    <w:locked/>
    <w:uiPriority w:val="99"/>
    <w:rPr>
      <w:kern w:val="2"/>
      <w:sz w:val="18"/>
      <w:szCs w:val="18"/>
    </w:rPr>
  </w:style>
  <w:style w:type="character" w:customStyle="1" w:styleId="382">
    <w:name w:val="Char Char36"/>
    <w:autoRedefine/>
    <w:qFormat/>
    <w:uiPriority w:val="6"/>
    <w:rPr>
      <w:rFonts w:ascii="仿宋_GB2312" w:hAnsi="仿宋_GB2312" w:eastAsia="仿宋_GB2312" w:cs="Arial"/>
      <w:b/>
      <w:kern w:val="1"/>
      <w:sz w:val="32"/>
      <w:szCs w:val="32"/>
      <w:lang w:val="zh-CN" w:eastAsia="zh-CN" w:bidi="ar-SA"/>
    </w:rPr>
  </w:style>
  <w:style w:type="character" w:customStyle="1" w:styleId="383">
    <w:name w:val="Char Char61"/>
    <w:autoRedefine/>
    <w:qFormat/>
    <w:uiPriority w:val="6"/>
    <w:rPr>
      <w:rFonts w:eastAsia="宋体"/>
      <w:kern w:val="2"/>
      <w:sz w:val="21"/>
      <w:szCs w:val="24"/>
      <w:lang w:val="en-US" w:eastAsia="zh-CN" w:bidi="ar-SA"/>
    </w:rPr>
  </w:style>
  <w:style w:type="character" w:customStyle="1" w:styleId="384">
    <w:name w:val="正文文字缩进 2 Char Char"/>
    <w:autoRedefine/>
    <w:qFormat/>
    <w:uiPriority w:val="0"/>
    <w:rPr>
      <w:rFonts w:ascii="宋体"/>
      <w:sz w:val="28"/>
    </w:rPr>
  </w:style>
  <w:style w:type="character" w:customStyle="1" w:styleId="385">
    <w:name w:val="f141"/>
    <w:autoRedefine/>
    <w:qFormat/>
    <w:uiPriority w:val="0"/>
    <w:rPr>
      <w:rFonts w:ascii="Tahoma" w:hAnsi="Tahoma" w:eastAsia="宋体"/>
      <w:b/>
      <w:kern w:val="2"/>
      <w:sz w:val="21"/>
      <w:szCs w:val="21"/>
      <w:lang w:val="en-US" w:eastAsia="zh-CN" w:bidi="ar-SA"/>
    </w:rPr>
  </w:style>
  <w:style w:type="character" w:customStyle="1" w:styleId="386">
    <w:name w:val="段落 Char Char"/>
    <w:link w:val="387"/>
    <w:autoRedefine/>
    <w:qFormat/>
    <w:uiPriority w:val="0"/>
    <w:rPr>
      <w:rFonts w:ascii="宋体" w:hAnsi="宋体"/>
      <w:sz w:val="24"/>
    </w:rPr>
  </w:style>
  <w:style w:type="paragraph" w:customStyle="1" w:styleId="387">
    <w:name w:val="段落"/>
    <w:basedOn w:val="1"/>
    <w:link w:val="386"/>
    <w:autoRedefine/>
    <w:qFormat/>
    <w:uiPriority w:val="0"/>
    <w:pPr>
      <w:adjustRightInd/>
      <w:spacing w:line="360" w:lineRule="auto"/>
      <w:ind w:firstLine="480" w:firstLineChars="200"/>
    </w:pPr>
    <w:rPr>
      <w:rFonts w:ascii="宋体" w:hAnsi="宋体"/>
      <w:kern w:val="0"/>
      <w:sz w:val="24"/>
      <w:szCs w:val="20"/>
    </w:rPr>
  </w:style>
  <w:style w:type="character" w:customStyle="1" w:styleId="388">
    <w:name w:val="标题 3 Char2"/>
    <w:autoRedefine/>
    <w:qFormat/>
    <w:uiPriority w:val="0"/>
    <w:rPr>
      <w:rFonts w:eastAsia="宋体"/>
      <w:b/>
      <w:bCs/>
      <w:kern w:val="2"/>
      <w:sz w:val="32"/>
      <w:szCs w:val="32"/>
      <w:lang w:val="en-US" w:eastAsia="zh-CN" w:bidi="ar-SA"/>
    </w:rPr>
  </w:style>
  <w:style w:type="character" w:customStyle="1" w:styleId="389">
    <w:name w:val="apple-converted-space"/>
    <w:autoRedefine/>
    <w:qFormat/>
    <w:uiPriority w:val="0"/>
  </w:style>
  <w:style w:type="character" w:customStyle="1" w:styleId="390">
    <w:name w:val="页眉 字符2"/>
    <w:link w:val="41"/>
    <w:autoRedefine/>
    <w:qFormat/>
    <w:uiPriority w:val="99"/>
    <w:rPr>
      <w:kern w:val="2"/>
      <w:sz w:val="18"/>
      <w:szCs w:val="18"/>
    </w:rPr>
  </w:style>
  <w:style w:type="character" w:customStyle="1" w:styleId="391">
    <w:name w:val="Char Char9"/>
    <w:autoRedefine/>
    <w:qFormat/>
    <w:uiPriority w:val="0"/>
    <w:rPr>
      <w:rFonts w:eastAsia="宋体"/>
      <w:kern w:val="2"/>
      <w:sz w:val="18"/>
      <w:szCs w:val="18"/>
      <w:lang w:val="en-US" w:eastAsia="zh-CN" w:bidi="ar-SA"/>
    </w:rPr>
  </w:style>
  <w:style w:type="character" w:customStyle="1" w:styleId="392">
    <w:name w:val="Char Char41"/>
    <w:autoRedefine/>
    <w:qFormat/>
    <w:uiPriority w:val="0"/>
    <w:rPr>
      <w:rFonts w:eastAsia="宋体"/>
      <w:b/>
      <w:sz w:val="24"/>
      <w:lang w:val="en-GB" w:eastAsia="zh-CN" w:bidi="ar-SA"/>
    </w:rPr>
  </w:style>
  <w:style w:type="character" w:customStyle="1" w:styleId="393">
    <w:name w:val="large1"/>
    <w:autoRedefine/>
    <w:qFormat/>
    <w:uiPriority w:val="0"/>
    <w:rPr>
      <w:rFonts w:hint="eastAsia" w:ascii="宋体" w:hAnsi="宋体" w:eastAsia="宋体"/>
      <w:sz w:val="21"/>
      <w:szCs w:val="21"/>
    </w:rPr>
  </w:style>
  <w:style w:type="character" w:customStyle="1" w:styleId="394">
    <w:name w:val="正文段 Char"/>
    <w:link w:val="395"/>
    <w:autoRedefine/>
    <w:qFormat/>
    <w:uiPriority w:val="0"/>
    <w:rPr>
      <w:sz w:val="24"/>
    </w:rPr>
  </w:style>
  <w:style w:type="paragraph" w:customStyle="1" w:styleId="395">
    <w:name w:val="正文段"/>
    <w:basedOn w:val="1"/>
    <w:link w:val="394"/>
    <w:autoRedefine/>
    <w:qFormat/>
    <w:uiPriority w:val="0"/>
    <w:pPr>
      <w:widowControl/>
      <w:snapToGrid w:val="0"/>
      <w:spacing w:after="156" w:afterLines="50"/>
      <w:ind w:firstLine="200" w:firstLineChars="200"/>
    </w:pPr>
    <w:rPr>
      <w:kern w:val="0"/>
      <w:sz w:val="24"/>
      <w:szCs w:val="20"/>
    </w:rPr>
  </w:style>
  <w:style w:type="character" w:customStyle="1" w:styleId="396">
    <w:name w:val="Char Char13"/>
    <w:autoRedefine/>
    <w:qFormat/>
    <w:uiPriority w:val="6"/>
    <w:rPr>
      <w:rFonts w:ascii="宋体" w:hAnsi="宋体"/>
      <w:kern w:val="1"/>
      <w:sz w:val="21"/>
      <w:szCs w:val="24"/>
    </w:rPr>
  </w:style>
  <w:style w:type="character" w:customStyle="1" w:styleId="397">
    <w:name w:val="Char Char92"/>
    <w:autoRedefine/>
    <w:qFormat/>
    <w:uiPriority w:val="0"/>
    <w:rPr>
      <w:rFonts w:ascii="Times New Roman" w:hAnsi="Times New Roman" w:eastAsia="宋体" w:cs="Times New Roman"/>
      <w:b/>
      <w:bCs/>
      <w:kern w:val="2"/>
      <w:sz w:val="32"/>
      <w:szCs w:val="32"/>
      <w:lang w:val="en-US" w:eastAsia="zh-CN" w:bidi="ar-SA"/>
    </w:rPr>
  </w:style>
  <w:style w:type="character" w:customStyle="1" w:styleId="398">
    <w:name w:val="冯广丽 Char"/>
    <w:link w:val="399"/>
    <w:autoRedefine/>
    <w:qFormat/>
    <w:uiPriority w:val="0"/>
    <w:rPr>
      <w:rFonts w:ascii="宋体" w:hAnsi="宋体"/>
      <w:kern w:val="2"/>
      <w:sz w:val="24"/>
      <w:szCs w:val="22"/>
    </w:rPr>
  </w:style>
  <w:style w:type="paragraph" w:customStyle="1" w:styleId="399">
    <w:name w:val="冯广丽"/>
    <w:basedOn w:val="1"/>
    <w:link w:val="398"/>
    <w:autoRedefine/>
    <w:qFormat/>
    <w:uiPriority w:val="0"/>
    <w:pPr>
      <w:adjustRightInd/>
      <w:spacing w:line="360" w:lineRule="auto"/>
      <w:ind w:firstLine="480" w:firstLineChars="200"/>
    </w:pPr>
    <w:rPr>
      <w:rFonts w:ascii="宋体" w:hAnsi="宋体"/>
      <w:sz w:val="24"/>
      <w:szCs w:val="22"/>
    </w:rPr>
  </w:style>
  <w:style w:type="character" w:customStyle="1" w:styleId="400">
    <w:name w:val="批注文字 字符"/>
    <w:autoRedefine/>
    <w:qFormat/>
    <w:uiPriority w:val="0"/>
    <w:rPr>
      <w:rFonts w:ascii="Arial" w:hAnsi="Arial" w:eastAsia="黑体" w:cs="Arial"/>
      <w:snapToGrid w:val="0"/>
      <w:kern w:val="0"/>
      <w:szCs w:val="21"/>
    </w:rPr>
  </w:style>
  <w:style w:type="character" w:customStyle="1" w:styleId="401">
    <w:name w:val="Char Char161"/>
    <w:autoRedefine/>
    <w:qFormat/>
    <w:uiPriority w:val="0"/>
    <w:rPr>
      <w:rFonts w:eastAsia="宋体"/>
      <w:b/>
      <w:kern w:val="2"/>
      <w:sz w:val="32"/>
      <w:lang w:val="en-US" w:eastAsia="zh-CN"/>
    </w:rPr>
  </w:style>
  <w:style w:type="character" w:customStyle="1" w:styleId="402">
    <w:name w:val="javascript"/>
    <w:autoRedefine/>
    <w:qFormat/>
    <w:uiPriority w:val="0"/>
  </w:style>
  <w:style w:type="character" w:customStyle="1" w:styleId="403">
    <w:name w:val="图名 Char"/>
    <w:autoRedefine/>
    <w:qFormat/>
    <w:uiPriority w:val="0"/>
    <w:rPr>
      <w:rFonts w:ascii="Arial" w:hAnsi="Arial" w:eastAsia="黑体"/>
      <w:kern w:val="2"/>
      <w:sz w:val="24"/>
      <w:szCs w:val="24"/>
      <w:lang w:val="en-US" w:eastAsia="zh-CN" w:bidi="ar-SA"/>
    </w:rPr>
  </w:style>
  <w:style w:type="character" w:customStyle="1" w:styleId="404">
    <w:name w:val="Used by Word for text of Help footnotes Char Char"/>
    <w:autoRedefine/>
    <w:qFormat/>
    <w:uiPriority w:val="0"/>
    <w:rPr>
      <w:rFonts w:ascii="Times New Roman" w:hAnsi="Times New Roman" w:eastAsia="宋体" w:cs="Times New Roman"/>
      <w:sz w:val="20"/>
      <w:szCs w:val="20"/>
    </w:rPr>
  </w:style>
  <w:style w:type="character" w:customStyle="1" w:styleId="405">
    <w:name w:val="编号，小四 Char"/>
    <w:link w:val="406"/>
    <w:autoRedefine/>
    <w:qFormat/>
    <w:uiPriority w:val="0"/>
    <w:rPr>
      <w:rFonts w:ascii="Arial" w:hAnsi="Arial"/>
      <w:sz w:val="24"/>
    </w:rPr>
  </w:style>
  <w:style w:type="paragraph" w:customStyle="1" w:styleId="406">
    <w:name w:val="编号，小四"/>
    <w:basedOn w:val="1"/>
    <w:link w:val="405"/>
    <w:autoRedefine/>
    <w:qFormat/>
    <w:uiPriority w:val="0"/>
    <w:pPr>
      <w:tabs>
        <w:tab w:val="left" w:pos="432"/>
      </w:tabs>
      <w:adjustRightInd/>
      <w:spacing w:line="360" w:lineRule="auto"/>
      <w:ind w:left="432" w:hanging="432"/>
    </w:pPr>
    <w:rPr>
      <w:rFonts w:ascii="Arial" w:hAnsi="Arial"/>
      <w:kern w:val="0"/>
      <w:sz w:val="24"/>
      <w:szCs w:val="20"/>
    </w:rPr>
  </w:style>
  <w:style w:type="character" w:customStyle="1" w:styleId="407">
    <w:name w:val="Font Style82"/>
    <w:autoRedefine/>
    <w:qFormat/>
    <w:uiPriority w:val="99"/>
    <w:rPr>
      <w:rFonts w:ascii="宋体" w:eastAsia="宋体" w:cs="宋体"/>
      <w:color w:val="000000"/>
      <w:sz w:val="14"/>
      <w:szCs w:val="14"/>
    </w:rPr>
  </w:style>
  <w:style w:type="character" w:customStyle="1" w:styleId="408">
    <w:name w:val="标题 2 Char Char"/>
    <w:autoRedefine/>
    <w:qFormat/>
    <w:uiPriority w:val="0"/>
    <w:rPr>
      <w:rFonts w:ascii="楷体_GB2312" w:hAnsi="Arial" w:eastAsia="楷体_GB2312"/>
      <w:b/>
      <w:bCs/>
      <w:kern w:val="2"/>
      <w:sz w:val="24"/>
      <w:szCs w:val="32"/>
      <w:lang w:val="en-US" w:eastAsia="zh-CN" w:bidi="ar-SA"/>
    </w:rPr>
  </w:style>
  <w:style w:type="character" w:customStyle="1" w:styleId="409">
    <w:name w:val="未用 Char"/>
    <w:autoRedefine/>
    <w:qFormat/>
    <w:uiPriority w:val="0"/>
    <w:rPr>
      <w:rFonts w:ascii="Arial" w:hAnsi="Arial" w:eastAsia="黑体"/>
      <w:kern w:val="2"/>
      <w:sz w:val="21"/>
      <w:szCs w:val="21"/>
      <w:lang w:val="en-US" w:eastAsia="zh-CN" w:bidi="ar-SA"/>
    </w:rPr>
  </w:style>
  <w:style w:type="character" w:customStyle="1" w:styleId="410">
    <w:name w:val="myp1111"/>
    <w:autoRedefine/>
    <w:qFormat/>
    <w:uiPriority w:val="0"/>
    <w:rPr>
      <w:rFonts w:hint="default" w:ascii="ˎ̥" w:hAnsi="ˎ̥"/>
      <w:color w:val="000000"/>
      <w:sz w:val="20"/>
      <w:szCs w:val="20"/>
      <w:u w:val="none"/>
    </w:rPr>
  </w:style>
  <w:style w:type="character" w:customStyle="1" w:styleId="411">
    <w:name w:val="样式 标题 4h4H4Fab-4T5Ref Heading 1rh1Heading sqlsect 1.2.3.... Char"/>
    <w:link w:val="303"/>
    <w:autoRedefine/>
    <w:qFormat/>
    <w:uiPriority w:val="0"/>
    <w:rPr>
      <w:rFonts w:ascii="微软雅黑" w:hAnsi="微软雅黑" w:eastAsia="微软雅黑"/>
      <w:b/>
      <w:bCs/>
      <w:kern w:val="2"/>
      <w:sz w:val="24"/>
      <w:szCs w:val="28"/>
    </w:rPr>
  </w:style>
  <w:style w:type="character" w:customStyle="1" w:styleId="412">
    <w:name w:val="h Char Char"/>
    <w:autoRedefine/>
    <w:qFormat/>
    <w:uiPriority w:val="0"/>
    <w:rPr>
      <w:rFonts w:eastAsia="宋体"/>
      <w:kern w:val="2"/>
      <w:sz w:val="18"/>
      <w:lang w:val="en-US" w:eastAsia="zh-CN" w:bidi="ar-SA"/>
    </w:rPr>
  </w:style>
  <w:style w:type="character" w:customStyle="1" w:styleId="413">
    <w:name w:val="仿宋正文 Char"/>
    <w:link w:val="414"/>
    <w:autoRedefine/>
    <w:qFormat/>
    <w:uiPriority w:val="0"/>
    <w:rPr>
      <w:rFonts w:ascii="仿宋_GB2312" w:eastAsia="仿宋_GB2312"/>
      <w:kern w:val="2"/>
      <w:sz w:val="24"/>
      <w:lang w:val="en-US" w:eastAsia="zh-CN" w:bidi="ar-SA"/>
    </w:rPr>
  </w:style>
  <w:style w:type="paragraph" w:customStyle="1" w:styleId="414">
    <w:name w:val="仿宋正文"/>
    <w:basedOn w:val="1"/>
    <w:link w:val="413"/>
    <w:autoRedefine/>
    <w:qFormat/>
    <w:uiPriority w:val="0"/>
    <w:pPr>
      <w:adjustRightInd/>
      <w:spacing w:line="360" w:lineRule="auto"/>
      <w:ind w:firstLine="480" w:firstLineChars="200"/>
    </w:pPr>
    <w:rPr>
      <w:rFonts w:ascii="仿宋_GB2312" w:eastAsia="仿宋_GB2312"/>
      <w:sz w:val="24"/>
      <w:szCs w:val="20"/>
    </w:rPr>
  </w:style>
  <w:style w:type="character" w:customStyle="1" w:styleId="415">
    <w:name w:val="正文首行缩进 Char Char Char Char Char Char"/>
    <w:autoRedefine/>
    <w:qFormat/>
    <w:uiPriority w:val="0"/>
    <w:rPr>
      <w:rFonts w:ascii="宋体" w:eastAsia="宋体"/>
      <w:kern w:val="2"/>
      <w:sz w:val="24"/>
      <w:lang w:val="zh-CN" w:bidi="ar-SA"/>
    </w:rPr>
  </w:style>
  <w:style w:type="character" w:customStyle="1" w:styleId="416">
    <w:name w:val="样式 宋体"/>
    <w:autoRedefine/>
    <w:qFormat/>
    <w:uiPriority w:val="0"/>
    <w:rPr>
      <w:rFonts w:ascii="宋体" w:hAnsi="宋体"/>
      <w:sz w:val="24"/>
    </w:rPr>
  </w:style>
  <w:style w:type="character" w:customStyle="1" w:styleId="417">
    <w:name w:val="tw4winJump"/>
    <w:autoRedefine/>
    <w:qFormat/>
    <w:uiPriority w:val="0"/>
    <w:rPr>
      <w:rFonts w:ascii="Courier New" w:hAnsi="Courier New" w:cs="Courier New"/>
      <w:color w:val="008080"/>
      <w:lang w:val="en-US" w:eastAsia="zh-CN"/>
    </w:rPr>
  </w:style>
  <w:style w:type="character" w:customStyle="1" w:styleId="418">
    <w:name w:val="标题 1 字符"/>
    <w:autoRedefine/>
    <w:qFormat/>
    <w:uiPriority w:val="9"/>
    <w:rPr>
      <w:rFonts w:ascii="Arial" w:hAnsi="Arial" w:eastAsia="黑体" w:cs="Arial"/>
      <w:b/>
      <w:bCs/>
      <w:snapToGrid w:val="0"/>
      <w:kern w:val="44"/>
      <w:sz w:val="44"/>
      <w:szCs w:val="44"/>
    </w:rPr>
  </w:style>
  <w:style w:type="character" w:customStyle="1" w:styleId="419">
    <w:name w:val="style36"/>
    <w:basedOn w:val="69"/>
    <w:autoRedefine/>
    <w:qFormat/>
    <w:uiPriority w:val="0"/>
    <w:rPr>
      <w:rFonts w:ascii="Arial" w:hAnsi="Arial" w:eastAsia="黑体" w:cs="Arial"/>
      <w:snapToGrid w:val="0"/>
      <w:kern w:val="0"/>
      <w:szCs w:val="21"/>
    </w:rPr>
  </w:style>
  <w:style w:type="character" w:customStyle="1" w:styleId="420">
    <w:name w:val="pt9"/>
    <w:autoRedefine/>
    <w:qFormat/>
    <w:uiPriority w:val="0"/>
    <w:rPr>
      <w:rFonts w:ascii="仿宋_GB2312" w:eastAsia="微软雅黑"/>
      <w:b/>
      <w:kern w:val="2"/>
      <w:sz w:val="32"/>
      <w:szCs w:val="32"/>
      <w:lang w:val="en-US" w:eastAsia="zh-CN" w:bidi="ar-SA"/>
    </w:rPr>
  </w:style>
  <w:style w:type="character" w:customStyle="1" w:styleId="421">
    <w:name w:val="DO_NOT_TRANSLATE"/>
    <w:autoRedefine/>
    <w:qFormat/>
    <w:uiPriority w:val="0"/>
    <w:rPr>
      <w:rFonts w:ascii="Courier New" w:hAnsi="Courier New" w:cs="Courier New"/>
      <w:color w:val="800000"/>
      <w:lang w:val="en-US" w:eastAsia="zh-CN"/>
    </w:rPr>
  </w:style>
  <w:style w:type="character" w:customStyle="1" w:styleId="422">
    <w:name w:val="标书1 Char1"/>
    <w:autoRedefine/>
    <w:qFormat/>
    <w:uiPriority w:val="0"/>
    <w:rPr>
      <w:rFonts w:eastAsia="宋体"/>
      <w:b/>
      <w:bCs/>
      <w:kern w:val="44"/>
      <w:sz w:val="44"/>
      <w:szCs w:val="44"/>
      <w:lang w:val="en-US" w:eastAsia="zh-CN" w:bidi="ar-SA"/>
    </w:rPr>
  </w:style>
  <w:style w:type="character" w:customStyle="1" w:styleId="423">
    <w:name w:val="页脚 字符"/>
    <w:autoRedefine/>
    <w:qFormat/>
    <w:uiPriority w:val="99"/>
    <w:rPr>
      <w:kern w:val="2"/>
      <w:sz w:val="18"/>
      <w:szCs w:val="18"/>
    </w:rPr>
  </w:style>
  <w:style w:type="character" w:customStyle="1" w:styleId="424">
    <w:name w:val="正文2 Char"/>
    <w:autoRedefine/>
    <w:qFormat/>
    <w:uiPriority w:val="0"/>
    <w:rPr>
      <w:rFonts w:eastAsia="宋体"/>
      <w:kern w:val="2"/>
      <w:sz w:val="24"/>
      <w:lang w:val="en-US" w:eastAsia="zh-CN" w:bidi="ar-SA"/>
    </w:rPr>
  </w:style>
  <w:style w:type="character" w:customStyle="1" w:styleId="425">
    <w:name w:val="Char Char21"/>
    <w:autoRedefine/>
    <w:qFormat/>
    <w:uiPriority w:val="6"/>
    <w:rPr>
      <w:rFonts w:ascii="宋体" w:hAnsi="宋体"/>
      <w:kern w:val="1"/>
      <w:sz w:val="24"/>
      <w:szCs w:val="21"/>
      <w:lang w:val="zh-CN"/>
    </w:rPr>
  </w:style>
  <w:style w:type="character" w:customStyle="1" w:styleId="426">
    <w:name w:val="样式 正文缩进 + 首行缩进:  2 字符 Char Char"/>
    <w:link w:val="427"/>
    <w:autoRedefine/>
    <w:qFormat/>
    <w:uiPriority w:val="0"/>
    <w:rPr>
      <w:rFonts w:cs="宋体"/>
      <w:kern w:val="2"/>
      <w:sz w:val="24"/>
    </w:rPr>
  </w:style>
  <w:style w:type="paragraph" w:customStyle="1" w:styleId="427">
    <w:name w:val="样式 正文缩进 + 首行缩进:  2 字符"/>
    <w:basedOn w:val="15"/>
    <w:link w:val="426"/>
    <w:autoRedefine/>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8">
    <w:name w:val="正文文本 字符"/>
    <w:link w:val="23"/>
    <w:autoRedefine/>
    <w:qFormat/>
    <w:uiPriority w:val="0"/>
    <w:rPr>
      <w:rFonts w:ascii="宋体" w:hAnsi="Arial" w:eastAsia="宋体" w:cs="Arial"/>
      <w:snapToGrid w:val="0"/>
      <w:kern w:val="2"/>
      <w:sz w:val="24"/>
      <w:szCs w:val="21"/>
      <w:lang w:val="zh-CN" w:eastAsia="zh-CN" w:bidi="ar-SA"/>
    </w:rPr>
  </w:style>
  <w:style w:type="character" w:customStyle="1" w:styleId="429">
    <w:name w:val="gray6"/>
    <w:basedOn w:val="69"/>
    <w:autoRedefine/>
    <w:qFormat/>
    <w:uiPriority w:val="0"/>
    <w:rPr>
      <w:rFonts w:ascii="Arial" w:hAnsi="Arial" w:eastAsia="黑体" w:cs="Arial"/>
      <w:snapToGrid w:val="0"/>
      <w:kern w:val="0"/>
      <w:szCs w:val="21"/>
    </w:rPr>
  </w:style>
  <w:style w:type="character" w:customStyle="1" w:styleId="430">
    <w:name w:val="hui"/>
    <w:basedOn w:val="69"/>
    <w:autoRedefine/>
    <w:qFormat/>
    <w:uiPriority w:val="0"/>
    <w:rPr>
      <w:rFonts w:ascii="Arial" w:hAnsi="Arial" w:eastAsia="黑体" w:cs="Arial"/>
      <w:snapToGrid w:val="0"/>
      <w:kern w:val="0"/>
      <w:szCs w:val="21"/>
    </w:rPr>
  </w:style>
  <w:style w:type="character" w:customStyle="1" w:styleId="431">
    <w:name w:val="哈哈正文 Char Char"/>
    <w:autoRedefine/>
    <w:qFormat/>
    <w:uiPriority w:val="0"/>
    <w:rPr>
      <w:rFonts w:ascii="宋体" w:hAnsi="宋体" w:eastAsia="宋体" w:cs="宋体"/>
      <w:kern w:val="2"/>
      <w:sz w:val="24"/>
      <w:lang w:val="en-US" w:eastAsia="zh-CN" w:bidi="ar-SA"/>
    </w:rPr>
  </w:style>
  <w:style w:type="paragraph" w:customStyle="1" w:styleId="432">
    <w:name w:val="样式 正文文本缩进 + 左侧:  2 字符 首行缩进:  2 字符"/>
    <w:basedOn w:val="24"/>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3">
    <w:name w:val="封面表格文本"/>
    <w:basedOn w:val="1"/>
    <w:autoRedefine/>
    <w:qFormat/>
    <w:uiPriority w:val="0"/>
    <w:pPr>
      <w:autoSpaceDE w:val="0"/>
      <w:autoSpaceDN w:val="0"/>
      <w:ind w:firstLine="200" w:firstLineChars="200"/>
      <w:jc w:val="center"/>
    </w:pPr>
    <w:rPr>
      <w:rFonts w:ascii="Arial" w:hAnsi="Arial"/>
      <w:kern w:val="0"/>
      <w:szCs w:val="21"/>
    </w:rPr>
  </w:style>
  <w:style w:type="paragraph" w:customStyle="1" w:styleId="434">
    <w:name w:val="正文文本 2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435">
    <w:name w:val="表格标题1"/>
    <w:basedOn w:val="1"/>
    <w:autoRedefine/>
    <w:qFormat/>
    <w:uiPriority w:val="0"/>
    <w:pPr>
      <w:adjustRightInd/>
      <w:spacing w:line="360" w:lineRule="auto"/>
      <w:jc w:val="center"/>
    </w:pPr>
    <w:rPr>
      <w:rFonts w:ascii="宋体" w:hAnsi="宋体" w:cs="宋体"/>
      <w:b/>
      <w:bCs/>
      <w:color w:val="000000"/>
      <w:sz w:val="24"/>
      <w:szCs w:val="21"/>
    </w:rPr>
  </w:style>
  <w:style w:type="paragraph" w:customStyle="1" w:styleId="436">
    <w:name w:val="目录标题"/>
    <w:basedOn w:val="1"/>
    <w:autoRedefine/>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7">
    <w:name w:val="subhead"/>
    <w:autoRedefine/>
    <w:qFormat/>
    <w:uiPriority w:val="0"/>
    <w:pPr>
      <w:spacing w:after="120" w:line="300" w:lineRule="exact"/>
    </w:pPr>
    <w:rPr>
      <w:rFonts w:ascii="Arial" w:hAnsi="Arial" w:eastAsia="宋体" w:cs="Times New Roman"/>
      <w:b/>
      <w:sz w:val="26"/>
      <w:lang w:val="en-US" w:eastAsia="en-US" w:bidi="ar-SA"/>
    </w:rPr>
  </w:style>
  <w:style w:type="paragraph" w:customStyle="1" w:styleId="438">
    <w:name w:val="样式 宋体 三号 加粗 居中"/>
    <w:basedOn w:val="1"/>
    <w:autoRedefine/>
    <w:qFormat/>
    <w:uiPriority w:val="0"/>
    <w:pPr>
      <w:adjustRightInd/>
      <w:spacing w:line="360" w:lineRule="auto"/>
      <w:jc w:val="center"/>
    </w:pPr>
    <w:rPr>
      <w:rFonts w:ascii="宋体" w:hAnsi="宋体" w:cs="宋体"/>
      <w:b/>
      <w:bCs/>
      <w:sz w:val="24"/>
      <w:szCs w:val="20"/>
    </w:rPr>
  </w:style>
  <w:style w:type="paragraph" w:customStyle="1" w:styleId="439">
    <w:name w:val="标题4_自定义"/>
    <w:basedOn w:val="5"/>
    <w:autoRedefine/>
    <w:qFormat/>
    <w:uiPriority w:val="0"/>
    <w:pPr>
      <w:adjustRightInd/>
      <w:spacing w:before="0" w:after="0" w:line="360" w:lineRule="auto"/>
    </w:pPr>
    <w:rPr>
      <w:rFonts w:ascii="Verdana" w:eastAsia="Verdana"/>
      <w:sz w:val="21"/>
      <w:lang w:val="en-US"/>
    </w:rPr>
  </w:style>
  <w:style w:type="paragraph" w:customStyle="1" w:styleId="440">
    <w:name w:val="正文 内标 序号标"/>
    <w:basedOn w:val="441"/>
    <w:autoRedefine/>
    <w:qFormat/>
    <w:uiPriority w:val="0"/>
    <w:pPr>
      <w:tabs>
        <w:tab w:val="left" w:pos="0"/>
      </w:tabs>
      <w:adjustRightInd/>
      <w:spacing w:before="0"/>
      <w:ind w:firstLine="482"/>
    </w:pPr>
    <w:rPr>
      <w:rFonts w:ascii="微软雅黑" w:hAnsi="微软雅黑"/>
      <w:sz w:val="24"/>
      <w:szCs w:val="24"/>
    </w:rPr>
  </w:style>
  <w:style w:type="paragraph" w:customStyle="1" w:styleId="441">
    <w:name w:val="My正文"/>
    <w:basedOn w:val="1"/>
    <w:autoRedefine/>
    <w:qFormat/>
    <w:uiPriority w:val="0"/>
    <w:pPr>
      <w:spacing w:before="120" w:line="360" w:lineRule="auto"/>
      <w:ind w:firstLine="567"/>
    </w:pPr>
    <w:rPr>
      <w:rFonts w:ascii="Arial" w:hAnsi="Arial"/>
      <w:sz w:val="20"/>
      <w:szCs w:val="20"/>
    </w:rPr>
  </w:style>
  <w:style w:type="paragraph" w:customStyle="1" w:styleId="442">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443">
    <w:name w:val="正文 小标"/>
    <w:basedOn w:val="1"/>
    <w:autoRedefine/>
    <w:qFormat/>
    <w:uiPriority w:val="0"/>
    <w:pPr>
      <w:tabs>
        <w:tab w:val="left" w:pos="0"/>
      </w:tabs>
      <w:adjustRightInd/>
      <w:spacing w:line="300" w:lineRule="auto"/>
      <w:ind w:left="425"/>
    </w:pPr>
    <w:rPr>
      <w:rFonts w:ascii="仿宋" w:hAnsi="Calibri" w:eastAsia="仿宋"/>
      <w:sz w:val="24"/>
      <w:szCs w:val="20"/>
    </w:rPr>
  </w:style>
  <w:style w:type="paragraph" w:customStyle="1" w:styleId="444">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5">
    <w:name w:val="修订2"/>
    <w:autoRedefine/>
    <w:qFormat/>
    <w:uiPriority w:val="0"/>
    <w:rPr>
      <w:rFonts w:ascii="Times New Roman" w:hAnsi="Times New Roman" w:eastAsia="宋体" w:cs="Times New Roman"/>
      <w:kern w:val="2"/>
      <w:sz w:val="21"/>
      <w:lang w:val="en-US" w:eastAsia="zh-CN" w:bidi="ar-SA"/>
    </w:rPr>
  </w:style>
  <w:style w:type="paragraph" w:customStyle="1" w:styleId="446">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447">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8">
    <w:name w:val="文章标题"/>
    <w:next w:val="449"/>
    <w:autoRedefine/>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9">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450">
    <w:name w:val="Char1 Char Char Char5"/>
    <w:basedOn w:val="1"/>
    <w:autoRedefine/>
    <w:qFormat/>
    <w:uiPriority w:val="0"/>
    <w:pPr>
      <w:adjustRightInd/>
      <w:ind w:firstLine="200" w:firstLineChars="200"/>
    </w:pPr>
    <w:rPr>
      <w:rFonts w:ascii="Tahoma" w:hAnsi="Tahoma"/>
      <w:sz w:val="24"/>
      <w:szCs w:val="20"/>
    </w:rPr>
  </w:style>
  <w:style w:type="paragraph" w:customStyle="1" w:styleId="451">
    <w:name w:val="style82 f9a f9a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2">
    <w:name w:val="正文 编号"/>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3">
    <w:name w:val="Char Char Char Char Char Char Char Char"/>
    <w:basedOn w:val="1"/>
    <w:autoRedefine/>
    <w:qFormat/>
    <w:uiPriority w:val="0"/>
    <w:pPr>
      <w:tabs>
        <w:tab w:val="left" w:pos="360"/>
      </w:tabs>
    </w:pPr>
    <w:rPr>
      <w:sz w:val="24"/>
      <w:szCs w:val="20"/>
    </w:rPr>
  </w:style>
  <w:style w:type="paragraph" w:customStyle="1" w:styleId="454">
    <w:name w:val="Char Char11 Char Char Char"/>
    <w:basedOn w:val="1"/>
    <w:autoRedefine/>
    <w:qFormat/>
    <w:uiPriority w:val="0"/>
    <w:pPr>
      <w:spacing w:line="360" w:lineRule="auto"/>
    </w:pPr>
    <w:rPr>
      <w:szCs w:val="20"/>
    </w:rPr>
  </w:style>
  <w:style w:type="paragraph" w:customStyle="1" w:styleId="455">
    <w:name w:val="gjt_3"/>
    <w:next w:val="1"/>
    <w:autoRedefine/>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6">
    <w:name w:val="金宏发行正文"/>
    <w:basedOn w:val="1"/>
    <w:autoRedefine/>
    <w:qFormat/>
    <w:uiPriority w:val="0"/>
    <w:pPr>
      <w:adjustRightInd/>
      <w:spacing w:line="500" w:lineRule="exact"/>
      <w:ind w:firstLine="560" w:firstLineChars="200"/>
    </w:pPr>
    <w:rPr>
      <w:rFonts w:eastAsia="仿宋_GB2312"/>
      <w:sz w:val="28"/>
      <w:szCs w:val="20"/>
    </w:rPr>
  </w:style>
  <w:style w:type="paragraph" w:customStyle="1" w:styleId="457">
    <w:name w:val="样式3"/>
    <w:basedOn w:val="458"/>
    <w:autoRedefine/>
    <w:qFormat/>
    <w:uiPriority w:val="0"/>
    <w:pPr>
      <w:tabs>
        <w:tab w:val="left" w:pos="2790"/>
        <w:tab w:val="left" w:pos="4230"/>
      </w:tabs>
      <w:spacing w:before="312" w:beforeLines="100"/>
      <w:jc w:val="left"/>
    </w:pPr>
  </w:style>
  <w:style w:type="paragraph" w:customStyle="1" w:styleId="458">
    <w:name w:val="样式2"/>
    <w:basedOn w:val="1"/>
    <w:autoRedefine/>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9">
    <w:name w:val="Char Char1 Char Char1 Char Char1"/>
    <w:basedOn w:val="1"/>
    <w:autoRedefine/>
    <w:qFormat/>
    <w:uiPriority w:val="0"/>
    <w:pPr>
      <w:tabs>
        <w:tab w:val="left" w:pos="840"/>
      </w:tabs>
      <w:ind w:left="840" w:hanging="420"/>
    </w:pPr>
    <w:rPr>
      <w:rFonts w:ascii="Tahoma" w:hAnsi="Tahoma"/>
      <w:sz w:val="24"/>
    </w:rPr>
  </w:style>
  <w:style w:type="paragraph" w:customStyle="1" w:styleId="460">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461">
    <w:name w:val="标书标题2"/>
    <w:basedOn w:val="2"/>
    <w:autoRedefine/>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2">
    <w:name w:val="样式 仿宋_GB2312 三号 加粗 黑色 居中 行距: 1.5 倍行距"/>
    <w:basedOn w:val="1"/>
    <w:autoRedefine/>
    <w:qFormat/>
    <w:uiPriority w:val="0"/>
    <w:pPr>
      <w:spacing w:line="360" w:lineRule="auto"/>
      <w:jc w:val="center"/>
    </w:pPr>
    <w:rPr>
      <w:rFonts w:ascii="仿宋_GB2312" w:eastAsia="仿宋_GB2312" w:cs="宋体"/>
      <w:b/>
      <w:bCs/>
      <w:color w:val="000000"/>
      <w:sz w:val="28"/>
      <w:szCs w:val="20"/>
    </w:rPr>
  </w:style>
  <w:style w:type="paragraph" w:customStyle="1" w:styleId="463">
    <w:name w:val="正文21"/>
    <w:basedOn w:val="1"/>
    <w:autoRedefine/>
    <w:qFormat/>
    <w:uiPriority w:val="0"/>
    <w:pPr>
      <w:adjustRightInd/>
      <w:spacing w:before="156" w:line="360" w:lineRule="auto"/>
      <w:ind w:firstLine="510" w:firstLineChars="200"/>
    </w:pPr>
    <w:rPr>
      <w:sz w:val="24"/>
      <w:szCs w:val="20"/>
    </w:rPr>
  </w:style>
  <w:style w:type="paragraph" w:customStyle="1" w:styleId="464">
    <w:name w:val="Test2"/>
    <w:basedOn w:val="2"/>
    <w:autoRedefine/>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5">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6">
    <w:name w:val="Char1"/>
    <w:basedOn w:val="1"/>
    <w:autoRedefine/>
    <w:qFormat/>
    <w:uiPriority w:val="0"/>
    <w:rPr>
      <w:rFonts w:ascii="仿宋_GB2312" w:eastAsia="仿宋_GB2312"/>
      <w:b/>
      <w:sz w:val="32"/>
      <w:szCs w:val="32"/>
    </w:rPr>
  </w:style>
  <w:style w:type="paragraph" w:customStyle="1" w:styleId="467">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8">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szCs w:val="20"/>
    </w:rPr>
  </w:style>
  <w:style w:type="paragraph" w:customStyle="1" w:styleId="469">
    <w:name w:val="样式 宋体 行距: 1.5 倍行距 首行缩进:  2 字符"/>
    <w:basedOn w:val="1"/>
    <w:autoRedefine/>
    <w:qFormat/>
    <w:uiPriority w:val="0"/>
    <w:pPr>
      <w:adjustRightInd/>
      <w:spacing w:line="360" w:lineRule="auto"/>
      <w:ind w:firstLine="420" w:firstLineChars="200"/>
    </w:pPr>
    <w:rPr>
      <w:rFonts w:ascii="宋体" w:hAnsi="宋体"/>
      <w:sz w:val="24"/>
      <w:szCs w:val="20"/>
    </w:rPr>
  </w:style>
  <w:style w:type="paragraph" w:customStyle="1" w:styleId="470">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1">
    <w:name w:val="6级标题"/>
    <w:basedOn w:val="472"/>
    <w:autoRedefine/>
    <w:qFormat/>
    <w:uiPriority w:val="0"/>
    <w:pPr>
      <w:keepNext/>
      <w:tabs>
        <w:tab w:val="left" w:pos="360"/>
      </w:tabs>
      <w:spacing w:before="0" w:after="0"/>
      <w:outlineLvl w:val="5"/>
    </w:pPr>
  </w:style>
  <w:style w:type="paragraph" w:customStyle="1" w:styleId="472">
    <w:name w:val="5级标题"/>
    <w:basedOn w:val="473"/>
    <w:autoRedefine/>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3">
    <w:name w:val="4级标题"/>
    <w:basedOn w:val="256"/>
    <w:autoRedefine/>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4">
    <w:name w:val="样式 正文文本缩进 + 段前: 2 字符"/>
    <w:basedOn w:val="1"/>
    <w:autoRedefine/>
    <w:qFormat/>
    <w:uiPriority w:val="0"/>
    <w:pPr>
      <w:adjustRightInd/>
      <w:ind w:left="420" w:leftChars="200"/>
      <w:jc w:val="left"/>
    </w:pPr>
    <w:rPr>
      <w:sz w:val="28"/>
      <w:szCs w:val="20"/>
      <w:lang w:eastAsia="zh-TW"/>
    </w:rPr>
  </w:style>
  <w:style w:type="paragraph" w:customStyle="1" w:styleId="475">
    <w:name w:val="Char2 Char Char"/>
    <w:basedOn w:val="1"/>
    <w:autoRedefine/>
    <w:qFormat/>
    <w:uiPriority w:val="0"/>
    <w:pPr>
      <w:adjustRightInd/>
    </w:pPr>
    <w:rPr>
      <w:rFonts w:ascii="Tahoma" w:hAnsi="Tahoma"/>
      <w:sz w:val="24"/>
      <w:szCs w:val="20"/>
    </w:rPr>
  </w:style>
  <w:style w:type="paragraph" w:customStyle="1" w:styleId="476">
    <w:name w:val="_Style 11"/>
    <w:basedOn w:val="1"/>
    <w:autoRedefine/>
    <w:qFormat/>
    <w:uiPriority w:val="34"/>
    <w:pPr>
      <w:adjustRightInd/>
      <w:ind w:firstLine="420" w:firstLineChars="200"/>
    </w:pPr>
    <w:rPr>
      <w:rFonts w:eastAsia="仿宋_GB2312"/>
      <w:sz w:val="28"/>
    </w:rPr>
  </w:style>
  <w:style w:type="paragraph" w:customStyle="1" w:styleId="477">
    <w:name w:val="xl8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8">
    <w:name w:val="Char Char Char"/>
    <w:basedOn w:val="1"/>
    <w:autoRedefine/>
    <w:qFormat/>
    <w:uiPriority w:val="0"/>
    <w:rPr>
      <w:rFonts w:ascii="Tahoma" w:hAnsi="Tahoma"/>
      <w:sz w:val="24"/>
      <w:szCs w:val="20"/>
    </w:rPr>
  </w:style>
  <w:style w:type="paragraph" w:customStyle="1" w:styleId="479">
    <w:name w:val="数字标题6"/>
    <w:basedOn w:val="7"/>
    <w:next w:val="1"/>
    <w:autoRedefine/>
    <w:qFormat/>
    <w:uiPriority w:val="0"/>
    <w:pPr>
      <w:tabs>
        <w:tab w:val="left" w:pos="1080"/>
      </w:tabs>
      <w:ind w:left="1080" w:hanging="1080"/>
    </w:pPr>
    <w:rPr>
      <w:rFonts w:ascii="Times New Roman" w:hAnsi="Times New Roman" w:eastAsia="宋体"/>
      <w:i/>
    </w:rPr>
  </w:style>
  <w:style w:type="paragraph" w:customStyle="1" w:styleId="480">
    <w:name w:val="Table Cell"/>
    <w:autoRedefine/>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1">
    <w:name w:val="No Spacing"/>
    <w:basedOn w:val="1"/>
    <w:link w:val="930"/>
    <w:autoRedefine/>
    <w:qFormat/>
    <w:uiPriority w:val="99"/>
    <w:rPr>
      <w:szCs w:val="22"/>
    </w:rPr>
  </w:style>
  <w:style w:type="paragraph" w:customStyle="1" w:styleId="482">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3">
    <w:name w:val="Char Char Char Char Char Char Char Char Char Char Char Char1 Char1"/>
    <w:basedOn w:val="1"/>
    <w:autoRedefine/>
    <w:qFormat/>
    <w:uiPriority w:val="6"/>
    <w:rPr>
      <w:rFonts w:ascii="Tahoma" w:hAnsi="Tahoma" w:cs="仿宋_GB2312"/>
      <w:sz w:val="24"/>
      <w:szCs w:val="20"/>
    </w:rPr>
  </w:style>
  <w:style w:type="paragraph" w:customStyle="1" w:styleId="484">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5">
    <w:name w:val="Char Char1 Char1"/>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6">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7">
    <w:name w:val="MM Topic 2"/>
    <w:basedOn w:val="2"/>
    <w:autoRedefine/>
    <w:qFormat/>
    <w:uiPriority w:val="0"/>
    <w:pPr>
      <w:tabs>
        <w:tab w:val="left" w:pos="1260"/>
      </w:tabs>
      <w:ind w:left="1260" w:hanging="420"/>
    </w:pPr>
    <w:rPr>
      <w:rFonts w:ascii="Arial" w:hAnsi="Arial" w:eastAsia="黑体"/>
      <w:lang w:val="en-US"/>
    </w:rPr>
  </w:style>
  <w:style w:type="paragraph" w:customStyle="1" w:styleId="488">
    <w:name w:val="五级无标题条"/>
    <w:basedOn w:val="1"/>
    <w:autoRedefine/>
    <w:qFormat/>
    <w:uiPriority w:val="0"/>
    <w:pPr>
      <w:adjustRightInd/>
    </w:pPr>
  </w:style>
  <w:style w:type="paragraph" w:customStyle="1" w:styleId="489">
    <w:name w:val="Char5"/>
    <w:basedOn w:val="1"/>
    <w:autoRedefine/>
    <w:qFormat/>
    <w:uiPriority w:val="0"/>
    <w:rPr>
      <w:rFonts w:ascii="仿宋_GB2312" w:eastAsia="仿宋_GB2312"/>
      <w:b/>
      <w:sz w:val="32"/>
      <w:szCs w:val="32"/>
    </w:rPr>
  </w:style>
  <w:style w:type="paragraph" w:customStyle="1" w:styleId="490">
    <w:name w:val="TOC 标题1"/>
    <w:basedOn w:val="3"/>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1">
    <w:name w:val="彩色列表 - 强调文字颜色 12"/>
    <w:basedOn w:val="1"/>
    <w:autoRedefine/>
    <w:qFormat/>
    <w:uiPriority w:val="0"/>
    <w:pPr>
      <w:adjustRightInd/>
      <w:ind w:firstLine="420" w:firstLineChars="200"/>
    </w:pPr>
    <w:rPr>
      <w:rFonts w:ascii="Calibri" w:hAnsi="Calibri"/>
      <w:szCs w:val="22"/>
    </w:rPr>
  </w:style>
  <w:style w:type="paragraph" w:customStyle="1" w:styleId="492">
    <w:name w:val="Char Char11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493">
    <w:name w:val="Char2"/>
    <w:basedOn w:val="1"/>
    <w:autoRedefine/>
    <w:qFormat/>
    <w:uiPriority w:val="0"/>
    <w:rPr>
      <w:rFonts w:ascii="仿宋_GB2312" w:eastAsia="仿宋_GB2312"/>
      <w:b/>
      <w:sz w:val="32"/>
      <w:szCs w:val="32"/>
    </w:rPr>
  </w:style>
  <w:style w:type="paragraph" w:customStyle="1" w:styleId="494">
    <w:name w:val="数字标题3"/>
    <w:basedOn w:val="4"/>
    <w:next w:val="1"/>
    <w:autoRedefine/>
    <w:qFormat/>
    <w:uiPriority w:val="0"/>
    <w:pPr>
      <w:spacing w:line="240" w:lineRule="auto"/>
    </w:pPr>
    <w:rPr>
      <w:sz w:val="28"/>
      <w:szCs w:val="28"/>
    </w:rPr>
  </w:style>
  <w:style w:type="paragraph" w:customStyle="1" w:styleId="495">
    <w:name w:val="FA正文"/>
    <w:basedOn w:val="1"/>
    <w:autoRedefine/>
    <w:qFormat/>
    <w:uiPriority w:val="0"/>
    <w:pPr>
      <w:spacing w:line="360" w:lineRule="auto"/>
      <w:ind w:firstLine="480" w:firstLineChars="200"/>
    </w:pPr>
    <w:rPr>
      <w:rFonts w:hAnsi="宋体"/>
      <w:sz w:val="24"/>
      <w:szCs w:val="20"/>
    </w:rPr>
  </w:style>
  <w:style w:type="paragraph" w:customStyle="1" w:styleId="496">
    <w:name w:val="MM Topic 5"/>
    <w:basedOn w:val="6"/>
    <w:autoRedefine/>
    <w:qFormat/>
    <w:uiPriority w:val="0"/>
    <w:pPr>
      <w:tabs>
        <w:tab w:val="left" w:pos="2520"/>
      </w:tabs>
      <w:adjustRightInd/>
      <w:ind w:left="2520" w:hanging="420"/>
    </w:pPr>
  </w:style>
  <w:style w:type="paragraph" w:customStyle="1" w:styleId="497">
    <w:name w:val="Char Char Char Char Char Char Char Char Char Char1"/>
    <w:basedOn w:val="1"/>
    <w:autoRedefine/>
    <w:qFormat/>
    <w:uiPriority w:val="0"/>
    <w:rPr>
      <w:rFonts w:ascii="仿宋_GB2312" w:eastAsia="仿宋_GB2312"/>
      <w:b/>
      <w:sz w:val="32"/>
      <w:szCs w:val="32"/>
    </w:rPr>
  </w:style>
  <w:style w:type="paragraph" w:customStyle="1" w:styleId="498">
    <w:name w:val="xl38"/>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9">
    <w:name w:val="修订1"/>
    <w:autoRedefine/>
    <w:qFormat/>
    <w:uiPriority w:val="3"/>
    <w:rPr>
      <w:rFonts w:ascii="Times New Roman" w:hAnsi="Times New Roman" w:eastAsia="宋体" w:cs="Times New Roman"/>
      <w:color w:val="000000"/>
      <w:kern w:val="1"/>
      <w:sz w:val="21"/>
      <w:lang w:val="en-US" w:eastAsia="zh-CN" w:bidi="ar-SA"/>
    </w:rPr>
  </w:style>
  <w:style w:type="paragraph" w:customStyle="1" w:styleId="500">
    <w:name w:val="Char2 Char Char Char"/>
    <w:basedOn w:val="1"/>
    <w:autoRedefine/>
    <w:qFormat/>
    <w:uiPriority w:val="0"/>
    <w:rPr>
      <w:rFonts w:ascii="仿宋_GB2312" w:eastAsia="仿宋_GB2312"/>
      <w:b/>
      <w:sz w:val="32"/>
      <w:szCs w:val="32"/>
    </w:rPr>
  </w:style>
  <w:style w:type="paragraph" w:customStyle="1" w:styleId="501">
    <w:name w:val="Char2 Char Char Char1"/>
    <w:basedOn w:val="1"/>
    <w:autoRedefine/>
    <w:qFormat/>
    <w:uiPriority w:val="6"/>
    <w:rPr>
      <w:rFonts w:ascii="仿宋_GB2312" w:eastAsia="仿宋_GB2312"/>
      <w:b/>
      <w:sz w:val="32"/>
      <w:szCs w:val="32"/>
    </w:rPr>
  </w:style>
  <w:style w:type="paragraph" w:customStyle="1" w:styleId="502">
    <w:name w:val="默认段落样式"/>
    <w:basedOn w:val="129"/>
    <w:autoRedefine/>
    <w:qFormat/>
    <w:uiPriority w:val="0"/>
    <w:pPr>
      <w:spacing w:before="0"/>
      <w:ind w:firstLine="480"/>
      <w:outlineLvl w:val="2"/>
    </w:pPr>
    <w:rPr>
      <w:rFonts w:ascii="仿宋_GB2312" w:hAnsi="宋体" w:eastAsia="仿宋_GB2312"/>
      <w:color w:val="000000"/>
      <w:szCs w:val="24"/>
    </w:rPr>
  </w:style>
  <w:style w:type="paragraph" w:customStyle="1" w:styleId="503">
    <w:name w:val="图中文字"/>
    <w:basedOn w:val="1"/>
    <w:autoRedefine/>
    <w:qFormat/>
    <w:uiPriority w:val="0"/>
    <w:pPr>
      <w:snapToGrid w:val="0"/>
      <w:spacing w:line="0" w:lineRule="atLeast"/>
      <w:ind w:firstLine="200" w:firstLineChars="200"/>
      <w:jc w:val="center"/>
    </w:pPr>
    <w:rPr>
      <w:sz w:val="24"/>
      <w:szCs w:val="20"/>
    </w:rPr>
  </w:style>
  <w:style w:type="paragraph" w:customStyle="1" w:styleId="504">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5">
    <w:name w:val="MM Topic 3"/>
    <w:basedOn w:val="4"/>
    <w:autoRedefine/>
    <w:qFormat/>
    <w:uiPriority w:val="0"/>
    <w:pPr>
      <w:tabs>
        <w:tab w:val="left" w:pos="1680"/>
      </w:tabs>
      <w:adjustRightInd/>
      <w:ind w:left="1680" w:hanging="420"/>
    </w:pPr>
  </w:style>
  <w:style w:type="paragraph" w:customStyle="1" w:styleId="506">
    <w:name w:val="标准小四"/>
    <w:basedOn w:val="1"/>
    <w:autoRedefine/>
    <w:qFormat/>
    <w:uiPriority w:val="0"/>
    <w:pPr>
      <w:spacing w:line="360" w:lineRule="auto"/>
      <w:ind w:firstLine="480" w:firstLineChars="200"/>
    </w:pPr>
    <w:rPr>
      <w:rFonts w:ascii="Arial" w:hAnsi="Arial"/>
      <w:sz w:val="24"/>
      <w:szCs w:val="21"/>
    </w:rPr>
  </w:style>
  <w:style w:type="paragraph" w:customStyle="1" w:styleId="507">
    <w:name w:val="样式 标题 2H2h2Underrubrik1prop2l2Chapter Titlesect 1.2DO NO..."/>
    <w:basedOn w:val="2"/>
    <w:autoRedefine/>
    <w:qFormat/>
    <w:uiPriority w:val="0"/>
    <w:pPr>
      <w:spacing w:before="120" w:after="120"/>
      <w:ind w:left="425" w:hanging="425"/>
    </w:pPr>
    <w:rPr>
      <w:rFonts w:ascii="微软雅黑" w:hAnsi="微软雅黑" w:eastAsia="微软雅黑" w:cs="宋体"/>
      <w:szCs w:val="20"/>
      <w:lang w:val="en-US"/>
    </w:rPr>
  </w:style>
  <w:style w:type="paragraph" w:customStyle="1" w:styleId="508">
    <w:name w:val="表格（小）"/>
    <w:basedOn w:val="1"/>
    <w:autoRedefine/>
    <w:qFormat/>
    <w:uiPriority w:val="0"/>
    <w:pPr>
      <w:adjustRightInd/>
      <w:snapToGrid w:val="0"/>
      <w:spacing w:line="300" w:lineRule="auto"/>
    </w:pPr>
    <w:rPr>
      <w:rFonts w:eastAsia="仿宋"/>
      <w:szCs w:val="21"/>
    </w:rPr>
  </w:style>
  <w:style w:type="paragraph" w:customStyle="1" w:styleId="509">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510">
    <w:name w:val="Char2 Char Char1"/>
    <w:basedOn w:val="1"/>
    <w:autoRedefine/>
    <w:qFormat/>
    <w:uiPriority w:val="6"/>
    <w:pPr>
      <w:adjustRightInd/>
    </w:pPr>
    <w:rPr>
      <w:rFonts w:ascii="Tahoma" w:hAnsi="Tahoma"/>
      <w:sz w:val="24"/>
      <w:szCs w:val="20"/>
    </w:rPr>
  </w:style>
  <w:style w:type="paragraph" w:customStyle="1" w:styleId="511">
    <w:name w:val="列出段落5"/>
    <w:basedOn w:val="1"/>
    <w:autoRedefine/>
    <w:qFormat/>
    <w:uiPriority w:val="0"/>
    <w:pPr>
      <w:spacing w:line="360" w:lineRule="auto"/>
      <w:ind w:firstLine="200" w:firstLineChars="200"/>
    </w:pPr>
    <w:rPr>
      <w:rFonts w:eastAsia="楷体_GB2312" w:cs="Lucida Sans"/>
      <w:sz w:val="24"/>
    </w:rPr>
  </w:style>
  <w:style w:type="paragraph" w:customStyle="1" w:styleId="512">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3">
    <w:name w:val="表格文字"/>
    <w:basedOn w:val="1"/>
    <w:next w:val="15"/>
    <w:autoRedefine/>
    <w:qFormat/>
    <w:uiPriority w:val="0"/>
    <w:pPr>
      <w:adjustRightInd/>
      <w:ind w:firstLine="200" w:firstLineChars="200"/>
    </w:pPr>
    <w:rPr>
      <w:rFonts w:ascii="Arial" w:hAnsi="Arial"/>
      <w:spacing w:val="-5"/>
      <w:kern w:val="0"/>
      <w:sz w:val="24"/>
      <w:szCs w:val="20"/>
    </w:rPr>
  </w:style>
  <w:style w:type="paragraph" w:customStyle="1" w:styleId="514">
    <w:name w:val="Item Step in Table"/>
    <w:autoRedefin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5">
    <w:name w:val="TOC 标题111"/>
    <w:basedOn w:val="3"/>
    <w:next w:val="1"/>
    <w:autoRedefine/>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6">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7">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518">
    <w:name w:val="Char3 Char Char"/>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9">
    <w:name w:val="_Style 3"/>
    <w:basedOn w:val="1"/>
    <w:autoRedefine/>
    <w:qFormat/>
    <w:uiPriority w:val="0"/>
    <w:pPr>
      <w:adjustRightInd/>
      <w:ind w:firstLine="420" w:firstLineChars="200"/>
    </w:pPr>
    <w:rPr>
      <w:rFonts w:eastAsia="仿宋_GB2312"/>
      <w:sz w:val="28"/>
    </w:rPr>
  </w:style>
  <w:style w:type="paragraph" w:customStyle="1" w:styleId="520">
    <w:name w:val="xl39"/>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1">
    <w:name w:val="Bulleting First Indent 1"/>
    <w:basedOn w:val="61"/>
    <w:autoRedefine/>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2">
    <w:name w:val="左对齐表格文字"/>
    <w:basedOn w:val="1"/>
    <w:autoRedefine/>
    <w:qFormat/>
    <w:uiPriority w:val="0"/>
    <w:pPr>
      <w:adjustRightInd/>
      <w:ind w:firstLine="200" w:firstLineChars="200"/>
      <w:jc w:val="right"/>
    </w:pPr>
  </w:style>
  <w:style w:type="paragraph" w:customStyle="1" w:styleId="523">
    <w:name w:val="Char Char11 Char Char Char Char Char Char Char Char Char"/>
    <w:basedOn w:val="1"/>
    <w:autoRedefine/>
    <w:qFormat/>
    <w:uiPriority w:val="0"/>
    <w:pPr>
      <w:spacing w:line="360" w:lineRule="auto"/>
    </w:pPr>
    <w:rPr>
      <w:szCs w:val="20"/>
    </w:rPr>
  </w:style>
  <w:style w:type="paragraph" w:customStyle="1" w:styleId="524">
    <w:name w:val="正文1.25"/>
    <w:basedOn w:val="1"/>
    <w:autoRedefine/>
    <w:qFormat/>
    <w:uiPriority w:val="0"/>
    <w:pPr>
      <w:adjustRightInd/>
      <w:spacing w:line="300" w:lineRule="auto"/>
      <w:ind w:firstLine="480" w:firstLineChars="200"/>
    </w:pPr>
    <w:rPr>
      <w:sz w:val="24"/>
      <w:szCs w:val="20"/>
    </w:rPr>
  </w:style>
  <w:style w:type="paragraph" w:customStyle="1" w:styleId="525">
    <w:name w:val="1正文"/>
    <w:basedOn w:val="1"/>
    <w:autoRedefine/>
    <w:qFormat/>
    <w:uiPriority w:val="0"/>
    <w:pPr>
      <w:adjustRightInd/>
      <w:spacing w:line="360" w:lineRule="auto"/>
      <w:ind w:firstLine="200" w:firstLineChars="200"/>
    </w:pPr>
    <w:rPr>
      <w:rFonts w:ascii="仿宋_GB2312" w:hAnsi="Arial" w:eastAsia="仿宋"/>
      <w:sz w:val="28"/>
      <w:szCs w:val="28"/>
    </w:rPr>
  </w:style>
  <w:style w:type="paragraph" w:customStyle="1" w:styleId="526">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7">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8">
    <w:name w:val="Char Char1 Char Char Char1"/>
    <w:basedOn w:val="1"/>
    <w:autoRedefine/>
    <w:qFormat/>
    <w:uiPriority w:val="6"/>
    <w:rPr>
      <w:rFonts w:ascii="仿宋_GB2312" w:eastAsia="仿宋_GB2312"/>
      <w:b/>
      <w:sz w:val="32"/>
      <w:szCs w:val="20"/>
    </w:rPr>
  </w:style>
  <w:style w:type="paragraph" w:customStyle="1" w:styleId="529">
    <w:name w:val="列出段落2"/>
    <w:basedOn w:val="1"/>
    <w:autoRedefine/>
    <w:qFormat/>
    <w:uiPriority w:val="0"/>
    <w:pPr>
      <w:adjustRightInd/>
      <w:ind w:firstLine="420" w:firstLineChars="200"/>
    </w:pPr>
    <w:rPr>
      <w:rFonts w:ascii="宋体" w:hAnsi="宋体"/>
      <w:sz w:val="24"/>
    </w:rPr>
  </w:style>
  <w:style w:type="paragraph" w:customStyle="1" w:styleId="530">
    <w:name w:val="默认段落字体 Para Char Char Char Char Char Char Char"/>
    <w:basedOn w:val="1"/>
    <w:autoRedefine/>
    <w:qFormat/>
    <w:uiPriority w:val="0"/>
    <w:rPr>
      <w:rFonts w:eastAsia="仿宋_GB2312"/>
      <w:sz w:val="28"/>
      <w:szCs w:val="20"/>
    </w:rPr>
  </w:style>
  <w:style w:type="paragraph" w:customStyle="1" w:styleId="531">
    <w:name w:val="xl74"/>
    <w:basedOn w:val="1"/>
    <w:autoRedefine/>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2">
    <w:name w:val="样式 标题 4PIM 4H4h4bulletblbbH41H42H43H44H45H46H47H48...1"/>
    <w:basedOn w:val="5"/>
    <w:autoRedefine/>
    <w:qFormat/>
    <w:uiPriority w:val="0"/>
    <w:pPr>
      <w:widowControl/>
      <w:jc w:val="left"/>
    </w:pPr>
    <w:rPr>
      <w:rFonts w:cs="宋体"/>
      <w:sz w:val="24"/>
      <w:szCs w:val="20"/>
    </w:rPr>
  </w:style>
  <w:style w:type="paragraph" w:customStyle="1" w:styleId="533">
    <w:name w:val="彩色列表 - 强调文字颜色 11"/>
    <w:basedOn w:val="1"/>
    <w:autoRedefine/>
    <w:qFormat/>
    <w:uiPriority w:val="0"/>
    <w:pPr>
      <w:adjustRightInd/>
      <w:ind w:firstLine="420" w:firstLineChars="200"/>
    </w:pPr>
    <w:rPr>
      <w:rFonts w:ascii="Calibri" w:hAnsi="Calibri"/>
      <w:szCs w:val="22"/>
    </w:rPr>
  </w:style>
  <w:style w:type="paragraph" w:customStyle="1" w:styleId="534">
    <w:name w:val="加粗正文"/>
    <w:basedOn w:val="1"/>
    <w:autoRedefine/>
    <w:qFormat/>
    <w:uiPriority w:val="0"/>
    <w:pPr>
      <w:adjustRightInd/>
      <w:spacing w:before="156" w:beforeLines="50" w:after="156" w:afterLines="50" w:line="360" w:lineRule="auto"/>
      <w:ind w:firstLine="422" w:firstLineChars="200"/>
    </w:pPr>
    <w:rPr>
      <w:b/>
      <w:bCs/>
      <w:szCs w:val="21"/>
    </w:rPr>
  </w:style>
  <w:style w:type="paragraph" w:customStyle="1" w:styleId="535">
    <w:name w:val="xl94"/>
    <w:basedOn w:val="1"/>
    <w:autoRedefine/>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6">
    <w:name w:val="正文6"/>
    <w:basedOn w:val="1"/>
    <w:autoRedefine/>
    <w:qFormat/>
    <w:uiPriority w:val="0"/>
    <w:pPr>
      <w:tabs>
        <w:tab w:val="left" w:pos="0"/>
        <w:tab w:val="left" w:pos="703"/>
      </w:tabs>
      <w:adjustRightInd/>
      <w:spacing w:before="60" w:after="60" w:line="360" w:lineRule="auto"/>
      <w:ind w:left="600" w:leftChars="600"/>
    </w:pPr>
    <w:rPr>
      <w:sz w:val="28"/>
    </w:rPr>
  </w:style>
  <w:style w:type="paragraph" w:customStyle="1" w:styleId="537">
    <w:name w:val="Char Char Char1 Char1"/>
    <w:basedOn w:val="1"/>
    <w:autoRedefine/>
    <w:qFormat/>
    <w:uiPriority w:val="6"/>
    <w:rPr>
      <w:szCs w:val="20"/>
    </w:rPr>
  </w:style>
  <w:style w:type="paragraph" w:customStyle="1" w:styleId="538">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9">
    <w:name w:val="样式 标题 2 + 宋体 左侧:  1.76 厘米 首行缩进:  0 厘米"/>
    <w:basedOn w:val="2"/>
    <w:autoRedefine/>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0">
    <w:name w:val="List Paragraph*"/>
    <w:basedOn w:val="1"/>
    <w:autoRedefine/>
    <w:qFormat/>
    <w:uiPriority w:val="7"/>
    <w:pPr>
      <w:adjustRightInd/>
      <w:spacing w:line="360" w:lineRule="auto"/>
      <w:ind w:firstLine="420"/>
    </w:pPr>
    <w:rPr>
      <w:rFonts w:ascii="Calibri" w:hAnsi="Calibri" w:cs="Calibri"/>
      <w:color w:val="000000"/>
      <w:kern w:val="1"/>
      <w:sz w:val="24"/>
      <w:szCs w:val="22"/>
    </w:rPr>
  </w:style>
  <w:style w:type="paragraph" w:customStyle="1" w:styleId="541">
    <w:name w:val="Char Char11 Char Char Char Char Char Char Char Char Char Char Char Char Char11"/>
    <w:basedOn w:val="1"/>
    <w:autoRedefine/>
    <w:qFormat/>
    <w:uiPriority w:val="6"/>
    <w:pPr>
      <w:adjustRightInd/>
      <w:spacing w:line="360" w:lineRule="auto"/>
    </w:pPr>
    <w:rPr>
      <w:rFonts w:ascii="Arial" w:hAnsi="Arial" w:eastAsia="黑体" w:cs="Arial"/>
      <w:snapToGrid w:val="0"/>
      <w:kern w:val="0"/>
      <w:szCs w:val="21"/>
    </w:rPr>
  </w:style>
  <w:style w:type="paragraph" w:customStyle="1" w:styleId="542">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3">
    <w:name w:val="CM14"/>
    <w:basedOn w:val="233"/>
    <w:next w:val="233"/>
    <w:autoRedefine/>
    <w:qFormat/>
    <w:uiPriority w:val="0"/>
    <w:pPr>
      <w:spacing w:after="68"/>
    </w:pPr>
    <w:rPr>
      <w:rFonts w:ascii="FHLHE E+ Futura Bk" w:eastAsia="FHLHE E+ Futura Bk" w:cs="Times New Roman"/>
      <w:color w:val="auto"/>
    </w:rPr>
  </w:style>
  <w:style w:type="paragraph" w:customStyle="1" w:styleId="544">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5">
    <w:name w:val="无间隔*"/>
    <w:autoRedefine/>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6">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547">
    <w:name w:val="正文文字 2"/>
    <w:basedOn w:val="233"/>
    <w:next w:val="233"/>
    <w:autoRedefine/>
    <w:qFormat/>
    <w:uiPriority w:val="0"/>
    <w:rPr>
      <w:rFonts w:ascii="宋体" w:eastAsia="宋体" w:cs="Times New Roman"/>
      <w:color w:val="auto"/>
    </w:rPr>
  </w:style>
  <w:style w:type="paragraph" w:customStyle="1" w:styleId="548">
    <w:name w:val="正文首行缩进两字"/>
    <w:autoRedefine/>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9">
    <w:name w:val="Char Char1 Char"/>
    <w:basedOn w:val="1"/>
    <w:autoRedefine/>
    <w:qFormat/>
    <w:uiPriority w:val="0"/>
    <w:rPr>
      <w:rFonts w:ascii="仿宋_GB2312" w:eastAsia="仿宋_GB2312"/>
      <w:b/>
      <w:sz w:val="32"/>
      <w:szCs w:val="32"/>
    </w:rPr>
  </w:style>
  <w:style w:type="paragraph" w:customStyle="1" w:styleId="550">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1">
    <w:name w:val="Char Char11 Char Char Char Char Char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552">
    <w:name w:val="Char Char111"/>
    <w:basedOn w:val="1"/>
    <w:autoRedefine/>
    <w:qFormat/>
    <w:uiPriority w:val="0"/>
    <w:pPr>
      <w:spacing w:line="360" w:lineRule="auto"/>
    </w:pPr>
    <w:rPr>
      <w:szCs w:val="20"/>
    </w:rPr>
  </w:style>
  <w:style w:type="paragraph" w:customStyle="1" w:styleId="553">
    <w:name w:val="Char"/>
    <w:basedOn w:val="1"/>
    <w:autoRedefine/>
    <w:qFormat/>
    <w:uiPriority w:val="0"/>
    <w:rPr>
      <w:rFonts w:ascii="仿宋_GB2312" w:eastAsia="仿宋_GB2312"/>
      <w:b/>
      <w:sz w:val="32"/>
      <w:szCs w:val="32"/>
    </w:rPr>
  </w:style>
  <w:style w:type="paragraph" w:customStyle="1" w:styleId="554">
    <w:name w:val="RFI Heading 2nd Level"/>
    <w:basedOn w:val="1"/>
    <w:autoRedefine/>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6">
    <w:name w:val="Char Char Char1 Char"/>
    <w:basedOn w:val="1"/>
    <w:autoRedefine/>
    <w:qFormat/>
    <w:uiPriority w:val="0"/>
    <w:rPr>
      <w:szCs w:val="20"/>
    </w:rPr>
  </w:style>
  <w:style w:type="paragraph" w:customStyle="1" w:styleId="557">
    <w:name w:val="正文标准"/>
    <w:basedOn w:val="1"/>
    <w:autoRedefine/>
    <w:qFormat/>
    <w:uiPriority w:val="0"/>
    <w:pPr>
      <w:adjustRightInd/>
      <w:spacing w:line="360" w:lineRule="auto"/>
      <w:ind w:firstLine="200" w:firstLineChars="200"/>
    </w:pPr>
    <w:rPr>
      <w:rFonts w:ascii="宋体" w:hAnsi="Calibri"/>
      <w:sz w:val="24"/>
    </w:rPr>
  </w:style>
  <w:style w:type="paragraph" w:customStyle="1" w:styleId="558">
    <w:name w:val="正文格式"/>
    <w:basedOn w:val="1"/>
    <w:autoRedefine/>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9">
    <w:name w:val="Char Char11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60">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1">
    <w:name w:val="规范正文"/>
    <w:basedOn w:val="1"/>
    <w:autoRedefine/>
    <w:qFormat/>
    <w:uiPriority w:val="0"/>
    <w:pPr>
      <w:tabs>
        <w:tab w:val="left" w:pos="840"/>
      </w:tabs>
      <w:spacing w:before="156" w:beforeLines="50" w:line="360" w:lineRule="auto"/>
      <w:ind w:left="840" w:hanging="420"/>
      <w:textAlignment w:val="baseline"/>
    </w:pPr>
    <w:rPr>
      <w:szCs w:val="20"/>
    </w:rPr>
  </w:style>
  <w:style w:type="paragraph" w:customStyle="1" w:styleId="562">
    <w:name w:val="font12"/>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3">
    <w:name w:val="Char Char1 Char2"/>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4">
    <w:name w:val="Char Char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65">
    <w:name w:val="xl42"/>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6">
    <w:name w:val="目录4"/>
    <w:basedOn w:val="1"/>
    <w:autoRedefine/>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7">
    <w:name w:val="xl43"/>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9">
    <w:name w:val="标准有序列表（L1）"/>
    <w:basedOn w:val="15"/>
    <w:autoRedefine/>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0">
    <w:name w:val="Char Char Char Char Char Char Char Char Char Char"/>
    <w:basedOn w:val="1"/>
    <w:autoRedefine/>
    <w:qFormat/>
    <w:uiPriority w:val="0"/>
    <w:rPr>
      <w:rFonts w:ascii="仿宋_GB2312" w:eastAsia="仿宋_GB2312"/>
      <w:b/>
      <w:sz w:val="32"/>
      <w:szCs w:val="32"/>
    </w:rPr>
  </w:style>
  <w:style w:type="paragraph" w:customStyle="1" w:styleId="571">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szCs w:val="20"/>
    </w:rPr>
  </w:style>
  <w:style w:type="paragraph" w:customStyle="1" w:styleId="572">
    <w:name w:val="_正文段落"/>
    <w:basedOn w:val="1"/>
    <w:autoRedefine/>
    <w:qFormat/>
    <w:uiPriority w:val="0"/>
    <w:pPr>
      <w:adjustRightInd/>
      <w:ind w:firstLine="560"/>
    </w:pPr>
    <w:rPr>
      <w:rFonts w:ascii="仿宋_GB2312" w:hAnsi="仿宋" w:eastAsia="仿宋_GB2312"/>
      <w:kern w:val="0"/>
      <w:sz w:val="28"/>
      <w:szCs w:val="28"/>
    </w:rPr>
  </w:style>
  <w:style w:type="paragraph" w:customStyle="1" w:styleId="573">
    <w:name w:val="列出段落4"/>
    <w:basedOn w:val="1"/>
    <w:autoRedefine/>
    <w:qFormat/>
    <w:uiPriority w:val="0"/>
    <w:pPr>
      <w:adjustRightInd/>
      <w:spacing w:line="360" w:lineRule="auto"/>
      <w:ind w:firstLine="420" w:firstLineChars="200"/>
    </w:pPr>
    <w:rPr>
      <w:rFonts w:ascii="Calibri" w:hAnsi="Calibri"/>
      <w:sz w:val="24"/>
      <w:szCs w:val="22"/>
    </w:rPr>
  </w:style>
  <w:style w:type="paragraph" w:customStyle="1" w:styleId="574">
    <w:name w:val="前言、引言标题"/>
    <w:next w:val="1"/>
    <w:autoRedefine/>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5">
    <w:name w:val="正文（首行缩进）"/>
    <w:basedOn w:val="24"/>
    <w:autoRedefine/>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6">
    <w:name w:val="Char3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77">
    <w:name w:val="font9"/>
    <w:basedOn w:val="1"/>
    <w:autoRedefine/>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8">
    <w:name w:val="方案正文无缩进"/>
    <w:autoRedefine/>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9">
    <w:name w:val="Char Char Char1 Char2"/>
    <w:basedOn w:val="1"/>
    <w:autoRedefine/>
    <w:qFormat/>
    <w:uiPriority w:val="0"/>
    <w:rPr>
      <w:szCs w:val="20"/>
    </w:rPr>
  </w:style>
  <w:style w:type="paragraph" w:customStyle="1" w:styleId="580">
    <w:name w:val="Char Char11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581">
    <w:name w:val="默认段落字体 Para Char"/>
    <w:basedOn w:val="1"/>
    <w:autoRedefine/>
    <w:qFormat/>
    <w:uiPriority w:val="0"/>
    <w:rPr>
      <w:rFonts w:ascii="Tahoma" w:hAnsi="Tahoma"/>
      <w:sz w:val="24"/>
      <w:szCs w:val="20"/>
    </w:rPr>
  </w:style>
  <w:style w:type="paragraph" w:customStyle="1" w:styleId="582">
    <w:name w:val="标题五"/>
    <w:basedOn w:val="1"/>
    <w:autoRedefine/>
    <w:qFormat/>
    <w:uiPriority w:val="0"/>
    <w:pPr>
      <w:adjustRightInd/>
      <w:spacing w:before="156" w:beforeLines="50" w:line="360" w:lineRule="auto"/>
    </w:pPr>
    <w:rPr>
      <w:b/>
      <w:sz w:val="24"/>
    </w:rPr>
  </w:style>
  <w:style w:type="paragraph" w:customStyle="1" w:styleId="583">
    <w:name w:val="Char Char1101"/>
    <w:basedOn w:val="1"/>
    <w:autoRedefine/>
    <w:qFormat/>
    <w:uiPriority w:val="0"/>
    <w:pPr>
      <w:spacing w:line="360" w:lineRule="auto"/>
    </w:pPr>
    <w:rPr>
      <w:rFonts w:ascii="Tahoma" w:hAnsi="Tahoma"/>
      <w:sz w:val="24"/>
      <w:szCs w:val="20"/>
    </w:rPr>
  </w:style>
  <w:style w:type="paragraph" w:customStyle="1" w:styleId="584">
    <w:name w:val="Char Char Char Char Char Char Char Char1"/>
    <w:basedOn w:val="1"/>
    <w:autoRedefine/>
    <w:qFormat/>
    <w:uiPriority w:val="0"/>
    <w:pPr>
      <w:tabs>
        <w:tab w:val="left" w:pos="360"/>
      </w:tabs>
    </w:pPr>
    <w:rPr>
      <w:sz w:val="24"/>
      <w:szCs w:val="20"/>
    </w:rPr>
  </w:style>
  <w:style w:type="paragraph" w:customStyle="1" w:styleId="585">
    <w:name w:val="Char Char Char 字元 字元"/>
    <w:basedOn w:val="1"/>
    <w:autoRedefine/>
    <w:qFormat/>
    <w:uiPriority w:val="0"/>
    <w:pPr>
      <w:adjustRightInd/>
      <w:spacing w:line="360" w:lineRule="auto"/>
      <w:ind w:firstLine="200" w:firstLineChars="200"/>
    </w:pPr>
    <w:rPr>
      <w:szCs w:val="20"/>
    </w:rPr>
  </w:style>
  <w:style w:type="paragraph" w:customStyle="1" w:styleId="586">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7">
    <w:name w:val="Char Char Char Char Char Char Char"/>
    <w:basedOn w:val="1"/>
    <w:autoRedefine/>
    <w:qFormat/>
    <w:uiPriority w:val="0"/>
    <w:rPr>
      <w:rFonts w:ascii="仿宋_GB2312" w:eastAsia="仿宋_GB2312"/>
      <w:b/>
      <w:sz w:val="32"/>
      <w:szCs w:val="32"/>
    </w:rPr>
  </w:style>
  <w:style w:type="paragraph" w:customStyle="1" w:styleId="588">
    <w:name w:val="文章附标题"/>
    <w:basedOn w:val="1"/>
    <w:autoRedefine/>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9">
    <w:name w:val="a2"/>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0">
    <w:name w:val="样式 标题 22h2L1 Heading 2H2sect 1.2H21sect 1.21H22sect 1.2..."/>
    <w:basedOn w:val="2"/>
    <w:next w:val="1"/>
    <w:autoRedefine/>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1">
    <w:name w:val="样式6"/>
    <w:basedOn w:val="33"/>
    <w:autoRedefine/>
    <w:qFormat/>
    <w:uiPriority w:val="0"/>
    <w:pPr>
      <w:spacing w:line="460" w:lineRule="exact"/>
      <w:outlineLvl w:val="2"/>
    </w:pPr>
    <w:rPr>
      <w:rFonts w:ascii="仿宋_GB2312" w:hAnsi="宋体" w:eastAsia="仿宋_GB2312"/>
      <w:b/>
      <w:bCs/>
      <w:sz w:val="24"/>
      <w:szCs w:val="24"/>
    </w:rPr>
  </w:style>
  <w:style w:type="paragraph" w:customStyle="1" w:styleId="592">
    <w:name w:val="批注框文本 Char Char"/>
    <w:basedOn w:val="1"/>
    <w:autoRedefine/>
    <w:qFormat/>
    <w:uiPriority w:val="0"/>
    <w:pPr>
      <w:adjustRightInd/>
    </w:pPr>
    <w:rPr>
      <w:sz w:val="18"/>
      <w:szCs w:val="20"/>
    </w:rPr>
  </w:style>
  <w:style w:type="paragraph" w:customStyle="1" w:styleId="593">
    <w:name w:val="封面华为技术"/>
    <w:basedOn w:val="1"/>
    <w:autoRedefine/>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4">
    <w:name w:val="xl3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5">
    <w:name w:val="Char Char11 Char Char Char Char Char Char Char Char Char Char Char Char Char"/>
    <w:basedOn w:val="1"/>
    <w:autoRedefine/>
    <w:qFormat/>
    <w:uiPriority w:val="0"/>
    <w:pPr>
      <w:adjustRightInd/>
      <w:spacing w:line="360" w:lineRule="auto"/>
    </w:pPr>
    <w:rPr>
      <w:rFonts w:ascii="Arial" w:hAnsi="Arial" w:eastAsia="黑体"/>
      <w:snapToGrid w:val="0"/>
      <w:kern w:val="0"/>
      <w:sz w:val="20"/>
      <w:szCs w:val="21"/>
    </w:rPr>
  </w:style>
  <w:style w:type="paragraph" w:customStyle="1" w:styleId="596">
    <w:name w:val="gjt_2"/>
    <w:next w:val="1"/>
    <w:autoRedefine/>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7">
    <w:name w:val="索引 11"/>
    <w:basedOn w:val="1"/>
    <w:next w:val="1"/>
    <w:autoRedefine/>
    <w:qFormat/>
    <w:uiPriority w:val="99"/>
    <w:pPr>
      <w:adjustRightInd/>
      <w:spacing w:line="360" w:lineRule="auto"/>
    </w:pPr>
    <w:rPr>
      <w:rFonts w:ascii="仿宋_GB2312" w:eastAsia="仿宋_GB2312"/>
      <w:sz w:val="24"/>
      <w:szCs w:val="20"/>
    </w:rPr>
  </w:style>
  <w:style w:type="paragraph" w:customStyle="1" w:styleId="598">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9">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600">
    <w:name w:val="正文文字缩进项目"/>
    <w:basedOn w:val="24"/>
    <w:autoRedefine/>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1">
    <w:name w:val="文档正文"/>
    <w:basedOn w:val="1"/>
    <w:autoRedefine/>
    <w:qFormat/>
    <w:uiPriority w:val="0"/>
    <w:pPr>
      <w:spacing w:line="480" w:lineRule="atLeast"/>
      <w:ind w:firstLine="567"/>
      <w:textAlignment w:val="baseline"/>
    </w:pPr>
    <w:rPr>
      <w:kern w:val="0"/>
      <w:sz w:val="24"/>
      <w:szCs w:val="20"/>
    </w:rPr>
  </w:style>
  <w:style w:type="paragraph" w:customStyle="1" w:styleId="602">
    <w:name w:val="正文文字表格居中"/>
    <w:basedOn w:val="1"/>
    <w:next w:val="56"/>
    <w:autoRedefine/>
    <w:qFormat/>
    <w:uiPriority w:val="0"/>
    <w:pPr>
      <w:snapToGrid w:val="0"/>
      <w:spacing w:line="360" w:lineRule="auto"/>
    </w:pPr>
    <w:rPr>
      <w:rFonts w:ascii="宋体"/>
      <w:b/>
      <w:sz w:val="24"/>
      <w:szCs w:val="20"/>
    </w:rPr>
  </w:style>
  <w:style w:type="paragraph" w:customStyle="1" w:styleId="603">
    <w:name w:val="规划正文"/>
    <w:basedOn w:val="1"/>
    <w:autoRedefine/>
    <w:qFormat/>
    <w:uiPriority w:val="0"/>
    <w:pPr>
      <w:adjustRightInd/>
      <w:spacing w:before="312" w:beforeLines="100" w:line="360" w:lineRule="auto"/>
      <w:jc w:val="left"/>
    </w:pPr>
    <w:rPr>
      <w:rFonts w:ascii="Arial" w:hAnsi="Arial" w:eastAsia="仿宋_GB2312"/>
      <w:bCs/>
      <w:sz w:val="28"/>
    </w:rPr>
  </w:style>
  <w:style w:type="paragraph" w:customStyle="1" w:styleId="604">
    <w:name w:val="小节"/>
    <w:basedOn w:val="4"/>
    <w:autoRedefine/>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5">
    <w:name w:val="Plain Text1"/>
    <w:basedOn w:val="1"/>
    <w:autoRedefine/>
    <w:qFormat/>
    <w:uiPriority w:val="7"/>
    <w:pPr>
      <w:adjustRightInd/>
    </w:pPr>
    <w:rPr>
      <w:rFonts w:ascii="宋体" w:hAnsi="Courier New"/>
    </w:rPr>
  </w:style>
  <w:style w:type="paragraph" w:customStyle="1" w:styleId="606">
    <w:name w:val="Char3"/>
    <w:basedOn w:val="1"/>
    <w:autoRedefine/>
    <w:qFormat/>
    <w:uiPriority w:val="0"/>
    <w:pPr>
      <w:adjustRightInd/>
    </w:pPr>
    <w:rPr>
      <w:rFonts w:ascii="仿宋_GB2312" w:eastAsia="仿宋_GB2312"/>
      <w:b/>
      <w:sz w:val="32"/>
      <w:szCs w:val="32"/>
    </w:rPr>
  </w:style>
  <w:style w:type="paragraph" w:customStyle="1" w:styleId="607">
    <w:name w:val="xl2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8">
    <w:name w:val="ÕýÎÄÊ×ÐÐËõ½ø"/>
    <w:basedOn w:val="1"/>
    <w:autoRedefine/>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9">
    <w:name w:val="标题2"/>
    <w:basedOn w:val="2"/>
    <w:next w:val="1"/>
    <w:autoRedefine/>
    <w:qFormat/>
    <w:uiPriority w:val="0"/>
    <w:pPr>
      <w:tabs>
        <w:tab w:val="left" w:pos="578"/>
        <w:tab w:val="left" w:pos="900"/>
        <w:tab w:val="left" w:pos="1440"/>
      </w:tabs>
      <w:ind w:left="1440" w:hanging="360"/>
    </w:pPr>
    <w:rPr>
      <w:rFonts w:ascii="仿宋" w:eastAsia="仿宋" w:cs="宋体"/>
      <w:bCs w:val="0"/>
      <w:szCs w:val="28"/>
    </w:rPr>
  </w:style>
  <w:style w:type="paragraph" w:customStyle="1" w:styleId="610">
    <w:name w:val="List Paragraph1"/>
    <w:basedOn w:val="1"/>
    <w:autoRedefine/>
    <w:qFormat/>
    <w:uiPriority w:val="0"/>
    <w:pPr>
      <w:spacing w:line="360" w:lineRule="auto"/>
      <w:ind w:firstLine="200" w:firstLineChars="200"/>
    </w:pPr>
    <w:rPr>
      <w:rFonts w:eastAsia="楷体_GB2312" w:cs="Lucida Sans"/>
      <w:sz w:val="24"/>
    </w:rPr>
  </w:style>
  <w:style w:type="paragraph" w:customStyle="1" w:styleId="611">
    <w:name w:val="样式 标题 3标题 3 Char第二层条h33Bold Headbh章标题1小标题level_3PIM 3..."/>
    <w:basedOn w:val="4"/>
    <w:autoRedefine/>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2">
    <w:name w:val="xl2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3">
    <w:name w:val="样式 小四 首行缩进:  0.74 厘米 行距: 1.5 倍行距"/>
    <w:basedOn w:val="1"/>
    <w:autoRedefine/>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4">
    <w:name w:val="Char3 Char Char Char"/>
    <w:basedOn w:val="1"/>
    <w:autoRedefine/>
    <w:qFormat/>
    <w:uiPriority w:val="0"/>
    <w:pPr>
      <w:widowControl/>
      <w:adjustRightInd/>
      <w:spacing w:after="160" w:line="240" w:lineRule="exact"/>
      <w:jc w:val="left"/>
    </w:pPr>
    <w:rPr>
      <w:szCs w:val="20"/>
    </w:rPr>
  </w:style>
  <w:style w:type="paragraph" w:customStyle="1" w:styleId="615">
    <w:name w:val="表格标题2"/>
    <w:basedOn w:val="616"/>
    <w:autoRedefine/>
    <w:qFormat/>
    <w:uiPriority w:val="0"/>
    <w:rPr>
      <w:b/>
    </w:rPr>
  </w:style>
  <w:style w:type="paragraph" w:customStyle="1" w:styleId="616">
    <w:name w:val="表格内文"/>
    <w:basedOn w:val="1"/>
    <w:autoRedefine/>
    <w:qFormat/>
    <w:uiPriority w:val="0"/>
    <w:pPr>
      <w:adjustRightInd/>
      <w:spacing w:line="360" w:lineRule="auto"/>
    </w:pPr>
    <w:rPr>
      <w:rFonts w:ascii="宋体" w:hAnsi="宋体" w:cs="宋体"/>
      <w:color w:val="000000"/>
      <w:szCs w:val="20"/>
    </w:rPr>
  </w:style>
  <w:style w:type="paragraph" w:customStyle="1" w:styleId="617">
    <w:name w:val="Char Char Char Char Char Char Char Char Char Char2"/>
    <w:basedOn w:val="1"/>
    <w:autoRedefine/>
    <w:qFormat/>
    <w:uiPriority w:val="0"/>
    <w:rPr>
      <w:rFonts w:ascii="仿宋_GB2312" w:eastAsia="仿宋_GB2312"/>
      <w:b/>
      <w:sz w:val="32"/>
      <w:szCs w:val="32"/>
    </w:rPr>
  </w:style>
  <w:style w:type="paragraph" w:customStyle="1" w:styleId="618">
    <w:name w:val="正文，首行缩进:  2 字符"/>
    <w:autoRedefine/>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9">
    <w:name w:val="Char3 Char Char1"/>
    <w:basedOn w:val="1"/>
    <w:autoRedefine/>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0">
    <w:name w:val="Char Char11 Char Char Char Char Char Char Char Char Char11"/>
    <w:basedOn w:val="1"/>
    <w:autoRedefine/>
    <w:qFormat/>
    <w:uiPriority w:val="0"/>
    <w:pPr>
      <w:spacing w:line="360" w:lineRule="auto"/>
    </w:pPr>
    <w:rPr>
      <w:szCs w:val="20"/>
    </w:rPr>
  </w:style>
  <w:style w:type="paragraph" w:customStyle="1" w:styleId="621">
    <w:name w:val="正文 大标"/>
    <w:basedOn w:val="1"/>
    <w:autoRedefine/>
    <w:qFormat/>
    <w:uiPriority w:val="0"/>
    <w:pPr>
      <w:tabs>
        <w:tab w:val="left" w:pos="0"/>
      </w:tabs>
      <w:adjustRightInd/>
      <w:spacing w:line="300" w:lineRule="auto"/>
      <w:ind w:left="1021"/>
    </w:pPr>
    <w:rPr>
      <w:rFonts w:ascii="仿宋" w:hAnsi="Calibri" w:eastAsia="仿宋"/>
      <w:sz w:val="24"/>
      <w:szCs w:val="20"/>
    </w:rPr>
  </w:style>
  <w:style w:type="paragraph" w:customStyle="1" w:styleId="622">
    <w:name w:val="样式  + 首行缩进:  2 字符"/>
    <w:basedOn w:val="1"/>
    <w:autoRedefine/>
    <w:qFormat/>
    <w:uiPriority w:val="0"/>
    <w:pPr>
      <w:adjustRightInd/>
      <w:spacing w:before="60" w:after="60" w:line="360" w:lineRule="auto"/>
      <w:ind w:firstLine="200" w:firstLineChars="200"/>
    </w:pPr>
    <w:rPr>
      <w:sz w:val="28"/>
      <w:szCs w:val="20"/>
    </w:rPr>
  </w:style>
  <w:style w:type="paragraph" w:customStyle="1" w:styleId="623">
    <w:name w:val="MM Topic 1"/>
    <w:basedOn w:val="3"/>
    <w:autoRedefine/>
    <w:qFormat/>
    <w:uiPriority w:val="0"/>
    <w:pPr>
      <w:tabs>
        <w:tab w:val="left" w:pos="840"/>
      </w:tabs>
      <w:adjustRightInd/>
      <w:ind w:left="840" w:hanging="420"/>
    </w:pPr>
  </w:style>
  <w:style w:type="paragraph" w:customStyle="1" w:styleId="624">
    <w:name w:val="样式 标题 2标题2H2Heading 2 HiddenHeading 2 CCBSheading 22nd lev..."/>
    <w:basedOn w:val="2"/>
    <w:autoRedefine/>
    <w:qFormat/>
    <w:uiPriority w:val="0"/>
    <w:pPr>
      <w:widowControl/>
      <w:spacing w:before="260" w:after="260" w:line="416" w:lineRule="auto"/>
      <w:ind w:left="0" w:firstLine="0"/>
    </w:pPr>
    <w:rPr>
      <w:rFonts w:ascii="Arial" w:hAnsi="Arial" w:eastAsia="黑体"/>
      <w:sz w:val="30"/>
      <w:szCs w:val="21"/>
    </w:rPr>
  </w:style>
  <w:style w:type="paragraph" w:customStyle="1" w:styleId="625">
    <w:name w:val="文本正文 Char"/>
    <w:basedOn w:val="1"/>
    <w:autoRedefine/>
    <w:qFormat/>
    <w:uiPriority w:val="0"/>
    <w:pPr>
      <w:spacing w:line="360" w:lineRule="auto"/>
      <w:ind w:firstLine="200" w:firstLineChars="200"/>
    </w:pPr>
    <w:rPr>
      <w:kern w:val="0"/>
      <w:sz w:val="24"/>
      <w:szCs w:val="20"/>
    </w:rPr>
  </w:style>
  <w:style w:type="paragraph" w:customStyle="1" w:styleId="626">
    <w:name w:val="表格"/>
    <w:basedOn w:val="1"/>
    <w:autoRedefine/>
    <w:qFormat/>
    <w:uiPriority w:val="0"/>
    <w:pPr>
      <w:snapToGrid w:val="0"/>
      <w:ind w:firstLine="42" w:firstLineChars="21"/>
    </w:pPr>
    <w:rPr>
      <w:rFonts w:ascii="宋体" w:hAnsi="宋体"/>
      <w:kern w:val="0"/>
      <w:sz w:val="20"/>
      <w:szCs w:val="20"/>
    </w:rPr>
  </w:style>
  <w:style w:type="paragraph" w:customStyle="1" w:styleId="627">
    <w:name w:val="标书标题4"/>
    <w:basedOn w:val="5"/>
    <w:autoRedefine/>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8">
    <w:name w:val="插图题注"/>
    <w:next w:val="1"/>
    <w:autoRedefine/>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9">
    <w:name w:val="xl9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0">
    <w:name w:val="表格项目符号 2"/>
    <w:basedOn w:val="29"/>
    <w:autoRedefine/>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1">
    <w:name w:val="EB_表格"/>
    <w:basedOn w:val="1"/>
    <w:autoRedefine/>
    <w:qFormat/>
    <w:uiPriority w:val="0"/>
    <w:pPr>
      <w:adjustRightInd/>
      <w:spacing w:line="300" w:lineRule="auto"/>
      <w:jc w:val="center"/>
    </w:pPr>
  </w:style>
  <w:style w:type="paragraph" w:customStyle="1" w:styleId="632">
    <w:name w:val="_Style 6"/>
    <w:basedOn w:val="1"/>
    <w:autoRedefine/>
    <w:qFormat/>
    <w:uiPriority w:val="34"/>
    <w:pPr>
      <w:adjustRightInd/>
      <w:ind w:firstLine="420" w:firstLineChars="200"/>
    </w:pPr>
    <w:rPr>
      <w:rFonts w:eastAsia="仿宋_GB2312"/>
      <w:sz w:val="28"/>
    </w:rPr>
  </w:style>
  <w:style w:type="paragraph" w:customStyle="1" w:styleId="633">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4">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5">
    <w:name w:val="!大节"/>
    <w:basedOn w:val="2"/>
    <w:autoRedefine/>
    <w:qFormat/>
    <w:uiPriority w:val="0"/>
    <w:pPr>
      <w:spacing w:before="260" w:after="260" w:line="415" w:lineRule="auto"/>
      <w:ind w:left="420" w:hanging="420"/>
    </w:pPr>
    <w:rPr>
      <w:rFonts w:ascii="Arial" w:hAnsi="Arial" w:eastAsia="微软雅黑"/>
      <w:lang w:val="en-US"/>
    </w:rPr>
  </w:style>
  <w:style w:type="paragraph" w:customStyle="1" w:styleId="636">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637">
    <w:name w:val="正文表标题"/>
    <w:next w:val="638"/>
    <w:autoRedefine/>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8">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9">
    <w:name w:val="Char Char Char Char Char Char"/>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0">
    <w:name w:val="trademark"/>
    <w:autoRedefine/>
    <w:qFormat/>
    <w:uiPriority w:val="0"/>
    <w:pPr>
      <w:spacing w:after="60"/>
    </w:pPr>
    <w:rPr>
      <w:rFonts w:ascii="Futura Bk" w:hAnsi="Futura Bk" w:eastAsia="宋体" w:cs="Times New Roman"/>
      <w:sz w:val="15"/>
      <w:lang w:val="en-US" w:eastAsia="en-US" w:bidi="ar-SA"/>
    </w:rPr>
  </w:style>
  <w:style w:type="paragraph" w:customStyle="1" w:styleId="641">
    <w:name w:val="Bullet with text 4"/>
    <w:basedOn w:val="1"/>
    <w:autoRedefine/>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2">
    <w:name w:val="Char Char1 Char Char Char Char Char Char1"/>
    <w:basedOn w:val="1"/>
    <w:autoRedefine/>
    <w:qFormat/>
    <w:uiPriority w:val="0"/>
    <w:rPr>
      <w:rFonts w:ascii="仿宋_GB2312" w:eastAsia="仿宋_GB2312"/>
      <w:b/>
      <w:sz w:val="32"/>
      <w:szCs w:val="20"/>
    </w:rPr>
  </w:style>
  <w:style w:type="paragraph" w:customStyle="1" w:styleId="643">
    <w:name w:val="大汉方案正文"/>
    <w:basedOn w:val="1"/>
    <w:autoRedefine/>
    <w:qFormat/>
    <w:uiPriority w:val="0"/>
    <w:pPr>
      <w:adjustRightInd/>
      <w:spacing w:line="360" w:lineRule="auto"/>
      <w:ind w:firstLine="200" w:firstLineChars="200"/>
    </w:pPr>
    <w:rPr>
      <w:rFonts w:ascii="Arial" w:hAnsi="Arial"/>
      <w:sz w:val="24"/>
      <w:szCs w:val="20"/>
    </w:rPr>
  </w:style>
  <w:style w:type="paragraph" w:customStyle="1" w:styleId="644">
    <w:name w:val="Char1 Char Char Char1"/>
    <w:basedOn w:val="1"/>
    <w:autoRedefine/>
    <w:qFormat/>
    <w:uiPriority w:val="0"/>
    <w:pPr>
      <w:adjustRightInd/>
      <w:ind w:firstLine="200" w:firstLineChars="200"/>
    </w:pPr>
    <w:rPr>
      <w:rFonts w:ascii="Tahoma" w:hAnsi="Tahoma"/>
      <w:sz w:val="24"/>
      <w:szCs w:val="20"/>
    </w:rPr>
  </w:style>
  <w:style w:type="paragraph" w:customStyle="1" w:styleId="645">
    <w:name w:val="a1"/>
    <w:basedOn w:val="1"/>
    <w:autoRedefine/>
    <w:qFormat/>
    <w:uiPriority w:val="0"/>
    <w:pPr>
      <w:widowControl/>
      <w:spacing w:line="300" w:lineRule="atLeast"/>
      <w:jc w:val="left"/>
    </w:pPr>
    <w:rPr>
      <w:rFonts w:ascii="宋体" w:hAnsi="宋体"/>
      <w:kern w:val="0"/>
      <w:sz w:val="18"/>
      <w:szCs w:val="20"/>
    </w:rPr>
  </w:style>
  <w:style w:type="paragraph" w:customStyle="1" w:styleId="646">
    <w:name w:val="样式7"/>
    <w:basedOn w:val="647"/>
    <w:next w:val="1"/>
    <w:autoRedefine/>
    <w:qFormat/>
    <w:uiPriority w:val="0"/>
    <w:pPr>
      <w:spacing w:after="156" w:afterLines="50"/>
      <w:jc w:val="left"/>
      <w:outlineLvl w:val="3"/>
    </w:pPr>
    <w:rPr>
      <w:sz w:val="24"/>
      <w:szCs w:val="24"/>
    </w:rPr>
  </w:style>
  <w:style w:type="paragraph" w:customStyle="1" w:styleId="647">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648">
    <w:name w:val="Char Char11 Char Char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649">
    <w:name w:val="main"/>
    <w:basedOn w:val="1"/>
    <w:autoRedefine/>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0">
    <w:name w:val="样式 样式2 + 左侧:  1 字符 右侧:  1 字符"/>
    <w:basedOn w:val="458"/>
    <w:autoRedefine/>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1">
    <w:name w:val="Char2 Char Char2"/>
    <w:basedOn w:val="1"/>
    <w:autoRedefine/>
    <w:qFormat/>
    <w:uiPriority w:val="0"/>
    <w:pPr>
      <w:adjustRightInd/>
    </w:pPr>
    <w:rPr>
      <w:rFonts w:ascii="Tahoma" w:hAnsi="Tahoma"/>
      <w:sz w:val="24"/>
      <w:szCs w:val="20"/>
    </w:rPr>
  </w:style>
  <w:style w:type="paragraph" w:customStyle="1" w:styleId="652">
    <w:name w:val="Char1 Char Char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3">
    <w:name w:val="三级条标题"/>
    <w:basedOn w:val="654"/>
    <w:next w:val="638"/>
    <w:autoRedefine/>
    <w:qFormat/>
    <w:uiPriority w:val="0"/>
    <w:pPr>
      <w:tabs>
        <w:tab w:val="left" w:pos="1260"/>
        <w:tab w:val="left" w:pos="1680"/>
        <w:tab w:val="left" w:pos="2100"/>
        <w:tab w:val="left" w:pos="2520"/>
      </w:tabs>
      <w:ind w:left="2520"/>
      <w:outlineLvl w:val="4"/>
    </w:pPr>
  </w:style>
  <w:style w:type="paragraph" w:customStyle="1" w:styleId="654">
    <w:name w:val="二级条标题"/>
    <w:basedOn w:val="655"/>
    <w:next w:val="638"/>
    <w:autoRedefine/>
    <w:qFormat/>
    <w:uiPriority w:val="0"/>
    <w:pPr>
      <w:tabs>
        <w:tab w:val="left" w:pos="1260"/>
        <w:tab w:val="left" w:pos="1680"/>
        <w:tab w:val="left" w:pos="2100"/>
      </w:tabs>
      <w:ind w:left="0"/>
      <w:outlineLvl w:val="3"/>
    </w:pPr>
  </w:style>
  <w:style w:type="paragraph" w:customStyle="1" w:styleId="655">
    <w:name w:val="一级条标题"/>
    <w:basedOn w:val="656"/>
    <w:next w:val="638"/>
    <w:autoRedefine/>
    <w:qFormat/>
    <w:uiPriority w:val="0"/>
    <w:pPr>
      <w:tabs>
        <w:tab w:val="left" w:pos="1260"/>
        <w:tab w:val="left" w:pos="1680"/>
      </w:tabs>
      <w:spacing w:before="0" w:beforeLines="0" w:after="0" w:afterLines="0"/>
      <w:ind w:left="1680"/>
      <w:outlineLvl w:val="2"/>
    </w:pPr>
  </w:style>
  <w:style w:type="paragraph" w:customStyle="1" w:styleId="656">
    <w:name w:val="章标题"/>
    <w:next w:val="638"/>
    <w:autoRedefine/>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7">
    <w:name w:val="数字标题2"/>
    <w:basedOn w:val="2"/>
    <w:next w:val="1"/>
    <w:autoRedefine/>
    <w:qFormat/>
    <w:uiPriority w:val="0"/>
    <w:pPr>
      <w:tabs>
        <w:tab w:val="left" w:pos="480"/>
      </w:tabs>
      <w:ind w:left="480" w:hanging="480"/>
    </w:pPr>
    <w:rPr>
      <w:rFonts w:ascii="Times New Roman" w:eastAsia="宋体"/>
      <w:i/>
      <w:sz w:val="36"/>
      <w:szCs w:val="36"/>
      <w:lang w:val="en-US"/>
    </w:rPr>
  </w:style>
  <w:style w:type="paragraph" w:customStyle="1" w:styleId="658">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9">
    <w:name w:val="样式 标题 1Level 1 HeadPIM 1Section Headh1l11Heading 0Datash..."/>
    <w:basedOn w:val="3"/>
    <w:autoRedefine/>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0">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1">
    <w:name w:val="样式 标题 1章节第一层h1H"/>
    <w:basedOn w:val="3"/>
    <w:autoRedefine/>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2">
    <w:name w:val="xl30"/>
    <w:basedOn w:val="1"/>
    <w:autoRedefine/>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3">
    <w:name w:val="正文 项目2"/>
    <w:basedOn w:val="664"/>
    <w:autoRedefine/>
    <w:qFormat/>
    <w:uiPriority w:val="0"/>
    <w:pPr>
      <w:tabs>
        <w:tab w:val="left" w:pos="840"/>
      </w:tabs>
      <w:spacing w:after="0"/>
      <w:ind w:left="900"/>
    </w:pPr>
  </w:style>
  <w:style w:type="paragraph" w:customStyle="1" w:styleId="664">
    <w:name w:val="正文 项目"/>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5">
    <w:name w:val="Body Text 2*"/>
    <w:basedOn w:val="1"/>
    <w:autoRedefine/>
    <w:qFormat/>
    <w:uiPriority w:val="6"/>
    <w:pPr>
      <w:widowControl/>
      <w:adjustRightInd/>
      <w:ind w:left="720" w:hanging="720"/>
    </w:pPr>
    <w:rPr>
      <w:color w:val="000000"/>
      <w:kern w:val="0"/>
      <w:sz w:val="24"/>
      <w:szCs w:val="20"/>
      <w:lang w:val="en-GB"/>
    </w:rPr>
  </w:style>
  <w:style w:type="paragraph" w:customStyle="1" w:styleId="666">
    <w:name w:val="表1"/>
    <w:basedOn w:val="1"/>
    <w:autoRedefine/>
    <w:qFormat/>
    <w:uiPriority w:val="0"/>
    <w:pPr>
      <w:tabs>
        <w:tab w:val="left" w:pos="703"/>
      </w:tabs>
      <w:adjustRightInd/>
      <w:spacing w:line="360" w:lineRule="auto"/>
      <w:ind w:left="703"/>
      <w:jc w:val="center"/>
    </w:pPr>
  </w:style>
  <w:style w:type="paragraph" w:customStyle="1" w:styleId="667">
    <w:name w:val="_Style 27"/>
    <w:autoRedefine/>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8">
    <w:name w:val="样式 样式 标题 4 + 非加粗 + (中文) 黑体 段前: 0 磅 段后: 0 磅 行距: 固定值 22 磅"/>
    <w:basedOn w:val="1"/>
    <w:autoRedefine/>
    <w:qFormat/>
    <w:uiPriority w:val="0"/>
    <w:pPr>
      <w:keepNext/>
      <w:keepLines/>
      <w:adjustRightInd/>
      <w:spacing w:beforeLines="50" w:afterLines="50" w:line="500" w:lineRule="exact"/>
      <w:outlineLvl w:val="3"/>
    </w:pPr>
    <w:rPr>
      <w:rFonts w:ascii="Arial" w:hAnsi="Arial"/>
      <w:b/>
      <w:bCs/>
      <w:sz w:val="24"/>
    </w:rPr>
  </w:style>
  <w:style w:type="paragraph" w:customStyle="1" w:styleId="669">
    <w:name w:val="章正文"/>
    <w:basedOn w:val="1"/>
    <w:autoRedefine/>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0">
    <w:name w:val="2级标题"/>
    <w:basedOn w:val="671"/>
    <w:autoRedefine/>
    <w:qFormat/>
    <w:uiPriority w:val="0"/>
    <w:pPr>
      <w:jc w:val="left"/>
      <w:outlineLvl w:val="1"/>
    </w:pPr>
    <w:rPr>
      <w:rFonts w:ascii="Times New Roman" w:hAnsi="Times New Roman" w:eastAsia="仿宋"/>
      <w:sz w:val="30"/>
    </w:rPr>
  </w:style>
  <w:style w:type="paragraph" w:customStyle="1" w:styleId="671">
    <w:name w:val="1级标题"/>
    <w:basedOn w:val="1"/>
    <w:autoRedefine/>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2">
    <w:name w:val="正文 New New New New"/>
    <w:autoRedefine/>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3">
    <w:name w:val="样式 微软雅黑 行距: 1.5 倍行距"/>
    <w:basedOn w:val="1"/>
    <w:autoRedefine/>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4">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5">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6">
    <w:name w:val="bullet"/>
    <w:basedOn w:val="1"/>
    <w:autoRedefine/>
    <w:qFormat/>
    <w:uiPriority w:val="0"/>
    <w:pPr>
      <w:tabs>
        <w:tab w:val="left" w:pos="840"/>
      </w:tabs>
      <w:adjustRightInd/>
      <w:ind w:left="840" w:hanging="420"/>
    </w:pPr>
  </w:style>
  <w:style w:type="paragraph" w:customStyle="1" w:styleId="677">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8">
    <w:name w:val="普通正文"/>
    <w:basedOn w:val="1"/>
    <w:autoRedefine/>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9">
    <w:name w:val="说明"/>
    <w:basedOn w:val="1"/>
    <w:autoRedefine/>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0">
    <w:name w:val="xl55"/>
    <w:basedOn w:val="1"/>
    <w:autoRedefine/>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1">
    <w:name w:val="Preformatted Text"/>
    <w:basedOn w:val="1"/>
    <w:autoRedefine/>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2">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3">
    <w:name w:val="xl73"/>
    <w:basedOn w:val="1"/>
    <w:autoRedefine/>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4">
    <w:name w:val="MM Topic 4"/>
    <w:basedOn w:val="5"/>
    <w:autoRedefine/>
    <w:qFormat/>
    <w:uiPriority w:val="0"/>
    <w:pPr>
      <w:tabs>
        <w:tab w:val="left" w:pos="2100"/>
      </w:tabs>
      <w:adjustRightInd/>
      <w:ind w:left="2100" w:hanging="420"/>
    </w:pPr>
    <w:rPr>
      <w:lang w:val="en-US"/>
    </w:rPr>
  </w:style>
  <w:style w:type="paragraph" w:customStyle="1" w:styleId="685">
    <w:name w:val="Char11"/>
    <w:basedOn w:val="1"/>
    <w:autoRedefine/>
    <w:qFormat/>
    <w:uiPriority w:val="0"/>
    <w:pPr>
      <w:tabs>
        <w:tab w:val="left" w:pos="432"/>
      </w:tabs>
      <w:adjustRightInd/>
      <w:spacing w:before="156" w:beforeLines="50" w:after="156" w:afterLines="50"/>
      <w:ind w:left="432" w:hanging="432" w:firstLineChars="200"/>
    </w:pPr>
    <w:rPr>
      <w:sz w:val="24"/>
    </w:rPr>
  </w:style>
  <w:style w:type="paragraph" w:customStyle="1" w:styleId="686">
    <w:name w:val="gjt_正文"/>
    <w:autoRedefine/>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7">
    <w:name w:val="Char Char11 Char Char Char Char Char Char Char Char Char1"/>
    <w:basedOn w:val="1"/>
    <w:autoRedefine/>
    <w:qFormat/>
    <w:uiPriority w:val="6"/>
    <w:pPr>
      <w:spacing w:line="360" w:lineRule="auto"/>
    </w:pPr>
    <w:rPr>
      <w:szCs w:val="20"/>
    </w:rPr>
  </w:style>
  <w:style w:type="paragraph" w:customStyle="1" w:styleId="688">
    <w:name w:val="金宏发行正文 Char"/>
    <w:basedOn w:val="1"/>
    <w:autoRedefine/>
    <w:qFormat/>
    <w:uiPriority w:val="0"/>
    <w:pPr>
      <w:adjustRightInd/>
      <w:spacing w:line="500" w:lineRule="exact"/>
      <w:ind w:firstLine="560" w:firstLineChars="200"/>
    </w:pPr>
    <w:rPr>
      <w:rFonts w:eastAsia="仿宋_GB2312"/>
      <w:sz w:val="28"/>
      <w:szCs w:val="20"/>
    </w:rPr>
  </w:style>
  <w:style w:type="paragraph" w:customStyle="1" w:styleId="689">
    <w:name w:val="批注框文本1"/>
    <w:basedOn w:val="1"/>
    <w:autoRedefine/>
    <w:qFormat/>
    <w:uiPriority w:val="0"/>
    <w:pPr>
      <w:autoSpaceDE w:val="0"/>
      <w:autoSpaceDN w:val="0"/>
      <w:spacing w:line="351" w:lineRule="atLeast"/>
      <w:ind w:firstLine="419" w:firstLineChars="200"/>
    </w:pPr>
    <w:rPr>
      <w:color w:val="000000"/>
      <w:kern w:val="0"/>
      <w:sz w:val="18"/>
      <w:szCs w:val="18"/>
    </w:rPr>
  </w:style>
  <w:style w:type="paragraph" w:customStyle="1" w:styleId="690">
    <w:name w:val="body text bold"/>
    <w:basedOn w:val="23"/>
    <w:autoRedefine/>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2">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3">
    <w:name w:val="正文文字格式"/>
    <w:basedOn w:val="1"/>
    <w:autoRedefine/>
    <w:qFormat/>
    <w:uiPriority w:val="0"/>
    <w:pPr>
      <w:adjustRightInd/>
      <w:spacing w:line="460" w:lineRule="exact"/>
      <w:ind w:firstLine="505"/>
      <w:jc w:val="left"/>
    </w:pPr>
    <w:rPr>
      <w:rFonts w:ascii="宋体"/>
      <w:kern w:val="24"/>
      <w:sz w:val="24"/>
      <w:szCs w:val="20"/>
    </w:rPr>
  </w:style>
  <w:style w:type="paragraph" w:customStyle="1" w:styleId="694">
    <w:name w:val="xl3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5">
    <w:name w:val="xl40"/>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6">
    <w:name w:val="style25"/>
    <w:basedOn w:val="1"/>
    <w:autoRedefine/>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7">
    <w:name w:val="单元格居中"/>
    <w:basedOn w:val="1"/>
    <w:autoRedefine/>
    <w:qFormat/>
    <w:uiPriority w:val="0"/>
    <w:pPr>
      <w:adjustRightInd/>
      <w:spacing w:line="360" w:lineRule="auto"/>
      <w:jc w:val="center"/>
    </w:pPr>
    <w:rPr>
      <w:sz w:val="24"/>
    </w:rPr>
  </w:style>
  <w:style w:type="paragraph" w:customStyle="1" w:styleId="698">
    <w:name w:val="正文3"/>
    <w:basedOn w:val="1"/>
    <w:autoRedefine/>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9">
    <w:name w:val="Char Char Char Char Char Char Char1"/>
    <w:basedOn w:val="1"/>
    <w:autoRedefine/>
    <w:qFormat/>
    <w:uiPriority w:val="6"/>
    <w:rPr>
      <w:rFonts w:ascii="仿宋_GB2312" w:eastAsia="仿宋_GB2312"/>
      <w:b/>
      <w:sz w:val="32"/>
      <w:szCs w:val="32"/>
    </w:rPr>
  </w:style>
  <w:style w:type="paragraph" w:customStyle="1" w:styleId="700">
    <w:name w:val="正文缩进1"/>
    <w:basedOn w:val="1"/>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1">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2">
    <w:name w:val="Char3 Char Char Char11"/>
    <w:basedOn w:val="1"/>
    <w:autoRedefine/>
    <w:qFormat/>
    <w:uiPriority w:val="0"/>
    <w:pPr>
      <w:widowControl/>
      <w:adjustRightInd/>
      <w:spacing w:after="160" w:line="240" w:lineRule="exact"/>
      <w:jc w:val="left"/>
    </w:pPr>
    <w:rPr>
      <w:szCs w:val="20"/>
    </w:rPr>
  </w:style>
  <w:style w:type="paragraph" w:customStyle="1" w:styleId="703">
    <w:name w:val="Char Char1121"/>
    <w:basedOn w:val="1"/>
    <w:autoRedefine/>
    <w:qFormat/>
    <w:uiPriority w:val="0"/>
    <w:pPr>
      <w:spacing w:line="360" w:lineRule="auto"/>
    </w:pPr>
    <w:rPr>
      <w:szCs w:val="20"/>
    </w:rPr>
  </w:style>
  <w:style w:type="paragraph" w:customStyle="1" w:styleId="704">
    <w:name w:val="小项目标题"/>
    <w:basedOn w:val="1"/>
    <w:autoRedefine/>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5">
    <w:name w:val="gjt_4"/>
    <w:next w:val="1"/>
    <w:autoRedefine/>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6">
    <w:name w:val="Normal0"/>
    <w:autoRedefine/>
    <w:qFormat/>
    <w:uiPriority w:val="0"/>
    <w:rPr>
      <w:rFonts w:ascii="Times New Roman" w:hAnsi="Times New Roman" w:eastAsia="宋体" w:cs="Times New Roman"/>
      <w:lang w:val="en-US" w:eastAsia="en-US" w:bidi="ar-SA"/>
    </w:rPr>
  </w:style>
  <w:style w:type="paragraph" w:customStyle="1" w:styleId="707">
    <w:name w:val="带编号样式"/>
    <w:basedOn w:val="625"/>
    <w:autoRedefine/>
    <w:qFormat/>
    <w:uiPriority w:val="0"/>
    <w:pPr>
      <w:tabs>
        <w:tab w:val="left" w:pos="840"/>
      </w:tabs>
      <w:snapToGrid w:val="0"/>
      <w:ind w:left="840" w:hanging="420" w:firstLineChars="0"/>
    </w:pPr>
    <w:rPr>
      <w:rFonts w:ascii="仿宋_GB2312" w:eastAsia="仿宋_GB2312"/>
      <w:color w:val="000000"/>
    </w:rPr>
  </w:style>
  <w:style w:type="paragraph" w:customStyle="1" w:styleId="708">
    <w:name w:val="msonormal"/>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9">
    <w:name w:val="方形箭头"/>
    <w:basedOn w:val="1"/>
    <w:autoRedefine/>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0">
    <w:name w:val="封面"/>
    <w:basedOn w:val="1"/>
    <w:autoRedefine/>
    <w:qFormat/>
    <w:uiPriority w:val="0"/>
    <w:pPr>
      <w:spacing w:line="360" w:lineRule="atLeast"/>
      <w:jc w:val="right"/>
      <w:textAlignment w:val="baseline"/>
    </w:pPr>
    <w:rPr>
      <w:rFonts w:ascii="Symbol" w:hAnsi="Symbol"/>
      <w:kern w:val="0"/>
      <w:szCs w:val="20"/>
    </w:rPr>
  </w:style>
  <w:style w:type="paragraph" w:customStyle="1" w:styleId="711">
    <w:name w:val="__正文"/>
    <w:autoRedefine/>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2">
    <w:name w:val="font5"/>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3">
    <w:name w:val="默认段落字体 Para Char Char Char1 Char"/>
    <w:basedOn w:val="1"/>
    <w:autoRedefine/>
    <w:qFormat/>
    <w:uiPriority w:val="0"/>
    <w:pPr>
      <w:spacing w:line="240" w:lineRule="atLeast"/>
      <w:ind w:left="420" w:firstLine="420"/>
    </w:pPr>
    <w:rPr>
      <w:sz w:val="24"/>
    </w:rPr>
  </w:style>
  <w:style w:type="paragraph" w:customStyle="1" w:styleId="714">
    <w:name w:val="WW-正文文字缩进 2"/>
    <w:basedOn w:val="1"/>
    <w:autoRedefine/>
    <w:qFormat/>
    <w:uiPriority w:val="0"/>
    <w:pPr>
      <w:suppressAutoHyphens/>
      <w:adjustRightInd/>
      <w:ind w:firstLine="420"/>
    </w:pPr>
    <w:rPr>
      <w:kern w:val="1"/>
      <w:szCs w:val="20"/>
    </w:rPr>
  </w:style>
  <w:style w:type="paragraph" w:customStyle="1" w:styleId="715">
    <w:name w:val="xl41"/>
    <w:basedOn w:val="1"/>
    <w:autoRedefine/>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6">
    <w:name w:val="样式 标题 2 + 四号"/>
    <w:basedOn w:val="2"/>
    <w:autoRedefine/>
    <w:qFormat/>
    <w:uiPriority w:val="0"/>
    <w:pPr>
      <w:spacing w:before="120" w:after="120"/>
      <w:ind w:left="0" w:firstLine="0"/>
      <w:jc w:val="both"/>
    </w:pPr>
    <w:rPr>
      <w:rFonts w:ascii="宋体" w:hAnsi="Arial" w:eastAsia="宋体"/>
      <w:sz w:val="28"/>
      <w:lang w:val="en-US"/>
    </w:rPr>
  </w:style>
  <w:style w:type="paragraph" w:customStyle="1" w:styleId="717">
    <w:name w:val="有符号正文"/>
    <w:basedOn w:val="1"/>
    <w:autoRedefine/>
    <w:qFormat/>
    <w:uiPriority w:val="0"/>
    <w:pPr>
      <w:adjustRightInd/>
      <w:spacing w:line="400" w:lineRule="exact"/>
      <w:ind w:firstLine="200" w:firstLineChars="200"/>
    </w:pPr>
    <w:rPr>
      <w:rFonts w:ascii="Arial" w:hAnsi="Arial"/>
    </w:rPr>
  </w:style>
  <w:style w:type="paragraph" w:customStyle="1" w:styleId="718">
    <w:name w:val="font10"/>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9">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720">
    <w:name w:val="4"/>
    <w:basedOn w:val="1"/>
    <w:next w:val="37"/>
    <w:autoRedefine/>
    <w:qFormat/>
    <w:uiPriority w:val="0"/>
    <w:pPr>
      <w:spacing w:after="120" w:line="480" w:lineRule="auto"/>
      <w:ind w:left="420" w:leftChars="200"/>
    </w:pPr>
    <w:rPr>
      <w:sz w:val="24"/>
      <w:szCs w:val="20"/>
    </w:rPr>
  </w:style>
  <w:style w:type="paragraph" w:customStyle="1" w:styleId="721">
    <w:name w:val="tableheading"/>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2">
    <w:name w:val="样式1"/>
    <w:basedOn w:val="1"/>
    <w:autoRedefine/>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3">
    <w:name w:val="样式 标题 3H3 + 两端对齐"/>
    <w:basedOn w:val="4"/>
    <w:autoRedefine/>
    <w:qFormat/>
    <w:uiPriority w:val="0"/>
    <w:pPr>
      <w:keepLines w:val="0"/>
      <w:spacing w:before="0" w:after="0" w:line="240" w:lineRule="auto"/>
      <w:jc w:val="left"/>
    </w:pPr>
    <w:rPr>
      <w:rFonts w:cs="宋体"/>
      <w:sz w:val="21"/>
      <w:szCs w:val="20"/>
    </w:rPr>
  </w:style>
  <w:style w:type="paragraph" w:customStyle="1" w:styleId="724">
    <w:name w:val="样式 仿宋_GB2312 小三 左侧:  1.06 厘米"/>
    <w:basedOn w:val="1"/>
    <w:autoRedefine/>
    <w:qFormat/>
    <w:uiPriority w:val="0"/>
    <w:pPr>
      <w:spacing w:line="360" w:lineRule="auto"/>
      <w:ind w:left="601"/>
    </w:pPr>
    <w:rPr>
      <w:rFonts w:ascii="仿宋_GB2312" w:eastAsia="仿宋_GB2312"/>
      <w:sz w:val="24"/>
      <w:szCs w:val="20"/>
    </w:rPr>
  </w:style>
  <w:style w:type="paragraph" w:customStyle="1" w:styleId="725">
    <w:name w:val="小标题"/>
    <w:basedOn w:val="1"/>
    <w:autoRedefine/>
    <w:qFormat/>
    <w:uiPriority w:val="0"/>
    <w:pPr>
      <w:spacing w:before="120" w:line="360" w:lineRule="atLeast"/>
      <w:ind w:left="1134"/>
      <w:jc w:val="left"/>
      <w:textAlignment w:val="baseline"/>
    </w:pPr>
    <w:rPr>
      <w:rFonts w:eastAsia="黑体"/>
      <w:kern w:val="0"/>
      <w:szCs w:val="20"/>
    </w:rPr>
  </w:style>
  <w:style w:type="paragraph" w:customStyle="1" w:styleId="726">
    <w:name w:val="节标题"/>
    <w:basedOn w:val="1"/>
    <w:autoRedefine/>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7">
    <w:name w:val="表格 表头"/>
    <w:basedOn w:val="1"/>
    <w:autoRedefine/>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8">
    <w:name w:val="xl7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9">
    <w:name w:val="Char Char1 Char Char Char"/>
    <w:basedOn w:val="1"/>
    <w:autoRedefine/>
    <w:qFormat/>
    <w:uiPriority w:val="0"/>
    <w:rPr>
      <w:rFonts w:ascii="仿宋_GB2312" w:eastAsia="仿宋_GB2312"/>
      <w:b/>
      <w:sz w:val="32"/>
      <w:szCs w:val="20"/>
    </w:rPr>
  </w:style>
  <w:style w:type="paragraph" w:customStyle="1" w:styleId="730">
    <w:name w:val="表格题注"/>
    <w:next w:val="1"/>
    <w:autoRedefine/>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1">
    <w:name w:val="Char Char11 Char Char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732">
    <w:name w:val="Picture"/>
    <w:basedOn w:val="1"/>
    <w:next w:val="16"/>
    <w:autoRedefine/>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3">
    <w:name w:val="Char Char1 Char Char Char2"/>
    <w:basedOn w:val="1"/>
    <w:autoRedefine/>
    <w:qFormat/>
    <w:uiPriority w:val="0"/>
    <w:rPr>
      <w:rFonts w:ascii="仿宋_GB2312" w:eastAsia="仿宋_GB2312"/>
      <w:b/>
      <w:sz w:val="32"/>
      <w:szCs w:val="32"/>
    </w:rPr>
  </w:style>
  <w:style w:type="paragraph" w:customStyle="1" w:styleId="734">
    <w:name w:val="Char3 Char Char Char1"/>
    <w:basedOn w:val="1"/>
    <w:autoRedefine/>
    <w:qFormat/>
    <w:uiPriority w:val="6"/>
    <w:pPr>
      <w:widowControl/>
      <w:adjustRightInd/>
      <w:spacing w:after="160" w:line="240" w:lineRule="exact"/>
      <w:jc w:val="left"/>
    </w:pPr>
    <w:rPr>
      <w:szCs w:val="20"/>
    </w:rPr>
  </w:style>
  <w:style w:type="paragraph" w:customStyle="1" w:styleId="735">
    <w:name w:val="Char1 Char Char Char21"/>
    <w:basedOn w:val="1"/>
    <w:autoRedefine/>
    <w:qFormat/>
    <w:uiPriority w:val="0"/>
    <w:rPr>
      <w:rFonts w:ascii="Tahoma" w:hAnsi="Tahoma"/>
      <w:sz w:val="24"/>
      <w:szCs w:val="20"/>
    </w:rPr>
  </w:style>
  <w:style w:type="paragraph" w:customStyle="1" w:styleId="736">
    <w:name w:val="Char3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737">
    <w:name w:val="正文（标题三）"/>
    <w:basedOn w:val="1"/>
    <w:autoRedefine/>
    <w:qFormat/>
    <w:uiPriority w:val="0"/>
    <w:pPr>
      <w:spacing w:line="360" w:lineRule="auto"/>
      <w:ind w:firstLine="200" w:firstLineChars="200"/>
    </w:pPr>
    <w:rPr>
      <w:sz w:val="24"/>
    </w:rPr>
  </w:style>
  <w:style w:type="paragraph" w:customStyle="1" w:styleId="738">
    <w:name w:val="样式 正1 + 首行缩进:  2 字符"/>
    <w:basedOn w:val="1"/>
    <w:autoRedefine/>
    <w:qFormat/>
    <w:uiPriority w:val="0"/>
    <w:pPr>
      <w:adjustRightInd/>
      <w:spacing w:line="360" w:lineRule="auto"/>
      <w:ind w:firstLine="480" w:firstLineChars="200"/>
    </w:pPr>
    <w:rPr>
      <w:rFonts w:ascii="仿宋_GB2312" w:eastAsia="仿宋_GB2312"/>
      <w:sz w:val="24"/>
    </w:rPr>
  </w:style>
  <w:style w:type="paragraph" w:customStyle="1" w:styleId="739">
    <w:name w:val="xl66"/>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0">
    <w:name w:val="样式 样式 宋体 小四 段前: 7.8 磅 段后: 7.8 磅 行距: 1.5 倍行距 + 小二 首行缩进:  2 字符"/>
    <w:basedOn w:val="1"/>
    <w:autoRedefine/>
    <w:qFormat/>
    <w:uiPriority w:val="0"/>
    <w:pPr>
      <w:adjustRightInd/>
      <w:spacing w:line="360" w:lineRule="auto"/>
      <w:ind w:firstLine="480" w:firstLineChars="200"/>
    </w:pPr>
    <w:rPr>
      <w:rFonts w:ascii="宋体" w:hAnsi="宋体" w:cs="宋体"/>
      <w:sz w:val="24"/>
      <w:szCs w:val="20"/>
    </w:rPr>
  </w:style>
  <w:style w:type="paragraph" w:customStyle="1" w:styleId="741">
    <w:name w:val="Default Text"/>
    <w:basedOn w:val="1"/>
    <w:autoRedefine/>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2">
    <w:name w:val="小节标题"/>
    <w:basedOn w:val="1"/>
    <w:autoRedefine/>
    <w:qFormat/>
    <w:uiPriority w:val="0"/>
    <w:pPr>
      <w:autoSpaceDE w:val="0"/>
      <w:autoSpaceDN w:val="0"/>
      <w:spacing w:before="175" w:after="102" w:line="351" w:lineRule="atLeast"/>
      <w:ind w:firstLine="200" w:firstLineChars="200"/>
    </w:pPr>
    <w:rPr>
      <w:color w:val="000000"/>
      <w:kern w:val="0"/>
      <w:szCs w:val="21"/>
    </w:rPr>
  </w:style>
  <w:style w:type="paragraph" w:customStyle="1" w:styleId="743">
    <w:name w:val="Char1 Char Char Char4"/>
    <w:basedOn w:val="1"/>
    <w:autoRedefine/>
    <w:qFormat/>
    <w:uiPriority w:val="0"/>
    <w:pPr>
      <w:adjustRightInd/>
      <w:ind w:firstLine="200" w:firstLineChars="200"/>
    </w:pPr>
    <w:rPr>
      <w:rFonts w:ascii="Tahoma" w:hAnsi="Tahoma"/>
      <w:sz w:val="24"/>
      <w:szCs w:val="20"/>
    </w:rPr>
  </w:style>
  <w:style w:type="paragraph" w:customStyle="1" w:styleId="744">
    <w:name w:val="_标题2"/>
    <w:basedOn w:val="711"/>
    <w:next w:val="711"/>
    <w:autoRedefine/>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5">
    <w:name w:val="样式1 + (中宋体"/>
    <w:basedOn w:val="722"/>
    <w:autoRedefine/>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6">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7">
    <w:name w:val="La0b"/>
    <w:basedOn w:val="1"/>
    <w:autoRedefine/>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8">
    <w:name w:val="正文 主体"/>
    <w:basedOn w:val="1"/>
    <w:autoRedefine/>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9">
    <w:name w:val="四号　首行缩进"/>
    <w:basedOn w:val="1"/>
    <w:autoRedefine/>
    <w:qFormat/>
    <w:uiPriority w:val="0"/>
    <w:pPr>
      <w:adjustRightInd/>
      <w:spacing w:line="360" w:lineRule="auto"/>
    </w:pPr>
    <w:rPr>
      <w:rFonts w:ascii="宋体" w:hAnsi="宋体"/>
      <w:szCs w:val="20"/>
    </w:rPr>
  </w:style>
  <w:style w:type="paragraph" w:customStyle="1" w:styleId="750">
    <w:name w:val="深色列表 - 强调文字颜色 51"/>
    <w:basedOn w:val="1"/>
    <w:autoRedefine/>
    <w:qFormat/>
    <w:uiPriority w:val="0"/>
    <w:pPr>
      <w:adjustRightInd/>
      <w:spacing w:line="360" w:lineRule="auto"/>
      <w:ind w:firstLine="200" w:firstLineChars="200"/>
    </w:pPr>
    <w:rPr>
      <w:rFonts w:eastAsia="楷体_GB2312" w:cs="Lucida Sans"/>
      <w:sz w:val="24"/>
    </w:rPr>
  </w:style>
  <w:style w:type="paragraph" w:customStyle="1" w:styleId="751">
    <w:name w:val="Char Char Char Char Char Char Char Char Char Char Char1 Char"/>
    <w:basedOn w:val="1"/>
    <w:autoRedefine/>
    <w:qFormat/>
    <w:uiPriority w:val="0"/>
    <w:pPr>
      <w:adjustRightInd/>
    </w:pPr>
    <w:rPr>
      <w:rFonts w:ascii="Tahoma" w:hAnsi="Tahoma"/>
      <w:sz w:val="24"/>
    </w:rPr>
  </w:style>
  <w:style w:type="paragraph" w:customStyle="1" w:styleId="752">
    <w:name w:val="Char Char Char Char11"/>
    <w:basedOn w:val="1"/>
    <w:autoRedefine/>
    <w:qFormat/>
    <w:uiPriority w:val="0"/>
    <w:rPr>
      <w:rFonts w:ascii="Tahoma" w:hAnsi="Tahoma"/>
      <w:sz w:val="24"/>
      <w:szCs w:val="20"/>
    </w:rPr>
  </w:style>
  <w:style w:type="paragraph" w:customStyle="1" w:styleId="753">
    <w:name w:val="封面文档标题"/>
    <w:basedOn w:val="1"/>
    <w:autoRedefine/>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4">
    <w:name w:val="Char Char Char Char"/>
    <w:basedOn w:val="1"/>
    <w:autoRedefine/>
    <w:qFormat/>
    <w:uiPriority w:val="0"/>
    <w:rPr>
      <w:rFonts w:ascii="Tahoma" w:hAnsi="Tahoma"/>
      <w:sz w:val="24"/>
      <w:szCs w:val="20"/>
    </w:rPr>
  </w:style>
  <w:style w:type="paragraph" w:customStyle="1" w:styleId="755">
    <w:name w:val="标1"/>
    <w:basedOn w:val="1"/>
    <w:autoRedefine/>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6">
    <w:name w:val="Char19"/>
    <w:basedOn w:val="1"/>
    <w:autoRedefine/>
    <w:qFormat/>
    <w:uiPriority w:val="0"/>
    <w:pPr>
      <w:adjustRightInd/>
    </w:pPr>
    <w:rPr>
      <w:szCs w:val="20"/>
    </w:rPr>
  </w:style>
  <w:style w:type="paragraph" w:customStyle="1" w:styleId="757">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8">
    <w:name w:val="样式8"/>
    <w:basedOn w:val="1"/>
    <w:autoRedefine/>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9">
    <w:name w:val="_Style 5"/>
    <w:basedOn w:val="1"/>
    <w:autoRedefine/>
    <w:qFormat/>
    <w:uiPriority w:val="34"/>
    <w:pPr>
      <w:adjustRightInd/>
      <w:ind w:firstLine="420" w:firstLineChars="200"/>
    </w:pPr>
    <w:rPr>
      <w:rFonts w:eastAsia="仿宋_GB2312"/>
      <w:sz w:val="28"/>
    </w:rPr>
  </w:style>
  <w:style w:type="paragraph" w:customStyle="1" w:styleId="760">
    <w:name w:val="正文文字缩进"/>
    <w:basedOn w:val="1"/>
    <w:autoRedefine/>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1">
    <w:name w:val="列出段落*"/>
    <w:basedOn w:val="1"/>
    <w:autoRedefine/>
    <w:qFormat/>
    <w:uiPriority w:val="0"/>
    <w:pPr>
      <w:adjustRightInd/>
      <w:spacing w:line="360" w:lineRule="auto"/>
      <w:ind w:firstLine="200"/>
    </w:pPr>
    <w:rPr>
      <w:rFonts w:eastAsia="楷体_GB2312" w:cs="Lucida Sans Unicode"/>
      <w:color w:val="000000"/>
      <w:kern w:val="1"/>
      <w:sz w:val="24"/>
    </w:rPr>
  </w:style>
  <w:style w:type="paragraph" w:customStyle="1" w:styleId="762">
    <w:name w:val="文章总标题"/>
    <w:basedOn w:val="1"/>
    <w:autoRedefine/>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3">
    <w:name w:val="标书表格字体格式"/>
    <w:next w:val="757"/>
    <w:autoRedefine/>
    <w:qFormat/>
    <w:uiPriority w:val="0"/>
    <w:rPr>
      <w:rFonts w:ascii="Times New Roman" w:hAnsi="Times New Roman" w:eastAsia="宋体" w:cs="Times New Roman"/>
      <w:kern w:val="2"/>
      <w:sz w:val="21"/>
      <w:szCs w:val="24"/>
      <w:lang w:val="en-US" w:eastAsia="zh-CN" w:bidi="ar-SA"/>
    </w:rPr>
  </w:style>
  <w:style w:type="paragraph" w:customStyle="1" w:styleId="764">
    <w:name w:val="Char22"/>
    <w:basedOn w:val="1"/>
    <w:autoRedefine/>
    <w:qFormat/>
    <w:uiPriority w:val="0"/>
    <w:pPr>
      <w:adjustRightInd/>
      <w:spacing w:line="360" w:lineRule="auto"/>
      <w:ind w:firstLine="480" w:firstLineChars="200"/>
    </w:pPr>
    <w:rPr>
      <w:rFonts w:ascii="仿宋_GB2312" w:eastAsia="仿宋_GB2312"/>
      <w:b/>
      <w:sz w:val="32"/>
      <w:szCs w:val="32"/>
    </w:rPr>
  </w:style>
  <w:style w:type="paragraph" w:customStyle="1" w:styleId="765">
    <w:name w:val="Char1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6">
    <w:name w:val="修订3"/>
    <w:autoRedefine/>
    <w:qFormat/>
    <w:uiPriority w:val="0"/>
    <w:rPr>
      <w:rFonts w:ascii="Times New Roman" w:hAnsi="Times New Roman" w:eastAsia="宋体" w:cs="Times New Roman"/>
      <w:kern w:val="2"/>
      <w:sz w:val="21"/>
      <w:lang w:val="en-US" w:eastAsia="zh-CN" w:bidi="ar-SA"/>
    </w:rPr>
  </w:style>
  <w:style w:type="paragraph" w:customStyle="1" w:styleId="767">
    <w:name w:val="CSS1级正文 Char"/>
    <w:basedOn w:val="23"/>
    <w:autoRedefine/>
    <w:qFormat/>
    <w:uiPriority w:val="0"/>
    <w:pPr>
      <w:autoSpaceDE/>
      <w:autoSpaceDN/>
      <w:snapToGrid w:val="0"/>
      <w:ind w:firstLine="480" w:firstLineChars="200"/>
    </w:pPr>
    <w:rPr>
      <w:rFonts w:ascii="Times New Roman"/>
      <w:szCs w:val="24"/>
      <w:lang w:val="en-US"/>
    </w:rPr>
  </w:style>
  <w:style w:type="paragraph" w:customStyle="1" w:styleId="768">
    <w:name w:val="无间隔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9">
    <w:name w:val="表文字"/>
    <w:autoRedefine/>
    <w:qFormat/>
    <w:uiPriority w:val="0"/>
    <w:rPr>
      <w:rFonts w:ascii="宋体" w:hAnsi="Times New Roman" w:eastAsia="宋体" w:cs="Times New Roman"/>
      <w:kern w:val="2"/>
      <w:lang w:val="en-US" w:eastAsia="zh-CN" w:bidi="ar-SA"/>
    </w:rPr>
  </w:style>
  <w:style w:type="paragraph" w:customStyle="1" w:styleId="770">
    <w:name w:val="MM Title"/>
    <w:basedOn w:val="59"/>
    <w:autoRedefine/>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1">
    <w:name w:val="缺省文本"/>
    <w:basedOn w:val="1"/>
    <w:autoRedefine/>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2">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73">
    <w:name w:val="Char Char Char Char Char Char Char Char2"/>
    <w:basedOn w:val="1"/>
    <w:autoRedefine/>
    <w:qFormat/>
    <w:uiPriority w:val="0"/>
    <w:pPr>
      <w:tabs>
        <w:tab w:val="left" w:pos="360"/>
      </w:tabs>
    </w:pPr>
    <w:rPr>
      <w:sz w:val="24"/>
      <w:szCs w:val="20"/>
    </w:rPr>
  </w:style>
  <w:style w:type="paragraph" w:customStyle="1" w:styleId="774">
    <w:name w:val="表内文字"/>
    <w:basedOn w:val="1"/>
    <w:autoRedefine/>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5">
    <w:name w:val="正文文本 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776">
    <w:name w:val="中文标题 3"/>
    <w:basedOn w:val="24"/>
    <w:autoRedefine/>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7">
    <w:name w:val="bt_content"/>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8">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9">
    <w:name w:val="正文－恩普"/>
    <w:basedOn w:val="15"/>
    <w:autoRedefine/>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0">
    <w:name w:val="Char Char11 Char Char Char Char Char Char Char Char Char Char Char Char Char12"/>
    <w:basedOn w:val="1"/>
    <w:autoRedefine/>
    <w:qFormat/>
    <w:uiPriority w:val="0"/>
    <w:pPr>
      <w:adjustRightInd/>
      <w:spacing w:line="360" w:lineRule="auto"/>
    </w:pPr>
    <w:rPr>
      <w:rFonts w:ascii="Arial" w:hAnsi="Arial" w:eastAsia="黑体" w:cs="Arial"/>
      <w:snapToGrid w:val="0"/>
      <w:kern w:val="0"/>
      <w:szCs w:val="21"/>
    </w:rPr>
  </w:style>
  <w:style w:type="paragraph" w:customStyle="1" w:styleId="781">
    <w:name w:val="Char4"/>
    <w:basedOn w:val="1"/>
    <w:autoRedefine/>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2">
    <w:name w:val="p0"/>
    <w:basedOn w:val="1"/>
    <w:autoRedefine/>
    <w:qFormat/>
    <w:uiPriority w:val="0"/>
    <w:pPr>
      <w:widowControl/>
      <w:adjustRightInd/>
    </w:pPr>
    <w:rPr>
      <w:kern w:val="0"/>
      <w:szCs w:val="21"/>
    </w:rPr>
  </w:style>
  <w:style w:type="paragraph" w:customStyle="1" w:styleId="783">
    <w:name w:val="Char6"/>
    <w:basedOn w:val="1"/>
    <w:autoRedefine/>
    <w:qFormat/>
    <w:uiPriority w:val="0"/>
    <w:rPr>
      <w:rFonts w:ascii="仿宋_GB2312" w:eastAsia="仿宋_GB2312"/>
      <w:b/>
      <w:sz w:val="32"/>
      <w:szCs w:val="32"/>
    </w:rPr>
  </w:style>
  <w:style w:type="paragraph" w:customStyle="1" w:styleId="784">
    <w:name w:val="Char111"/>
    <w:basedOn w:val="1"/>
    <w:autoRedefine/>
    <w:qFormat/>
    <w:uiPriority w:val="0"/>
    <w:rPr>
      <w:rFonts w:ascii="仿宋_GB2312" w:eastAsia="仿宋_GB2312"/>
      <w:b/>
      <w:sz w:val="32"/>
      <w:szCs w:val="32"/>
    </w:rPr>
  </w:style>
  <w:style w:type="paragraph" w:customStyle="1" w:styleId="785">
    <w:name w:val="标题3"/>
    <w:basedOn w:val="4"/>
    <w:next w:val="53"/>
    <w:autoRedefine/>
    <w:qFormat/>
    <w:uiPriority w:val="0"/>
    <w:pPr>
      <w:tabs>
        <w:tab w:val="clear" w:pos="900"/>
      </w:tabs>
      <w:spacing w:after="0" w:line="360" w:lineRule="auto"/>
    </w:pPr>
    <w:rPr>
      <w:rFonts w:ascii="仿宋" w:hAnsi="仿宋" w:eastAsia="仿宋" w:cs="仿宋"/>
    </w:rPr>
  </w:style>
  <w:style w:type="paragraph" w:customStyle="1" w:styleId="786">
    <w:name w:val="xl23"/>
    <w:basedOn w:val="1"/>
    <w:autoRedefine/>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7">
    <w:name w:val="Char Char Char1"/>
    <w:basedOn w:val="1"/>
    <w:autoRedefine/>
    <w:qFormat/>
    <w:uiPriority w:val="6"/>
    <w:pPr>
      <w:widowControl/>
      <w:spacing w:after="160" w:line="240" w:lineRule="exact"/>
      <w:jc w:val="left"/>
    </w:pPr>
    <w:rPr>
      <w:rFonts w:ascii="Verdana" w:hAnsi="Verdana"/>
      <w:kern w:val="0"/>
      <w:sz w:val="20"/>
      <w:szCs w:val="20"/>
      <w:lang w:eastAsia="en-US"/>
    </w:rPr>
  </w:style>
  <w:style w:type="paragraph" w:customStyle="1" w:styleId="788">
    <w:name w:val="Char1 Char Char Char2"/>
    <w:basedOn w:val="1"/>
    <w:autoRedefine/>
    <w:qFormat/>
    <w:uiPriority w:val="0"/>
    <w:pPr>
      <w:adjustRightInd/>
      <w:ind w:firstLine="200" w:firstLineChars="200"/>
    </w:pPr>
    <w:rPr>
      <w:rFonts w:ascii="Tahoma" w:hAnsi="Tahoma"/>
      <w:sz w:val="24"/>
      <w:szCs w:val="20"/>
    </w:rPr>
  </w:style>
  <w:style w:type="paragraph" w:customStyle="1" w:styleId="789">
    <w:name w:val="列出段落1"/>
    <w:basedOn w:val="1"/>
    <w:autoRedefine/>
    <w:qFormat/>
    <w:uiPriority w:val="0"/>
    <w:pPr>
      <w:adjustRightInd/>
      <w:spacing w:line="360" w:lineRule="auto"/>
      <w:ind w:firstLine="420" w:firstLineChars="200"/>
    </w:pPr>
    <w:rPr>
      <w:rFonts w:ascii="Calibri" w:hAnsi="Calibri"/>
      <w:sz w:val="24"/>
      <w:szCs w:val="22"/>
    </w:rPr>
  </w:style>
  <w:style w:type="paragraph" w:customStyle="1" w:styleId="790">
    <w:name w:val="样式 标题 1 + 黑色 段前: 0.5 行 段后: 0.5 行1"/>
    <w:basedOn w:val="3"/>
    <w:autoRedefine/>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1">
    <w:name w:val="Char Char Char Char Char Char Char2"/>
    <w:basedOn w:val="1"/>
    <w:autoRedefine/>
    <w:qFormat/>
    <w:uiPriority w:val="0"/>
    <w:rPr>
      <w:rFonts w:ascii="仿宋_GB2312" w:eastAsia="仿宋_GB2312"/>
      <w:b/>
      <w:sz w:val="32"/>
      <w:szCs w:val="32"/>
    </w:rPr>
  </w:style>
  <w:style w:type="paragraph" w:customStyle="1" w:styleId="792">
    <w:name w:val="五级条标题"/>
    <w:basedOn w:val="793"/>
    <w:next w:val="638"/>
    <w:autoRedefine/>
    <w:qFormat/>
    <w:uiPriority w:val="0"/>
    <w:pPr>
      <w:tabs>
        <w:tab w:val="left" w:pos="1260"/>
        <w:tab w:val="left" w:pos="1680"/>
        <w:tab w:val="left" w:pos="2100"/>
        <w:tab w:val="left" w:pos="2940"/>
        <w:tab w:val="left" w:pos="3360"/>
      </w:tabs>
      <w:ind w:left="3360"/>
      <w:outlineLvl w:val="6"/>
    </w:pPr>
  </w:style>
  <w:style w:type="paragraph" w:customStyle="1" w:styleId="793">
    <w:name w:val="四级条标题"/>
    <w:basedOn w:val="653"/>
    <w:next w:val="638"/>
    <w:autoRedefine/>
    <w:qFormat/>
    <w:uiPriority w:val="0"/>
    <w:pPr>
      <w:tabs>
        <w:tab w:val="left" w:pos="2940"/>
        <w:tab w:val="clear" w:pos="2520"/>
      </w:tabs>
      <w:ind w:left="2940"/>
      <w:outlineLvl w:val="5"/>
    </w:pPr>
  </w:style>
  <w:style w:type="paragraph" w:customStyle="1" w:styleId="794">
    <w:name w:val="目录3"/>
    <w:basedOn w:val="1"/>
    <w:autoRedefine/>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5">
    <w:name w:val="Char23"/>
    <w:basedOn w:val="1"/>
    <w:autoRedefine/>
    <w:qFormat/>
    <w:uiPriority w:val="0"/>
    <w:rPr>
      <w:rFonts w:ascii="仿宋_GB2312" w:eastAsia="仿宋_GB2312"/>
      <w:b/>
      <w:sz w:val="32"/>
      <w:szCs w:val="32"/>
    </w:rPr>
  </w:style>
  <w:style w:type="paragraph" w:customStyle="1" w:styleId="796">
    <w:name w:val="style3"/>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7">
    <w:name w:val="列出段落3"/>
    <w:basedOn w:val="1"/>
    <w:autoRedefine/>
    <w:qFormat/>
    <w:uiPriority w:val="34"/>
    <w:pPr>
      <w:adjustRightInd/>
      <w:spacing w:line="360" w:lineRule="auto"/>
      <w:ind w:firstLine="420" w:firstLineChars="200"/>
    </w:pPr>
    <w:rPr>
      <w:rFonts w:ascii="Calibri" w:hAnsi="Calibri"/>
      <w:sz w:val="24"/>
      <w:szCs w:val="22"/>
    </w:rPr>
  </w:style>
  <w:style w:type="paragraph" w:customStyle="1" w:styleId="798">
    <w:name w:val="首行缩进"/>
    <w:basedOn w:val="1"/>
    <w:autoRedefine/>
    <w:qFormat/>
    <w:uiPriority w:val="0"/>
    <w:pPr>
      <w:spacing w:line="360" w:lineRule="auto"/>
      <w:ind w:firstLine="480" w:firstLineChars="200"/>
    </w:pPr>
    <w:rPr>
      <w:rFonts w:ascii="宋体"/>
      <w:sz w:val="24"/>
      <w:szCs w:val="20"/>
    </w:rPr>
  </w:style>
  <w:style w:type="paragraph" w:customStyle="1" w:styleId="799">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0">
    <w:name w:val="单元格左对齐"/>
    <w:basedOn w:val="1"/>
    <w:autoRedefine/>
    <w:qFormat/>
    <w:uiPriority w:val="0"/>
    <w:pPr>
      <w:adjustRightInd/>
      <w:spacing w:line="360" w:lineRule="auto"/>
    </w:pPr>
    <w:rPr>
      <w:sz w:val="24"/>
    </w:rPr>
  </w:style>
  <w:style w:type="paragraph" w:customStyle="1" w:styleId="801">
    <w:name w:val="正文主体"/>
    <w:basedOn w:val="622"/>
    <w:autoRedefine/>
    <w:qFormat/>
    <w:uiPriority w:val="0"/>
  </w:style>
  <w:style w:type="paragraph" w:customStyle="1" w:styleId="802">
    <w:name w:val="font6"/>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3">
    <w:name w:val="Char3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804">
    <w:name w:val="样式 首行缩进:  2 字符"/>
    <w:basedOn w:val="1"/>
    <w:autoRedefine/>
    <w:qFormat/>
    <w:uiPriority w:val="0"/>
    <w:pPr>
      <w:snapToGrid w:val="0"/>
      <w:spacing w:line="360" w:lineRule="auto"/>
    </w:pPr>
    <w:rPr>
      <w:rFonts w:ascii="仿宋_GB2312" w:hAnsi="宋体" w:eastAsia="仿宋_GB2312" w:cs="宋体"/>
      <w:color w:val="000000"/>
      <w:kern w:val="0"/>
      <w:sz w:val="28"/>
      <w:szCs w:val="21"/>
    </w:rPr>
  </w:style>
  <w:style w:type="paragraph" w:customStyle="1" w:styleId="805">
    <w:name w:val="正文（首行缩进2字符）"/>
    <w:basedOn w:val="1"/>
    <w:autoRedefine/>
    <w:qFormat/>
    <w:uiPriority w:val="0"/>
    <w:pPr>
      <w:adjustRightInd/>
      <w:spacing w:line="360" w:lineRule="auto"/>
      <w:ind w:firstLine="480" w:firstLineChars="200"/>
    </w:pPr>
    <w:rPr>
      <w:sz w:val="24"/>
      <w:szCs w:val="20"/>
    </w:rPr>
  </w:style>
  <w:style w:type="paragraph" w:customStyle="1" w:styleId="806">
    <w:name w:val="P1"/>
    <w:basedOn w:val="1"/>
    <w:autoRedefine/>
    <w:qFormat/>
    <w:uiPriority w:val="0"/>
    <w:pPr>
      <w:adjustRightInd/>
      <w:spacing w:line="288" w:lineRule="auto"/>
      <w:ind w:firstLine="425" w:firstLineChars="200"/>
    </w:pPr>
  </w:style>
  <w:style w:type="paragraph" w:customStyle="1" w:styleId="807">
    <w:name w:val="列表内容"/>
    <w:basedOn w:val="1"/>
    <w:next w:val="1"/>
    <w:autoRedefine/>
    <w:qFormat/>
    <w:uiPriority w:val="0"/>
    <w:pPr>
      <w:widowControl/>
      <w:tabs>
        <w:tab w:val="left" w:pos="840"/>
      </w:tabs>
      <w:ind w:left="840" w:hanging="420"/>
      <w:jc w:val="left"/>
    </w:pPr>
    <w:rPr>
      <w:kern w:val="0"/>
      <w:sz w:val="18"/>
    </w:rPr>
  </w:style>
  <w:style w:type="paragraph" w:customStyle="1" w:styleId="808">
    <w:name w:val="Char Char11 Char Char Char1"/>
    <w:basedOn w:val="1"/>
    <w:autoRedefine/>
    <w:qFormat/>
    <w:uiPriority w:val="6"/>
    <w:pPr>
      <w:spacing w:line="360" w:lineRule="auto"/>
    </w:pPr>
    <w:rPr>
      <w:szCs w:val="20"/>
    </w:rPr>
  </w:style>
  <w:style w:type="paragraph" w:customStyle="1" w:styleId="809">
    <w:name w:val="默认段落字体 Para Char Char Char Char Char Char Char Char Char1 Char Char Char Char"/>
    <w:basedOn w:val="1"/>
    <w:autoRedefine/>
    <w:qFormat/>
    <w:uiPriority w:val="0"/>
    <w:pPr>
      <w:adjustRightInd/>
    </w:pPr>
    <w:rPr>
      <w:rFonts w:ascii="Tahoma" w:hAnsi="Tahoma"/>
      <w:sz w:val="24"/>
      <w:szCs w:val="20"/>
    </w:rPr>
  </w:style>
  <w:style w:type="paragraph" w:customStyle="1" w:styleId="810">
    <w:name w:val="Char Char Char Char Char Char11"/>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1">
    <w:name w:val="标题 41"/>
    <w:basedOn w:val="1"/>
    <w:next w:val="1"/>
    <w:autoRedefine/>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2">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813">
    <w:name w:val="正文文字缩进2字"/>
    <w:basedOn w:val="23"/>
    <w:autoRedefine/>
    <w:qFormat/>
    <w:uiPriority w:val="0"/>
    <w:pPr>
      <w:autoSpaceDE/>
      <w:autoSpaceDN/>
      <w:adjustRightInd/>
      <w:spacing w:before="60" w:after="60"/>
      <w:ind w:firstLine="200" w:firstLineChars="200"/>
    </w:pPr>
    <w:rPr>
      <w:rFonts w:ascii="Times New Roman"/>
      <w:szCs w:val="20"/>
      <w:lang w:val="en-US"/>
    </w:rPr>
  </w:style>
  <w:style w:type="paragraph" w:customStyle="1" w:styleId="814">
    <w:name w:val="默认段落字体 Para Char Char Char Char"/>
    <w:basedOn w:val="1"/>
    <w:autoRedefine/>
    <w:qFormat/>
    <w:uiPriority w:val="0"/>
    <w:pPr>
      <w:spacing w:line="360" w:lineRule="auto"/>
    </w:pPr>
    <w:rPr>
      <w:szCs w:val="20"/>
    </w:rPr>
  </w:style>
  <w:style w:type="paragraph" w:customStyle="1" w:styleId="815">
    <w:name w:val="正文4"/>
    <w:basedOn w:val="1"/>
    <w:autoRedefine/>
    <w:qFormat/>
    <w:uiPriority w:val="0"/>
    <w:pPr>
      <w:tabs>
        <w:tab w:val="left" w:pos="720"/>
      </w:tabs>
      <w:adjustRightInd/>
      <w:spacing w:before="60" w:after="60" w:line="360" w:lineRule="auto"/>
      <w:ind w:left="575" w:leftChars="400" w:hanging="175" w:hangingChars="175"/>
    </w:pPr>
    <w:rPr>
      <w:sz w:val="24"/>
    </w:rPr>
  </w:style>
  <w:style w:type="paragraph" w:customStyle="1" w:styleId="816">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7">
    <w:name w:val="Char2 Char Char Char2"/>
    <w:basedOn w:val="1"/>
    <w:autoRedefine/>
    <w:qFormat/>
    <w:uiPriority w:val="0"/>
    <w:rPr>
      <w:rFonts w:ascii="仿宋_GB2312" w:eastAsia="仿宋_GB2312"/>
      <w:b/>
      <w:sz w:val="32"/>
      <w:szCs w:val="32"/>
    </w:rPr>
  </w:style>
  <w:style w:type="paragraph" w:customStyle="1" w:styleId="818">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9">
    <w:name w:val="Char Char Char Char2"/>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0">
    <w:name w:val="正文 首行缩进:  2 字符 Char"/>
    <w:basedOn w:val="1"/>
    <w:autoRedefine/>
    <w:qFormat/>
    <w:uiPriority w:val="0"/>
    <w:pPr>
      <w:adjustRightInd/>
      <w:spacing w:line="360" w:lineRule="auto"/>
      <w:ind w:firstLine="480"/>
    </w:pPr>
    <w:rPr>
      <w:rFonts w:cs="宋体"/>
      <w:sz w:val="24"/>
      <w:szCs w:val="20"/>
    </w:rPr>
  </w:style>
  <w:style w:type="paragraph" w:customStyle="1" w:styleId="821">
    <w:name w:val="Char Char4 Char Char"/>
    <w:basedOn w:val="1"/>
    <w:autoRedefine/>
    <w:qFormat/>
    <w:uiPriority w:val="0"/>
    <w:pPr>
      <w:widowControl/>
      <w:adjustRightInd/>
      <w:spacing w:after="160" w:line="240" w:lineRule="exact"/>
      <w:jc w:val="left"/>
    </w:pPr>
  </w:style>
  <w:style w:type="paragraph" w:customStyle="1" w:styleId="822">
    <w:name w:val="目录2"/>
    <w:basedOn w:val="1"/>
    <w:autoRedefine/>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3">
    <w:name w:val="Char Char11 Char Char Char2"/>
    <w:basedOn w:val="1"/>
    <w:autoRedefine/>
    <w:qFormat/>
    <w:uiPriority w:val="0"/>
    <w:pPr>
      <w:spacing w:line="360" w:lineRule="auto"/>
    </w:pPr>
    <w:rPr>
      <w:szCs w:val="20"/>
    </w:rPr>
  </w:style>
  <w:style w:type="paragraph" w:customStyle="1" w:styleId="824">
    <w:name w:val="9"/>
    <w:autoRedefine/>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5">
    <w:name w:val="Char3 Char Char2"/>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6">
    <w:name w:val="数字标题4"/>
    <w:basedOn w:val="5"/>
    <w:autoRedefine/>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7">
    <w:name w:val="表格文字（大）"/>
    <w:basedOn w:val="1"/>
    <w:autoRedefine/>
    <w:qFormat/>
    <w:uiPriority w:val="0"/>
    <w:pPr>
      <w:adjustRightInd/>
      <w:spacing w:before="20" w:after="20"/>
      <w:ind w:firstLine="200" w:firstLineChars="200"/>
    </w:pPr>
    <w:rPr>
      <w:rFonts w:ascii="Century Gothic" w:hAnsi="Century Gothic"/>
      <w:sz w:val="24"/>
      <w:szCs w:val="20"/>
    </w:rPr>
  </w:style>
  <w:style w:type="paragraph" w:customStyle="1" w:styleId="828">
    <w:name w:val="插图说明"/>
    <w:basedOn w:val="1"/>
    <w:autoRedefine/>
    <w:qFormat/>
    <w:uiPriority w:val="0"/>
    <w:pPr>
      <w:spacing w:after="240"/>
      <w:ind w:firstLine="200" w:firstLineChars="200"/>
      <w:jc w:val="center"/>
      <w:textAlignment w:val="baseline"/>
    </w:pPr>
    <w:rPr>
      <w:rFonts w:eastAsia="黑体"/>
      <w:sz w:val="24"/>
      <w:szCs w:val="20"/>
    </w:rPr>
  </w:style>
  <w:style w:type="paragraph" w:customStyle="1" w:styleId="829">
    <w:name w:val="chart text"/>
    <w:basedOn w:val="1"/>
    <w:autoRedefine/>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0">
    <w:name w:val="Char311"/>
    <w:basedOn w:val="1"/>
    <w:autoRedefine/>
    <w:qFormat/>
    <w:uiPriority w:val="0"/>
    <w:pPr>
      <w:adjustRightInd/>
      <w:ind w:firstLine="200" w:firstLineChars="200"/>
    </w:pPr>
    <w:rPr>
      <w:rFonts w:ascii="Tahoma" w:hAnsi="Tahoma"/>
      <w:sz w:val="24"/>
      <w:szCs w:val="20"/>
    </w:rPr>
  </w:style>
  <w:style w:type="paragraph" w:customStyle="1" w:styleId="831">
    <w:name w:val="正文文本 23"/>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832">
    <w:name w:val="dash bullet"/>
    <w:autoRedefine/>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3">
    <w:name w:val="正文 内标"/>
    <w:basedOn w:val="748"/>
    <w:autoRedefine/>
    <w:qFormat/>
    <w:uiPriority w:val="0"/>
    <w:pPr>
      <w:tabs>
        <w:tab w:val="left" w:pos="0"/>
      </w:tabs>
      <w:ind w:left="900" w:firstLine="0" w:firstLineChars="0"/>
    </w:pPr>
  </w:style>
  <w:style w:type="paragraph" w:customStyle="1" w:styleId="834">
    <w:name w:val="Bulleted List"/>
    <w:basedOn w:val="1"/>
    <w:autoRedefine/>
    <w:qFormat/>
    <w:uiPriority w:val="0"/>
    <w:pPr>
      <w:tabs>
        <w:tab w:val="left" w:pos="1260"/>
      </w:tabs>
      <w:adjustRightInd/>
      <w:ind w:left="1260" w:hanging="420"/>
    </w:pPr>
  </w:style>
  <w:style w:type="paragraph" w:customStyle="1" w:styleId="835">
    <w:name w:val="样式 正文文本缩进 2 + 仿宋_GB2312 黑色 行距: 1.5 倍行距"/>
    <w:basedOn w:val="37"/>
    <w:autoRedefine/>
    <w:qFormat/>
    <w:uiPriority w:val="0"/>
    <w:pPr>
      <w:adjustRightInd/>
      <w:ind w:firstLine="560" w:firstLineChars="200"/>
      <w:textAlignment w:val="auto"/>
    </w:pPr>
    <w:rPr>
      <w:rFonts w:hAnsi="宋体" w:cs="宋体"/>
      <w:color w:val="000000"/>
      <w:kern w:val="2"/>
      <w:sz w:val="24"/>
    </w:rPr>
  </w:style>
  <w:style w:type="paragraph" w:customStyle="1" w:styleId="836">
    <w:name w:val="样式 左侧:  0.85 厘米"/>
    <w:basedOn w:val="1"/>
    <w:autoRedefine/>
    <w:qFormat/>
    <w:uiPriority w:val="2"/>
    <w:pPr>
      <w:adjustRightInd/>
      <w:spacing w:line="360" w:lineRule="auto"/>
    </w:pPr>
    <w:rPr>
      <w:rFonts w:cs="宋体"/>
      <w:sz w:val="24"/>
      <w:szCs w:val="20"/>
    </w:rPr>
  </w:style>
  <w:style w:type="paragraph" w:customStyle="1" w:styleId="837">
    <w:name w:val="Char Char Char Char Char Char Char Char Char Char Char Char1 Char"/>
    <w:basedOn w:val="1"/>
    <w:autoRedefine/>
    <w:qFormat/>
    <w:uiPriority w:val="0"/>
    <w:rPr>
      <w:rFonts w:ascii="Tahoma" w:hAnsi="Tahoma" w:cs="仿宋_GB2312"/>
      <w:sz w:val="24"/>
      <w:szCs w:val="20"/>
    </w:rPr>
  </w:style>
  <w:style w:type="paragraph" w:customStyle="1" w:styleId="838">
    <w:name w:val="正文1"/>
    <w:basedOn w:val="32"/>
    <w:autoRedefine/>
    <w:qFormat/>
    <w:uiPriority w:val="0"/>
    <w:pPr>
      <w:ind w:left="0" w:leftChars="0" w:firstLine="480" w:firstLineChars="200"/>
    </w:pPr>
    <w:rPr>
      <w:rFonts w:ascii="仿宋_GB2312" w:hAnsi="Courier New" w:eastAsia="仿宋_GB2312"/>
      <w:kern w:val="28"/>
      <w:sz w:val="24"/>
    </w:rPr>
  </w:style>
  <w:style w:type="paragraph" w:customStyle="1" w:styleId="839">
    <w:name w:val="Char Char11 Char Char Char Char Char Char Char Char Char Char Char Char Char2"/>
    <w:basedOn w:val="1"/>
    <w:autoRedefine/>
    <w:qFormat/>
    <w:uiPriority w:val="0"/>
    <w:pPr>
      <w:adjustRightInd/>
      <w:spacing w:line="360" w:lineRule="auto"/>
    </w:pPr>
    <w:rPr>
      <w:rFonts w:ascii="Arial" w:hAnsi="Arial" w:eastAsia="黑体"/>
      <w:snapToGrid w:val="0"/>
      <w:kern w:val="0"/>
      <w:sz w:val="20"/>
      <w:szCs w:val="21"/>
    </w:rPr>
  </w:style>
  <w:style w:type="paragraph" w:customStyle="1" w:styleId="840">
    <w:name w:val="xl8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1">
    <w:name w:val="模板普通正文"/>
    <w:basedOn w:val="24"/>
    <w:autoRedefine/>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2">
    <w:name w:val="Char Char1 Char Char Char Char Char Char"/>
    <w:basedOn w:val="1"/>
    <w:autoRedefine/>
    <w:qFormat/>
    <w:uiPriority w:val="0"/>
    <w:rPr>
      <w:rFonts w:ascii="仿宋_GB2312" w:eastAsia="仿宋_GB2312"/>
      <w:b/>
      <w:sz w:val="32"/>
      <w:szCs w:val="20"/>
    </w:rPr>
  </w:style>
  <w:style w:type="paragraph" w:customStyle="1" w:styleId="843">
    <w:name w:val="font8"/>
    <w:basedOn w:val="1"/>
    <w:autoRedefine/>
    <w:qFormat/>
    <w:uiPriority w:val="0"/>
    <w:pPr>
      <w:widowControl/>
      <w:adjustRightInd/>
      <w:spacing w:before="100" w:beforeAutospacing="1" w:after="100" w:afterAutospacing="1"/>
      <w:jc w:val="left"/>
    </w:pPr>
    <w:rPr>
      <w:color w:val="000000"/>
      <w:kern w:val="0"/>
      <w:sz w:val="20"/>
      <w:szCs w:val="20"/>
    </w:rPr>
  </w:style>
  <w:style w:type="paragraph" w:customStyle="1" w:styleId="844">
    <w:name w:val="Char Char1 Char Char Char Char Char Char2"/>
    <w:basedOn w:val="1"/>
    <w:autoRedefine/>
    <w:qFormat/>
    <w:uiPriority w:val="0"/>
    <w:rPr>
      <w:rFonts w:ascii="仿宋_GB2312" w:eastAsia="仿宋_GB2312"/>
      <w:b/>
      <w:sz w:val="32"/>
      <w:szCs w:val="20"/>
    </w:rPr>
  </w:style>
  <w:style w:type="paragraph" w:customStyle="1" w:styleId="845">
    <w:name w:val="font13"/>
    <w:basedOn w:val="1"/>
    <w:autoRedefine/>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6">
    <w:name w:val="默认段落字体 Para Char Char Char Char Char Char Char Char Char Char"/>
    <w:basedOn w:val="1"/>
    <w:autoRedefine/>
    <w:qFormat/>
    <w:uiPriority w:val="0"/>
    <w:pPr>
      <w:adjustRightInd/>
    </w:pPr>
    <w:rPr>
      <w:rFonts w:ascii="Tahoma" w:hAnsi="Tahoma"/>
      <w:color w:val="000000"/>
      <w:sz w:val="24"/>
      <w:szCs w:val="20"/>
    </w:rPr>
  </w:style>
  <w:style w:type="paragraph" w:customStyle="1" w:styleId="847">
    <w:name w:val="legal"/>
    <w:basedOn w:val="1"/>
    <w:autoRedefine/>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9">
    <w:name w:val="Char Char Char Char Char Char1 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50">
    <w:name w:val="样式 首行缩进:  2 字符4"/>
    <w:basedOn w:val="1"/>
    <w:autoRedefine/>
    <w:qFormat/>
    <w:uiPriority w:val="0"/>
    <w:pPr>
      <w:adjustRightInd/>
      <w:spacing w:before="120" w:line="360" w:lineRule="auto"/>
      <w:ind w:firstLine="480" w:firstLineChars="200"/>
    </w:pPr>
    <w:rPr>
      <w:rFonts w:eastAsia="仿宋_GB2312" w:cs="宋体"/>
      <w:sz w:val="28"/>
      <w:szCs w:val="20"/>
    </w:rPr>
  </w:style>
  <w:style w:type="paragraph" w:customStyle="1" w:styleId="851">
    <w:name w:val="中等深浅网格 1 - 强调文字颜色 21"/>
    <w:basedOn w:val="1"/>
    <w:autoRedefine/>
    <w:qFormat/>
    <w:uiPriority w:val="0"/>
    <w:pPr>
      <w:spacing w:line="360" w:lineRule="auto"/>
      <w:ind w:firstLine="200" w:firstLineChars="200"/>
    </w:pPr>
    <w:rPr>
      <w:rFonts w:eastAsia="楷体_GB2312" w:cs="Lucida Sans"/>
      <w:sz w:val="24"/>
    </w:rPr>
  </w:style>
  <w:style w:type="paragraph" w:customStyle="1" w:styleId="852">
    <w:name w:val="xl8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3">
    <w:name w:val="Body Copy"/>
    <w:basedOn w:val="1"/>
    <w:autoRedefine/>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4">
    <w:name w:val="Char31"/>
    <w:basedOn w:val="1"/>
    <w:autoRedefine/>
    <w:qFormat/>
    <w:uiPriority w:val="0"/>
    <w:pPr>
      <w:adjustRightInd/>
    </w:pPr>
    <w:rPr>
      <w:rFonts w:ascii="仿宋_GB2312" w:eastAsia="仿宋_GB2312"/>
      <w:b/>
      <w:sz w:val="32"/>
      <w:szCs w:val="32"/>
    </w:rPr>
  </w:style>
  <w:style w:type="paragraph" w:customStyle="1" w:styleId="855">
    <w:name w:val="样式 标题 3h33rd level3Heading 3 - oldH3l3CTheading 3Headin..."/>
    <w:basedOn w:val="4"/>
    <w:autoRedefine/>
    <w:qFormat/>
    <w:uiPriority w:val="0"/>
    <w:pPr>
      <w:snapToGrid w:val="0"/>
      <w:ind w:left="0" w:firstLine="0"/>
      <w:jc w:val="left"/>
    </w:pPr>
    <w:rPr>
      <w:rFonts w:eastAsia="黑体" w:cs="宋体"/>
      <w:sz w:val="28"/>
      <w:szCs w:val="20"/>
    </w:rPr>
  </w:style>
  <w:style w:type="paragraph" w:customStyle="1" w:styleId="856">
    <w:name w:val="Char Char Char Char Char Char1"/>
    <w:basedOn w:val="1"/>
    <w:autoRedefine/>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7">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8">
    <w:name w:val="Char Char1"/>
    <w:basedOn w:val="1"/>
    <w:autoRedefine/>
    <w:qFormat/>
    <w:uiPriority w:val="0"/>
    <w:pPr>
      <w:widowControl/>
      <w:spacing w:after="160" w:line="240" w:lineRule="exact"/>
      <w:jc w:val="left"/>
    </w:pPr>
    <w:rPr>
      <w:rFonts w:eastAsia="仿宋_GB2312"/>
      <w:sz w:val="28"/>
    </w:rPr>
  </w:style>
  <w:style w:type="paragraph" w:customStyle="1" w:styleId="859">
    <w:name w:val="Char21"/>
    <w:basedOn w:val="1"/>
    <w:autoRedefine/>
    <w:qFormat/>
    <w:uiPriority w:val="0"/>
    <w:pPr>
      <w:adjustRightInd/>
      <w:ind w:firstLine="200" w:firstLineChars="200"/>
    </w:pPr>
    <w:rPr>
      <w:rFonts w:ascii="仿宋_GB2312" w:eastAsia="仿宋_GB2312"/>
      <w:b/>
      <w:sz w:val="32"/>
      <w:szCs w:val="32"/>
    </w:rPr>
  </w:style>
  <w:style w:type="paragraph" w:customStyle="1" w:styleId="860">
    <w:name w:val="列表段落1"/>
    <w:basedOn w:val="1"/>
    <w:autoRedefine/>
    <w:qFormat/>
    <w:uiPriority w:val="34"/>
    <w:pPr>
      <w:adjustRightInd/>
      <w:ind w:right="238" w:firstLine="420"/>
    </w:pPr>
    <w:rPr>
      <w:rFonts w:ascii="Calibri" w:hAnsi="Calibri"/>
      <w:sz w:val="24"/>
    </w:rPr>
  </w:style>
  <w:style w:type="paragraph" w:customStyle="1" w:styleId="861">
    <w:name w:val="Char Char110"/>
    <w:basedOn w:val="1"/>
    <w:autoRedefine/>
    <w:qFormat/>
    <w:uiPriority w:val="6"/>
    <w:pPr>
      <w:spacing w:line="360" w:lineRule="auto"/>
    </w:pPr>
    <w:rPr>
      <w:rFonts w:ascii="Tahoma" w:hAnsi="Tahoma"/>
      <w:sz w:val="24"/>
      <w:szCs w:val="20"/>
    </w:rPr>
  </w:style>
  <w:style w:type="paragraph" w:customStyle="1" w:styleId="862">
    <w:name w:val="xl80"/>
    <w:basedOn w:val="1"/>
    <w:autoRedefine/>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3">
    <w:name w:val="Char Char11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864">
    <w:name w:val="表正文"/>
    <w:autoRedefine/>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5">
    <w:name w:val="浅色底纹 - 强调文字颜色 51"/>
    <w:autoRedefine/>
    <w:qFormat/>
    <w:uiPriority w:val="0"/>
    <w:rPr>
      <w:rFonts w:ascii="Times New Roman" w:hAnsi="Times New Roman" w:eastAsia="宋体" w:cs="Times New Roman"/>
      <w:kern w:val="2"/>
      <w:sz w:val="21"/>
      <w:szCs w:val="24"/>
      <w:lang w:val="en-US" w:eastAsia="zh-CN" w:bidi="ar-SA"/>
    </w:rPr>
  </w:style>
  <w:style w:type="paragraph" w:customStyle="1" w:styleId="866">
    <w:name w:val="Char Char Char Char Char Char Char Char Char Char Char Char1 Char2"/>
    <w:basedOn w:val="1"/>
    <w:autoRedefine/>
    <w:qFormat/>
    <w:uiPriority w:val="0"/>
    <w:rPr>
      <w:rFonts w:ascii="Tahoma" w:hAnsi="Tahoma" w:cs="仿宋_GB2312"/>
      <w:sz w:val="24"/>
      <w:szCs w:val="20"/>
    </w:rPr>
  </w:style>
  <w:style w:type="paragraph" w:customStyle="1" w:styleId="867">
    <w:name w:val="样式9"/>
    <w:basedOn w:val="1"/>
    <w:autoRedefine/>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8">
    <w:name w:val="Char Char281"/>
    <w:basedOn w:val="1"/>
    <w:autoRedefine/>
    <w:qFormat/>
    <w:uiPriority w:val="0"/>
    <w:pPr>
      <w:adjustRightInd/>
      <w:snapToGrid w:val="0"/>
      <w:spacing w:line="360" w:lineRule="auto"/>
    </w:pPr>
    <w:rPr>
      <w:rFonts w:ascii="Arial" w:hAnsi="Arial" w:eastAsia="黑体"/>
      <w:snapToGrid w:val="0"/>
      <w:kern w:val="0"/>
      <w:sz w:val="20"/>
      <w:szCs w:val="21"/>
    </w:rPr>
  </w:style>
  <w:style w:type="paragraph" w:customStyle="1" w:styleId="869">
    <w:name w:val="样式 列表编号 + 段后: 0.5 行"/>
    <w:basedOn w:val="14"/>
    <w:autoRedefine/>
    <w:qFormat/>
    <w:uiPriority w:val="2"/>
    <w:pPr>
      <w:tabs>
        <w:tab w:val="clear" w:pos="390"/>
        <w:tab w:val="clear" w:pos="454"/>
      </w:tabs>
      <w:spacing w:after="0"/>
      <w:ind w:left="840" w:hanging="420"/>
      <w:contextualSpacing/>
    </w:pPr>
    <w:rPr>
      <w:rFonts w:cs="宋体"/>
    </w:rPr>
  </w:style>
  <w:style w:type="paragraph" w:customStyle="1" w:styleId="870">
    <w:name w:val="Char Char Char Char Char Char Char Char Char"/>
    <w:basedOn w:val="1"/>
    <w:autoRedefine/>
    <w:qFormat/>
    <w:uiPriority w:val="0"/>
    <w:pPr>
      <w:adjustRightInd/>
      <w:ind w:firstLine="200" w:firstLineChars="200"/>
    </w:pPr>
    <w:rPr>
      <w:rFonts w:ascii="Tahoma" w:hAnsi="Tahoma"/>
      <w:sz w:val="24"/>
      <w:szCs w:val="20"/>
    </w:rPr>
  </w:style>
  <w:style w:type="paragraph" w:customStyle="1" w:styleId="871">
    <w:name w:val="_Style 12"/>
    <w:basedOn w:val="18"/>
    <w:autoRedefine/>
    <w:qFormat/>
    <w:uiPriority w:val="0"/>
    <w:pPr>
      <w:snapToGrid w:val="0"/>
      <w:spacing w:line="360" w:lineRule="auto"/>
    </w:pPr>
  </w:style>
  <w:style w:type="paragraph" w:customStyle="1" w:styleId="872">
    <w:name w:val="样式 首行缩进:  0 字符"/>
    <w:basedOn w:val="1"/>
    <w:autoRedefine/>
    <w:qFormat/>
    <w:uiPriority w:val="0"/>
    <w:pPr>
      <w:adjustRightInd/>
      <w:spacing w:line="360" w:lineRule="auto"/>
      <w:ind w:firstLine="200" w:firstLineChars="200"/>
    </w:pPr>
    <w:rPr>
      <w:rFonts w:ascii="Arial" w:hAnsi="Arial" w:cs="宋体"/>
      <w:sz w:val="24"/>
      <w:szCs w:val="20"/>
    </w:rPr>
  </w:style>
  <w:style w:type="paragraph" w:customStyle="1" w:styleId="873">
    <w:name w:val="Char1 Char Char Char6"/>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4">
    <w:name w:val="_Style 94"/>
    <w:basedOn w:val="1"/>
    <w:next w:val="256"/>
    <w:autoRedefine/>
    <w:qFormat/>
    <w:uiPriority w:val="34"/>
    <w:pPr>
      <w:adjustRightInd/>
      <w:spacing w:line="360" w:lineRule="auto"/>
      <w:ind w:firstLine="200" w:firstLineChars="200"/>
    </w:pPr>
    <w:rPr>
      <w:rFonts w:ascii="Calibri" w:hAnsi="Calibri"/>
      <w:sz w:val="28"/>
      <w:szCs w:val="20"/>
    </w:rPr>
  </w:style>
  <w:style w:type="paragraph" w:customStyle="1" w:styleId="875">
    <w:name w:val="方案正文"/>
    <w:basedOn w:val="1"/>
    <w:autoRedefine/>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6">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7">
    <w:name w:val="正文 A 主体"/>
    <w:basedOn w:val="1"/>
    <w:autoRedefine/>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8">
    <w:name w:val="3级标题"/>
    <w:basedOn w:val="670"/>
    <w:autoRedefine/>
    <w:qFormat/>
    <w:uiPriority w:val="0"/>
    <w:pPr>
      <w:outlineLvl w:val="2"/>
    </w:pPr>
  </w:style>
  <w:style w:type="paragraph" w:customStyle="1" w:styleId="879">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0">
    <w:name w:val="Char1 Char Char Char3"/>
    <w:basedOn w:val="1"/>
    <w:autoRedefine/>
    <w:qFormat/>
    <w:uiPriority w:val="0"/>
    <w:pPr>
      <w:adjustRightInd/>
      <w:ind w:firstLine="200" w:firstLineChars="200"/>
    </w:pPr>
    <w:rPr>
      <w:rFonts w:ascii="Tahoma" w:hAnsi="Tahoma"/>
      <w:sz w:val="24"/>
      <w:szCs w:val="20"/>
    </w:rPr>
  </w:style>
  <w:style w:type="paragraph" w:customStyle="1" w:styleId="881">
    <w:name w:val="GP正文(首行缩进)"/>
    <w:basedOn w:val="1"/>
    <w:autoRedefine/>
    <w:qFormat/>
    <w:uiPriority w:val="0"/>
    <w:pPr>
      <w:adjustRightInd/>
      <w:spacing w:line="360" w:lineRule="auto"/>
      <w:ind w:firstLine="200" w:firstLineChars="200"/>
    </w:pPr>
    <w:rPr>
      <w:rFonts w:eastAsia="仿宋_GB2312"/>
      <w:sz w:val="28"/>
      <w:szCs w:val="21"/>
    </w:rPr>
  </w:style>
  <w:style w:type="paragraph" w:customStyle="1" w:styleId="882">
    <w:name w:val="MM Empty"/>
    <w:basedOn w:val="1"/>
    <w:autoRedefine/>
    <w:qFormat/>
    <w:uiPriority w:val="0"/>
    <w:pPr>
      <w:adjustRightInd/>
    </w:pPr>
  </w:style>
  <w:style w:type="paragraph" w:customStyle="1" w:styleId="883">
    <w:name w:val="Char24"/>
    <w:basedOn w:val="1"/>
    <w:autoRedefine/>
    <w:qFormat/>
    <w:uiPriority w:val="0"/>
    <w:rPr>
      <w:rFonts w:ascii="仿宋_GB2312" w:eastAsia="仿宋_GB2312"/>
      <w:b/>
      <w:sz w:val="32"/>
      <w:szCs w:val="32"/>
    </w:rPr>
  </w:style>
  <w:style w:type="paragraph" w:customStyle="1" w:styleId="884">
    <w:name w:val="正文箭头"/>
    <w:basedOn w:val="536"/>
    <w:autoRedefine/>
    <w:qFormat/>
    <w:uiPriority w:val="0"/>
  </w:style>
  <w:style w:type="paragraph" w:customStyle="1" w:styleId="885">
    <w:name w:val="U_编号2"/>
    <w:basedOn w:val="1"/>
    <w:autoRedefine/>
    <w:qFormat/>
    <w:uiPriority w:val="0"/>
    <w:pPr>
      <w:tabs>
        <w:tab w:val="left" w:pos="785"/>
      </w:tabs>
      <w:adjustRightInd/>
      <w:spacing w:beforeLines="10" w:afterLines="10" w:line="300" w:lineRule="auto"/>
    </w:pPr>
    <w:rPr>
      <w:sz w:val="24"/>
    </w:rPr>
  </w:style>
  <w:style w:type="paragraph" w:customStyle="1" w:styleId="886">
    <w:name w:val="xl72"/>
    <w:basedOn w:val="1"/>
    <w:autoRedefine/>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7">
    <w:name w:val="trs_edito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8">
    <w:name w:val="标书标题3"/>
    <w:basedOn w:val="4"/>
    <w:autoRedefine/>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9">
    <w:name w:val="TOC 标题11"/>
    <w:basedOn w:val="3"/>
    <w:next w:val="1"/>
    <w:autoRedefine/>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0">
    <w:name w:val="_Style 1"/>
    <w:basedOn w:val="1"/>
    <w:autoRedefine/>
    <w:qFormat/>
    <w:uiPriority w:val="34"/>
    <w:pPr>
      <w:adjustRightInd/>
      <w:ind w:firstLine="420" w:firstLineChars="200"/>
    </w:pPr>
    <w:rPr>
      <w:rFonts w:eastAsia="仿宋_GB2312"/>
      <w:sz w:val="28"/>
    </w:rPr>
  </w:style>
  <w:style w:type="paragraph" w:customStyle="1" w:styleId="891">
    <w:name w:val="表格 内容"/>
    <w:basedOn w:val="727"/>
    <w:autoRedefine/>
    <w:qFormat/>
    <w:uiPriority w:val="0"/>
    <w:rPr>
      <w:b w:val="0"/>
      <w:sz w:val="20"/>
    </w:rPr>
  </w:style>
  <w:style w:type="paragraph" w:customStyle="1" w:styleId="892">
    <w:name w:val="正文首行缩进1"/>
    <w:basedOn w:val="23"/>
    <w:autoRedefine/>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3">
    <w:name w:val="数字标题5"/>
    <w:basedOn w:val="6"/>
    <w:next w:val="1"/>
    <w:autoRedefine/>
    <w:qFormat/>
    <w:uiPriority w:val="0"/>
    <w:pPr>
      <w:tabs>
        <w:tab w:val="left" w:pos="1080"/>
      </w:tabs>
      <w:ind w:left="1080" w:hanging="1080"/>
    </w:pPr>
  </w:style>
  <w:style w:type="paragraph" w:customStyle="1" w:styleId="894">
    <w:name w:val="数字标题1"/>
    <w:basedOn w:val="3"/>
    <w:next w:val="1"/>
    <w:autoRedefine/>
    <w:qFormat/>
    <w:uiPriority w:val="0"/>
    <w:pPr>
      <w:tabs>
        <w:tab w:val="left" w:pos="480"/>
      </w:tabs>
      <w:ind w:left="480" w:hanging="480"/>
    </w:pPr>
  </w:style>
  <w:style w:type="paragraph" w:customStyle="1" w:styleId="895">
    <w:name w:val="Char1 Char Char Char Char Char Char Char Char Char Char Char1 Char Char Char Char Char Char Char Char Char Char Char Char Char Char1 Char Char Char Char2"/>
    <w:basedOn w:val="1"/>
    <w:autoRedefine/>
    <w:qFormat/>
    <w:uiPriority w:val="0"/>
    <w:pPr>
      <w:spacing w:line="360" w:lineRule="auto"/>
    </w:pPr>
    <w:rPr>
      <w:kern w:val="0"/>
      <w:sz w:val="24"/>
      <w:szCs w:val="20"/>
    </w:rPr>
  </w:style>
  <w:style w:type="paragraph" w:customStyle="1" w:styleId="89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7">
    <w:name w:val="Body"/>
    <w:basedOn w:val="1"/>
    <w:autoRedefine/>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8">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899">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0">
    <w:name w:val="Bullet"/>
    <w:basedOn w:val="1"/>
    <w:autoRedefine/>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1">
    <w:name w:val="0"/>
    <w:basedOn w:val="1"/>
    <w:autoRedefine/>
    <w:qFormat/>
    <w:uiPriority w:val="0"/>
    <w:pPr>
      <w:widowControl/>
    </w:pPr>
    <w:rPr>
      <w:kern w:val="0"/>
      <w:sz w:val="24"/>
      <w:szCs w:val="20"/>
    </w:rPr>
  </w:style>
  <w:style w:type="paragraph" w:customStyle="1" w:styleId="902">
    <w:name w:val="Char Char113"/>
    <w:basedOn w:val="1"/>
    <w:autoRedefine/>
    <w:qFormat/>
    <w:uiPriority w:val="0"/>
    <w:pPr>
      <w:widowControl/>
      <w:spacing w:after="160" w:line="240" w:lineRule="exact"/>
      <w:jc w:val="left"/>
    </w:pPr>
    <w:rPr>
      <w:rFonts w:eastAsia="仿宋_GB2312"/>
      <w:sz w:val="28"/>
    </w:rPr>
  </w:style>
  <w:style w:type="paragraph" w:customStyle="1" w:styleId="90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4">
    <w:name w:val="_Style 8"/>
    <w:basedOn w:val="1"/>
    <w:autoRedefine/>
    <w:qFormat/>
    <w:uiPriority w:val="34"/>
    <w:pPr>
      <w:adjustRightInd/>
      <w:ind w:firstLine="420" w:firstLineChars="200"/>
    </w:pPr>
    <w:rPr>
      <w:rFonts w:eastAsia="仿宋_GB2312"/>
      <w:sz w:val="28"/>
    </w:rPr>
  </w:style>
  <w:style w:type="paragraph" w:customStyle="1" w:styleId="90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6">
    <w:name w:val="正文样式 首行缩进:  0.74 厘米"/>
    <w:basedOn w:val="1"/>
    <w:autoRedefine/>
    <w:qFormat/>
    <w:uiPriority w:val="0"/>
    <w:pPr>
      <w:adjustRightInd/>
      <w:spacing w:before="156" w:beforeLines="50" w:line="360" w:lineRule="auto"/>
      <w:ind w:firstLine="420"/>
    </w:pPr>
    <w:rPr>
      <w:rFonts w:cs="宋体"/>
      <w:sz w:val="24"/>
      <w:szCs w:val="20"/>
    </w:rPr>
  </w:style>
  <w:style w:type="paragraph" w:customStyle="1" w:styleId="907">
    <w:name w:val="xl2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8">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09">
    <w:name w:val="Char Char1 Char Char Char Char Char Char Char Char Char Char Char Char Char Char Char"/>
    <w:basedOn w:val="1"/>
    <w:autoRedefine/>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0">
    <w:name w:val="Char Char112"/>
    <w:basedOn w:val="1"/>
    <w:qFormat/>
    <w:uiPriority w:val="6"/>
    <w:pPr>
      <w:widowControl/>
      <w:spacing w:after="160" w:line="240" w:lineRule="exact"/>
      <w:jc w:val="left"/>
    </w:pPr>
    <w:rPr>
      <w:rFonts w:eastAsia="仿宋_GB2312"/>
      <w:sz w:val="28"/>
    </w:rPr>
  </w:style>
  <w:style w:type="paragraph" w:customStyle="1" w:styleId="911">
    <w:name w:val="正文 图"/>
    <w:basedOn w:val="441"/>
    <w:autoRedefine/>
    <w:qFormat/>
    <w:uiPriority w:val="0"/>
    <w:pPr>
      <w:adjustRightInd/>
      <w:spacing w:before="0"/>
      <w:ind w:firstLine="0"/>
      <w:jc w:val="center"/>
    </w:pPr>
    <w:rPr>
      <w:rFonts w:ascii="微软雅黑" w:hAnsi="微软雅黑"/>
    </w:rPr>
  </w:style>
  <w:style w:type="paragraph" w:customStyle="1" w:styleId="912">
    <w:name w:val="xl9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3">
    <w:name w:val="±íÑùÊ½"/>
    <w:basedOn w:val="1"/>
    <w:autoRedefine/>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4">
    <w:name w:val="Thf"/>
    <w:basedOn w:val="560"/>
    <w:autoRedefine/>
    <w:qFormat/>
    <w:uiPriority w:val="0"/>
    <w:pPr>
      <w:ind w:left="0"/>
    </w:pPr>
  </w:style>
  <w:style w:type="paragraph" w:customStyle="1" w:styleId="915">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6">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7">
    <w:name w:val="注释"/>
    <w:basedOn w:val="1"/>
    <w:autoRedefine/>
    <w:qFormat/>
    <w:uiPriority w:val="0"/>
    <w:pPr>
      <w:adjustRightInd/>
      <w:spacing w:line="360" w:lineRule="auto"/>
      <w:ind w:firstLine="480"/>
    </w:pPr>
    <w:rPr>
      <w:sz w:val="24"/>
    </w:rPr>
  </w:style>
  <w:style w:type="table" w:customStyle="1" w:styleId="918">
    <w:name w:val="网格型2"/>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9">
    <w:name w:val="网格型1"/>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0">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1">
    <w:name w:val="网格型3"/>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网格型4"/>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5"/>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4">
    <w:name w:val="列出段落111"/>
    <w:basedOn w:val="1"/>
    <w:qFormat/>
    <w:uiPriority w:val="34"/>
    <w:pPr>
      <w:ind w:firstLine="420" w:firstLineChars="200"/>
    </w:pPr>
  </w:style>
  <w:style w:type="character" w:customStyle="1" w:styleId="925">
    <w:name w:val="交叉引用"/>
    <w:autoRedefine/>
    <w:qFormat/>
    <w:uiPriority w:val="1"/>
    <w:rPr>
      <w:rFonts w:ascii="Arial" w:hAnsi="Arial" w:eastAsia="黑体"/>
      <w:snapToGrid w:val="0"/>
      <w:color w:val="0000FF"/>
      <w:kern w:val="0"/>
      <w:sz w:val="20"/>
      <w:szCs w:val="21"/>
      <w:u w:val="single"/>
      <w:lang w:val="en-US" w:eastAsia="zh-CN"/>
    </w:rPr>
  </w:style>
  <w:style w:type="character" w:customStyle="1" w:styleId="926">
    <w:name w:val="正文缩进 字符1"/>
    <w:autoRedefine/>
    <w:qFormat/>
    <w:uiPriority w:val="0"/>
    <w:rPr>
      <w:rFonts w:ascii="宋体" w:eastAsia="宋体"/>
      <w:snapToGrid w:val="0"/>
      <w:color w:val="000000"/>
      <w:kern w:val="28"/>
      <w:sz w:val="28"/>
      <w:lang w:val="en-US" w:eastAsia="zh-CN" w:bidi="ar-SA"/>
    </w:rPr>
  </w:style>
  <w:style w:type="character" w:customStyle="1" w:styleId="927">
    <w:name w:val="页脚 字符1"/>
    <w:autoRedefine/>
    <w:qFormat/>
    <w:locked/>
    <w:uiPriority w:val="99"/>
    <w:rPr>
      <w:kern w:val="2"/>
      <w:sz w:val="18"/>
      <w:szCs w:val="18"/>
    </w:rPr>
  </w:style>
  <w:style w:type="character" w:customStyle="1" w:styleId="928">
    <w:name w:val="页眉 字符1"/>
    <w:autoRedefine/>
    <w:qFormat/>
    <w:uiPriority w:val="99"/>
    <w:rPr>
      <w:kern w:val="2"/>
      <w:sz w:val="18"/>
      <w:szCs w:val="18"/>
    </w:rPr>
  </w:style>
  <w:style w:type="character" w:customStyle="1" w:styleId="929">
    <w:name w:val="尾注文本 字符"/>
    <w:link w:val="38"/>
    <w:autoRedefine/>
    <w:qFormat/>
    <w:uiPriority w:val="0"/>
    <w:rPr>
      <w:kern w:val="2"/>
      <w:sz w:val="21"/>
      <w:szCs w:val="24"/>
      <w:lang w:val="zh-CN"/>
    </w:rPr>
  </w:style>
  <w:style w:type="character" w:customStyle="1" w:styleId="930">
    <w:name w:val="无间隔 字符"/>
    <w:link w:val="481"/>
    <w:autoRedefine/>
    <w:qFormat/>
    <w:uiPriority w:val="99"/>
    <w:rPr>
      <w:kern w:val="2"/>
      <w:sz w:val="21"/>
      <w:szCs w:val="22"/>
    </w:rPr>
  </w:style>
  <w:style w:type="character" w:customStyle="1" w:styleId="931">
    <w:name w:val="标准文本 Char Char"/>
    <w:link w:val="932"/>
    <w:autoRedefine/>
    <w:qFormat/>
    <w:uiPriority w:val="0"/>
    <w:rPr>
      <w:rFonts w:cs="宋体"/>
      <w:kern w:val="2"/>
      <w:sz w:val="24"/>
    </w:rPr>
  </w:style>
  <w:style w:type="paragraph" w:customStyle="1" w:styleId="932">
    <w:name w:val="标准文本"/>
    <w:basedOn w:val="1"/>
    <w:link w:val="931"/>
    <w:autoRedefine/>
    <w:qFormat/>
    <w:uiPriority w:val="0"/>
    <w:pPr>
      <w:adjustRightInd/>
      <w:spacing w:line="360" w:lineRule="auto"/>
      <w:ind w:firstLine="480" w:firstLineChars="200"/>
    </w:pPr>
    <w:rPr>
      <w:rFonts w:cs="宋体"/>
      <w:sz w:val="24"/>
      <w:szCs w:val="20"/>
    </w:rPr>
  </w:style>
  <w:style w:type="character" w:customStyle="1" w:styleId="933">
    <w:name w:val="Char Char213"/>
    <w:autoRedefine/>
    <w:qFormat/>
    <w:uiPriority w:val="0"/>
    <w:rPr>
      <w:rFonts w:eastAsia="Century Gothic"/>
      <w:b/>
      <w:bCs/>
      <w:kern w:val="44"/>
      <w:sz w:val="32"/>
      <w:szCs w:val="44"/>
      <w:lang w:val="en-US" w:eastAsia="zh-CN" w:bidi="ar-SA"/>
    </w:rPr>
  </w:style>
  <w:style w:type="character" w:customStyle="1" w:styleId="934">
    <w:name w:val="apple-style-span"/>
    <w:autoRedefine/>
    <w:qFormat/>
    <w:uiPriority w:val="0"/>
    <w:rPr>
      <w:rFonts w:ascii="Arial" w:hAnsi="Arial" w:eastAsia="黑体" w:cs="Arial"/>
      <w:snapToGrid w:val="0"/>
      <w:kern w:val="0"/>
      <w:szCs w:val="21"/>
    </w:rPr>
  </w:style>
  <w:style w:type="character" w:customStyle="1" w:styleId="935">
    <w:name w:val="15"/>
    <w:autoRedefine/>
    <w:qFormat/>
    <w:uiPriority w:val="0"/>
    <w:rPr>
      <w:rFonts w:hint="default" w:ascii="Calibri" w:hAnsi="Calibri"/>
      <w:color w:val="0000FF"/>
      <w:u w:val="single"/>
    </w:rPr>
  </w:style>
  <w:style w:type="character" w:customStyle="1" w:styleId="936">
    <w:name w:val="16"/>
    <w:qFormat/>
    <w:uiPriority w:val="0"/>
    <w:rPr>
      <w:rFonts w:hint="eastAsia" w:ascii="宋体" w:hAnsi="宋体" w:eastAsia="宋体"/>
      <w:color w:val="000000"/>
      <w:sz w:val="20"/>
      <w:szCs w:val="20"/>
    </w:rPr>
  </w:style>
  <w:style w:type="character" w:customStyle="1" w:styleId="937">
    <w:name w:val="edui-unclickable"/>
    <w:autoRedefine/>
    <w:qFormat/>
    <w:uiPriority w:val="0"/>
    <w:rPr>
      <w:color w:val="808080"/>
    </w:rPr>
  </w:style>
  <w:style w:type="character" w:customStyle="1" w:styleId="938">
    <w:name w:val="tpc_content1"/>
    <w:autoRedefine/>
    <w:qFormat/>
    <w:uiPriority w:val="0"/>
    <w:rPr>
      <w:sz w:val="20"/>
      <w:szCs w:val="20"/>
    </w:rPr>
  </w:style>
  <w:style w:type="character" w:customStyle="1" w:styleId="939">
    <w:name w:val="正文文本缩进 字符"/>
    <w:autoRedefine/>
    <w:qFormat/>
    <w:uiPriority w:val="0"/>
    <w:rPr>
      <w:rFonts w:ascii="Century Gothic" w:hAnsi="Century Gothic" w:eastAsia="Century Gothic"/>
      <w:kern w:val="2"/>
      <w:sz w:val="24"/>
      <w:lang w:val="en-US" w:eastAsia="zh-CN" w:bidi="ar-SA"/>
    </w:rPr>
  </w:style>
  <w:style w:type="character" w:customStyle="1" w:styleId="940">
    <w:name w:val="正文文本 2 字符"/>
    <w:autoRedefine/>
    <w:qFormat/>
    <w:uiPriority w:val="0"/>
    <w:rPr>
      <w:rFonts w:ascii="Arial" w:hAnsi="Arial" w:eastAsia="宋体"/>
      <w:kern w:val="2"/>
      <w:sz w:val="24"/>
      <w:szCs w:val="24"/>
      <w:lang w:val="en-US" w:eastAsia="zh-CN" w:bidi="ar-SA"/>
    </w:rPr>
  </w:style>
  <w:style w:type="character" w:customStyle="1" w:styleId="941">
    <w:name w:val="edui-clickable2"/>
    <w:qFormat/>
    <w:uiPriority w:val="0"/>
    <w:rPr>
      <w:color w:val="0000FF"/>
      <w:u w:val="single"/>
    </w:rPr>
  </w:style>
  <w:style w:type="character" w:customStyle="1" w:styleId="942">
    <w:name w:val="style1"/>
    <w:autoRedefine/>
    <w:qFormat/>
    <w:uiPriority w:val="0"/>
    <w:rPr>
      <w:rFonts w:ascii="Arial" w:hAnsi="Arial" w:eastAsia="黑体" w:cs="Arial"/>
      <w:snapToGrid w:val="0"/>
      <w:kern w:val="0"/>
      <w:szCs w:val="21"/>
    </w:rPr>
  </w:style>
  <w:style w:type="character" w:customStyle="1" w:styleId="943">
    <w:name w:val="zbggtop11 style5"/>
    <w:qFormat/>
    <w:uiPriority w:val="0"/>
    <w:rPr>
      <w:rFonts w:ascii="Arial" w:hAnsi="Arial" w:eastAsia="黑体" w:cs="Arial"/>
      <w:snapToGrid w:val="0"/>
      <w:kern w:val="0"/>
      <w:szCs w:val="21"/>
    </w:rPr>
  </w:style>
  <w:style w:type="character" w:customStyle="1" w:styleId="944">
    <w:name w:val="纯文本 Char Char Char Char Char Char Char Char Char Char Char Char Char Char Char"/>
    <w:autoRedefine/>
    <w:qFormat/>
    <w:uiPriority w:val="0"/>
    <w:rPr>
      <w:rFonts w:ascii="宋体" w:hAnsi="Courier New" w:eastAsia="宋体" w:cs="Courier New"/>
      <w:snapToGrid w:val="0"/>
      <w:sz w:val="18"/>
      <w:szCs w:val="21"/>
      <w:lang w:val="en-US" w:eastAsia="zh-CN" w:bidi="ar-SA"/>
    </w:rPr>
  </w:style>
  <w:style w:type="character" w:customStyle="1" w:styleId="945">
    <w:name w:val="bulletintext1"/>
    <w:qFormat/>
    <w:uiPriority w:val="0"/>
    <w:rPr>
      <w:color w:val="000000"/>
      <w:sz w:val="18"/>
    </w:rPr>
  </w:style>
  <w:style w:type="paragraph" w:customStyle="1" w:styleId="946">
    <w:name w:val="_Style 947"/>
    <w:basedOn w:val="1"/>
    <w:next w:val="256"/>
    <w:autoRedefine/>
    <w:qFormat/>
    <w:uiPriority w:val="34"/>
    <w:pPr>
      <w:adjustRightInd/>
      <w:ind w:firstLine="420" w:firstLineChars="200"/>
    </w:pPr>
  </w:style>
  <w:style w:type="paragraph" w:customStyle="1" w:styleId="947">
    <w:name w:val="正文5"/>
    <w:autoRedefine/>
    <w:qFormat/>
    <w:uiPriority w:val="0"/>
    <w:pPr>
      <w:jc w:val="both"/>
    </w:pPr>
    <w:rPr>
      <w:rFonts w:ascii="Times New Roman" w:hAnsi="Times New Roman" w:eastAsia="宋体" w:cs="宋体"/>
      <w:kern w:val="2"/>
      <w:sz w:val="21"/>
      <w:szCs w:val="21"/>
      <w:lang w:val="en-US" w:eastAsia="zh-CN" w:bidi="ar-SA"/>
    </w:rPr>
  </w:style>
  <w:style w:type="paragraph" w:customStyle="1" w:styleId="948">
    <w:name w:val="纯文本2"/>
    <w:basedOn w:val="1"/>
    <w:autoRedefine/>
    <w:qFormat/>
    <w:uiPriority w:val="0"/>
    <w:pPr>
      <w:adjustRightInd/>
      <w:snapToGrid w:val="0"/>
      <w:jc w:val="left"/>
    </w:pPr>
    <w:rPr>
      <w:rFonts w:ascii="Century Gothic" w:hAnsi="楷体_GB2312" w:eastAsia="Century Gothic"/>
      <w:szCs w:val="20"/>
    </w:rPr>
  </w:style>
  <w:style w:type="paragraph" w:customStyle="1" w:styleId="949">
    <w:name w:val="*Body 1"/>
    <w:autoRedefine/>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0">
    <w:name w:val="font1"/>
    <w:basedOn w:val="1"/>
    <w:autoRedefine/>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1">
    <w:name w:val="节"/>
    <w:basedOn w:val="2"/>
    <w:autoRedefine/>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2">
    <w:name w:val="Blockquote"/>
    <w:basedOn w:val="1"/>
    <w:autoRedefine/>
    <w:qFormat/>
    <w:uiPriority w:val="0"/>
    <w:pPr>
      <w:autoSpaceDE w:val="0"/>
      <w:autoSpaceDN w:val="0"/>
      <w:spacing w:before="100" w:after="100"/>
      <w:ind w:left="360" w:right="360"/>
      <w:jc w:val="left"/>
    </w:pPr>
    <w:rPr>
      <w:kern w:val="0"/>
      <w:sz w:val="24"/>
      <w:szCs w:val="20"/>
    </w:rPr>
  </w:style>
  <w:style w:type="paragraph" w:customStyle="1" w:styleId="953">
    <w:name w:val="p1"/>
    <w:basedOn w:val="1"/>
    <w:qFormat/>
    <w:uiPriority w:val="0"/>
    <w:pPr>
      <w:widowControl/>
      <w:adjustRightInd/>
      <w:jc w:val="left"/>
    </w:pPr>
    <w:rPr>
      <w:rFonts w:ascii=".PingFang SC" w:eastAsia=".PingFang SC"/>
      <w:color w:val="454545"/>
      <w:kern w:val="0"/>
      <w:sz w:val="18"/>
      <w:szCs w:val="18"/>
    </w:rPr>
  </w:style>
  <w:style w:type="paragraph" w:customStyle="1" w:styleId="954">
    <w:name w:val="Table Paragraph"/>
    <w:basedOn w:val="1"/>
    <w:autoRedefine/>
    <w:qFormat/>
    <w:uiPriority w:val="0"/>
    <w:pPr>
      <w:adjustRightInd/>
      <w:jc w:val="left"/>
    </w:pPr>
    <w:rPr>
      <w:rFonts w:ascii="Calibri" w:hAnsi="Calibri"/>
      <w:kern w:val="0"/>
      <w:sz w:val="22"/>
      <w:szCs w:val="22"/>
      <w:lang w:eastAsia="en-US"/>
    </w:rPr>
  </w:style>
  <w:style w:type="paragraph" w:customStyle="1" w:styleId="95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6">
    <w:name w:val="xl22"/>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7">
    <w:name w:val="text-tag"/>
    <w:basedOn w:val="1"/>
    <w:autoRedefine/>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8">
    <w:name w:val="ksfind_class_select1"/>
    <w:basedOn w:val="69"/>
    <w:qFormat/>
    <w:uiPriority w:val="0"/>
    <w:rPr>
      <w:color w:val="000000"/>
      <w:shd w:val="clear" w:color="auto" w:fill="EFD200"/>
    </w:rPr>
  </w:style>
  <w:style w:type="character" w:customStyle="1" w:styleId="959">
    <w:name w:val="font71"/>
    <w:autoRedefine/>
    <w:qFormat/>
    <w:uiPriority w:val="0"/>
    <w:rPr>
      <w:rFonts w:hint="eastAsia" w:ascii="宋体" w:hAnsi="宋体" w:eastAsia="宋体" w:cs="宋体"/>
      <w:color w:val="000000"/>
      <w:sz w:val="22"/>
      <w:szCs w:val="22"/>
      <w:u w:val="none"/>
    </w:rPr>
  </w:style>
  <w:style w:type="character" w:customStyle="1" w:styleId="960">
    <w:name w:val="font91"/>
    <w:autoRedefine/>
    <w:qFormat/>
    <w:uiPriority w:val="0"/>
    <w:rPr>
      <w:rFonts w:hint="eastAsia" w:ascii="仿宋" w:hAnsi="仿宋" w:eastAsia="仿宋" w:cs="仿宋"/>
      <w:color w:val="000000"/>
      <w:sz w:val="22"/>
      <w:szCs w:val="22"/>
      <w:u w:val="none"/>
    </w:rPr>
  </w:style>
  <w:style w:type="paragraph" w:customStyle="1" w:styleId="961">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2">
    <w:name w:val="正文空2字"/>
    <w:basedOn w:val="963"/>
    <w:autoRedefine/>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963">
    <w:name w:val="左对齐正文"/>
    <w:autoRedefine/>
    <w:qFormat/>
    <w:uiPriority w:val="99"/>
    <w:rPr>
      <w:rFonts w:ascii="Calibri" w:hAnsi="Calibri" w:eastAsia="仿宋_GB2312" w:cs="Calibri"/>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16A71F-541C-4E75-B4DD-EA6FF864E679}">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90</Pages>
  <Words>8345</Words>
  <Characters>47569</Characters>
  <Lines>396</Lines>
  <Paragraphs>111</Paragraphs>
  <TotalTime>410</TotalTime>
  <ScaleCrop>false</ScaleCrop>
  <LinksUpToDate>false</LinksUpToDate>
  <CharactersWithSpaces>55803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2021-07-30T00:22:00Z</dcterms:created>
  <dc:creator>玥</dc:creator>
  <cp:lastModifiedBy>郭笑双</cp:lastModifiedBy>
  <cp:lastPrinted>2024-06-13T08:36:00Z</cp:lastPrinted>
  <dcterms:modified xsi:type="dcterms:W3CDTF">2024-06-21T08:16:14Z</dcterms:modified>
  <dc:title>杭州市市民卡扩大发卡工程</dc:title>
  <cp:revision>382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8551AC51E977493AA5181A223087C480</vt:lpwstr>
  </property>
</Properties>
</file>