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bidi w:val="0"/>
        <w:spacing w:before="0" w:beforeAutospacing="0" w:after="0" w:afterAutospacing="0" w:line="15" w:lineRule="atLeast"/>
        <w:ind w:right="0"/>
        <w:jc w:val="both"/>
        <w:rPr>
          <w:rFonts w:hint="eastAsia" w:ascii="CESI仿宋-GB2312" w:hAnsi="CESI仿宋-GB2312" w:eastAsia="CESI仿宋-GB2312" w:cs="CESI仿宋-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bidi w:val="0"/>
        <w:spacing w:before="0" w:beforeAutospacing="0" w:after="0" w:afterAutospacing="0" w:line="15" w:lineRule="atLeast"/>
        <w:ind w:right="0"/>
        <w:jc w:val="both"/>
        <w:rPr>
          <w:rFonts w:hint="default" w:ascii="CESI仿宋-GB2312" w:hAnsi="CESI仿宋-GB2312" w:eastAsia="CESI仿宋-GB2312" w:cs="CESI仿宋-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关于支持大规模设备更新和消费品以旧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换新强化土地要素保障若干政策措施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6"/>
          <w:szCs w:val="36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为贯彻落实国务院《推动大规模设备更新和消费品以旧换新行动方案》和《浙江省推动大规模设备更新和消费品以旧换新若干举措》，进一步加大资源要素保障支持力度，打好政策组合拳，现就支持大规模设备更新和消费品以旧换新（以下简称“两新”）强化土地要素保障提出若干政策措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一、强化规划空间保障。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国土空间规划中优化公共基础设施用地布局，统筹垃圾分类收集、中转贮存及再生资源回收等公用设施建设，结合行业主管部门制订的配建标准合理确定用地规模。对达不到相关公共基础设施配建要求的地区，应创造条件保障合理空间需求，推动项目妥善选址落位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二、支持在城镇开发边界外选址布局。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在符合用地类型和规模管控的前提下，对有特定选址要求的垃圾分类收集、中转贮存及再生资源回收等公用设施新增建设用地，允许在城镇开发边界外布局，并纳入国土空间规划“一张图”严格实施监管。所涉规划新增城镇建设用地规模，需相应调减城镇开发边界内规划新增城镇建设用地规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三、强化用地计划保障。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支持“两新”项目积极申报国家和省级重大项目，对纳入国家重大项目清单的，争取国家应保尽保；对省政府确定的重大项目用地，在跨省增减挂钩指标安排上优先给予支持；对纳入省重大产业项目库的优先兑现用地指标；对其他项目，由各地统筹新增建设用地和存量土地资源，有效保障项目落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四、优化土地供应保障。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加强项目用地供需对接，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结合行业主管部门“两新”项目用地排摸，纳入土地供应计划，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保障合理用地需求。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优先做好垃圾分类收集、中转贮存及再生资源回收设施建设项目用地保障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加快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土地储备必要的前期开发，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对符合划拨用地目录的项目用地，可采取划拨方式供地；对非经营性用地只有一个意向用地者的，可按照协议方式出让（租赁）；对需招拍挂出让的，按照准公共产品的定位，合理确定出让底价，原则上出让底价应低于同类地段同类性质的供地价格，有效降低项目用地成本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五、挖掘存量空间资源。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鼓励各地利用存量房产、土地资源用于“两新”项目建设，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支持现有项目进行“零土地”技改，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支持各地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探索对存量建筑实施用途转换的方法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土地使用权人申请改变存量土地用于“两新”项目建设，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在符合规划、确保安全的前提下，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依法办理土地用途改变手续。大力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"/>
        </w:rPr>
        <w:t>推进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低效用地再开发，优化规划布局，加强空间治理，补齐公共基础设施的短板，提高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“两新”项目用地配置精准性。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六、深化增值化服务。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对标营商环境优化提升“一号改革工程”的要求，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推进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拿地“一类事”、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规划用地“多验合一”等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" w:eastAsia="zh-CN" w:bidi="ar"/>
        </w:rPr>
        <w:t>集成改革，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优化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用地规划许可、土地交易一键退保证金、不动产登记等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服务，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多举措优化提升土地市场营商环境，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强化建设用地全过程管理。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80" w:lineRule="exact"/>
        <w:ind w:left="0" w:leftChars="0" w:firstLine="64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七、有效承接国家政策。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加强上下联动，有效承接国家制定实施的自然资源要素保障相关配套政策，推动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“两新”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" w:eastAsia="zh-CN" w:bidi="ar"/>
        </w:rPr>
        <w:t>项目落地实施。</w:t>
      </w:r>
    </w:p>
    <w:p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本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措施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自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2024年6月7日起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"/>
        </w:rPr>
        <w:t>施行，有效期5年。执行过程中若遇国家政策调整，按照新规定执行。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jk5NTcwNWY1ZmE2ZDQxNTdhYjNhNDliZGM5YTIifQ=="/>
  </w:docVars>
  <w:rsids>
    <w:rsidRoot w:val="73C56CAC"/>
    <w:rsid w:val="501778F7"/>
    <w:rsid w:val="73C5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szCs w:val="32"/>
    </w:rPr>
  </w:style>
  <w:style w:type="paragraph" w:styleId="5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snapToGrid w:val="0"/>
      <w:spacing w:line="640" w:lineRule="exact"/>
      <w:ind w:firstLine="705"/>
    </w:pPr>
    <w:rPr>
      <w:rFonts w:ascii="仿宋_GB2312"/>
      <w:color w:val="000000"/>
      <w:sz w:val="36"/>
      <w:szCs w:val="36"/>
    </w:rPr>
  </w:style>
  <w:style w:type="character" w:styleId="10">
    <w:name w:val="page number"/>
    <w:basedOn w:val="9"/>
    <w:uiPriority w:val="0"/>
  </w:style>
  <w:style w:type="paragraph" w:customStyle="1" w:styleId="11">
    <w:name w:val=" Char Char Char Char Char Char Char Char Char Char Char Char Char Char Char Char Char Char Char Char Char Char"/>
    <w:basedOn w:val="1"/>
    <w:qFormat/>
    <w:uiPriority w:val="0"/>
    <w:pPr>
      <w:tabs>
        <w:tab w:val="left" w:pos="720"/>
      </w:tabs>
      <w:ind w:left="720" w:hanging="72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2024-05-27T04:10:00Z</dcterms:created>
  <dc:creator>hanweb</dc:creator>
  <cp:lastModifiedBy>hanweb</cp:lastModifiedBy>
  <dcterms:modified xsi:type="dcterms:W3CDTF">2024-05-27T04:11:23Z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248D04CF6BC7460BA6AEAFE41A4A8170_11</vt:lpwstr>
  </property>
</Properties>
</file>