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jc w:val="center"/>
        <w:rPr>
          <w:rFonts w:hint="eastAsia" w:asciiTheme="majorEastAsia" w:hAnsiTheme="majorEastAsia" w:eastAsiaTheme="majorEastAsia" w:cstheme="majorEastAsia"/>
          <w:i w:val="0"/>
          <w:caps w:val="0"/>
          <w:color w:val="000000"/>
          <w:spacing w:val="0"/>
          <w:sz w:val="28"/>
          <w:szCs w:val="28"/>
        </w:rPr>
      </w:pPr>
      <w:r>
        <w:rPr>
          <w:rFonts w:hint="eastAsia" w:asciiTheme="majorEastAsia" w:hAnsiTheme="majorEastAsia" w:eastAsiaTheme="majorEastAsia" w:cstheme="majorEastAsia"/>
          <w:i w:val="0"/>
          <w:caps w:val="0"/>
          <w:color w:val="000000"/>
          <w:spacing w:val="0"/>
          <w:sz w:val="28"/>
          <w:szCs w:val="28"/>
        </w:rPr>
        <w:t>杭州市新世纪“131”优秀中青年人才培养计划实施方案</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根据市委八届五次、六次全会和全市技术创新大会精神，为紧密配合实施“一号工程”，建设“天堂硅谷”，落实杭州市新世纪人才工程的目标任务，特制订杭州市新世纪“131”优秀中青年人才培养计划实施方案。</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bookmarkStart w:id="0" w:name="_GoBack"/>
      <w:bookmarkEnd w:id="0"/>
      <w:r>
        <w:rPr>
          <w:rFonts w:hint="eastAsia" w:ascii="黑体" w:hAnsi="黑体" w:eastAsia="黑体" w:cs="黑体"/>
          <w:i w:val="0"/>
          <w:caps w:val="0"/>
          <w:color w:val="000000"/>
          <w:spacing w:val="0"/>
          <w:sz w:val="24"/>
          <w:szCs w:val="24"/>
        </w:rPr>
        <w:t>指 导 思 想</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制订杭州市新世纪“131”优秀中青年人才培养计划实施方案的指导思想是：紧紧围绕我市建设以“两港三区”为重点的“天堂硅谷”和提前基本实现现代化的奋斗目标，以及“结构优化、开放带动、科教兴市、城市化、可持续发展”五大战略，在已基本实现“跨世纪科技人才工程”各项目标的基础上，根据杭州市新世纪人才工程的总体目标，通过深化改革，创新机制，调整政策，加大力度，建设一支规模宏大、素质优良、结构合理、效率和管理水平处于全省领先地位，部分达到全国先进水平的人才队伍，把杭州建成全省乃至全国的人才高地之一。</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培 养 目 标</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按三个层次选拔和培养45岁左右的新世纪优秀中青年人才1400名（包括一定数量的优秀中青年领导干部）。其中第一层次：100名45岁左右的在国内或省内居领先水平的学术技术带头人；第二层次：300名40岁以下的后备学术技术带头人；第三层次：1000名40岁左右的优秀专业技术骨干。</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131”优秀中青年人才培养计划与国家“十五”计划以及杭州5年发展目标同步实施，分三个阶段进行：第一阶段（2001年）为启动阶段。主要任务是层层动员，统一思想，制定并落实有关培养措施，选拔确定部分培养人选，开始实施培养。第二阶段（2002年至2004年）为全面选拔、培养阶段。按培养计划完成选拔任务，并通过各项培养措施，使大部分培养人选的水平接近培养目标。第三阶段（2005年）为全面考核验收完成阶段。年初，通过考核找出差距，采取措施加大培养力度，全面完成培养目标，搞好年底验收。</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选 拔 工 作</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一、选拔原则</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1、培养人选在全市生产、科研、教育、卫生等领域优秀专业技术人员中选拔产生。</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2、培养人选的选拔，应着眼于杭州国民经济发展和产业结构调整的需要，结合实施建设以“两港三区”为重点的“天堂硅谷”的发展战略，重点放在“十五”期间我市主要产业、新兴行业和重点学科上。</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3、培养人选的选拔，应公开条件、公平竞争、公正选拔。</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4、我市“跨世纪科技人才工程”培养对象，通过“人才工程”验收合格者，可优先进入“131”优秀中青年人才培养计划相应的层次，继续接受培养。</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二、选拔条件</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1、基本条件：思想政治素质好，热爱祖国，有强烈的事业心和奉献精神，有良好的团队合作精神，一般应具有高级职称或大学本科毕业以上学历，掌握一门以上外语，具有翻译本专业外文资料的能力和熟练的计算机应用能力。</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2、各培养层次具体条件：</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“131”优秀中青年人才培养计划推荐培养人选，除符合上述基本条件外，还应分别符合以下各层次的具体条件：</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第一层次人选：年龄在45岁左右。在本学科领域内，有坚实的理论基础和系统的专业知识，掌握本学科国内外科技现状和发展趋势。有很强的科技开拓能力和攻关能力，曾作为主要成员承担国家、省、市的重点科技项目，或获得省（部）级以上科技进步奖、新产品奖等奖励，或获得市级以上有突出贡献的优秀科技工作者称号，或已被上级有关部门列为省、部级学术技术带头人，所承担的科技成果产业化程度高、前景好。</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第二层次人选：年龄一般在40岁以下。能够系统掌握本学科的理论基础和专业知识，了解本学科国内外科技现状和发展趋势。有较强的科技开拓和攻关能力，曾承担过市级以上重点科技项目，或获得市以上科技进步奖，或获得市优秀科技工作者称号，或已被列为市级以上有关部门学术技术带头人，所参加研发的科技成果市场前景好。</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第三层次人选：年龄在40岁左右。掌握本学科专业知识，了解本学科国内外科技动态，具有科技攻关能力，曾参加市级有关部门的重点科技项目，或获得市科技进步三、四等奖，或获得市有关部门的科技奖励。</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对业绩突出的杰出中青年人才，也可不受以上条件限制直接破格选拔。</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三、选拔程序</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1、培养人选的选拔，采取组织推荐和个人自荐相结合的办法。所在单位根据选拔的原则和条件，择优推荐，并填写《优秀中青年人才培养人选推荐表》，附有关材料，报市主管部门或单位所在区、县（市）人事局，抄报同级组织部门。</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2、市属各部门和各区、县（市）人事局在基层推荐的基础上，组织有关专家对推荐人选进行评议，划分层次，列出人选的推荐顺序，报市人事局并抄报市委组织部。</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3、市人事局对全体推荐人选提出初审意见，提交“市新世纪人才工程协调小组”审定。</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4、经确定的培养人选名单由市人事局发文公布，报市知识分子工作领导小组备案。</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培 养 措 施</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一、坚持在实践中重点培养。要结合生产科研实际，创造条件，鼓励和支持培养人选承担重点科研项目和担任技术或生产领导职务，并为他们配备必要的助手和工作人员，在实践中提高他们的科研水平和经营管理能力。要把培养和造就一支懂技术、善经营的复合型人才队伍作为培养工作的重点。</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二、切实增加人才培养资金的投入。建立和健全以培养人选所在单位投入为主，主管部门积极投入，各级政府适当投入，社会各方捐助的多元化投入机制。投入的资金主要用于培养人选的科研活动、接受继续教育、进修深造、参加高层次的学术技术交流考察活动等。</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131”优秀中青年人才培养计划实施期间，一、二、三层次培养人选每人培养经费要分别达到15万元、10万元和5万元。预计培养1400名优秀中青年人才5年共需投入培养资金9500万元。其中市政府对第一层次人选给予重点支持，人均补贴5万元；对第二层次人选给予必要支持，人均补贴2万元。市政府投入培养经费共计1100万元。其余培养经费由人选所在单位、主管部门、各级政府共同按计划及时配套投入。培养资金的列支渠道，企业在“管理费用——技术开发费”科目中列支，事业单位在“其他费用”或“事业发展基金”科目中列支，主管部门在单位的预算外资金中予以解决。</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三、加快知识更新，提高知识水平。积极组织培养人选参加国内外高校的各类研修班或带职攻读学位，提高他们的知识水平。通过各种途径，保证全体培养人选每年人均受训一次。在5年内保证一层次的培养人选出国培训、考察或参加高层次的学术技术交流活动一至二次。对二、三层次人选也应创造条件，组织他们参加国内外各种有关的学术活动。帮助培养人选开阔眼界，拓宽思路，加快知识更新，提高科研水平和经营管理水平。</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四、采取措施，优先改善培养人选的工作、生活条件。各地、各部门特别是培养人选所在单位要热忱为他们创造良好的工作、科研环境和生活条件。要改革分配和奖励制度。进一步加大优秀中青年人才享受政府特殊津贴和国家有特殊贡献中青年专家奖励的比重。对第一、二层次的培养人选实行医疗保健卡制度，享受二级（市局级）医疗保健待遇。</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五、充分发挥中老年专家在人才培养工作中的作用。对承担人才培养任务的高级专家，经批准，可延长离退休时间。</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考 核 和 管 理</w:t>
      </w:r>
    </w:p>
    <w:p>
      <w:pPr>
        <w:pStyle w:val="2"/>
        <w:keepNext w:val="0"/>
        <w:keepLines w:val="0"/>
        <w:widowControl/>
        <w:suppressLineNumbers w:val="0"/>
        <w:spacing w:before="0" w:beforeAutospacing="0" w:after="0" w:afterAutospacing="0" w:line="420" w:lineRule="atLeast"/>
        <w:ind w:left="0" w:right="0" w:firstLine="420"/>
        <w:jc w:val="center"/>
        <w:rPr>
          <w:rFonts w:hint="eastAsia" w:ascii="黑体" w:hAnsi="黑体" w:eastAsia="黑体" w:cs="黑体"/>
          <w:i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一、管理体系</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凡有培养人选的单位，都要建立和完善培养优秀中青年人才的管理体系，明确人选培养目标，制订培养目标体系及其各项指标。既要有整体培养计划，又要有年度或分阶段培养目标的具体计划。自上而下、分层次地确保人选培养工作有效、有序地进行。</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二、考核制度</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对培养人选应定期进行考核，全面考核培养人选的德、能、勤、绩，重点是工作实绩和业务能力。对获得资助资金的培养人选，要考核资助项目的完成情况。考核工作每年进行一次。考核情况存入培养人选的档案。第一层次培养人选的考核情况上报市人事局汇总。</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要建立优胜劣汰的机制。根据考核结果，对于不符合条件的人选，应及时予以调整。</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三、培养和管理的分工</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对1400名培养人选实行分级管理。具体分工如下：</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市人事局：负责制订和实施有关制度与政策，进行综合指导、协调、检查与督促。会同主管部门负责对第一层次培养人选进行管理；协助主管部门抓好第二、三层次培养人选的管理工作。</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有关区、县（市）和市属各主管部门：重点抓好本地本部门第一层次人选的培养和管理工作，协助基层单位做好第二、三层次人选的培养和管理工作。</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基层单位：具体负责本单位一、二、三层次人选的培养和管理工作。</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有关优秀中青年领导干部的推荐、培养和管理实施方案，由市委组织部另行制订。</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四、人选培养结果的评估</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培养人选经过规定期限的培养后，有否达到所必须具备的条件和水平，应进行科学的评估。</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评估内容和标准：评估内容包括思想素质、知识结构、能力水平、科技成果、经济和社会效益等五个方面。评估标准由各有关主管部门会同专家学者，在市人事局指导下共同研究制订。对于同一技术领域或不同技术领域中从事科学研究、技术开发和技术推广应用的培养人选以及不同行业不同类型企事业单位的经营管理者，应有不同的评估标准。制订评估标准遵循定性与定量相结合和客观、可行、全面的原则。评估结果分为三个档次：符合、基本符合、不符合。</w:t>
      </w:r>
    </w:p>
    <w:p>
      <w:pPr>
        <w:pStyle w:val="2"/>
        <w:keepNext w:val="0"/>
        <w:keepLines w:val="0"/>
        <w:widowControl/>
        <w:suppressLineNumbers w:val="0"/>
        <w:spacing w:before="0" w:beforeAutospacing="0" w:after="0" w:afterAutospacing="0" w:line="420" w:lineRule="atLeast"/>
        <w:ind w:left="0" w:right="0" w:firstLine="420"/>
        <w:rPr>
          <w:rFonts w:hint="default" w:ascii="Arial" w:hAnsi="Arial" w:eastAsia="sans-serif" w:cs="Arial"/>
          <w:i w:val="0"/>
          <w:caps w:val="0"/>
          <w:color w:val="000000"/>
          <w:spacing w:val="0"/>
          <w:sz w:val="24"/>
          <w:szCs w:val="24"/>
        </w:rPr>
      </w:pPr>
      <w:r>
        <w:rPr>
          <w:rFonts w:hint="default" w:ascii="Arial" w:hAnsi="Arial" w:eastAsia="sans-serif" w:cs="Arial"/>
          <w:i w:val="0"/>
          <w:caps w:val="0"/>
          <w:color w:val="000000"/>
          <w:spacing w:val="0"/>
          <w:sz w:val="24"/>
          <w:szCs w:val="24"/>
        </w:rPr>
        <w:t>培养结果的评估工作，由市人事局组织，市“新世纪人才工程协调小组”成员单位参加，评审结果专题报市政府。</w:t>
      </w:r>
    </w:p>
    <w:p>
      <w:pPr>
        <w:rPr>
          <w:rFonts w:hint="default"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72368"/>
    <w:rsid w:val="41A46AF3"/>
    <w:rsid w:val="6CBE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TLL440</dc:creator>
  <cp:lastModifiedBy>TLL440</cp:lastModifiedBy>
  <dcterms:modified xsi:type="dcterms:W3CDTF">2019-07-11T05:25:21Z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