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color w:val="000000" w:themeColor="text1"/>
          <w:sz w:val="44"/>
          <w:szCs w:val="44"/>
          <w:lang w:val="en-US" w:eastAsia="zh-CN"/>
          <w14:textFill>
            <w14:solidFill>
              <w14:schemeClr w14:val="tx1"/>
            </w14:solidFill>
          </w14:textFill>
        </w:rPr>
      </w:pPr>
      <w:bookmarkStart w:id="0" w:name="_GoBack"/>
      <w:r>
        <w:rPr>
          <w:rFonts w:hint="eastAsia" w:asciiTheme="majorEastAsia" w:hAnsiTheme="majorEastAsia" w:eastAsiaTheme="majorEastAsia" w:cstheme="majorEastAsia"/>
          <w:color w:val="000000" w:themeColor="text1"/>
          <w:sz w:val="44"/>
          <w:szCs w:val="44"/>
          <w:lang w:eastAsia="zh-CN"/>
          <w14:textFill>
            <w14:solidFill>
              <w14:schemeClr w14:val="tx1"/>
            </w14:solidFill>
          </w14:textFill>
        </w:rPr>
        <w:t>龙泉市农业农村局等</w:t>
      </w:r>
      <w:r>
        <w:rPr>
          <w:rFonts w:hint="eastAsia" w:asciiTheme="majorEastAsia" w:hAnsiTheme="majorEastAsia" w:eastAsiaTheme="majorEastAsia" w:cstheme="majorEastAsia"/>
          <w:color w:val="000000" w:themeColor="text1"/>
          <w:sz w:val="44"/>
          <w:szCs w:val="44"/>
          <w:lang w:val="en-US" w:eastAsia="zh-CN"/>
          <w14:textFill>
            <w14:solidFill>
              <w14:schemeClr w14:val="tx1"/>
            </w14:solidFill>
          </w14:textFill>
        </w:rPr>
        <w:t>6部门</w:t>
      </w:r>
    </w:p>
    <w:p>
      <w:pPr>
        <w:spacing w:line="560" w:lineRule="exact"/>
        <w:jc w:val="center"/>
        <w:rPr>
          <w:rFonts w:hint="eastAsia" w:asciiTheme="majorEastAsia" w:hAnsiTheme="majorEastAsia" w:eastAsiaTheme="majorEastAsia" w:cstheme="majorEastAsia"/>
          <w:color w:val="000000" w:themeColor="text1"/>
          <w:sz w:val="44"/>
          <w:szCs w:val="44"/>
          <w14:textFill>
            <w14:solidFill>
              <w14:schemeClr w14:val="tx1"/>
            </w14:solidFill>
          </w14:textFill>
        </w:rPr>
      </w:pPr>
      <w:r>
        <w:rPr>
          <w:rFonts w:hint="eastAsia" w:asciiTheme="majorEastAsia" w:hAnsiTheme="majorEastAsia" w:eastAsiaTheme="majorEastAsia" w:cstheme="majorEastAsia"/>
          <w:color w:val="000000" w:themeColor="text1"/>
          <w:sz w:val="44"/>
          <w:szCs w:val="44"/>
          <w14:textFill>
            <w14:solidFill>
              <w14:schemeClr w14:val="tx1"/>
            </w14:solidFill>
          </w14:textFill>
        </w:rPr>
        <w:t>关于抓好202</w:t>
      </w:r>
      <w:r>
        <w:rPr>
          <w:rFonts w:hint="eastAsia" w:asciiTheme="majorEastAsia" w:hAnsiTheme="majorEastAsia" w:eastAsiaTheme="majorEastAsia" w:cstheme="majorEastAsia"/>
          <w:color w:val="000000" w:themeColor="text1"/>
          <w:sz w:val="44"/>
          <w:szCs w:val="44"/>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44"/>
          <w:szCs w:val="44"/>
          <w14:textFill>
            <w14:solidFill>
              <w14:schemeClr w14:val="tx1"/>
            </w14:solidFill>
          </w14:textFill>
        </w:rPr>
        <w:t>年粮食生产工作的意见</w:t>
      </w:r>
      <w:bookmarkEnd w:id="0"/>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各乡镇人民政府（街道办事处）、有关单位：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rPr>
      </w:pPr>
      <w:r>
        <w:rPr>
          <w:rFonts w:hint="eastAsia" w:ascii="仿宋_GB2312" w:eastAsia="仿宋_GB2312" w:cs="仿宋_GB2312"/>
          <w:color w:val="auto"/>
          <w:sz w:val="32"/>
          <w:szCs w:val="32"/>
          <w:highlight w:val="none"/>
          <w:lang w:eastAsia="zh-CN"/>
        </w:rPr>
        <w:t>为充分调动农民粮油生产积极性，扎实推进粮油产业健康持续发展，坚决打好粮食安全保卫战，</w:t>
      </w:r>
      <w:r>
        <w:rPr>
          <w:rFonts w:hint="eastAsia" w:ascii="仿宋_GB2312" w:eastAsia="仿宋_GB2312" w:cs="仿宋_GB2312"/>
          <w:color w:val="auto"/>
          <w:sz w:val="32"/>
          <w:szCs w:val="32"/>
          <w:lang w:eastAsia="zh-CN"/>
        </w:rPr>
        <w:t>确保市场平稳有序，</w:t>
      </w:r>
      <w:r>
        <w:rPr>
          <w:rFonts w:hint="eastAsia" w:ascii="仿宋_GB2312" w:eastAsia="仿宋_GB2312" w:cs="仿宋_GB2312"/>
          <w:color w:val="auto"/>
          <w:sz w:val="32"/>
          <w:szCs w:val="32"/>
        </w:rPr>
        <w:t>经研究决定，现就做好我市202</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年粮食生产工作意见如下：</w:t>
      </w:r>
    </w:p>
    <w:p>
      <w:pPr>
        <w:keepNext w:val="0"/>
        <w:keepLines w:val="0"/>
        <w:pageBreakBefore w:val="0"/>
        <w:widowControl/>
        <w:shd w:val="clear" w:color="auto" w:fill="FFFFFF"/>
        <w:kinsoku/>
        <w:wordWrap/>
        <w:overflowPunct/>
        <w:bidi w:val="0"/>
        <w:spacing w:line="600" w:lineRule="exact"/>
        <w:ind w:firstLine="640" w:firstLineChars="200"/>
        <w:textAlignment w:val="auto"/>
        <w:rPr>
          <w:rFonts w:ascii="黑体" w:hAnsi="黑体" w:eastAsia="黑体"/>
          <w:bCs/>
          <w:color w:val="auto"/>
          <w:kern w:val="0"/>
          <w:sz w:val="32"/>
          <w:szCs w:val="32"/>
        </w:rPr>
      </w:pPr>
      <w:r>
        <w:rPr>
          <w:rFonts w:hint="eastAsia" w:ascii="黑体" w:hAnsi="黑体" w:eastAsia="黑体" w:cs="仿宋_GB2312"/>
          <w:bCs/>
          <w:color w:val="auto"/>
          <w:kern w:val="0"/>
          <w:sz w:val="32"/>
          <w:szCs w:val="32"/>
        </w:rPr>
        <w:t>一、总体要求</w:t>
      </w:r>
    </w:p>
    <w:p>
      <w:pPr>
        <w:keepNext w:val="0"/>
        <w:keepLines w:val="0"/>
        <w:pageBreakBefore w:val="0"/>
        <w:kinsoku/>
        <w:wordWrap/>
        <w:overflowPunct/>
        <w:bidi w:val="0"/>
        <w:spacing w:line="600" w:lineRule="exact"/>
        <w:ind w:firstLine="640" w:firstLineChars="200"/>
        <w:textAlignment w:val="auto"/>
        <w:rPr>
          <w:rFonts w:hint="default" w:ascii="仿宋_GB2312" w:hAnsi="仿宋" w:eastAsia="仿宋_GB2312" w:cs="仿宋"/>
          <w:color w:val="auto"/>
          <w:kern w:val="0"/>
          <w:sz w:val="32"/>
          <w:szCs w:val="32"/>
          <w:lang w:val="en-US" w:eastAsia="zh-CN"/>
        </w:rPr>
      </w:pPr>
      <w:r>
        <w:rPr>
          <w:rFonts w:hint="eastAsia" w:ascii="仿宋_GB2312" w:hAnsi="宋体" w:eastAsia="仿宋_GB2312" w:cs="仿宋_GB2312"/>
          <w:color w:val="auto"/>
          <w:kern w:val="0"/>
          <w:sz w:val="32"/>
          <w:szCs w:val="32"/>
          <w:lang w:eastAsia="zh-CN"/>
        </w:rPr>
        <w:t>认真</w:t>
      </w:r>
      <w:r>
        <w:rPr>
          <w:rFonts w:hint="eastAsia" w:ascii="仿宋_GB2312" w:hAnsi="宋体" w:eastAsia="仿宋_GB2312" w:cs="仿宋_GB2312"/>
          <w:color w:val="auto"/>
          <w:kern w:val="0"/>
          <w:sz w:val="32"/>
          <w:szCs w:val="32"/>
        </w:rPr>
        <w:t>落实</w:t>
      </w:r>
      <w:r>
        <w:rPr>
          <w:rFonts w:hint="eastAsia" w:ascii="仿宋_GB2312" w:hAnsi="仿宋" w:eastAsia="仿宋_GB2312" w:cs="仿宋"/>
          <w:color w:val="auto"/>
          <w:kern w:val="0"/>
          <w:sz w:val="32"/>
          <w:szCs w:val="32"/>
        </w:rPr>
        <w:t>《浙江省农业农村厅</w:t>
      </w:r>
      <w:r>
        <w:rPr>
          <w:rFonts w:hint="eastAsia" w:ascii="仿宋_GB2312" w:hAnsi="仿宋" w:eastAsia="仿宋_GB2312" w:cs="仿宋"/>
          <w:color w:val="auto"/>
          <w:kern w:val="0"/>
          <w:sz w:val="32"/>
          <w:szCs w:val="32"/>
          <w:lang w:eastAsia="zh-CN"/>
        </w:rPr>
        <w:t>等</w:t>
      </w:r>
      <w:r>
        <w:rPr>
          <w:rFonts w:hint="eastAsia" w:ascii="仿宋_GB2312" w:hAnsi="仿宋" w:eastAsia="仿宋_GB2312" w:cs="仿宋"/>
          <w:color w:val="auto"/>
          <w:kern w:val="0"/>
          <w:sz w:val="32"/>
          <w:szCs w:val="32"/>
          <w:lang w:val="en-US" w:eastAsia="zh-CN"/>
        </w:rPr>
        <w:t>7</w:t>
      </w:r>
      <w:r>
        <w:rPr>
          <w:rFonts w:hint="eastAsia" w:ascii="仿宋_GB2312" w:hAnsi="仿宋" w:eastAsia="仿宋_GB2312" w:cs="仿宋"/>
          <w:color w:val="auto"/>
          <w:kern w:val="0"/>
          <w:sz w:val="32"/>
          <w:szCs w:val="32"/>
        </w:rPr>
        <w:t>部门关于切实抓好202</w:t>
      </w:r>
      <w:r>
        <w:rPr>
          <w:rFonts w:hint="eastAsia" w:ascii="仿宋_GB2312" w:hAnsi="仿宋" w:eastAsia="仿宋_GB2312" w:cs="仿宋"/>
          <w:color w:val="auto"/>
          <w:kern w:val="0"/>
          <w:sz w:val="32"/>
          <w:szCs w:val="32"/>
          <w:lang w:val="en-US" w:eastAsia="zh-CN"/>
        </w:rPr>
        <w:t>4</w:t>
      </w:r>
      <w:r>
        <w:rPr>
          <w:rFonts w:hint="eastAsia" w:ascii="仿宋_GB2312" w:hAnsi="仿宋" w:eastAsia="仿宋_GB2312" w:cs="仿宋"/>
          <w:color w:val="auto"/>
          <w:kern w:val="0"/>
          <w:sz w:val="32"/>
          <w:szCs w:val="32"/>
        </w:rPr>
        <w:t>年粮油生产保供工作的通知》（浙农</w:t>
      </w:r>
      <w:r>
        <w:rPr>
          <w:rFonts w:hint="eastAsia" w:ascii="仿宋_GB2312" w:hAnsi="仿宋" w:eastAsia="仿宋_GB2312" w:cs="仿宋"/>
          <w:color w:val="auto"/>
          <w:kern w:val="0"/>
          <w:sz w:val="32"/>
          <w:szCs w:val="32"/>
          <w:lang w:eastAsia="zh-CN"/>
        </w:rPr>
        <w:t>种</w:t>
      </w:r>
      <w:r>
        <w:rPr>
          <w:rFonts w:hint="eastAsia" w:ascii="仿宋_GB2312" w:hAnsi="仿宋" w:eastAsia="仿宋_GB2312" w:cs="仿宋"/>
          <w:color w:val="auto"/>
          <w:kern w:val="0"/>
          <w:sz w:val="32"/>
          <w:szCs w:val="32"/>
        </w:rPr>
        <w:t>发〔202</w:t>
      </w:r>
      <w:r>
        <w:rPr>
          <w:rFonts w:hint="eastAsia" w:ascii="仿宋_GB2312" w:hAnsi="仿宋" w:eastAsia="仿宋_GB2312" w:cs="仿宋"/>
          <w:color w:val="auto"/>
          <w:kern w:val="0"/>
          <w:sz w:val="32"/>
          <w:szCs w:val="32"/>
          <w:lang w:val="en-US" w:eastAsia="zh-CN"/>
        </w:rPr>
        <w:t>4</w:t>
      </w:r>
      <w:r>
        <w:rPr>
          <w:rFonts w:hint="eastAsia" w:ascii="仿宋_GB2312" w:hAnsi="仿宋" w:eastAsia="仿宋_GB2312" w:cs="仿宋"/>
          <w:color w:val="auto"/>
          <w:kern w:val="0"/>
          <w:sz w:val="32"/>
          <w:szCs w:val="32"/>
        </w:rPr>
        <w:t>〕</w:t>
      </w:r>
      <w:r>
        <w:rPr>
          <w:rFonts w:hint="eastAsia" w:ascii="仿宋_GB2312" w:hAnsi="宋体" w:eastAsia="仿宋_GB2312" w:cs="仿宋_GB2312"/>
          <w:color w:val="auto"/>
          <w:kern w:val="0"/>
          <w:sz w:val="32"/>
          <w:szCs w:val="32"/>
          <w:lang w:val="en-US" w:eastAsia="zh-CN"/>
        </w:rPr>
        <w:t>6</w:t>
      </w:r>
      <w:r>
        <w:rPr>
          <w:rFonts w:hint="eastAsia" w:ascii="仿宋_GB2312" w:hAnsi="仿宋" w:eastAsia="仿宋_GB2312" w:cs="仿宋"/>
          <w:color w:val="auto"/>
          <w:kern w:val="0"/>
          <w:sz w:val="32"/>
          <w:szCs w:val="32"/>
        </w:rPr>
        <w:t>号）、</w:t>
      </w:r>
      <w:r>
        <w:rPr>
          <w:rFonts w:hint="eastAsia" w:ascii="仿宋_GB2312" w:hAnsi="ˎ̥" w:eastAsia="仿宋_GB2312" w:cs="宋体"/>
          <w:color w:val="000000"/>
          <w:kern w:val="0"/>
          <w:sz w:val="32"/>
          <w:szCs w:val="32"/>
          <w:lang w:val="en-US" w:eastAsia="zh-CN"/>
        </w:rPr>
        <w:t>《浙江省农业农村厅关于印发2025年各市粮油生产目标的通知》（浙农种发﹝2025﹞1号）、《丽水市农业农村局关于印发2025年各县（市、区）粮油生产目标的通知》</w:t>
      </w:r>
      <w:r>
        <w:rPr>
          <w:rFonts w:hint="eastAsia" w:ascii="仿宋_GB2312" w:hAnsi="宋体" w:eastAsia="仿宋_GB2312" w:cs="仿宋_GB2312"/>
          <w:color w:val="auto"/>
          <w:kern w:val="0"/>
          <w:sz w:val="32"/>
          <w:szCs w:val="32"/>
        </w:rPr>
        <w:t>等文件精神，</w:t>
      </w:r>
      <w:r>
        <w:rPr>
          <w:rFonts w:hint="eastAsia" w:ascii="仿宋_GB2312" w:hAnsi="宋体" w:eastAsia="仿宋_GB2312" w:cs="仿宋_GB2312"/>
          <w:color w:val="auto"/>
          <w:kern w:val="0"/>
          <w:sz w:val="32"/>
          <w:szCs w:val="32"/>
          <w:lang w:eastAsia="zh-CN"/>
        </w:rPr>
        <w:t>全面贯彻国家粮食安全战略，严格落实耕地保护和粮食安全党政同责，聚焦粮油产业高质量发展，以保供给、促增收为目标，按照“藏粮于地、藏粮于技”的要求</w:t>
      </w:r>
      <w:r>
        <w:rPr>
          <w:rFonts w:hint="eastAsia" w:ascii="仿宋_GB2312" w:hAnsi="宋体" w:eastAsia="仿宋_GB2312" w:cs="仿宋_GB2312"/>
          <w:color w:val="auto"/>
          <w:kern w:val="0"/>
          <w:sz w:val="32"/>
          <w:szCs w:val="32"/>
          <w:lang w:val="en-US" w:eastAsia="zh-CN"/>
        </w:rPr>
        <w:t>,健全责任体系、加大政策扶持、强化科技支撑、加强指导服务、做好防灾减灾，在挖掘提升、增量拓展、绿色转型上下功夫，坚持稳中求进总基调、推动粮油生产稳面积、提单产、增效益、强基础，全方位夯实粮食安全根基</w:t>
      </w:r>
      <w:r>
        <w:rPr>
          <w:rFonts w:hint="eastAsia" w:ascii="仿宋_GB2312" w:eastAsia="仿宋_GB2312" w:cs="仿宋_GB2312"/>
          <w:color w:val="auto"/>
          <w:sz w:val="32"/>
          <w:szCs w:val="32"/>
        </w:rPr>
        <w:t>。</w:t>
      </w: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年,我市努力完成粮食生产播种面积</w:t>
      </w:r>
      <w:r>
        <w:rPr>
          <w:rFonts w:hint="eastAsia" w:ascii="仿宋_GB2312" w:hAnsi="仿宋" w:eastAsia="仿宋_GB2312" w:cs="仿宋"/>
          <w:color w:val="auto"/>
          <w:sz w:val="32"/>
          <w:szCs w:val="32"/>
          <w:lang w:val="en-US" w:eastAsia="zh-CN"/>
        </w:rPr>
        <w:t>18.15</w:t>
      </w:r>
      <w:r>
        <w:rPr>
          <w:rFonts w:hint="eastAsia" w:ascii="仿宋_GB2312" w:hAnsi="仿宋" w:eastAsia="仿宋_GB2312" w:cs="仿宋"/>
          <w:color w:val="auto"/>
          <w:sz w:val="32"/>
          <w:szCs w:val="32"/>
        </w:rPr>
        <w:t>万亩</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总产量7.</w:t>
      </w:r>
      <w:r>
        <w:rPr>
          <w:rFonts w:hint="eastAsia" w:ascii="仿宋_GB2312" w:hAnsi="仿宋" w:eastAsia="仿宋_GB2312" w:cs="仿宋"/>
          <w:color w:val="auto"/>
          <w:sz w:val="32"/>
          <w:szCs w:val="32"/>
          <w:lang w:val="en-US" w:eastAsia="zh-CN"/>
        </w:rPr>
        <w:t>85</w:t>
      </w:r>
      <w:r>
        <w:rPr>
          <w:rFonts w:hint="eastAsia" w:ascii="仿宋_GB2312" w:hAnsi="仿宋" w:eastAsia="仿宋_GB2312" w:cs="仿宋"/>
          <w:color w:val="auto"/>
          <w:sz w:val="32"/>
          <w:szCs w:val="32"/>
        </w:rPr>
        <w:t>万吨</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kern w:val="0"/>
          <w:sz w:val="32"/>
          <w:szCs w:val="32"/>
          <w:lang w:val="en-US" w:eastAsia="zh-CN"/>
        </w:rPr>
        <w:t>其中水稻播种面积13.52万亩、产量7.0425万吨，大豆播种面积1.62万亩、产量0.265万吨；完成油料作物播种面积15400亩、产量1750吨，其中油菜播种面积13900亩、产量1415吨</w:t>
      </w:r>
      <w:r>
        <w:rPr>
          <w:rFonts w:hint="eastAsia" w:ascii="仿宋_GB2312" w:hAnsi="仿宋" w:eastAsia="仿宋_GB2312" w:cs="仿宋"/>
          <w:b w:val="0"/>
          <w:bCs w:val="0"/>
          <w:color w:val="auto"/>
          <w:kern w:val="0"/>
          <w:sz w:val="32"/>
          <w:szCs w:val="32"/>
          <w:lang w:val="en-US" w:eastAsia="zh-CN"/>
        </w:rPr>
        <w:t>。</w:t>
      </w:r>
    </w:p>
    <w:p>
      <w:pPr>
        <w:keepNext w:val="0"/>
        <w:keepLines w:val="0"/>
        <w:pageBreakBefore w:val="0"/>
        <w:widowControl/>
        <w:shd w:val="clear" w:color="auto" w:fill="FFFFFF"/>
        <w:kinsoku/>
        <w:wordWrap/>
        <w:overflowPunct/>
        <w:bidi w:val="0"/>
        <w:spacing w:line="600" w:lineRule="exact"/>
        <w:ind w:firstLine="640" w:firstLineChars="200"/>
        <w:textAlignment w:val="auto"/>
        <w:rPr>
          <w:rFonts w:ascii="黑体" w:hAnsi="黑体" w:eastAsia="黑体"/>
          <w:bCs/>
          <w:color w:val="auto"/>
          <w:kern w:val="0"/>
          <w:sz w:val="32"/>
          <w:szCs w:val="32"/>
        </w:rPr>
      </w:pPr>
      <w:r>
        <w:rPr>
          <w:rFonts w:hint="eastAsia" w:ascii="黑体" w:hAnsi="黑体" w:eastAsia="黑体" w:cs="仿宋_GB2312"/>
          <w:bCs/>
          <w:color w:val="auto"/>
          <w:kern w:val="0"/>
          <w:sz w:val="32"/>
          <w:szCs w:val="32"/>
        </w:rPr>
        <w:t>二、落实粮食生产扶持政策</w:t>
      </w:r>
    </w:p>
    <w:p>
      <w:pPr>
        <w:keepNext w:val="0"/>
        <w:keepLines w:val="0"/>
        <w:pageBreakBefore w:val="0"/>
        <w:kinsoku/>
        <w:wordWrap/>
        <w:overflowPunct/>
        <w:bidi w:val="0"/>
        <w:adjustRightInd w:val="0"/>
        <w:snapToGrid w:val="0"/>
        <w:spacing w:line="600" w:lineRule="exact"/>
        <w:ind w:firstLine="640" w:firstLineChars="200"/>
        <w:textAlignment w:val="auto"/>
        <w:rPr>
          <w:rFonts w:hint="eastAsia" w:ascii="仿宋_GB2312" w:eastAsia="仿宋_GB2312" w:cs="仿宋_GB2312"/>
          <w:color w:val="auto"/>
          <w:kern w:val="0"/>
          <w:sz w:val="32"/>
          <w:szCs w:val="32"/>
          <w:highlight w:val="none"/>
          <w:lang w:val="en-US" w:eastAsia="zh-CN"/>
        </w:rPr>
      </w:pPr>
      <w:r>
        <w:rPr>
          <w:rFonts w:hint="eastAsia" w:ascii="仿宋_GB2312" w:hAnsi="宋体" w:eastAsia="仿宋_GB2312" w:cs="仿宋_GB2312"/>
          <w:color w:val="auto"/>
          <w:kern w:val="0"/>
          <w:sz w:val="32"/>
          <w:szCs w:val="32"/>
          <w:highlight w:val="none"/>
        </w:rPr>
        <w:t>积极推进粮食补贴政策综合改革，实施粮食补贴整合政策，进一步壮大粮食生产主体，推进适度规模经营。</w:t>
      </w:r>
      <w:r>
        <w:rPr>
          <w:rFonts w:hint="eastAsia" w:ascii="仿宋_GB2312" w:hAnsi="华文仿宋" w:eastAsia="仿宋_GB2312" w:cs="仿宋_GB2312"/>
          <w:color w:val="auto"/>
          <w:sz w:val="32"/>
          <w:szCs w:val="32"/>
          <w:highlight w:val="none"/>
        </w:rPr>
        <w:t>坚持“谁种补谁、适度规模经营”的政策导向，稳定完善“大户用直补、散户补服务”的扶持政策，加大政府支持保护力度，保持财政对扶持粮食生产的投入合理持续增长，加快发展多种粮食生产适度规模经营、全程机械化作业和社会化服务，支持开展粮食生产全产业链发展、全价值链提升，把发展粮食适度规模经营与带动散户种粮增收紧密结合起来。</w:t>
      </w:r>
      <w:r>
        <w:rPr>
          <w:rFonts w:hint="eastAsia" w:ascii="仿宋_GB2312" w:eastAsia="仿宋_GB2312" w:cs="仿宋_GB2312"/>
          <w:color w:val="auto"/>
          <w:kern w:val="0"/>
          <w:sz w:val="32"/>
          <w:szCs w:val="32"/>
          <w:highlight w:val="none"/>
        </w:rPr>
        <w:t>继续做好耕地地力补贴发放工作，</w:t>
      </w:r>
      <w:r>
        <w:rPr>
          <w:rFonts w:hint="default" w:ascii="仿宋_GB2312" w:eastAsia="仿宋_GB2312" w:cs="仿宋_GB2312"/>
          <w:color w:val="auto"/>
          <w:kern w:val="0"/>
          <w:sz w:val="32"/>
          <w:szCs w:val="32"/>
          <w:highlight w:val="none"/>
        </w:rPr>
        <w:t>补助标准每年每亩75元，中央耕地地力保护补贴结余资金将统筹用于粮食规模种植补贴发放</w:t>
      </w:r>
      <w:r>
        <w:rPr>
          <w:rFonts w:hint="eastAsia" w:ascii="仿宋_GB2312" w:eastAsia="仿宋_GB2312" w:cs="仿宋_GB2312"/>
          <w:color w:val="auto"/>
          <w:kern w:val="0"/>
          <w:sz w:val="32"/>
          <w:szCs w:val="32"/>
          <w:highlight w:val="none"/>
        </w:rPr>
        <w:t>。市财政</w:t>
      </w:r>
      <w:r>
        <w:rPr>
          <w:rFonts w:hint="eastAsia" w:ascii="仿宋_GB2312" w:eastAsia="仿宋_GB2312" w:cs="仿宋_GB2312"/>
          <w:color w:val="auto"/>
          <w:kern w:val="0"/>
          <w:sz w:val="32"/>
          <w:szCs w:val="32"/>
          <w:highlight w:val="none"/>
          <w:lang w:eastAsia="zh-CN"/>
        </w:rPr>
        <w:t>统筹</w:t>
      </w:r>
      <w:r>
        <w:rPr>
          <w:rFonts w:hint="eastAsia" w:ascii="仿宋_GB2312" w:eastAsia="仿宋_GB2312" w:cs="仿宋_GB2312"/>
          <w:color w:val="auto"/>
          <w:kern w:val="0"/>
          <w:sz w:val="32"/>
          <w:szCs w:val="32"/>
          <w:highlight w:val="none"/>
        </w:rPr>
        <w:t>安排资金用于扶持粮食生产</w:t>
      </w:r>
      <w:r>
        <w:rPr>
          <w:rFonts w:hint="eastAsia" w:ascii="仿宋_GB2312" w:eastAsia="仿宋_GB2312" w:cs="仿宋_GB2312"/>
          <w:color w:val="auto"/>
          <w:kern w:val="0"/>
          <w:sz w:val="32"/>
          <w:szCs w:val="32"/>
          <w:highlight w:val="none"/>
          <w:lang w:eastAsia="zh-CN"/>
        </w:rPr>
        <w:t>，重点支持粮食产业配套政策、“三新”技术引进示范、新型农机引进与配套（制种烘干、机插秧盘配套等）、旱粮重点区域建设与粮油农旅结合示范等。</w:t>
      </w:r>
    </w:p>
    <w:p>
      <w:pPr>
        <w:keepNext w:val="0"/>
        <w:keepLines w:val="0"/>
        <w:pageBreakBefore w:val="0"/>
        <w:widowControl/>
        <w:shd w:val="clear" w:color="auto" w:fill="FFFFFF"/>
        <w:kinsoku/>
        <w:wordWrap/>
        <w:overflowPunct/>
        <w:bidi w:val="0"/>
        <w:spacing w:line="600" w:lineRule="exact"/>
        <w:ind w:firstLine="643" w:firstLineChars="200"/>
        <w:textAlignment w:val="auto"/>
        <w:rPr>
          <w:rFonts w:ascii="仿宋_GB2312" w:hAnsi="宋体" w:eastAsia="仿宋_GB2312" w:cs="仿宋_GB2312"/>
          <w:color w:val="auto"/>
          <w:kern w:val="0"/>
          <w:sz w:val="32"/>
          <w:szCs w:val="32"/>
        </w:rPr>
      </w:pPr>
      <w:r>
        <w:rPr>
          <w:rFonts w:hint="eastAsia" w:ascii="仿宋_GB2312" w:hAnsi="宋体" w:eastAsia="仿宋_GB2312" w:cs="仿宋_GB2312"/>
          <w:b/>
          <w:bCs/>
          <w:color w:val="auto"/>
          <w:kern w:val="0"/>
          <w:sz w:val="32"/>
          <w:szCs w:val="32"/>
        </w:rPr>
        <w:t>（一）完善粮食规模种植扶持政策。</w:t>
      </w:r>
      <w:r>
        <w:rPr>
          <w:rFonts w:hint="eastAsia" w:ascii="仿宋_GB2312" w:hAnsi="宋体" w:eastAsia="仿宋_GB2312" w:cs="仿宋_GB2312"/>
          <w:color w:val="auto"/>
          <w:kern w:val="0"/>
          <w:sz w:val="32"/>
          <w:szCs w:val="32"/>
        </w:rPr>
        <w:t>对全年稻麦复种面积达到</w:t>
      </w:r>
      <w:r>
        <w:rPr>
          <w:rFonts w:hint="eastAsia" w:ascii="仿宋_GB2312" w:hAnsi="Arial" w:eastAsia="仿宋_GB2312" w:cs="仿宋_GB2312"/>
          <w:color w:val="auto"/>
          <w:sz w:val="32"/>
          <w:szCs w:val="32"/>
        </w:rPr>
        <w:t>30（含）</w:t>
      </w:r>
      <w:r>
        <w:rPr>
          <w:rFonts w:hint="eastAsia" w:ascii="仿宋_GB2312" w:hAnsi="Arial" w:eastAsia="仿宋_GB2312" w:cs="Arial"/>
          <w:color w:val="auto"/>
          <w:sz w:val="32"/>
          <w:szCs w:val="32"/>
        </w:rPr>
        <w:t>—</w:t>
      </w:r>
      <w:r>
        <w:rPr>
          <w:rFonts w:hint="eastAsia" w:ascii="仿宋_GB2312" w:hAnsi="Arial" w:eastAsia="仿宋_GB2312" w:cs="仿宋_GB2312"/>
          <w:color w:val="auto"/>
          <w:sz w:val="32"/>
          <w:szCs w:val="32"/>
        </w:rPr>
        <w:t>50亩以内的</w:t>
      </w:r>
      <w:r>
        <w:rPr>
          <w:rFonts w:hint="eastAsia" w:ascii="仿宋_GB2312" w:hAnsi="Arial" w:eastAsia="仿宋_GB2312" w:cs="仿宋_GB2312"/>
          <w:color w:val="auto"/>
          <w:sz w:val="32"/>
          <w:szCs w:val="32"/>
          <w:lang w:eastAsia="zh-CN"/>
        </w:rPr>
        <w:t>种粮大户、</w:t>
      </w:r>
      <w:r>
        <w:rPr>
          <w:rFonts w:hint="eastAsia" w:ascii="仿宋_GB2312" w:hAnsi="宋体" w:eastAsia="仿宋_GB2312" w:cs="仿宋_GB2312"/>
          <w:color w:val="auto"/>
          <w:kern w:val="0"/>
          <w:sz w:val="32"/>
          <w:szCs w:val="32"/>
        </w:rPr>
        <w:t>家庭农场等粮食生产适度规模经营主体给予</w:t>
      </w:r>
      <w:r>
        <w:rPr>
          <w:rFonts w:hint="eastAsia" w:ascii="仿宋_GB2312" w:hAnsi="Arial" w:eastAsia="仿宋_GB2312" w:cs="仿宋_GB2312"/>
          <w:color w:val="auto"/>
          <w:sz w:val="32"/>
          <w:szCs w:val="32"/>
        </w:rPr>
        <w:t>每亩150元</w:t>
      </w:r>
      <w:r>
        <w:rPr>
          <w:rFonts w:hint="eastAsia" w:ascii="仿宋_GB2312" w:hAnsi="宋体" w:eastAsia="仿宋_GB2312" w:cs="仿宋_GB2312"/>
          <w:color w:val="auto"/>
          <w:kern w:val="0"/>
          <w:sz w:val="32"/>
          <w:szCs w:val="32"/>
          <w:lang w:val="en-US" w:eastAsia="zh-CN"/>
        </w:rPr>
        <w:t>(含统防统治每亩40元)</w:t>
      </w:r>
      <w:r>
        <w:rPr>
          <w:rFonts w:hint="eastAsia" w:ascii="仿宋_GB2312" w:hAnsi="Arial" w:eastAsia="仿宋_GB2312" w:cs="仿宋_GB2312"/>
          <w:color w:val="auto"/>
          <w:sz w:val="32"/>
          <w:szCs w:val="32"/>
        </w:rPr>
        <w:t>的补助；</w:t>
      </w:r>
      <w:r>
        <w:rPr>
          <w:rFonts w:hint="eastAsia" w:ascii="仿宋_GB2312" w:hAnsi="宋体" w:eastAsia="仿宋_GB2312" w:cs="仿宋_GB2312"/>
          <w:color w:val="auto"/>
          <w:kern w:val="0"/>
          <w:sz w:val="32"/>
          <w:szCs w:val="32"/>
        </w:rPr>
        <w:t>对50亩（含）以上的给予每亩200元</w:t>
      </w:r>
      <w:r>
        <w:rPr>
          <w:rFonts w:hint="eastAsia" w:ascii="仿宋_GB2312" w:hAnsi="宋体" w:eastAsia="仿宋_GB2312" w:cs="仿宋_GB2312"/>
          <w:color w:val="auto"/>
          <w:kern w:val="0"/>
          <w:sz w:val="32"/>
          <w:szCs w:val="32"/>
          <w:lang w:val="en-US" w:eastAsia="zh-CN"/>
        </w:rPr>
        <w:t>(含统防统治每亩40元)</w:t>
      </w:r>
      <w:r>
        <w:rPr>
          <w:rFonts w:hint="eastAsia" w:ascii="仿宋_GB2312" w:hAnsi="宋体" w:eastAsia="仿宋_GB2312" w:cs="仿宋_GB2312"/>
          <w:color w:val="auto"/>
          <w:kern w:val="0"/>
          <w:sz w:val="32"/>
          <w:szCs w:val="32"/>
        </w:rPr>
        <w:t>的补助；对规模种植50亩以上的再生稻第二茬给予每亩补贴200元。</w:t>
      </w:r>
      <w:r>
        <w:rPr>
          <w:rFonts w:hint="eastAsia" w:ascii="仿宋_GB2312" w:hAnsi="Arial" w:eastAsia="仿宋_GB2312" w:cs="仿宋_GB2312"/>
          <w:color w:val="auto"/>
          <w:sz w:val="32"/>
          <w:szCs w:val="32"/>
        </w:rPr>
        <w:t>为推进粮食生产社会化服务水平，对为散户提供水稻集中统一育插秧服务达到100亩以上（含）的粮食生产专业化服务组织和专业大户给予“以奖代补”等补助政策，每亩70元补助</w:t>
      </w:r>
      <w:r>
        <w:rPr>
          <w:rFonts w:hint="eastAsia" w:ascii="仿宋_GB2312" w:hAnsi="Arial" w:eastAsia="仿宋_GB2312" w:cs="仿宋_GB2312"/>
          <w:color w:val="auto"/>
          <w:sz w:val="32"/>
          <w:szCs w:val="32"/>
          <w:lang w:eastAsia="zh-CN"/>
        </w:rPr>
        <w:t>。对</w:t>
      </w:r>
      <w:r>
        <w:rPr>
          <w:rFonts w:hint="eastAsia" w:ascii="仿宋_GB2312" w:hAnsi="Arial" w:eastAsia="仿宋_GB2312" w:cs="仿宋_GB2312"/>
          <w:color w:val="auto"/>
          <w:sz w:val="32"/>
          <w:szCs w:val="32"/>
        </w:rPr>
        <w:t>种植油菜50亩以上的油菜种植大户、家庭农场、农民专业合作社和村股份经济合作社等规模经营主体种植油菜面积50亩(含)</w:t>
      </w:r>
      <w:r>
        <w:rPr>
          <w:rFonts w:hint="eastAsia" w:ascii="仿宋_GB2312" w:hAnsi="Arial" w:eastAsia="仿宋_GB2312" w:cs="Arial"/>
          <w:color w:val="auto"/>
          <w:sz w:val="32"/>
          <w:szCs w:val="32"/>
        </w:rPr>
        <w:t>—</w:t>
      </w:r>
      <w:r>
        <w:rPr>
          <w:rFonts w:hint="eastAsia" w:ascii="仿宋_GB2312" w:hAnsi="Arial" w:eastAsia="仿宋_GB2312" w:cs="仿宋_GB2312"/>
          <w:color w:val="auto"/>
          <w:sz w:val="32"/>
          <w:szCs w:val="32"/>
        </w:rPr>
        <w:t>100亩的给予每亩150元补助，种植油菜面积100亩(含</w:t>
      </w:r>
      <w:r>
        <w:rPr>
          <w:rFonts w:hint="eastAsia" w:ascii="仿宋_GB2312" w:hAnsi="Arial" w:eastAsia="仿宋_GB2312" w:cs="仿宋_GB2312"/>
          <w:color w:val="auto"/>
          <w:sz w:val="32"/>
          <w:szCs w:val="32"/>
          <w:lang w:eastAsia="zh-CN"/>
        </w:rPr>
        <w:t>）</w:t>
      </w:r>
      <w:r>
        <w:rPr>
          <w:rFonts w:hint="eastAsia" w:ascii="仿宋_GB2312" w:hAnsi="Arial" w:eastAsia="仿宋_GB2312" w:cs="仿宋_GB2312"/>
          <w:color w:val="auto"/>
          <w:sz w:val="32"/>
          <w:szCs w:val="32"/>
        </w:rPr>
        <w:t>以上的给予每亩200元补助。</w:t>
      </w:r>
    </w:p>
    <w:p>
      <w:pPr>
        <w:keepNext w:val="0"/>
        <w:keepLines w:val="0"/>
        <w:pageBreakBefore w:val="0"/>
        <w:kinsoku/>
        <w:wordWrap/>
        <w:overflowPunct/>
        <w:bidi w:val="0"/>
        <w:spacing w:line="600" w:lineRule="exact"/>
        <w:ind w:firstLine="640" w:firstLineChars="200"/>
        <w:textAlignment w:val="auto"/>
        <w:rPr>
          <w:rFonts w:hint="default" w:eastAsia="宋体"/>
          <w:color w:val="auto"/>
          <w:lang w:val="en-US" w:eastAsia="zh-CN"/>
        </w:rPr>
      </w:pPr>
      <w:r>
        <w:rPr>
          <w:rFonts w:hint="eastAsia" w:ascii="仿宋_GB2312" w:hAnsi="宋体" w:eastAsia="仿宋_GB2312" w:cs="仿宋_GB2312"/>
          <w:color w:val="auto"/>
          <w:kern w:val="0"/>
          <w:sz w:val="32"/>
          <w:szCs w:val="32"/>
        </w:rPr>
        <w:t>垦造耕地</w:t>
      </w:r>
      <w:r>
        <w:rPr>
          <w:rFonts w:hint="eastAsia" w:ascii="仿宋_GB2312" w:hAnsi="宋体" w:eastAsia="仿宋_GB2312" w:cs="仿宋_GB2312"/>
          <w:color w:val="auto"/>
          <w:kern w:val="0"/>
          <w:sz w:val="32"/>
          <w:szCs w:val="32"/>
          <w:lang w:eastAsia="zh-CN"/>
        </w:rPr>
        <w:t>项目、“非粮化”整治或抛荒整治田块</w:t>
      </w:r>
      <w:r>
        <w:rPr>
          <w:rFonts w:hint="eastAsia" w:ascii="仿宋_GB2312" w:hAnsi="宋体" w:eastAsia="仿宋_GB2312" w:cs="仿宋_GB2312"/>
          <w:color w:val="auto"/>
          <w:kern w:val="0"/>
          <w:sz w:val="32"/>
          <w:szCs w:val="32"/>
        </w:rPr>
        <w:t>种植</w:t>
      </w:r>
      <w:r>
        <w:rPr>
          <w:rFonts w:hint="eastAsia" w:ascii="仿宋_GB2312" w:hAnsi="宋体" w:eastAsia="仿宋_GB2312" w:cs="仿宋_GB2312"/>
          <w:color w:val="auto"/>
          <w:kern w:val="0"/>
          <w:sz w:val="32"/>
          <w:szCs w:val="32"/>
          <w:lang w:eastAsia="zh-CN"/>
        </w:rPr>
        <w:t>粮食</w:t>
      </w:r>
      <w:r>
        <w:rPr>
          <w:rFonts w:hint="eastAsia" w:ascii="仿宋_GB2312" w:hAnsi="宋体" w:eastAsia="仿宋_GB2312" w:cs="仿宋_GB2312"/>
          <w:color w:val="auto"/>
          <w:kern w:val="0"/>
          <w:sz w:val="32"/>
          <w:szCs w:val="32"/>
        </w:rPr>
        <w:t>在监管期</w:t>
      </w:r>
      <w:r>
        <w:rPr>
          <w:rFonts w:hint="eastAsia" w:ascii="仿宋_GB2312" w:hAnsi="宋体" w:eastAsia="仿宋_GB2312" w:cs="仿宋_GB2312"/>
          <w:color w:val="auto"/>
          <w:kern w:val="0"/>
          <w:sz w:val="32"/>
          <w:szCs w:val="32"/>
          <w:lang w:eastAsia="zh-CN"/>
        </w:rPr>
        <w:t>（管护期）</w:t>
      </w:r>
      <w:r>
        <w:rPr>
          <w:rFonts w:hint="eastAsia" w:ascii="仿宋_GB2312" w:hAnsi="宋体" w:eastAsia="仿宋_GB2312" w:cs="仿宋_GB2312"/>
          <w:color w:val="auto"/>
          <w:kern w:val="0"/>
          <w:sz w:val="32"/>
          <w:szCs w:val="32"/>
        </w:rPr>
        <w:t>内按</w:t>
      </w:r>
      <w:r>
        <w:rPr>
          <w:rFonts w:hint="eastAsia" w:ascii="仿宋_GB2312" w:hAnsi="宋体" w:eastAsia="仿宋_GB2312" w:cs="仿宋_GB2312"/>
          <w:color w:val="auto"/>
          <w:kern w:val="0"/>
          <w:sz w:val="32"/>
          <w:szCs w:val="32"/>
          <w:lang w:eastAsia="zh-CN"/>
        </w:rPr>
        <w:t>原</w:t>
      </w:r>
      <w:r>
        <w:rPr>
          <w:rFonts w:hint="eastAsia" w:ascii="仿宋_GB2312" w:hAnsi="宋体" w:eastAsia="仿宋_GB2312" w:cs="仿宋_GB2312"/>
          <w:color w:val="auto"/>
          <w:kern w:val="0"/>
          <w:sz w:val="32"/>
          <w:szCs w:val="32"/>
        </w:rPr>
        <w:t>耕种验收办法给予补助，不享受规模种粮大户补贴政策</w:t>
      </w:r>
      <w:r>
        <w:rPr>
          <w:rFonts w:hint="eastAsia" w:ascii="仿宋_GB2312" w:hAnsi="宋体" w:eastAsia="仿宋_GB2312" w:cs="仿宋_GB2312"/>
          <w:color w:val="auto"/>
          <w:kern w:val="0"/>
          <w:sz w:val="32"/>
          <w:szCs w:val="32"/>
          <w:lang w:eastAsia="zh-CN"/>
        </w:rPr>
        <w:t>，水稻统一育秧社会化服务纳入补助范围。</w:t>
      </w:r>
      <w:r>
        <w:rPr>
          <w:rFonts w:hint="eastAsia" w:ascii="仿宋_GB2312" w:hAnsi="仿宋_GB2312" w:eastAsia="仿宋_GB2312" w:cs="仿宋_GB2312"/>
          <w:color w:val="auto"/>
          <w:sz w:val="32"/>
          <w:szCs w:val="32"/>
          <w:shd w:val="clear" w:color="auto" w:fill="FFFFFF"/>
          <w:lang w:val="en-US" w:eastAsia="zh-CN"/>
        </w:rPr>
        <w:t>为保障</w:t>
      </w:r>
      <w:r>
        <w:rPr>
          <w:rFonts w:hint="eastAsia" w:ascii="仿宋_GB2312" w:hAnsi="宋体" w:eastAsia="仿宋_GB2312" w:cs="仿宋_GB2312"/>
          <w:color w:val="auto"/>
          <w:kern w:val="0"/>
          <w:sz w:val="32"/>
          <w:szCs w:val="32"/>
        </w:rPr>
        <w:t>垦造耕地</w:t>
      </w:r>
      <w:r>
        <w:rPr>
          <w:rFonts w:hint="eastAsia" w:ascii="仿宋_GB2312" w:hAnsi="宋体" w:eastAsia="仿宋_GB2312" w:cs="仿宋_GB2312"/>
          <w:color w:val="auto"/>
          <w:kern w:val="0"/>
          <w:sz w:val="32"/>
          <w:szCs w:val="32"/>
          <w:lang w:eastAsia="zh-CN"/>
        </w:rPr>
        <w:t>项目、</w:t>
      </w:r>
      <w:r>
        <w:rPr>
          <w:rFonts w:hint="eastAsia" w:ascii="仿宋_GB2312" w:hAnsi="仿宋_GB2312" w:eastAsia="仿宋_GB2312" w:cs="仿宋_GB2312"/>
          <w:b w:val="0"/>
          <w:bCs w:val="0"/>
          <w:color w:val="auto"/>
          <w:sz w:val="32"/>
          <w:szCs w:val="32"/>
          <w:shd w:val="clear" w:color="auto" w:fill="FFFFFF"/>
          <w:lang w:val="en-US" w:eastAsia="zh-CN"/>
        </w:rPr>
        <w:t>“非粮化”与抛荒整治田块的长效利用，</w:t>
      </w:r>
      <w:r>
        <w:rPr>
          <w:rFonts w:hint="eastAsia" w:ascii="仿宋_GB2312" w:hAnsi="宋体" w:eastAsia="仿宋_GB2312" w:cs="仿宋_GB2312"/>
          <w:color w:val="auto"/>
          <w:kern w:val="0"/>
          <w:sz w:val="32"/>
          <w:szCs w:val="32"/>
          <w:lang w:eastAsia="zh-CN"/>
        </w:rPr>
        <w:t>监管期（管护期）满后规模种植粮食作物可以正常</w:t>
      </w:r>
      <w:r>
        <w:rPr>
          <w:rFonts w:hint="eastAsia" w:ascii="仿宋_GB2312" w:hAnsi="宋体" w:eastAsia="仿宋_GB2312" w:cs="仿宋_GB2312"/>
          <w:color w:val="auto"/>
          <w:kern w:val="0"/>
          <w:sz w:val="32"/>
          <w:szCs w:val="32"/>
        </w:rPr>
        <w:t>享受规模种粮大户补贴政策</w:t>
      </w:r>
      <w:r>
        <w:rPr>
          <w:rFonts w:hint="eastAsia" w:ascii="仿宋_GB2312" w:hAnsi="仿宋_GB2312" w:eastAsia="仿宋_GB2312" w:cs="仿宋_GB2312"/>
          <w:b w:val="0"/>
          <w:bCs w:val="0"/>
          <w:color w:val="auto"/>
          <w:sz w:val="32"/>
          <w:szCs w:val="32"/>
          <w:shd w:val="clear" w:color="auto" w:fill="FFFFFF"/>
          <w:lang w:val="en-US" w:eastAsia="zh-CN"/>
        </w:rPr>
        <w:t>。</w:t>
      </w:r>
    </w:p>
    <w:p>
      <w:pPr>
        <w:keepNext w:val="0"/>
        <w:keepLines w:val="0"/>
        <w:pageBreakBefore w:val="0"/>
        <w:widowControl/>
        <w:numPr>
          <w:ilvl w:val="0"/>
          <w:numId w:val="1"/>
        </w:numPr>
        <w:shd w:val="clear" w:color="auto" w:fill="FFFFFF"/>
        <w:kinsoku/>
        <w:wordWrap/>
        <w:overflowPunct/>
        <w:bidi w:val="0"/>
        <w:spacing w:line="600" w:lineRule="exact"/>
        <w:ind w:firstLine="643" w:firstLineChars="200"/>
        <w:textAlignment w:val="auto"/>
        <w:rPr>
          <w:rFonts w:hint="eastAsia" w:ascii="仿宋_GB2312" w:hAnsi="宋体" w:eastAsia="仿宋_GB2312" w:cs="仿宋_GB2312"/>
          <w:color w:val="auto"/>
          <w:kern w:val="0"/>
          <w:sz w:val="32"/>
          <w:szCs w:val="32"/>
        </w:rPr>
      </w:pPr>
      <w:r>
        <w:rPr>
          <w:rStyle w:val="9"/>
          <w:rFonts w:hint="eastAsia" w:ascii="仿宋_GB2312" w:eastAsia="仿宋_GB2312" w:cs="仿宋_GB2312"/>
          <w:b/>
          <w:bCs/>
          <w:color w:val="auto"/>
          <w:sz w:val="32"/>
          <w:szCs w:val="32"/>
        </w:rPr>
        <w:t>继续实行旱粮生产直补政策。</w:t>
      </w:r>
      <w:r>
        <w:rPr>
          <w:rStyle w:val="9"/>
          <w:rFonts w:hint="eastAsia" w:ascii="仿宋_GB2312" w:eastAsia="仿宋_GB2312" w:cs="仿宋_GB2312"/>
          <w:color w:val="auto"/>
          <w:sz w:val="32"/>
          <w:szCs w:val="32"/>
        </w:rPr>
        <w:t>对</w:t>
      </w:r>
      <w:r>
        <w:rPr>
          <w:rStyle w:val="9"/>
          <w:rFonts w:hint="eastAsia" w:ascii="仿宋_GB2312" w:eastAsia="仿宋_GB2312" w:cs="仿宋_GB2312"/>
          <w:color w:val="auto"/>
          <w:sz w:val="32"/>
          <w:szCs w:val="32"/>
          <w:lang w:eastAsia="zh-CN"/>
        </w:rPr>
        <w:t>一季旱粮种植和“三园”地间作套种同一旱粮作物（不含大小麦）种植</w:t>
      </w:r>
      <w:r>
        <w:rPr>
          <w:rStyle w:val="9"/>
          <w:rFonts w:hint="eastAsia" w:ascii="仿宋_GB2312" w:eastAsia="仿宋_GB2312" w:cs="仿宋_GB2312"/>
          <w:color w:val="auto"/>
          <w:sz w:val="32"/>
          <w:szCs w:val="32"/>
          <w:lang w:val="en-US" w:eastAsia="zh-CN"/>
        </w:rPr>
        <w:t>50亩以上的规模化主体（含制繁种），按实际种植面积给予120元的直接补贴</w:t>
      </w:r>
      <w:r>
        <w:rPr>
          <w:rFonts w:hint="eastAsia" w:ascii="仿宋_GB2312" w:hAnsi="宋体" w:eastAsia="仿宋_GB2312" w:cs="仿宋_GB2312"/>
          <w:color w:val="auto"/>
          <w:kern w:val="0"/>
          <w:sz w:val="32"/>
          <w:szCs w:val="32"/>
        </w:rPr>
        <w:t>。</w:t>
      </w:r>
    </w:p>
    <w:p>
      <w:pPr>
        <w:keepNext w:val="0"/>
        <w:keepLines w:val="0"/>
        <w:pageBreakBefore w:val="0"/>
        <w:widowControl/>
        <w:numPr>
          <w:ilvl w:val="0"/>
          <w:numId w:val="0"/>
        </w:numPr>
        <w:shd w:val="clear" w:color="auto" w:fill="FFFFFF"/>
        <w:kinsoku/>
        <w:wordWrap/>
        <w:overflowPunct/>
        <w:bidi w:val="0"/>
        <w:spacing w:line="600" w:lineRule="exact"/>
        <w:ind w:firstLine="643" w:firstLineChars="200"/>
        <w:textAlignment w:val="auto"/>
        <w:rPr>
          <w:rFonts w:hint="eastAsia"/>
          <w:color w:val="auto"/>
        </w:rPr>
      </w:pPr>
      <w:r>
        <w:rPr>
          <w:rStyle w:val="9"/>
          <w:rFonts w:hint="eastAsia" w:ascii="仿宋_GB2312" w:eastAsia="仿宋_GB2312" w:cs="仿宋_GB2312"/>
          <w:b/>
          <w:bCs/>
          <w:color w:val="auto"/>
          <w:sz w:val="32"/>
          <w:szCs w:val="32"/>
        </w:rPr>
        <w:t>（三）完善粮食生产专业合作社联合社运作机制。</w:t>
      </w:r>
      <w:r>
        <w:rPr>
          <w:rStyle w:val="9"/>
          <w:rFonts w:hint="eastAsia" w:ascii="仿宋_GB2312" w:eastAsia="仿宋_GB2312" w:cs="仿宋_GB2312"/>
          <w:color w:val="auto"/>
          <w:sz w:val="32"/>
          <w:szCs w:val="32"/>
        </w:rPr>
        <w:t>鼓励种粮农民和规模种粮大户加入片区内粮食生产专业合作社联合社，充分发挥龙泉市粮食产业农民合作经济组织联合会的作用。加大对联合社政策扶持力度，进一步完善扶持粮食生产专业合作社联合社发展政策。</w:t>
      </w:r>
    </w:p>
    <w:p>
      <w:pPr>
        <w:keepNext w:val="0"/>
        <w:keepLines w:val="0"/>
        <w:pageBreakBefore w:val="0"/>
        <w:kinsoku/>
        <w:wordWrap/>
        <w:overflowPunct/>
        <w:autoSpaceDE w:val="0"/>
        <w:autoSpaceDN w:val="0"/>
        <w:bidi w:val="0"/>
        <w:adjustRightInd w:val="0"/>
        <w:spacing w:line="600" w:lineRule="exact"/>
        <w:ind w:firstLine="643" w:firstLineChars="200"/>
        <w:textAlignment w:val="auto"/>
        <w:rPr>
          <w:rFonts w:hint="eastAsia" w:ascii="仿宋_GB2312" w:hAnsi="宋体" w:eastAsia="仿宋_GB2312" w:cs="仿宋_GB2312"/>
          <w:color w:val="auto"/>
          <w:kern w:val="0"/>
          <w:sz w:val="32"/>
          <w:szCs w:val="32"/>
        </w:rPr>
      </w:pPr>
      <w:r>
        <w:rPr>
          <w:rStyle w:val="9"/>
          <w:rFonts w:hint="eastAsia" w:ascii="仿宋_GB2312" w:eastAsia="仿宋_GB2312" w:cs="仿宋_GB2312"/>
          <w:b/>
          <w:bCs/>
          <w:color w:val="auto"/>
          <w:sz w:val="32"/>
          <w:szCs w:val="32"/>
        </w:rPr>
        <w:t>（</w:t>
      </w:r>
      <w:r>
        <w:rPr>
          <w:rStyle w:val="9"/>
          <w:rFonts w:hint="eastAsia" w:ascii="仿宋_GB2312" w:eastAsia="仿宋_GB2312" w:cs="仿宋_GB2312"/>
          <w:b/>
          <w:bCs/>
          <w:color w:val="auto"/>
          <w:sz w:val="32"/>
          <w:szCs w:val="32"/>
          <w:lang w:eastAsia="zh-CN"/>
        </w:rPr>
        <w:t>四</w:t>
      </w:r>
      <w:r>
        <w:rPr>
          <w:rStyle w:val="9"/>
          <w:rFonts w:hint="eastAsia" w:ascii="仿宋_GB2312" w:eastAsia="仿宋_GB2312" w:cs="仿宋_GB2312"/>
          <w:b/>
          <w:bCs/>
          <w:color w:val="auto"/>
          <w:sz w:val="32"/>
          <w:szCs w:val="32"/>
        </w:rPr>
        <w:t>）开展种粮金融保险支持</w:t>
      </w:r>
      <w:r>
        <w:rPr>
          <w:rStyle w:val="9"/>
          <w:rFonts w:hint="eastAsia" w:ascii="仿宋_GB2312" w:eastAsia="仿宋_GB2312" w:cs="仿宋_GB2312"/>
          <w:color w:val="auto"/>
          <w:sz w:val="32"/>
          <w:szCs w:val="32"/>
        </w:rPr>
        <w:t>。继续</w:t>
      </w:r>
      <w:r>
        <w:rPr>
          <w:rStyle w:val="9"/>
          <w:rFonts w:hint="eastAsia" w:ascii="仿宋_GB2312" w:eastAsia="仿宋_GB2312" w:cs="仿宋_GB2312"/>
          <w:color w:val="auto"/>
          <w:sz w:val="32"/>
          <w:szCs w:val="32"/>
          <w:lang w:eastAsia="zh-CN"/>
        </w:rPr>
        <w:t>执行规模</w:t>
      </w:r>
      <w:r>
        <w:rPr>
          <w:rStyle w:val="9"/>
          <w:rFonts w:hint="eastAsia" w:ascii="仿宋_GB2312" w:eastAsia="仿宋_GB2312" w:cs="仿宋_GB2312"/>
          <w:color w:val="auto"/>
          <w:sz w:val="32"/>
          <w:szCs w:val="32"/>
        </w:rPr>
        <w:t>种粮贷款贴息政策，</w:t>
      </w:r>
      <w:r>
        <w:rPr>
          <w:rFonts w:hint="eastAsia" w:ascii="仿宋_GB2312" w:hAnsi="宋体" w:eastAsia="仿宋_GB2312" w:cs="仿宋_GB2312"/>
          <w:color w:val="auto"/>
          <w:kern w:val="0"/>
          <w:sz w:val="32"/>
          <w:szCs w:val="32"/>
          <w:lang w:eastAsia="zh-CN"/>
        </w:rPr>
        <w:t>财政按</w:t>
      </w:r>
      <w:r>
        <w:rPr>
          <w:rFonts w:hint="eastAsia" w:ascii="仿宋_GB2312" w:hAnsi="宋体" w:eastAsia="仿宋_GB2312" w:cs="仿宋_GB2312"/>
          <w:color w:val="auto"/>
          <w:kern w:val="0"/>
          <w:sz w:val="32"/>
          <w:szCs w:val="32"/>
        </w:rPr>
        <w:t>3%的</w:t>
      </w:r>
      <w:r>
        <w:rPr>
          <w:rFonts w:hint="eastAsia" w:ascii="仿宋_GB2312" w:hAnsi="宋体" w:eastAsia="仿宋_GB2312" w:cs="仿宋_GB2312"/>
          <w:color w:val="auto"/>
          <w:kern w:val="0"/>
          <w:sz w:val="32"/>
          <w:szCs w:val="32"/>
          <w:lang w:eastAsia="zh-CN"/>
        </w:rPr>
        <w:t>贴息率且不超过实际</w:t>
      </w:r>
      <w:r>
        <w:rPr>
          <w:rFonts w:hint="eastAsia" w:ascii="仿宋_GB2312" w:hAnsi="宋体" w:eastAsia="仿宋_GB2312" w:cs="仿宋_GB2312"/>
          <w:color w:val="auto"/>
          <w:kern w:val="0"/>
          <w:sz w:val="32"/>
          <w:szCs w:val="32"/>
        </w:rPr>
        <w:t>贷款</w:t>
      </w:r>
      <w:r>
        <w:rPr>
          <w:rFonts w:hint="eastAsia" w:ascii="仿宋_GB2312" w:hAnsi="宋体" w:eastAsia="仿宋_GB2312" w:cs="仿宋_GB2312"/>
          <w:color w:val="auto"/>
          <w:kern w:val="0"/>
          <w:sz w:val="32"/>
          <w:szCs w:val="32"/>
          <w:lang w:eastAsia="zh-CN"/>
        </w:rPr>
        <w:t>利率的</w:t>
      </w:r>
      <w:r>
        <w:rPr>
          <w:rFonts w:hint="eastAsia" w:ascii="仿宋_GB2312" w:hAnsi="宋体" w:eastAsia="仿宋_GB2312" w:cs="仿宋_GB2312"/>
          <w:color w:val="auto"/>
          <w:kern w:val="0"/>
          <w:sz w:val="32"/>
          <w:szCs w:val="32"/>
          <w:lang w:val="en-US" w:eastAsia="zh-CN"/>
        </w:rPr>
        <w:t>70%（两者取低值）给予贷款</w:t>
      </w:r>
      <w:r>
        <w:rPr>
          <w:rFonts w:hint="eastAsia" w:ascii="仿宋_GB2312" w:hAnsi="宋体" w:eastAsia="仿宋_GB2312" w:cs="仿宋_GB2312"/>
          <w:color w:val="auto"/>
          <w:kern w:val="0"/>
          <w:sz w:val="32"/>
          <w:szCs w:val="32"/>
        </w:rPr>
        <w:t>贴息</w:t>
      </w:r>
      <w:r>
        <w:rPr>
          <w:rFonts w:hint="eastAsia" w:ascii="仿宋_GB2312" w:hAnsi="Arial" w:eastAsia="仿宋_GB2312" w:cs="仿宋_GB2312"/>
          <w:color w:val="auto"/>
          <w:sz w:val="32"/>
          <w:szCs w:val="32"/>
        </w:rPr>
        <w:t>。</w:t>
      </w:r>
      <w:r>
        <w:rPr>
          <w:rFonts w:hint="eastAsia" w:ascii="仿宋_GB2312" w:hAnsi="Arial" w:eastAsia="仿宋_GB2312" w:cs="仿宋_GB2312"/>
          <w:color w:val="auto"/>
          <w:sz w:val="32"/>
          <w:szCs w:val="32"/>
          <w:lang w:eastAsia="zh-CN"/>
        </w:rPr>
        <w:t>鼓励</w:t>
      </w:r>
      <w:r>
        <w:rPr>
          <w:rFonts w:hint="eastAsia" w:ascii="仿宋_GB2312" w:hAnsi="Arial" w:eastAsia="仿宋_GB2312" w:cs="仿宋_GB2312"/>
          <w:color w:val="auto"/>
          <w:sz w:val="32"/>
          <w:szCs w:val="32"/>
        </w:rPr>
        <w:t>相关金融机构进一步简化审贷流程，优惠贷款利率，优化服务方式，有效满足种粮大户等金融需求(贷款可用于种子、化肥、农药、农业机械等农资的购买)。继续实施水稻、油菜生产政策性保险，</w:t>
      </w:r>
      <w:r>
        <w:rPr>
          <w:rFonts w:hint="eastAsia" w:ascii="仿宋_GB2312" w:hAnsi="宋体" w:eastAsia="仿宋_GB2312" w:cs="仿宋_GB2312"/>
          <w:color w:val="auto"/>
          <w:kern w:val="0"/>
          <w:sz w:val="32"/>
          <w:szCs w:val="32"/>
        </w:rPr>
        <w:t>保障范</w:t>
      </w:r>
      <w:r>
        <w:rPr>
          <w:rFonts w:hint="eastAsia" w:ascii="仿宋_GB2312" w:hAnsi="Arial" w:eastAsia="仿宋_GB2312" w:cs="仿宋_GB2312"/>
          <w:color w:val="auto"/>
          <w:sz w:val="32"/>
          <w:szCs w:val="32"/>
        </w:rPr>
        <w:t>围为旱灾、台</w:t>
      </w:r>
      <w:r>
        <w:rPr>
          <w:rFonts w:hint="eastAsia" w:ascii="仿宋_GB2312" w:hAnsi="宋体" w:eastAsia="仿宋_GB2312" w:cs="仿宋_GB2312"/>
          <w:color w:val="auto"/>
          <w:kern w:val="0"/>
          <w:sz w:val="32"/>
          <w:szCs w:val="32"/>
        </w:rPr>
        <w:t>风、暴风雨、洪涝和主要病虫害等造成的损失。水稻保额为每亩1000元，由政府统保。油菜保额每亩500元，</w:t>
      </w:r>
      <w:r>
        <w:rPr>
          <w:rFonts w:hint="eastAsia" w:ascii="仿宋_GB2312" w:hAnsi="Arial" w:eastAsia="仿宋_GB2312" w:cs="仿宋_GB2312"/>
          <w:color w:val="auto"/>
          <w:sz w:val="32"/>
          <w:szCs w:val="32"/>
        </w:rPr>
        <w:t>参加油菜</w:t>
      </w:r>
      <w:r>
        <w:rPr>
          <w:rFonts w:hint="eastAsia" w:ascii="仿宋_GB2312" w:hAnsi="宋体" w:eastAsia="仿宋_GB2312" w:cs="仿宋_GB2312"/>
          <w:color w:val="auto"/>
          <w:kern w:val="0"/>
          <w:sz w:val="32"/>
          <w:szCs w:val="32"/>
        </w:rPr>
        <w:t>保险的农户，政府给予90%的保费补助。</w:t>
      </w:r>
      <w:r>
        <w:rPr>
          <w:rFonts w:hint="eastAsia" w:ascii="仿宋_GB2312" w:hAnsi="宋体" w:eastAsia="仿宋_GB2312" w:cs="仿宋_GB2312"/>
          <w:color w:val="auto"/>
          <w:kern w:val="0"/>
          <w:sz w:val="32"/>
          <w:szCs w:val="32"/>
          <w:lang w:val="en-US" w:eastAsia="zh-CN"/>
        </w:rPr>
        <w:t>继续实施龙泉市油茶气象指数保险，保障范围：</w:t>
      </w:r>
      <w:r>
        <w:rPr>
          <w:rFonts w:hint="eastAsia" w:ascii="仿宋_GB2312" w:hAnsi="宋体" w:eastAsia="仿宋_GB2312" w:cs="Calibri"/>
          <w:color w:val="auto"/>
          <w:kern w:val="0"/>
          <w:sz w:val="32"/>
          <w:szCs w:val="32"/>
        </w:rPr>
        <w:t>在保险期间内，</w:t>
      </w:r>
      <w:r>
        <w:rPr>
          <w:rFonts w:hint="eastAsia" w:ascii="仿宋_GB2312" w:hAnsi="宋体" w:eastAsia="仿宋_GB2312" w:cs="Calibri"/>
          <w:color w:val="auto"/>
          <w:kern w:val="0"/>
          <w:sz w:val="32"/>
          <w:szCs w:val="32"/>
          <w:lang w:val="en-US" w:eastAsia="zh-CN"/>
        </w:rPr>
        <w:t>因</w:t>
      </w:r>
      <w:r>
        <w:rPr>
          <w:rFonts w:hint="eastAsia" w:ascii="仿宋_GB2312" w:hAnsi="宋体" w:eastAsia="仿宋_GB2312" w:cs="Calibri"/>
          <w:color w:val="auto"/>
          <w:kern w:val="0"/>
          <w:sz w:val="32"/>
          <w:szCs w:val="32"/>
        </w:rPr>
        <w:t>低温天气</w:t>
      </w:r>
      <w:r>
        <w:rPr>
          <w:rFonts w:hint="eastAsia" w:ascii="仿宋_GB2312" w:hAnsi="宋体" w:eastAsia="仿宋_GB2312" w:cs="Calibri"/>
          <w:color w:val="auto"/>
          <w:kern w:val="0"/>
          <w:sz w:val="32"/>
          <w:szCs w:val="32"/>
          <w:lang w:val="en-US" w:eastAsia="zh-CN"/>
        </w:rPr>
        <w:t>造成的损失。</w:t>
      </w:r>
      <w:r>
        <w:rPr>
          <w:rFonts w:hint="eastAsia" w:ascii="仿宋_GB2312" w:hAnsi="宋体" w:eastAsia="仿宋_GB2312" w:cs="仿宋_GB2312"/>
          <w:color w:val="auto"/>
          <w:kern w:val="0"/>
          <w:sz w:val="32"/>
          <w:szCs w:val="32"/>
          <w:lang w:val="en-US" w:eastAsia="zh-CN"/>
        </w:rPr>
        <w:t>每亩保额2000元，参加保险的农户政府给予70%补助。</w:t>
      </w:r>
      <w:r>
        <w:rPr>
          <w:rFonts w:hint="eastAsia" w:ascii="仿宋_GB2312" w:hAnsi="Arial" w:eastAsia="仿宋_GB2312" w:cs="仿宋_GB2312"/>
          <w:color w:val="auto"/>
          <w:sz w:val="32"/>
          <w:szCs w:val="32"/>
          <w:lang w:val="en-US" w:eastAsia="zh-CN"/>
        </w:rPr>
        <w:t>全面实施政策性水稻种植完全成本保险，继续实施小麦、油菜种植和杂交水稻制种政策性农业保险政策。</w:t>
      </w:r>
      <w:r>
        <w:rPr>
          <w:rFonts w:hint="eastAsia" w:ascii="仿宋_GB2312" w:hAnsi="宋体" w:eastAsia="仿宋_GB2312" w:cs="仿宋_GB2312"/>
          <w:color w:val="auto"/>
          <w:kern w:val="0"/>
          <w:sz w:val="32"/>
          <w:szCs w:val="32"/>
        </w:rPr>
        <w:t>切实落实好水稻、油菜</w:t>
      </w:r>
      <w:r>
        <w:rPr>
          <w:rFonts w:hint="eastAsia" w:ascii="仿宋_GB2312" w:hAnsi="宋体" w:eastAsia="仿宋_GB2312" w:cs="仿宋_GB2312"/>
          <w:color w:val="auto"/>
          <w:kern w:val="0"/>
          <w:sz w:val="32"/>
          <w:szCs w:val="32"/>
          <w:lang w:eastAsia="zh-CN"/>
        </w:rPr>
        <w:t>、油茶</w:t>
      </w:r>
      <w:r>
        <w:rPr>
          <w:rFonts w:hint="eastAsia" w:ascii="仿宋_GB2312" w:hAnsi="宋体" w:eastAsia="仿宋_GB2312" w:cs="仿宋_GB2312"/>
          <w:color w:val="auto"/>
          <w:kern w:val="0"/>
          <w:sz w:val="32"/>
          <w:szCs w:val="32"/>
        </w:rPr>
        <w:t>保险政策，提高风险保障水平，降低粮食生产风险。</w:t>
      </w:r>
    </w:p>
    <w:p>
      <w:pPr>
        <w:keepNext w:val="0"/>
        <w:keepLines w:val="0"/>
        <w:pageBreakBefore w:val="0"/>
        <w:widowControl/>
        <w:shd w:val="clear" w:color="auto" w:fill="FFFFFF"/>
        <w:kinsoku/>
        <w:wordWrap/>
        <w:overflowPunct/>
        <w:bidi w:val="0"/>
        <w:spacing w:line="600" w:lineRule="exact"/>
        <w:ind w:firstLine="643" w:firstLineChars="200"/>
        <w:textAlignment w:val="auto"/>
        <w:rPr>
          <w:rStyle w:val="9"/>
          <w:rFonts w:hint="eastAsia" w:ascii="仿宋_GB2312" w:eastAsia="仿宋_GB2312" w:cs="仿宋_GB2312"/>
          <w:color w:val="auto"/>
          <w:kern w:val="2"/>
          <w:sz w:val="32"/>
          <w:szCs w:val="32"/>
          <w:lang w:val="en-US" w:eastAsia="zh-CN" w:bidi="ar-SA"/>
        </w:rPr>
      </w:pPr>
      <w:r>
        <w:rPr>
          <w:rStyle w:val="9"/>
          <w:rFonts w:hint="eastAsia" w:ascii="仿宋_GB2312" w:eastAsia="仿宋_GB2312" w:cs="仿宋_GB2312"/>
          <w:b/>
          <w:bCs/>
          <w:color w:val="auto"/>
          <w:sz w:val="32"/>
          <w:szCs w:val="32"/>
        </w:rPr>
        <w:t>（</w:t>
      </w:r>
      <w:r>
        <w:rPr>
          <w:rStyle w:val="9"/>
          <w:rFonts w:hint="eastAsia" w:ascii="仿宋_GB2312" w:eastAsia="仿宋_GB2312" w:cs="仿宋_GB2312"/>
          <w:b/>
          <w:bCs/>
          <w:color w:val="auto"/>
          <w:sz w:val="32"/>
          <w:szCs w:val="32"/>
          <w:lang w:eastAsia="zh-CN"/>
        </w:rPr>
        <w:t>五</w:t>
      </w:r>
      <w:r>
        <w:rPr>
          <w:rStyle w:val="9"/>
          <w:rFonts w:hint="eastAsia" w:ascii="仿宋_GB2312" w:eastAsia="仿宋_GB2312" w:cs="仿宋_GB2312"/>
          <w:b/>
          <w:bCs/>
          <w:color w:val="auto"/>
          <w:sz w:val="32"/>
          <w:szCs w:val="32"/>
        </w:rPr>
        <w:t>）</w:t>
      </w:r>
      <w:r>
        <w:rPr>
          <w:rStyle w:val="9"/>
          <w:rFonts w:hint="eastAsia" w:ascii="仿宋_GB2312" w:eastAsia="仿宋_GB2312" w:cs="仿宋_GB2312"/>
          <w:b/>
          <w:bCs/>
          <w:color w:val="auto"/>
          <w:kern w:val="2"/>
          <w:sz w:val="32"/>
          <w:szCs w:val="32"/>
          <w:lang w:val="en-US" w:eastAsia="zh-CN" w:bidi="ar-SA"/>
        </w:rPr>
        <w:t>完善用地政策，引导扶持粮食规模生产主体。</w:t>
      </w:r>
      <w:r>
        <w:rPr>
          <w:rStyle w:val="9"/>
          <w:rFonts w:hint="eastAsia" w:ascii="仿宋_GB2312" w:eastAsia="仿宋_GB2312" w:cs="仿宋_GB2312"/>
          <w:color w:val="auto"/>
          <w:kern w:val="2"/>
          <w:sz w:val="32"/>
          <w:szCs w:val="32"/>
          <w:lang w:val="en-US" w:eastAsia="zh-CN" w:bidi="ar-SA"/>
        </w:rPr>
        <w:t>切实落实产加销配套设施用地、用电政策和扩大稻米加工机械购置补贴范围，对规模化粮食生产经营主体育秧、稻谷加工、烘干、农机具存放等用地予以保障，鼓励各地对种子加工、粮食仓储、粮食生产配套农资经营等建设用地予以支持。</w:t>
      </w:r>
      <w:r>
        <w:rPr>
          <w:rStyle w:val="9"/>
          <w:rFonts w:hint="eastAsia" w:ascii="仿宋_GB2312" w:eastAsia="仿宋_GB2312" w:cs="仿宋_GB2312"/>
          <w:color w:val="auto"/>
          <w:sz w:val="32"/>
          <w:szCs w:val="32"/>
          <w:lang w:val="zh-CN"/>
        </w:rPr>
        <w:t>积极扶持新增种粮大户等粮食生产经营主体，扶持新建粮食贮藏冷库、农事服务中心和粮食加工厂提升项目。</w:t>
      </w:r>
    </w:p>
    <w:p>
      <w:pPr>
        <w:keepNext w:val="0"/>
        <w:keepLines w:val="0"/>
        <w:pageBreakBefore w:val="0"/>
        <w:widowControl/>
        <w:shd w:val="clear" w:color="auto" w:fill="FFFFFF"/>
        <w:kinsoku/>
        <w:wordWrap/>
        <w:overflowPunct/>
        <w:bidi w:val="0"/>
        <w:spacing w:line="600" w:lineRule="exact"/>
        <w:ind w:firstLine="640" w:firstLineChars="200"/>
        <w:textAlignment w:val="auto"/>
        <w:rPr>
          <w:rFonts w:hint="eastAsia" w:ascii="黑体" w:hAnsi="黑体" w:eastAsia="黑体"/>
          <w:bCs/>
          <w:color w:val="auto"/>
          <w:kern w:val="0"/>
          <w:sz w:val="32"/>
          <w:szCs w:val="32"/>
          <w:lang w:eastAsia="zh-CN"/>
        </w:rPr>
      </w:pPr>
      <w:r>
        <w:rPr>
          <w:rFonts w:hint="eastAsia" w:ascii="黑体" w:hAnsi="黑体" w:eastAsia="黑体" w:cs="仿宋_GB2312"/>
          <w:bCs/>
          <w:color w:val="auto"/>
          <w:kern w:val="0"/>
          <w:sz w:val="32"/>
          <w:szCs w:val="32"/>
        </w:rPr>
        <w:t>三、</w:t>
      </w:r>
      <w:r>
        <w:rPr>
          <w:rFonts w:hint="eastAsia" w:ascii="黑体" w:hAnsi="黑体" w:eastAsia="黑体" w:cs="仿宋_GB2312"/>
          <w:bCs/>
          <w:color w:val="auto"/>
          <w:kern w:val="0"/>
          <w:sz w:val="32"/>
          <w:szCs w:val="32"/>
          <w:lang w:eastAsia="zh-CN"/>
        </w:rPr>
        <w:t>创新完善生产</w:t>
      </w:r>
      <w:r>
        <w:rPr>
          <w:rFonts w:hint="eastAsia" w:ascii="黑体" w:hAnsi="黑体" w:eastAsia="黑体" w:cs="仿宋_GB2312"/>
          <w:bCs/>
          <w:color w:val="auto"/>
          <w:kern w:val="0"/>
          <w:sz w:val="32"/>
          <w:szCs w:val="32"/>
        </w:rPr>
        <w:t>经营</w:t>
      </w:r>
      <w:r>
        <w:rPr>
          <w:rFonts w:hint="eastAsia" w:ascii="黑体" w:hAnsi="黑体" w:eastAsia="黑体" w:cs="仿宋_GB2312"/>
          <w:bCs/>
          <w:color w:val="auto"/>
          <w:kern w:val="0"/>
          <w:sz w:val="32"/>
          <w:szCs w:val="32"/>
          <w:lang w:eastAsia="zh-CN"/>
        </w:rPr>
        <w:t>机制</w:t>
      </w:r>
    </w:p>
    <w:p>
      <w:pPr>
        <w:keepNext w:val="0"/>
        <w:keepLines w:val="0"/>
        <w:pageBreakBefore w:val="0"/>
        <w:widowControl/>
        <w:shd w:val="clear" w:color="auto" w:fill="FFFFFF"/>
        <w:kinsoku/>
        <w:wordWrap/>
        <w:overflowPunct/>
        <w:bidi w:val="0"/>
        <w:spacing w:line="600" w:lineRule="exact"/>
        <w:ind w:firstLine="640" w:firstLineChars="200"/>
        <w:textAlignment w:val="auto"/>
        <w:rPr>
          <w:rStyle w:val="9"/>
          <w:rFonts w:hint="default" w:ascii="仿宋_GB2312" w:eastAsia="仿宋_GB2312" w:cs="仿宋_GB2312"/>
          <w:color w:val="auto"/>
          <w:sz w:val="32"/>
          <w:szCs w:val="32"/>
          <w:lang w:val="en-US" w:eastAsia="zh-CN"/>
        </w:rPr>
      </w:pPr>
      <w:r>
        <w:rPr>
          <w:rStyle w:val="9"/>
          <w:rFonts w:hint="eastAsia" w:ascii="仿宋_GB2312" w:eastAsia="仿宋_GB2312" w:cs="仿宋_GB2312"/>
          <w:color w:val="auto"/>
          <w:sz w:val="32"/>
          <w:szCs w:val="32"/>
          <w:lang w:eastAsia="zh-CN"/>
        </w:rPr>
        <w:t>鼓励规模粮油经营主体立足生产，开展粮油加工、销售一体化经营，延伸产业链、价值链，提高粮油生产附加值。大力推广粮经轮作、水旱轮作、农牧结合、综合种养等“千斤粮万元钱”生产模式，充分利用中低产田、低洼田、冬闲田等地块潜力开展稻渔综合种养，努力增加农民经营收益。引导连片土地集中流转，大力支持现代化农事服务中心建设，着力推进粮油生产规模化、经营产业化、服务社会化。大力推行以股份合作为主导的林地经营权规模化流转，建立以“强村公司”等为主导的流转收储平台，推动实施油茶林地规模化经营。培育优质粮油品牌，组织“丽水好稻米”、“浙江好稻米”和“浙江好粮油”产品推选活动，提高粮油品牌影响力。</w:t>
      </w:r>
    </w:p>
    <w:p>
      <w:pPr>
        <w:keepNext w:val="0"/>
        <w:keepLines w:val="0"/>
        <w:pageBreakBefore w:val="0"/>
        <w:widowControl/>
        <w:kinsoku/>
        <w:wordWrap/>
        <w:overflowPunct/>
        <w:bidi w:val="0"/>
        <w:spacing w:line="600" w:lineRule="exact"/>
        <w:ind w:firstLine="640" w:firstLineChars="200"/>
        <w:textAlignment w:val="auto"/>
        <w:rPr>
          <w:color w:val="auto"/>
        </w:rPr>
      </w:pPr>
      <w:r>
        <w:rPr>
          <w:rFonts w:hint="eastAsia" w:ascii="黑体" w:hAnsi="黑体" w:eastAsia="黑体" w:cs="仿宋_GB2312"/>
          <w:bCs/>
          <w:color w:val="auto"/>
          <w:kern w:val="0"/>
          <w:sz w:val="32"/>
          <w:szCs w:val="32"/>
        </w:rPr>
        <w:t>四、严格粮食生产功能区管护与利用</w:t>
      </w:r>
    </w:p>
    <w:p>
      <w:pPr>
        <w:keepNext w:val="0"/>
        <w:keepLines w:val="0"/>
        <w:pageBreakBefore w:val="0"/>
        <w:widowControl/>
        <w:kinsoku/>
        <w:wordWrap/>
        <w:overflowPunct/>
        <w:bidi w:val="0"/>
        <w:spacing w:line="600" w:lineRule="exact"/>
        <w:ind w:firstLine="640" w:firstLineChars="200"/>
        <w:textAlignment w:val="auto"/>
        <w:rPr>
          <w:rStyle w:val="9"/>
          <w:rFonts w:hint="eastAsia" w:ascii="仿宋_GB2312" w:eastAsia="仿宋_GB2312" w:cs="仿宋_GB2312"/>
          <w:color w:val="auto"/>
          <w:sz w:val="32"/>
          <w:szCs w:val="32"/>
        </w:rPr>
      </w:pPr>
      <w:r>
        <w:rPr>
          <w:rStyle w:val="9"/>
          <w:rFonts w:hint="eastAsia" w:ascii="仿宋_GB2312" w:eastAsia="仿宋_GB2312" w:cs="仿宋_GB2312"/>
          <w:color w:val="auto"/>
          <w:sz w:val="32"/>
          <w:szCs w:val="32"/>
        </w:rPr>
        <w:t>落实最严格的耕地保护制度，提升“田长制+耕地智保”实战实效，夯实“人防+技防”耕地保护机制，改革完善耕地占补平衡制度，坚决守住耕地红线。协同推进土地综合整治和高标准农田建设，加快推进“多田套合”，逐步把永久基本农田全部建成高标准农田。加强耕地用途管控，坚决遏制耕地“非农化”、防止永久基本农田“非粮化”，引导永久基本农田重点用于粮食生产，确保粮食生产功能区种植一季以上粮食作物，严格治理耕地抛荒。粮食生产功能区内种植多年生经济作物、苗木和挖塘养殖水产的，不得享受耕地地力保护</w:t>
      </w:r>
      <w:r>
        <w:rPr>
          <w:color w:val="auto"/>
        </w:rPr>
        <w:fldChar w:fldCharType="begin"/>
      </w:r>
      <w:r>
        <w:rPr>
          <w:color w:val="auto"/>
        </w:rPr>
        <w:instrText xml:space="preserve"> HYPERLINK "https://www.tuliu.com/baike/list-c3" \t "_blank" </w:instrText>
      </w:r>
      <w:r>
        <w:rPr>
          <w:color w:val="auto"/>
        </w:rPr>
        <w:fldChar w:fldCharType="separate"/>
      </w:r>
      <w:r>
        <w:rPr>
          <w:rStyle w:val="9"/>
          <w:rFonts w:hint="eastAsia" w:ascii="仿宋_GB2312" w:eastAsia="仿宋_GB2312" w:cs="仿宋_GB2312"/>
          <w:color w:val="auto"/>
          <w:sz w:val="32"/>
          <w:szCs w:val="32"/>
        </w:rPr>
        <w:t>补贴</w:t>
      </w:r>
      <w:r>
        <w:rPr>
          <w:rStyle w:val="9"/>
          <w:rFonts w:hint="eastAsia" w:ascii="仿宋_GB2312" w:eastAsia="仿宋_GB2312" w:cs="仿宋_GB2312"/>
          <w:color w:val="auto"/>
          <w:sz w:val="32"/>
          <w:szCs w:val="32"/>
        </w:rPr>
        <w:fldChar w:fldCharType="end"/>
      </w:r>
      <w:r>
        <w:rPr>
          <w:rStyle w:val="9"/>
          <w:rFonts w:hint="eastAsia" w:ascii="仿宋_GB2312" w:eastAsia="仿宋_GB2312" w:cs="仿宋_GB2312"/>
          <w:color w:val="auto"/>
          <w:sz w:val="32"/>
          <w:szCs w:val="32"/>
        </w:rPr>
        <w:t>资金，并按有关规定督促农业生产者恢复粮食生产功能区种粮属性。</w:t>
      </w:r>
    </w:p>
    <w:p>
      <w:pPr>
        <w:keepNext w:val="0"/>
        <w:keepLines w:val="0"/>
        <w:pageBreakBefore w:val="0"/>
        <w:widowControl/>
        <w:kinsoku/>
        <w:wordWrap/>
        <w:overflowPunct/>
        <w:bidi w:val="0"/>
        <w:spacing w:line="600" w:lineRule="exact"/>
        <w:ind w:firstLine="640" w:firstLineChars="200"/>
        <w:textAlignment w:val="auto"/>
        <w:rPr>
          <w:rFonts w:ascii="仿宋_GB2312" w:eastAsia="仿宋_GB2312" w:cs="仿宋_GB2312"/>
          <w:color w:val="auto"/>
          <w:sz w:val="32"/>
          <w:szCs w:val="32"/>
        </w:rPr>
      </w:pPr>
      <w:r>
        <w:rPr>
          <w:rStyle w:val="9"/>
          <w:rFonts w:hint="eastAsia" w:ascii="仿宋_GB2312" w:eastAsia="仿宋_GB2312" w:cs="仿宋_GB2312"/>
          <w:color w:val="auto"/>
          <w:sz w:val="32"/>
          <w:szCs w:val="32"/>
        </w:rPr>
        <w:t>政府统筹相关资金集中支持粮食生产功能区提标改造，重点扶持粮食生产功能区农田基础设施修建和配套服务设施建设等环节；安排水稻生态补偿和以奖代补等资金，用于支持粮食生产功</w:t>
      </w:r>
      <w:r>
        <w:rPr>
          <w:rFonts w:hint="eastAsia" w:ascii="仿宋_GB2312" w:eastAsia="仿宋_GB2312" w:cs="仿宋_GB2312"/>
          <w:color w:val="auto"/>
          <w:sz w:val="32"/>
          <w:szCs w:val="32"/>
        </w:rPr>
        <w:t>能区种粮保护和基础设施管护等工作。切实强化部门协同推进，统筹高标准农田建设、农业综合开发、土地整治、农田水利建设等各类农田建设资金，用于粮食生产功能区建设。</w:t>
      </w:r>
    </w:p>
    <w:p>
      <w:pPr>
        <w:keepNext w:val="0"/>
        <w:keepLines w:val="0"/>
        <w:pageBreakBefore w:val="0"/>
        <w:widowControl/>
        <w:kinsoku/>
        <w:wordWrap/>
        <w:overflowPunct/>
        <w:bidi w:val="0"/>
        <w:spacing w:line="600" w:lineRule="exact"/>
        <w:ind w:firstLine="640" w:firstLineChars="200"/>
        <w:textAlignment w:val="auto"/>
        <w:rPr>
          <w:rFonts w:ascii="黑体" w:hAnsi="黑体" w:eastAsia="黑体"/>
          <w:bCs/>
          <w:color w:val="auto"/>
          <w:kern w:val="0"/>
        </w:rPr>
      </w:pPr>
      <w:r>
        <w:rPr>
          <w:rFonts w:hint="eastAsia" w:ascii="黑体" w:hAnsi="黑体" w:eastAsia="黑体" w:cs="仿宋_GB2312"/>
          <w:bCs/>
          <w:color w:val="auto"/>
          <w:kern w:val="0"/>
          <w:sz w:val="32"/>
          <w:szCs w:val="32"/>
        </w:rPr>
        <w:t>五、加强耕地质量建设与保护</w:t>
      </w:r>
    </w:p>
    <w:p>
      <w:pPr>
        <w:keepNext w:val="0"/>
        <w:keepLines w:val="0"/>
        <w:pageBreakBefore w:val="0"/>
        <w:widowControl w:val="0"/>
        <w:suppressLineNumbers w:val="0"/>
        <w:kinsoku/>
        <w:wordWrap/>
        <w:overflowPunct/>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eastAsia="仿宋_GB2312" w:cs="仿宋_GB2312"/>
          <w:color w:val="auto"/>
          <w:sz w:val="32"/>
          <w:szCs w:val="32"/>
        </w:rPr>
      </w:pPr>
      <w:r>
        <w:rPr>
          <w:rFonts w:hint="eastAsia" w:ascii="仿宋_GB2312" w:hAnsi="仿宋" w:eastAsia="仿宋_GB2312" w:cs="仿宋_GB2312"/>
          <w:color w:val="auto"/>
          <w:sz w:val="32"/>
          <w:szCs w:val="32"/>
        </w:rPr>
        <w:t>着力推动“藏粮于地”落实，加强优质耕地保护。</w:t>
      </w:r>
      <w:r>
        <w:rPr>
          <w:rFonts w:hint="eastAsia" w:ascii="仿宋_GB2312" w:hAnsi="仿宋" w:eastAsia="仿宋_GB2312" w:cs="仿宋_GB2312"/>
          <w:color w:val="auto"/>
          <w:sz w:val="32"/>
          <w:szCs w:val="32"/>
          <w:lang w:eastAsia="zh-CN"/>
        </w:rPr>
        <w:t>平原地区复耕的抛荒地，优先用于粮食生产；丘陵地区和山区根据立地条件、产业基础，坚持宜粮则粮、宜经则经，发展粮食、蔬菜等作物生产。</w:t>
      </w:r>
      <w:r>
        <w:rPr>
          <w:rFonts w:hint="eastAsia" w:ascii="仿宋_GB2312" w:eastAsia="仿宋_GB2312" w:cs="仿宋_GB2312"/>
          <w:color w:val="auto"/>
          <w:sz w:val="32"/>
          <w:szCs w:val="32"/>
        </w:rPr>
        <w:t>实施耕地质量保护与提升行动，全面实行永久基本农田特殊保护制度，推进高标准农田建设，稳步提升耕地质量。组织实施标准农田质量提升、中低产田地力提升、沃土工程、</w:t>
      </w:r>
      <w:r>
        <w:rPr>
          <w:rFonts w:hint="default" w:ascii="仿宋_GB2312" w:eastAsia="仿宋_GB2312" w:cs="仿宋_GB2312"/>
          <w:color w:val="auto"/>
          <w:sz w:val="32"/>
          <w:szCs w:val="32"/>
        </w:rPr>
        <w:t>主要农作物配方肥推广</w:t>
      </w:r>
      <w:r>
        <w:rPr>
          <w:rFonts w:hint="eastAsia" w:ascii="仿宋_GB2312" w:eastAsia="仿宋_GB2312" w:cs="仿宋_GB2312"/>
          <w:color w:val="auto"/>
          <w:sz w:val="32"/>
          <w:szCs w:val="32"/>
        </w:rPr>
        <w:t>等促进地力提升项目，遏制耕地质量下降趋势</w:t>
      </w:r>
      <w:r>
        <w:rPr>
          <w:rFonts w:hint="eastAsia" w:ascii="仿宋_GB2312" w:eastAsia="仿宋_GB2312"/>
          <w:color w:val="auto"/>
          <w:sz w:val="32"/>
          <w:szCs w:val="32"/>
        </w:rPr>
        <w:t>,</w:t>
      </w:r>
      <w:r>
        <w:rPr>
          <w:rFonts w:hint="eastAsia" w:ascii="仿宋_GB2312" w:eastAsia="仿宋_GB2312" w:cs="仿宋_GB2312"/>
          <w:color w:val="auto"/>
          <w:sz w:val="32"/>
          <w:szCs w:val="32"/>
        </w:rPr>
        <w:t>持续提升土壤肥力，打造良田沃土。加快推进农业“两区”土壤污染防治，开展粮食生产禁止区划定试点。加快推进土壤污染防治，</w:t>
      </w:r>
      <w:r>
        <w:rPr>
          <w:rFonts w:hint="eastAsia" w:ascii="仿宋_GB2312" w:eastAsia="仿宋_GB2312" w:cs="仿宋_GB2312"/>
          <w:color w:val="auto"/>
          <w:sz w:val="32"/>
          <w:szCs w:val="32"/>
          <w:lang w:val="en-US" w:eastAsia="zh-CN"/>
        </w:rPr>
        <w:t>扎实推进化肥农药定额制</w:t>
      </w:r>
      <w:r>
        <w:rPr>
          <w:rFonts w:hint="eastAsia" w:ascii="仿宋_GB2312" w:eastAsia="仿宋_GB2312" w:cs="仿宋_GB2312"/>
          <w:color w:val="auto"/>
          <w:sz w:val="32"/>
          <w:szCs w:val="32"/>
        </w:rPr>
        <w:t>，减少不合理投入数量，推进轻度和中度污染耕地安全利用，加强重度污染耕地用途管控，建立完善农田土壤污染监测预警机制，努力遏制和扭转土壤污染加重趋势。</w:t>
      </w:r>
    </w:p>
    <w:p>
      <w:pPr>
        <w:keepNext w:val="0"/>
        <w:keepLines w:val="0"/>
        <w:pageBreakBefore w:val="0"/>
        <w:widowControl w:val="0"/>
        <w:suppressLineNumbers w:val="0"/>
        <w:kinsoku/>
        <w:wordWrap/>
        <w:overflowPunct/>
        <w:bidi w:val="0"/>
        <w:adjustRightInd w:val="0"/>
        <w:snapToGrid w:val="0"/>
        <w:spacing w:before="0" w:beforeAutospacing="0" w:after="0" w:afterAutospacing="0" w:line="600" w:lineRule="exact"/>
        <w:ind w:left="0" w:right="0" w:firstLine="640" w:firstLineChars="200"/>
        <w:jc w:val="both"/>
        <w:textAlignment w:val="auto"/>
        <w:rPr>
          <w:rFonts w:ascii="黑体" w:hAnsi="黑体" w:eastAsia="黑体"/>
          <w:bCs/>
          <w:color w:val="auto"/>
          <w:kern w:val="0"/>
          <w:sz w:val="32"/>
          <w:szCs w:val="32"/>
        </w:rPr>
      </w:pPr>
      <w:r>
        <w:rPr>
          <w:rFonts w:hint="eastAsia" w:ascii="黑体" w:hAnsi="黑体" w:eastAsia="黑体" w:cs="仿宋_GB2312"/>
          <w:bCs/>
          <w:color w:val="auto"/>
          <w:kern w:val="0"/>
          <w:sz w:val="32"/>
          <w:szCs w:val="32"/>
        </w:rPr>
        <w:t>六、深入开展粮食绿色高产高效创建</w:t>
      </w:r>
    </w:p>
    <w:p>
      <w:pPr>
        <w:keepNext w:val="0"/>
        <w:keepLines w:val="0"/>
        <w:pageBreakBefore w:val="0"/>
        <w:widowControl/>
        <w:kinsoku/>
        <w:wordWrap/>
        <w:overflowPunct/>
        <w:bidi w:val="0"/>
        <w:spacing w:line="600" w:lineRule="exact"/>
        <w:ind w:firstLine="640" w:firstLineChars="200"/>
        <w:textAlignment w:val="auto"/>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依靠科技和模式创新，不断挖掘粮食综合增产潜力和提高科技兴粮水平，推广应用统一育插秧、测土配方施肥、统防统治和绿色防控等适用技术和绿色增产模式，实现稳粮增效、绿色发展。组织开展省级粮食作物高产创建示范片建设，实施粮食绿色增产模式和水稻高产攻关行动，提高粮食单产水平，提升粮食综合生产能力。省财政安排专项资金用于实施水稻高产创建示范片和旱粮示范方建设项目，选择有关乡镇（街道）建立水稻高产创建千亩示范片</w:t>
      </w:r>
      <w:r>
        <w:rPr>
          <w:rFonts w:hint="eastAsia" w:ascii="仿宋_GB2312" w:hAnsi="宋体" w:eastAsia="仿宋_GB2312" w:cs="仿宋_GB2312"/>
          <w:color w:val="auto"/>
          <w:kern w:val="0"/>
          <w:sz w:val="32"/>
          <w:szCs w:val="32"/>
          <w:lang w:val="en-US" w:eastAsia="zh-CN"/>
        </w:rPr>
        <w:t>7</w:t>
      </w:r>
      <w:r>
        <w:rPr>
          <w:rFonts w:hint="eastAsia" w:ascii="仿宋_GB2312" w:hAnsi="宋体" w:eastAsia="仿宋_GB2312" w:cs="仿宋_GB2312"/>
          <w:color w:val="auto"/>
          <w:kern w:val="0"/>
          <w:sz w:val="32"/>
          <w:szCs w:val="32"/>
        </w:rPr>
        <w:t>个，旱粮百亩示范方</w:t>
      </w:r>
      <w:r>
        <w:rPr>
          <w:rFonts w:hint="eastAsia" w:ascii="仿宋_GB2312" w:hAnsi="宋体" w:eastAsia="仿宋_GB2312" w:cs="仿宋_GB2312"/>
          <w:color w:val="auto"/>
          <w:kern w:val="0"/>
          <w:sz w:val="32"/>
          <w:szCs w:val="32"/>
          <w:lang w:val="en-US" w:eastAsia="zh-CN"/>
        </w:rPr>
        <w:t>3</w:t>
      </w:r>
      <w:r>
        <w:rPr>
          <w:rFonts w:hint="eastAsia" w:ascii="仿宋_GB2312" w:hAnsi="宋体" w:eastAsia="仿宋_GB2312" w:cs="仿宋_GB2312"/>
          <w:color w:val="auto"/>
          <w:kern w:val="0"/>
          <w:sz w:val="32"/>
          <w:szCs w:val="32"/>
        </w:rPr>
        <w:t>个，</w:t>
      </w:r>
      <w:r>
        <w:rPr>
          <w:rFonts w:hint="eastAsia" w:ascii="仿宋_GB2312" w:hAnsi="宋体" w:eastAsia="仿宋_GB2312" w:cs="仿宋_GB2312"/>
          <w:color w:val="auto"/>
          <w:kern w:val="0"/>
          <w:sz w:val="32"/>
          <w:szCs w:val="32"/>
          <w:lang w:eastAsia="zh-CN"/>
        </w:rPr>
        <w:t>油菜百亩</w:t>
      </w:r>
      <w:r>
        <w:rPr>
          <w:rFonts w:hint="eastAsia" w:ascii="仿宋_GB2312" w:hAnsi="宋体" w:eastAsia="仿宋_GB2312" w:cs="仿宋_GB2312"/>
          <w:color w:val="auto"/>
          <w:kern w:val="0"/>
          <w:sz w:val="32"/>
          <w:szCs w:val="32"/>
        </w:rPr>
        <w:t>示范方</w:t>
      </w:r>
      <w:r>
        <w:rPr>
          <w:rFonts w:hint="eastAsia" w:ascii="仿宋_GB2312" w:hAnsi="宋体" w:eastAsia="仿宋_GB2312" w:cs="仿宋_GB2312"/>
          <w:color w:val="auto"/>
          <w:kern w:val="0"/>
          <w:sz w:val="32"/>
          <w:szCs w:val="32"/>
          <w:lang w:val="en-US" w:eastAsia="zh-CN"/>
        </w:rPr>
        <w:t>2个,</w:t>
      </w:r>
      <w:r>
        <w:rPr>
          <w:rFonts w:hint="eastAsia" w:ascii="仿宋_GB2312" w:hAnsi="宋体" w:eastAsia="仿宋_GB2312" w:cs="仿宋_GB2312"/>
          <w:color w:val="auto"/>
          <w:kern w:val="0"/>
          <w:sz w:val="32"/>
          <w:szCs w:val="32"/>
        </w:rPr>
        <w:t>整体提升粮食生产水平。</w:t>
      </w:r>
    </w:p>
    <w:p>
      <w:pPr>
        <w:keepNext w:val="0"/>
        <w:keepLines w:val="0"/>
        <w:pageBreakBefore w:val="0"/>
        <w:widowControl/>
        <w:shd w:val="clear" w:color="auto" w:fill="FFFFFF"/>
        <w:kinsoku/>
        <w:wordWrap/>
        <w:overflowPunct/>
        <w:bidi w:val="0"/>
        <w:spacing w:line="600" w:lineRule="exact"/>
        <w:ind w:firstLine="643" w:firstLineChars="200"/>
        <w:textAlignment w:val="auto"/>
        <w:rPr>
          <w:rStyle w:val="9"/>
          <w:rFonts w:ascii="仿宋_GB2312"/>
          <w:color w:val="auto"/>
        </w:rPr>
      </w:pPr>
      <w:r>
        <w:rPr>
          <w:rStyle w:val="9"/>
          <w:rFonts w:hint="eastAsia" w:ascii="仿宋_GB2312" w:eastAsia="仿宋_GB2312" w:cs="仿宋_GB2312"/>
          <w:b/>
          <w:bCs/>
          <w:color w:val="auto"/>
          <w:sz w:val="32"/>
          <w:szCs w:val="32"/>
        </w:rPr>
        <w:t>（一）示范推广优良品种。</w:t>
      </w:r>
      <w:r>
        <w:rPr>
          <w:rStyle w:val="9"/>
          <w:rFonts w:hint="eastAsia" w:ascii="仿宋_GB2312" w:eastAsia="仿宋_GB2312" w:cs="仿宋_GB2312"/>
          <w:color w:val="auto"/>
          <w:sz w:val="32"/>
          <w:szCs w:val="32"/>
        </w:rPr>
        <w:t>采取有效措施，示范推广优良品种，突出主栽品种，提高良种覆盖率，对试验示范和推广适合我市栽培的水稻、玉米、马铃薯、番薯、蚕豆等作物的优育品种和粮食作物种子代储的保管费用和转商进行补助。</w:t>
      </w:r>
    </w:p>
    <w:p>
      <w:pPr>
        <w:keepNext w:val="0"/>
        <w:keepLines w:val="0"/>
        <w:pageBreakBefore w:val="0"/>
        <w:kinsoku/>
        <w:wordWrap/>
        <w:overflowPunct/>
        <w:bidi w:val="0"/>
        <w:spacing w:line="600" w:lineRule="exact"/>
        <w:ind w:firstLine="643" w:firstLineChars="200"/>
        <w:textAlignment w:val="auto"/>
        <w:rPr>
          <w:rStyle w:val="9"/>
          <w:rFonts w:ascii="仿宋_GB2312" w:eastAsia="仿宋_GB2312"/>
          <w:color w:val="auto"/>
          <w:sz w:val="32"/>
          <w:szCs w:val="32"/>
        </w:rPr>
      </w:pPr>
      <w:r>
        <w:rPr>
          <w:rStyle w:val="9"/>
          <w:rFonts w:hint="eastAsia" w:ascii="仿宋_GB2312" w:eastAsia="仿宋_GB2312" w:cs="仿宋_GB2312"/>
          <w:b/>
          <w:bCs/>
          <w:color w:val="auto"/>
          <w:sz w:val="32"/>
          <w:szCs w:val="32"/>
        </w:rPr>
        <w:t>（二）推广农业先进实用技术。</w:t>
      </w:r>
      <w:r>
        <w:rPr>
          <w:rStyle w:val="9"/>
          <w:rFonts w:hint="eastAsia" w:ascii="仿宋_GB2312" w:eastAsia="仿宋_GB2312" w:cs="仿宋_GB2312"/>
          <w:color w:val="auto"/>
          <w:sz w:val="32"/>
          <w:szCs w:val="32"/>
        </w:rPr>
        <w:t>深入推进机械育插秧、农药减量控害、绿色防控、缓释肥等适用技术和绿色增产模式推广，加强智能化、信息化、设施化等新成果在粮食生产领域的转化应用。深入实施“千万亩标准农田质量提升工程”，加大商品有机肥施用、秸秆还田等技术推广，扩大冬绿肥种植，努力改善农田质量条件，提升地力。</w:t>
      </w:r>
    </w:p>
    <w:p>
      <w:pPr>
        <w:keepNext w:val="0"/>
        <w:keepLines w:val="0"/>
        <w:pageBreakBefore w:val="0"/>
        <w:widowControl/>
        <w:shd w:val="clear" w:color="auto" w:fill="FFFFFF"/>
        <w:kinsoku/>
        <w:wordWrap/>
        <w:overflowPunct/>
        <w:bidi w:val="0"/>
        <w:spacing w:line="600" w:lineRule="exact"/>
        <w:ind w:firstLine="643" w:firstLineChars="200"/>
        <w:textAlignment w:val="auto"/>
        <w:rPr>
          <w:rStyle w:val="9"/>
          <w:rFonts w:hint="eastAsia" w:ascii="仿宋_GB2312" w:eastAsia="仿宋_GB2312" w:cs="仿宋_GB2312"/>
          <w:color w:val="auto"/>
          <w:sz w:val="32"/>
          <w:szCs w:val="32"/>
        </w:rPr>
      </w:pPr>
      <w:r>
        <w:rPr>
          <w:rStyle w:val="9"/>
          <w:rFonts w:hint="eastAsia" w:ascii="仿宋_GB2312" w:eastAsia="仿宋_GB2312" w:cs="仿宋_GB2312"/>
          <w:b/>
          <w:bCs/>
          <w:color w:val="auto"/>
          <w:sz w:val="32"/>
          <w:szCs w:val="32"/>
        </w:rPr>
        <w:t>（三）推广应用农作制度创新模式。</w:t>
      </w:r>
      <w:r>
        <w:rPr>
          <w:rStyle w:val="9"/>
          <w:rFonts w:hint="eastAsia" w:ascii="仿宋_GB2312" w:eastAsia="仿宋_GB2312" w:cs="仿宋_GB2312"/>
          <w:color w:val="auto"/>
          <w:sz w:val="32"/>
          <w:szCs w:val="32"/>
          <w:lang w:eastAsia="zh-CN"/>
        </w:rPr>
        <w:t>大力推广粮经轮作、水旱轮作、农牧结合、综合种养等“千斤粮万元钱”生产模式</w:t>
      </w:r>
      <w:r>
        <w:rPr>
          <w:rStyle w:val="9"/>
          <w:rFonts w:hint="eastAsia" w:ascii="仿宋_GB2312" w:eastAsia="仿宋_GB2312" w:cs="仿宋_GB2312"/>
          <w:color w:val="auto"/>
          <w:sz w:val="32"/>
          <w:szCs w:val="32"/>
        </w:rPr>
        <w:t>，实现稳粮增产，绿色增效。现阶段重点发展食用菌</w:t>
      </w:r>
      <w:r>
        <w:rPr>
          <w:rStyle w:val="9"/>
          <w:rFonts w:hint="eastAsia" w:ascii="仿宋_GB2312" w:eastAsia="仿宋_GB2312"/>
          <w:color w:val="auto"/>
          <w:sz w:val="32"/>
          <w:szCs w:val="32"/>
        </w:rPr>
        <w:t>—</w:t>
      </w:r>
      <w:r>
        <w:rPr>
          <w:rStyle w:val="9"/>
          <w:rFonts w:hint="eastAsia" w:ascii="仿宋_GB2312" w:eastAsia="仿宋_GB2312" w:cs="仿宋_GB2312"/>
          <w:color w:val="auto"/>
          <w:sz w:val="32"/>
          <w:szCs w:val="32"/>
        </w:rPr>
        <w:t>单季稻、蔬菜（鲜食旱杂粮）</w:t>
      </w:r>
      <w:r>
        <w:rPr>
          <w:rStyle w:val="9"/>
          <w:rFonts w:hint="eastAsia" w:ascii="仿宋_GB2312" w:eastAsia="仿宋_GB2312"/>
          <w:color w:val="auto"/>
          <w:sz w:val="32"/>
          <w:szCs w:val="32"/>
        </w:rPr>
        <w:t>——</w:t>
      </w:r>
      <w:r>
        <w:rPr>
          <w:rStyle w:val="9"/>
          <w:rFonts w:hint="eastAsia" w:ascii="仿宋_GB2312" w:eastAsia="仿宋_GB2312" w:cs="仿宋_GB2312"/>
          <w:color w:val="auto"/>
          <w:sz w:val="32"/>
          <w:szCs w:val="32"/>
        </w:rPr>
        <w:t>单季稻等水旱轮作耕作模式和鱼稻、蟹稻、螺稻共生等生态种养模式，以及鲜食旱粮多熟套种等高产高效生产模式，增加粮食有效供给，提高综合效益。发挥区域特色、自然资源和环境优势，挖掘地方特色粮食产品，积极培育生态精品粮食产品。</w:t>
      </w:r>
    </w:p>
    <w:p>
      <w:pPr>
        <w:keepNext w:val="0"/>
        <w:keepLines w:val="0"/>
        <w:pageBreakBefore w:val="0"/>
        <w:widowControl/>
        <w:shd w:val="clear" w:color="auto" w:fill="FFFFFF"/>
        <w:kinsoku/>
        <w:wordWrap/>
        <w:overflowPunct/>
        <w:bidi w:val="0"/>
        <w:spacing w:line="600" w:lineRule="exact"/>
        <w:ind w:firstLine="643" w:firstLineChars="200"/>
        <w:textAlignment w:val="auto"/>
        <w:rPr>
          <w:rFonts w:hint="eastAsia" w:hAnsi="宋体" w:eastAsia="仿宋_GB2312"/>
          <w:color w:val="auto"/>
          <w:kern w:val="0"/>
          <w:highlight w:val="yellow"/>
          <w:lang w:eastAsia="zh-CN"/>
        </w:rPr>
      </w:pPr>
      <w:r>
        <w:rPr>
          <w:rStyle w:val="9"/>
          <w:rFonts w:hint="eastAsia" w:ascii="仿宋_GB2312" w:eastAsia="仿宋_GB2312" w:cs="仿宋_GB2312"/>
          <w:b/>
          <w:bCs/>
          <w:color w:val="auto"/>
          <w:sz w:val="32"/>
          <w:szCs w:val="32"/>
        </w:rPr>
        <w:t>（四）</w:t>
      </w:r>
      <w:r>
        <w:rPr>
          <w:rStyle w:val="9"/>
          <w:rFonts w:hint="eastAsia" w:ascii="仿宋_GB2312" w:eastAsia="仿宋_GB2312" w:cs="仿宋_GB2312"/>
          <w:b/>
          <w:bCs/>
          <w:color w:val="auto"/>
          <w:sz w:val="32"/>
          <w:szCs w:val="32"/>
          <w:lang w:eastAsia="zh-CN"/>
        </w:rPr>
        <w:t>逐步提升机械化生产率</w:t>
      </w:r>
      <w:r>
        <w:rPr>
          <w:rStyle w:val="9"/>
          <w:rFonts w:hint="eastAsia" w:ascii="仿宋_GB2312" w:eastAsia="仿宋_GB2312" w:cs="仿宋_GB2312"/>
          <w:b/>
          <w:bCs/>
          <w:color w:val="auto"/>
          <w:sz w:val="32"/>
          <w:szCs w:val="32"/>
        </w:rPr>
        <w:t>。</w:t>
      </w:r>
      <w:r>
        <w:rPr>
          <w:rStyle w:val="9"/>
          <w:rFonts w:hint="eastAsia" w:ascii="仿宋_GB2312" w:eastAsia="仿宋_GB2312" w:cs="仿宋_GB2312"/>
          <w:color w:val="auto"/>
          <w:sz w:val="32"/>
          <w:szCs w:val="32"/>
          <w:lang w:eastAsia="zh-CN"/>
        </w:rPr>
        <w:t>加快引进推广丘陵山区适用的粮油生产机械化装备，补齐粮油生产全程机械化短板，提高粮油生产综合机械化水平，推进粮食生产、加工、储存等领域的“机器换人”，深化农机农艺融合和农机化技术集成应用。优化农机购置与应用补贴政策，提高重点机具补贴比例，加大农机产品创新和宜机化改造支持力度。</w:t>
      </w:r>
    </w:p>
    <w:p>
      <w:pPr>
        <w:keepNext w:val="0"/>
        <w:keepLines w:val="0"/>
        <w:pageBreakBefore w:val="0"/>
        <w:kinsoku/>
        <w:wordWrap/>
        <w:overflowPunct/>
        <w:topLinePunct/>
        <w:bidi w:val="0"/>
        <w:spacing w:line="600" w:lineRule="exact"/>
        <w:ind w:right="-351" w:rightChars="-167" w:firstLine="640" w:firstLineChars="200"/>
        <w:textAlignment w:val="auto"/>
        <w:rPr>
          <w:rFonts w:ascii="黑体" w:hAnsi="黑体" w:eastAsia="黑体"/>
          <w:bCs/>
          <w:color w:val="auto"/>
          <w:kern w:val="0"/>
          <w:sz w:val="32"/>
          <w:szCs w:val="32"/>
        </w:rPr>
      </w:pPr>
      <w:r>
        <w:rPr>
          <w:rFonts w:hint="eastAsia" w:ascii="黑体" w:hAnsi="黑体" w:eastAsia="黑体" w:cs="仿宋_GB2312"/>
          <w:bCs/>
          <w:color w:val="auto"/>
          <w:kern w:val="0"/>
          <w:sz w:val="32"/>
          <w:szCs w:val="32"/>
        </w:rPr>
        <w:t>七、抓好粮食订单收购、储备和产销合作</w:t>
      </w:r>
    </w:p>
    <w:p>
      <w:pPr>
        <w:keepNext w:val="0"/>
        <w:keepLines w:val="0"/>
        <w:pageBreakBefore w:val="0"/>
        <w:kinsoku/>
        <w:wordWrap/>
        <w:overflowPunct/>
        <w:topLinePunct/>
        <w:bidi w:val="0"/>
        <w:spacing w:line="600" w:lineRule="exact"/>
        <w:ind w:right="-351" w:rightChars="-167" w:firstLine="640" w:firstLineChars="200"/>
        <w:textAlignment w:val="auto"/>
        <w:rPr>
          <w:rFonts w:hint="default" w:ascii="仿宋_GB2312" w:hAnsi="宋体" w:eastAsia="仿宋_GB2312"/>
          <w:color w:val="auto"/>
          <w:kern w:val="0"/>
          <w:sz w:val="32"/>
          <w:szCs w:val="32"/>
          <w:lang w:val="en-US" w:eastAsia="zh-CN"/>
        </w:rPr>
      </w:pPr>
      <w:r>
        <w:rPr>
          <w:rFonts w:hint="eastAsia" w:ascii="仿宋_GB2312" w:hAnsi="宋体" w:eastAsia="仿宋_GB2312" w:cs="仿宋_GB2312"/>
          <w:color w:val="auto"/>
          <w:kern w:val="0"/>
          <w:sz w:val="32"/>
          <w:szCs w:val="32"/>
        </w:rPr>
        <w:t>落实收购和订单奖励政策。严格执行省定稻谷最低收购价政策。对按订单向国有粮食收储企业交售稻谷和小麦的种粮主体给予奖励。早稻实行订单全覆盖，统一早稻订单每百斤奖励 30元；晚稻订单每百斤奖励 20 元，每亩不超过 180 元。</w:t>
      </w:r>
      <w:r>
        <w:rPr>
          <w:rFonts w:hint="eastAsia" w:ascii="仿宋_GB2312" w:hAnsi="宋体" w:eastAsia="仿宋_GB2312" w:cs="仿宋_GB2312"/>
          <w:color w:val="auto"/>
          <w:kern w:val="0"/>
          <w:sz w:val="32"/>
          <w:szCs w:val="32"/>
          <w:lang w:eastAsia="zh-CN"/>
        </w:rPr>
        <w:t>对与种子企业签订订单合同，并按订单交售水稻良种的种子生产者，按实际交售种子数量给予奖励，交售每百斤常规水稻种子奖励</w:t>
      </w:r>
      <w:r>
        <w:rPr>
          <w:rFonts w:hint="eastAsia" w:ascii="仿宋_GB2312" w:hAnsi="宋体" w:eastAsia="仿宋_GB2312" w:cs="仿宋_GB2312"/>
          <w:color w:val="auto"/>
          <w:kern w:val="0"/>
          <w:sz w:val="32"/>
          <w:szCs w:val="32"/>
          <w:lang w:val="en-US" w:eastAsia="zh-CN"/>
        </w:rPr>
        <w:t>30元；交售每百斤杂交水稻种子奖励100元，每亩最高不超过300元。</w:t>
      </w:r>
    </w:p>
    <w:p>
      <w:pPr>
        <w:keepNext w:val="0"/>
        <w:keepLines w:val="0"/>
        <w:pageBreakBefore w:val="0"/>
        <w:kinsoku/>
        <w:wordWrap/>
        <w:overflowPunct/>
        <w:bidi w:val="0"/>
        <w:spacing w:line="600" w:lineRule="exact"/>
        <w:ind w:firstLine="645"/>
        <w:textAlignment w:val="auto"/>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深入推进粮食供给侧结构性改革，着力打造优质粮食产业链，促进我市粮食产业转型升级、提质增效，推进实施以“优粮优产、优粮优购、优粮优储、优粮优加、优粮优销”为内容的“五优联动”工作进度，立足龙泉粮情，通过订单粮食引导扩大优质粮油生产，政府储备订单逐步转为优质粮食订单，实行优粮优价，逐步增加优质粮食储备规模。支持粮油加工企业开展产销合作，优化加工技术，加快设备升级换代，推行“机器换人”，提高行业整体装备水平。着力推动龙泉粮油品牌建设，通过“浙江好粮油”平台推介龙泉好粮油宣传工作，大力开展地产绿色优质粮食的宣传促销和品牌推广活动，使之做到家喻户晓、人人皆知，不断提高地产绿色优质大米的知名度和美誉度。</w:t>
      </w:r>
    </w:p>
    <w:p>
      <w:pPr>
        <w:keepNext w:val="0"/>
        <w:keepLines w:val="0"/>
        <w:pageBreakBefore w:val="0"/>
        <w:widowControl/>
        <w:shd w:val="clear" w:color="auto" w:fill="FFFFFF"/>
        <w:kinsoku/>
        <w:wordWrap/>
        <w:overflowPunct/>
        <w:bidi w:val="0"/>
        <w:spacing w:line="600" w:lineRule="exact"/>
        <w:ind w:firstLine="640" w:firstLineChars="200"/>
        <w:textAlignment w:val="auto"/>
        <w:rPr>
          <w:rFonts w:ascii="黑体" w:hAnsi="黑体" w:eastAsia="黑体"/>
          <w:bCs/>
          <w:color w:val="auto"/>
          <w:kern w:val="0"/>
          <w:sz w:val="32"/>
          <w:szCs w:val="32"/>
        </w:rPr>
      </w:pPr>
      <w:r>
        <w:rPr>
          <w:rFonts w:hint="eastAsia" w:ascii="黑体" w:hAnsi="黑体" w:eastAsia="黑体" w:cs="仿宋_GB2312"/>
          <w:bCs/>
          <w:color w:val="auto"/>
          <w:kern w:val="0"/>
          <w:sz w:val="32"/>
          <w:szCs w:val="32"/>
        </w:rPr>
        <w:t>八、切实加强对粮食工作的领导</w:t>
      </w:r>
    </w:p>
    <w:p>
      <w:pPr>
        <w:pStyle w:val="3"/>
        <w:keepNext w:val="0"/>
        <w:keepLines w:val="0"/>
        <w:pageBreakBefore w:val="0"/>
        <w:kinsoku/>
        <w:wordWrap/>
        <w:overflowPunct/>
        <w:bidi w:val="0"/>
        <w:spacing w:line="600" w:lineRule="exact"/>
        <w:ind w:firstLine="605"/>
        <w:jc w:val="both"/>
        <w:textAlignment w:val="auto"/>
        <w:rPr>
          <w:rFonts w:ascii="仿宋_GB2312" w:hAnsi="华文仿宋" w:eastAsia="仿宋_GB2312"/>
          <w:color w:val="auto"/>
          <w:sz w:val="32"/>
          <w:szCs w:val="32"/>
        </w:rPr>
      </w:pPr>
      <w:r>
        <w:rPr>
          <w:rStyle w:val="9"/>
          <w:rFonts w:hint="eastAsia" w:ascii="仿宋_GB2312" w:eastAsia="仿宋_GB2312" w:cs="仿宋_GB2312"/>
          <w:color w:val="auto"/>
          <w:sz w:val="32"/>
          <w:szCs w:val="32"/>
          <w:lang w:eastAsia="zh-CN"/>
        </w:rPr>
        <w:t>严格落实粮食安全党政同责</w:t>
      </w:r>
      <w:r>
        <w:rPr>
          <w:rStyle w:val="9"/>
          <w:rFonts w:hint="eastAsia" w:ascii="仿宋_GB2312" w:eastAsia="仿宋_GB2312" w:cs="仿宋_GB2312"/>
          <w:color w:val="auto"/>
          <w:sz w:val="32"/>
          <w:szCs w:val="32"/>
          <w:lang w:val="en-US" w:eastAsia="zh-CN"/>
        </w:rPr>
        <w:t>,</w:t>
      </w:r>
      <w:r>
        <w:rPr>
          <w:rFonts w:hint="eastAsia" w:ascii="仿宋_GB2312" w:hAnsi="华文仿宋" w:eastAsia="仿宋_GB2312" w:cs="仿宋_GB2312"/>
          <w:color w:val="auto"/>
          <w:sz w:val="32"/>
          <w:szCs w:val="32"/>
        </w:rPr>
        <w:t>各乡镇（街道）要把</w:t>
      </w:r>
      <w:r>
        <w:rPr>
          <w:rStyle w:val="9"/>
          <w:rFonts w:hint="eastAsia" w:ascii="仿宋_GB2312" w:eastAsia="仿宋_GB2312" w:cs="仿宋_GB2312"/>
          <w:color w:val="auto"/>
          <w:sz w:val="32"/>
          <w:szCs w:val="32"/>
          <w:lang w:eastAsia="zh-CN"/>
        </w:rPr>
        <w:t>促进粮油产业发展摆上重要议事日程，切实落实粮食安全责任制，担负起本地区粮食安全的主体责任，层层签订粮食安全责任书。及时分解落实任务，建立台账清册，完善调度、通报、约谈机制</w:t>
      </w:r>
      <w:r>
        <w:rPr>
          <w:rStyle w:val="9"/>
          <w:rFonts w:hint="eastAsia" w:ascii="仿宋_GB2312" w:eastAsia="仿宋_GB2312" w:cs="仿宋_GB2312"/>
          <w:color w:val="auto"/>
          <w:sz w:val="32"/>
          <w:szCs w:val="32"/>
        </w:rPr>
        <w:t>。</w:t>
      </w:r>
    </w:p>
    <w:p>
      <w:pPr>
        <w:keepNext w:val="0"/>
        <w:keepLines w:val="0"/>
        <w:pageBreakBefore w:val="0"/>
        <w:widowControl/>
        <w:shd w:val="clear" w:color="auto" w:fill="FFFFFF"/>
        <w:kinsoku/>
        <w:wordWrap/>
        <w:overflowPunct/>
        <w:bidi w:val="0"/>
        <w:spacing w:line="600" w:lineRule="exact"/>
        <w:ind w:firstLine="640" w:firstLineChars="200"/>
        <w:textAlignment w:val="auto"/>
        <w:rPr>
          <w:rFonts w:ascii="黑体" w:hAnsi="黑体" w:eastAsia="黑体"/>
          <w:bCs/>
          <w:color w:val="auto"/>
          <w:kern w:val="0"/>
          <w:sz w:val="32"/>
          <w:szCs w:val="32"/>
        </w:rPr>
      </w:pPr>
      <w:r>
        <w:rPr>
          <w:rFonts w:hint="eastAsia" w:ascii="黑体" w:hAnsi="黑体" w:eastAsia="黑体" w:cs="仿宋_GB2312"/>
          <w:bCs/>
          <w:color w:val="auto"/>
          <w:kern w:val="0"/>
          <w:sz w:val="32"/>
          <w:szCs w:val="32"/>
        </w:rPr>
        <w:t>九、强化粮食生产工作责任考核</w:t>
      </w:r>
    </w:p>
    <w:p>
      <w:pPr>
        <w:keepNext w:val="0"/>
        <w:keepLines w:val="0"/>
        <w:pageBreakBefore w:val="0"/>
        <w:kinsoku/>
        <w:wordWrap/>
        <w:overflowPunct/>
        <w:bidi w:val="0"/>
        <w:spacing w:line="600" w:lineRule="exact"/>
        <w:ind w:firstLine="640" w:firstLineChars="200"/>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eastAsia="zh-CN"/>
        </w:rPr>
        <w:t>粮油生产保供工作纳入耕地保护和粮食安全党政同责、乡村振兴战略实绩考核。</w:t>
      </w:r>
      <w:r>
        <w:rPr>
          <w:rFonts w:hint="eastAsia" w:ascii="仿宋_GB2312" w:hAnsi="宋体" w:eastAsia="仿宋_GB2312" w:cs="仿宋_GB2312"/>
          <w:color w:val="auto"/>
          <w:kern w:val="0"/>
          <w:sz w:val="32"/>
          <w:szCs w:val="32"/>
        </w:rPr>
        <w:t>各相关部门要进一步增强大局意识、责任意识，加强对粮食生产工作的领导，必须切实承担起保障本区域粮食安全的主体责任，全面落实并进一步完善保障粮食安全的各项扶持政策和责任措施。在春耕生产、夏收夏种、秋收冬种等重要农时季节，各乡镇（街道）、有关部门要及时召开动员会议，组织干部进村入户，加强补贴政策的宣传，帮助农民发展粮食生产，加强与种粮大户和粮食专业合作社联合社的联系，帮助解决生产中存在的困难与问题，努力提高粮食单产和效益，促进农民的增产增收。要及时分解落实年度粮油生产任务，建立粮油生产保供监测评价体系，建立台账清单，落实督导、调度、通报、约谈机制，形成争先创优的良好氛围，确保圆满完成年度粮油生产目标任务。</w:t>
      </w:r>
    </w:p>
    <w:p>
      <w:pPr>
        <w:pStyle w:val="4"/>
        <w:keepNext w:val="0"/>
        <w:keepLines w:val="0"/>
        <w:pageBreakBefore w:val="0"/>
        <w:kinsoku/>
        <w:wordWrap/>
        <w:overflowPunct/>
        <w:bidi w:val="0"/>
        <w:spacing w:line="600" w:lineRule="exact"/>
        <w:textAlignment w:val="auto"/>
        <w:rPr>
          <w:rFonts w:hint="eastAsia"/>
          <w:lang w:val="en-US" w:eastAsia="zh-CN"/>
        </w:rPr>
      </w:pPr>
    </w:p>
    <w:p>
      <w:pPr>
        <w:keepNext w:val="0"/>
        <w:keepLines w:val="0"/>
        <w:pageBreakBefore w:val="0"/>
        <w:widowControl/>
        <w:kinsoku/>
        <w:wordWrap/>
        <w:overflowPunct/>
        <w:bidi w:val="0"/>
        <w:spacing w:line="600" w:lineRule="exact"/>
        <w:ind w:firstLine="640" w:firstLineChars="200"/>
        <w:textAlignment w:val="auto"/>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附件</w:t>
      </w:r>
      <w:r>
        <w:rPr>
          <w:rFonts w:hint="eastAsia" w:ascii="仿宋_GB2312" w:hAnsi="宋体" w:eastAsia="仿宋_GB2312" w:cs="仿宋_GB2312"/>
          <w:color w:val="auto"/>
          <w:sz w:val="32"/>
          <w:szCs w:val="32"/>
          <w:lang w:val="en-US" w:eastAsia="zh-CN"/>
        </w:rPr>
        <w:t>1</w:t>
      </w:r>
      <w:r>
        <w:rPr>
          <w:rFonts w:hint="eastAsia" w:ascii="仿宋_GB2312" w:hAnsi="宋体" w:eastAsia="仿宋_GB2312" w:cs="仿宋_GB2312"/>
          <w:color w:val="auto"/>
          <w:sz w:val="32"/>
          <w:szCs w:val="32"/>
        </w:rPr>
        <w:t>：龙泉市202</w:t>
      </w:r>
      <w:r>
        <w:rPr>
          <w:rFonts w:hint="eastAsia" w:ascii="仿宋_GB2312" w:hAnsi="宋体" w:eastAsia="仿宋_GB2312" w:cs="仿宋_GB2312"/>
          <w:color w:val="auto"/>
          <w:sz w:val="32"/>
          <w:szCs w:val="32"/>
          <w:lang w:val="en-US" w:eastAsia="zh-CN"/>
        </w:rPr>
        <w:t>5</w:t>
      </w:r>
      <w:r>
        <w:rPr>
          <w:rFonts w:hint="eastAsia" w:ascii="仿宋_GB2312" w:hAnsi="宋体" w:eastAsia="仿宋_GB2312" w:cs="仿宋_GB2312"/>
          <w:color w:val="auto"/>
          <w:sz w:val="32"/>
          <w:szCs w:val="32"/>
        </w:rPr>
        <w:t>年粮食生产任务分解表</w:t>
      </w:r>
    </w:p>
    <w:p>
      <w:pPr>
        <w:pStyle w:val="4"/>
        <w:keepNext w:val="0"/>
        <w:keepLines w:val="0"/>
        <w:pageBreakBefore w:val="0"/>
        <w:kinsoku/>
        <w:wordWrap/>
        <w:overflowPunct/>
        <w:bidi w:val="0"/>
        <w:spacing w:line="600" w:lineRule="exact"/>
        <w:ind w:firstLine="640" w:firstLineChars="200"/>
        <w:jc w:val="both"/>
        <w:textAlignment w:val="auto"/>
        <w:rPr>
          <w:rFonts w:hint="eastAsia" w:ascii="PMingLiU-ExtB" w:hAnsi="宋体" w:cs="宋体"/>
          <w:b/>
          <w:bCs/>
          <w:color w:val="auto"/>
          <w:kern w:val="0"/>
          <w:sz w:val="32"/>
          <w:szCs w:val="32"/>
          <w:lang w:val="en-US" w:eastAsia="zh-CN"/>
        </w:rPr>
      </w:pPr>
      <w:r>
        <w:rPr>
          <w:rFonts w:hint="eastAsia" w:ascii="仿宋_GB2312" w:hAnsi="宋体" w:eastAsia="仿宋_GB2312" w:cs="仿宋_GB2312"/>
          <w:color w:val="auto"/>
          <w:sz w:val="32"/>
          <w:szCs w:val="32"/>
          <w:lang w:eastAsia="zh-CN"/>
        </w:rPr>
        <w:t>附件</w:t>
      </w:r>
      <w:r>
        <w:rPr>
          <w:rFonts w:hint="eastAsia" w:ascii="仿宋_GB2312" w:hAnsi="宋体" w:eastAsia="仿宋_GB2312" w:cs="仿宋_GB2312"/>
          <w:color w:val="auto"/>
          <w:sz w:val="32"/>
          <w:szCs w:val="32"/>
          <w:lang w:val="en-US" w:eastAsia="zh-CN"/>
        </w:rPr>
        <w:t>2：</w:t>
      </w:r>
      <w:r>
        <w:rPr>
          <w:rFonts w:hint="eastAsia" w:ascii="仿宋_GB2312" w:hAnsi="宋体" w:eastAsia="仿宋_GB2312" w:cs="仿宋_GB2312"/>
          <w:color w:val="auto"/>
          <w:kern w:val="2"/>
          <w:sz w:val="32"/>
          <w:szCs w:val="32"/>
          <w:lang w:val="en-US" w:eastAsia="zh-CN" w:bidi="ar-SA"/>
        </w:rPr>
        <w:t>龙泉市2025年油菜播种面积和产量任务分解表</w:t>
      </w:r>
    </w:p>
    <w:p>
      <w:pPr>
        <w:pStyle w:val="5"/>
        <w:rPr>
          <w:rFonts w:hint="eastAsia"/>
          <w:color w:val="auto"/>
          <w:lang w:val="en-US" w:eastAsia="zh-CN"/>
        </w:rPr>
      </w:pPr>
    </w:p>
    <w:p>
      <w:pPr>
        <w:widowControl/>
        <w:spacing w:line="560" w:lineRule="exact"/>
        <w:ind w:firstLine="640" w:firstLineChars="20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龙泉市农业农村局             龙泉市发展</w:t>
      </w:r>
      <w:r>
        <w:rPr>
          <w:rFonts w:hint="eastAsia" w:ascii="仿宋_GB2312" w:hAnsi="宋体" w:eastAsia="仿宋_GB2312" w:cs="仿宋_GB2312"/>
          <w:color w:val="auto"/>
          <w:sz w:val="32"/>
          <w:szCs w:val="32"/>
          <w:lang w:eastAsia="zh-CN"/>
        </w:rPr>
        <w:t>和</w:t>
      </w:r>
      <w:r>
        <w:rPr>
          <w:rFonts w:hint="eastAsia" w:ascii="仿宋_GB2312" w:hAnsi="宋体" w:eastAsia="仿宋_GB2312" w:cs="仿宋_GB2312"/>
          <w:color w:val="auto"/>
          <w:sz w:val="32"/>
          <w:szCs w:val="32"/>
        </w:rPr>
        <w:t xml:space="preserve">改革局  </w:t>
      </w:r>
    </w:p>
    <w:p>
      <w:pPr>
        <w:widowControl/>
        <w:spacing w:line="560" w:lineRule="exact"/>
        <w:ind w:firstLine="640" w:firstLineChars="200"/>
        <w:rPr>
          <w:rFonts w:ascii="仿宋_GB2312" w:hAnsi="宋体" w:eastAsia="仿宋_GB2312" w:cs="仿宋_GB2312"/>
          <w:color w:val="auto"/>
          <w:sz w:val="32"/>
          <w:szCs w:val="32"/>
        </w:rPr>
      </w:pPr>
    </w:p>
    <w:p>
      <w:pPr>
        <w:pStyle w:val="4"/>
        <w:rPr>
          <w:rFonts w:ascii="仿宋_GB2312" w:hAnsi="宋体" w:eastAsia="仿宋_GB2312" w:cs="仿宋_GB2312"/>
          <w:color w:val="auto"/>
          <w:sz w:val="32"/>
          <w:szCs w:val="32"/>
        </w:rPr>
      </w:pPr>
    </w:p>
    <w:p>
      <w:pPr>
        <w:pStyle w:val="5"/>
        <w:rPr>
          <w:color w:val="auto"/>
        </w:rPr>
      </w:pPr>
    </w:p>
    <w:p>
      <w:pPr>
        <w:widowControl/>
        <w:spacing w:line="560" w:lineRule="exact"/>
        <w:ind w:firstLine="640" w:firstLineChars="200"/>
        <w:rPr>
          <w:rFonts w:ascii="仿宋_GB2312" w:hAnsi="宋体" w:eastAsia="仿宋_GB2312" w:cs="仿宋_GB2312"/>
          <w:color w:val="auto"/>
          <w:sz w:val="32"/>
          <w:szCs w:val="32"/>
        </w:rPr>
      </w:pPr>
    </w:p>
    <w:p>
      <w:pPr>
        <w:widowControl/>
        <w:spacing w:line="560" w:lineRule="exact"/>
        <w:ind w:firstLine="640" w:firstLineChars="20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 xml:space="preserve">  龙泉市财政局      </w:t>
      </w:r>
      <w:r>
        <w:rPr>
          <w:rFonts w:hint="eastAsia" w:ascii="仿宋_GB2312" w:hAnsi="宋体" w:eastAsia="仿宋_GB2312" w:cs="仿宋_GB2312"/>
          <w:color w:val="auto"/>
          <w:sz w:val="32"/>
          <w:szCs w:val="32"/>
          <w:lang w:val="en-US" w:eastAsia="zh-CN"/>
        </w:rPr>
        <w:t xml:space="preserve">      </w:t>
      </w:r>
      <w:r>
        <w:rPr>
          <w:rFonts w:hint="eastAsia" w:ascii="仿宋_GB2312" w:hAnsi="宋体" w:eastAsia="仿宋_GB2312" w:cs="仿宋_GB2312"/>
          <w:color w:val="auto"/>
          <w:sz w:val="32"/>
          <w:szCs w:val="32"/>
        </w:rPr>
        <w:t xml:space="preserve"> 龙泉市自然</w:t>
      </w:r>
      <w:r>
        <w:rPr>
          <w:rFonts w:hint="eastAsia" w:ascii="仿宋_GB2312" w:hAnsi="宋体" w:eastAsia="仿宋_GB2312" w:cs="仿宋_GB2312"/>
          <w:color w:val="auto"/>
          <w:sz w:val="32"/>
          <w:szCs w:val="32"/>
          <w:lang w:eastAsia="zh-CN"/>
        </w:rPr>
        <w:t>资源和规划</w:t>
      </w:r>
      <w:r>
        <w:rPr>
          <w:rFonts w:hint="eastAsia" w:ascii="仿宋_GB2312" w:hAnsi="宋体" w:eastAsia="仿宋_GB2312" w:cs="仿宋_GB2312"/>
          <w:color w:val="auto"/>
          <w:sz w:val="32"/>
          <w:szCs w:val="32"/>
        </w:rPr>
        <w:t>局</w:t>
      </w:r>
    </w:p>
    <w:p>
      <w:pPr>
        <w:widowControl/>
        <w:spacing w:line="560" w:lineRule="exact"/>
        <w:ind w:right="640" w:firstLine="640" w:firstLineChars="200"/>
        <w:jc w:val="center"/>
        <w:rPr>
          <w:rFonts w:hint="eastAsia" w:ascii="仿宋_GB2312" w:hAnsi="宋体" w:eastAsia="仿宋_GB2312" w:cs="仿宋_GB2312"/>
          <w:color w:val="auto"/>
          <w:sz w:val="32"/>
          <w:szCs w:val="32"/>
        </w:rPr>
      </w:pPr>
    </w:p>
    <w:p>
      <w:pPr>
        <w:widowControl/>
        <w:spacing w:line="560" w:lineRule="exact"/>
        <w:ind w:right="640" w:firstLine="640" w:firstLineChars="200"/>
        <w:jc w:val="center"/>
        <w:rPr>
          <w:rFonts w:hint="eastAsia" w:ascii="仿宋_GB2312" w:hAnsi="宋体" w:eastAsia="仿宋_GB2312" w:cs="仿宋_GB2312"/>
          <w:color w:val="auto"/>
          <w:sz w:val="32"/>
          <w:szCs w:val="32"/>
        </w:rPr>
      </w:pPr>
    </w:p>
    <w:p>
      <w:pPr>
        <w:widowControl/>
        <w:spacing w:line="560" w:lineRule="exact"/>
        <w:ind w:right="640" w:firstLine="640" w:firstLineChars="200"/>
        <w:jc w:val="center"/>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 xml:space="preserve">                                                         </w:t>
      </w:r>
    </w:p>
    <w:p>
      <w:pPr>
        <w:widowControl/>
        <w:spacing w:line="560" w:lineRule="exact"/>
        <w:ind w:right="640" w:firstLine="640" w:firstLineChars="200"/>
        <w:rPr>
          <w:rFonts w:hint="eastAsia" w:ascii="仿宋_GB2312" w:hAnsi="宋体" w:eastAsia="仿宋_GB2312" w:cs="仿宋_GB2312"/>
          <w:color w:val="auto"/>
          <w:sz w:val="32"/>
          <w:szCs w:val="32"/>
        </w:rPr>
      </w:pPr>
    </w:p>
    <w:p>
      <w:pPr>
        <w:widowControl/>
        <w:spacing w:line="560" w:lineRule="exact"/>
        <w:ind w:right="640" w:firstLine="640" w:firstLineChars="200"/>
        <w:rPr>
          <w:rFonts w:hint="default"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rPr>
        <w:t>龙泉市供销合作社联合社</w:t>
      </w:r>
      <w:r>
        <w:rPr>
          <w:rFonts w:hint="eastAsia" w:ascii="仿宋_GB2312" w:hAnsi="宋体" w:eastAsia="仿宋_GB2312" w:cs="仿宋_GB2312"/>
          <w:color w:val="auto"/>
          <w:sz w:val="32"/>
          <w:szCs w:val="32"/>
          <w:lang w:val="en-US" w:eastAsia="zh-CN"/>
        </w:rPr>
        <w:t xml:space="preserve">           龙泉市林业局</w:t>
      </w:r>
    </w:p>
    <w:p>
      <w:pPr>
        <w:widowControl/>
        <w:spacing w:line="560" w:lineRule="exact"/>
        <w:ind w:right="640" w:firstLine="640" w:firstLineChars="200"/>
        <w:jc w:val="center"/>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0"/>
          <w:szCs w:val="30"/>
          <w:lang w:val="en-US" w:eastAsia="zh-CN"/>
        </w:rPr>
      </w:pPr>
      <w:r>
        <w:rPr>
          <w:rFonts w:hint="eastAsia" w:ascii="仿宋_GB2312" w:hAnsi="宋体" w:eastAsia="仿宋_GB2312" w:cs="仿宋_GB2312"/>
          <w:color w:val="auto"/>
          <w:sz w:val="32"/>
          <w:szCs w:val="32"/>
          <w:lang w:val="en-US" w:eastAsia="zh-CN"/>
        </w:rPr>
        <w:t xml:space="preserve">                          </w:t>
      </w:r>
    </w:p>
    <w:p>
      <w:pPr>
        <w:pStyle w:val="5"/>
        <w:rPr>
          <w:rFonts w:hint="eastAsia" w:ascii="仿宋_GB2312" w:hAnsi="宋体" w:eastAsia="仿宋_GB2312" w:cs="仿宋_GB2312"/>
          <w:color w:val="auto"/>
          <w:sz w:val="32"/>
          <w:szCs w:val="32"/>
          <w:lang w:eastAsia="zh-CN"/>
        </w:rPr>
      </w:pPr>
    </w:p>
    <w:tbl>
      <w:tblPr>
        <w:tblStyle w:val="7"/>
        <w:tblpPr w:leftFromText="180" w:rightFromText="180" w:vertAnchor="text" w:horzAnchor="margin" w:tblpXSpec="center" w:tblpY="-23"/>
        <w:tblW w:w="5122" w:type="pct"/>
        <w:tblInd w:w="0" w:type="dxa"/>
        <w:tblLayout w:type="autofit"/>
        <w:tblCellMar>
          <w:top w:w="0" w:type="dxa"/>
          <w:left w:w="108" w:type="dxa"/>
          <w:bottom w:w="0" w:type="dxa"/>
          <w:right w:w="108" w:type="dxa"/>
        </w:tblCellMar>
      </w:tblPr>
      <w:tblGrid>
        <w:gridCol w:w="1394"/>
        <w:gridCol w:w="1408"/>
        <w:gridCol w:w="1408"/>
        <w:gridCol w:w="1408"/>
        <w:gridCol w:w="1303"/>
        <w:gridCol w:w="1231"/>
        <w:gridCol w:w="1246"/>
      </w:tblGrid>
      <w:tr>
        <w:tblPrEx>
          <w:tblCellMar>
            <w:top w:w="0" w:type="dxa"/>
            <w:left w:w="108" w:type="dxa"/>
            <w:bottom w:w="0" w:type="dxa"/>
            <w:right w:w="108" w:type="dxa"/>
          </w:tblCellMar>
        </w:tblPrEx>
        <w:trPr>
          <w:trHeight w:val="1870" w:hRule="atLeast"/>
        </w:trPr>
        <w:tc>
          <w:tcPr>
            <w:tcW w:w="5000" w:type="pct"/>
            <w:gridSpan w:val="7"/>
            <w:tcBorders>
              <w:top w:val="nil"/>
              <w:bottom w:val="single" w:color="auto" w:sz="4" w:space="0"/>
              <w:right w:val="nil"/>
            </w:tcBorders>
            <w:shd w:val="clear" w:color="auto" w:fill="auto"/>
            <w:noWrap/>
            <w:vAlign w:val="center"/>
          </w:tcPr>
          <w:p>
            <w:pPr>
              <w:widowControl/>
              <w:jc w:val="left"/>
              <w:rPr>
                <w:rFonts w:hint="eastAsia" w:ascii="PMingLiU-ExtB" w:hAnsi="PMingLiU-ExtB" w:eastAsia="宋体" w:cs="宋体"/>
                <w:b/>
                <w:bCs/>
                <w:color w:val="auto"/>
                <w:kern w:val="0"/>
                <w:sz w:val="28"/>
                <w:szCs w:val="28"/>
                <w:lang w:val="en-US" w:eastAsia="zh-CN"/>
              </w:rPr>
            </w:pPr>
            <w:r>
              <w:rPr>
                <w:rFonts w:hint="eastAsia" w:ascii="PMingLiU-ExtB" w:hAnsi="宋体" w:cs="宋体"/>
                <w:b/>
                <w:bCs/>
                <w:color w:val="auto"/>
                <w:kern w:val="0"/>
                <w:sz w:val="28"/>
                <w:szCs w:val="28"/>
              </w:rPr>
              <w:t>附件</w:t>
            </w:r>
            <w:r>
              <w:rPr>
                <w:rFonts w:hint="eastAsia" w:ascii="PMingLiU-ExtB" w:hAnsi="宋体" w:cs="宋体"/>
                <w:b/>
                <w:bCs/>
                <w:color w:val="auto"/>
                <w:kern w:val="0"/>
                <w:sz w:val="28"/>
                <w:szCs w:val="28"/>
                <w:lang w:val="en-US" w:eastAsia="zh-CN"/>
              </w:rPr>
              <w:t>1：</w:t>
            </w:r>
          </w:p>
          <w:p>
            <w:pPr>
              <w:spacing w:line="560" w:lineRule="exact"/>
              <w:jc w:val="center"/>
              <w:rPr>
                <w:rFonts w:hint="eastAsia" w:ascii="宋体" w:hAnsi="宋体" w:cs="宋体"/>
                <w:b/>
                <w:bCs/>
                <w:color w:val="auto"/>
                <w:kern w:val="0"/>
                <w:sz w:val="40"/>
                <w:szCs w:val="40"/>
              </w:rPr>
            </w:pPr>
            <w:r>
              <w:rPr>
                <w:rFonts w:hint="eastAsia" w:ascii="方正小标宋简体" w:hAnsi="方正小标宋简体" w:eastAsia="方正小标宋简体" w:cs="方正小标宋简体"/>
                <w:b w:val="0"/>
                <w:bCs w:val="0"/>
                <w:color w:val="auto"/>
                <w:kern w:val="0"/>
                <w:sz w:val="40"/>
                <w:szCs w:val="40"/>
              </w:rPr>
              <w:t>龙泉市202</w:t>
            </w:r>
            <w:r>
              <w:rPr>
                <w:rFonts w:hint="eastAsia" w:ascii="方正小标宋简体" w:hAnsi="方正小标宋简体" w:eastAsia="方正小标宋简体" w:cs="方正小标宋简体"/>
                <w:b w:val="0"/>
                <w:bCs w:val="0"/>
                <w:color w:val="auto"/>
                <w:kern w:val="0"/>
                <w:sz w:val="40"/>
                <w:szCs w:val="40"/>
                <w:lang w:val="en-US" w:eastAsia="zh-CN"/>
              </w:rPr>
              <w:t>5</w:t>
            </w:r>
            <w:r>
              <w:rPr>
                <w:rFonts w:hint="eastAsia" w:ascii="方正小标宋简体" w:hAnsi="方正小标宋简体" w:eastAsia="方正小标宋简体" w:cs="方正小标宋简体"/>
                <w:b w:val="0"/>
                <w:bCs w:val="0"/>
                <w:color w:val="auto"/>
                <w:kern w:val="0"/>
                <w:sz w:val="40"/>
                <w:szCs w:val="40"/>
              </w:rPr>
              <w:t>年</w:t>
            </w:r>
            <w:r>
              <w:rPr>
                <w:rFonts w:hint="default" w:ascii="仿宋_GB2312" w:hAnsi="ˎ̥" w:eastAsia="仿宋_GB2312" w:cs="宋体"/>
                <w:b/>
                <w:bCs/>
                <w:color w:val="000000"/>
                <w:kern w:val="0"/>
                <w:sz w:val="40"/>
                <w:szCs w:val="40"/>
                <w:lang w:val="en-US" w:eastAsia="zh-CN"/>
              </w:rPr>
              <w:t>粮食面积和产量</w:t>
            </w:r>
            <w:r>
              <w:rPr>
                <w:rFonts w:hint="eastAsia" w:ascii="仿宋_GB2312" w:hAnsi="ˎ̥" w:eastAsia="仿宋_GB2312" w:cs="宋体"/>
                <w:b/>
                <w:bCs/>
                <w:color w:val="000000"/>
                <w:kern w:val="0"/>
                <w:sz w:val="40"/>
                <w:szCs w:val="40"/>
                <w:lang w:val="en-US" w:eastAsia="zh-CN"/>
              </w:rPr>
              <w:t>目标</w:t>
            </w:r>
          </w:p>
        </w:tc>
      </w:tr>
      <w:tr>
        <w:tblPrEx>
          <w:tblCellMar>
            <w:top w:w="0" w:type="dxa"/>
            <w:left w:w="108" w:type="dxa"/>
            <w:bottom w:w="0" w:type="dxa"/>
            <w:right w:w="108" w:type="dxa"/>
          </w:tblCellMar>
        </w:tblPrEx>
        <w:trPr>
          <w:trHeight w:val="867" w:hRule="atLeast"/>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乡 镇</w:t>
            </w:r>
          </w:p>
          <w:p>
            <w:pPr>
              <w:widowControl/>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名 称</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粮食面积</w:t>
            </w:r>
          </w:p>
          <w:p>
            <w:pPr>
              <w:widowControl/>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 xml:space="preserve"> (亩)   </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粮食总产</w:t>
            </w:r>
          </w:p>
          <w:p>
            <w:pPr>
              <w:widowControl/>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（吨）</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水稻面积</w:t>
            </w:r>
          </w:p>
          <w:p>
            <w:pPr>
              <w:widowControl/>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 xml:space="preserve">（亩）     </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水稻总产</w:t>
            </w:r>
          </w:p>
          <w:p>
            <w:pPr>
              <w:widowControl/>
              <w:jc w:val="center"/>
              <w:rPr>
                <w:rFonts w:ascii="宋体" w:hAnsi="宋体" w:cs="宋体"/>
                <w:b/>
                <w:bCs/>
                <w:color w:val="auto"/>
                <w:kern w:val="0"/>
                <w:sz w:val="22"/>
              </w:rPr>
            </w:pPr>
            <w:r>
              <w:rPr>
                <w:rFonts w:hint="eastAsia" w:ascii="仿宋_GB2312" w:hAnsi="宋体" w:eastAsia="仿宋_GB2312" w:cs="宋体"/>
                <w:b/>
                <w:bCs/>
                <w:color w:val="auto"/>
                <w:kern w:val="0"/>
                <w:sz w:val="24"/>
                <w:szCs w:val="24"/>
              </w:rPr>
              <w:t>(吨)</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大豆面积（亩）</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大豆产量(吨)</w:t>
            </w:r>
          </w:p>
        </w:tc>
      </w:tr>
      <w:tr>
        <w:tblPrEx>
          <w:tblCellMar>
            <w:top w:w="0" w:type="dxa"/>
            <w:left w:w="108" w:type="dxa"/>
            <w:bottom w:w="0" w:type="dxa"/>
            <w:right w:w="108" w:type="dxa"/>
          </w:tblCellMar>
        </w:tblPrEx>
        <w:trPr>
          <w:trHeight w:val="453" w:hRule="atLeast"/>
        </w:trPr>
        <w:tc>
          <w:tcPr>
            <w:tcW w:w="742"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龙渊街道</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5000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2350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3500</w:t>
            </w:r>
          </w:p>
        </w:tc>
        <w:tc>
          <w:tcPr>
            <w:tcW w:w="1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1820</w:t>
            </w:r>
          </w:p>
        </w:tc>
        <w:tc>
          <w:tcPr>
            <w:tcW w:w="1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465</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76</w:t>
            </w:r>
          </w:p>
        </w:tc>
      </w:tr>
      <w:tr>
        <w:tblPrEx>
          <w:tblCellMar>
            <w:top w:w="0" w:type="dxa"/>
            <w:left w:w="108" w:type="dxa"/>
            <w:bottom w:w="0" w:type="dxa"/>
            <w:right w:w="108" w:type="dxa"/>
          </w:tblCellMar>
        </w:tblPrEx>
        <w:trPr>
          <w:trHeight w:val="392" w:hRule="atLeast"/>
        </w:trPr>
        <w:tc>
          <w:tcPr>
            <w:tcW w:w="742"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西街街道</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5900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2650</w:t>
            </w:r>
          </w:p>
        </w:tc>
        <w:tc>
          <w:tcPr>
            <w:tcW w:w="14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4100</w:t>
            </w:r>
          </w:p>
        </w:tc>
        <w:tc>
          <w:tcPr>
            <w:tcW w:w="1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2130</w:t>
            </w:r>
          </w:p>
        </w:tc>
        <w:tc>
          <w:tcPr>
            <w:tcW w:w="12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450</w:t>
            </w:r>
          </w:p>
        </w:tc>
        <w:tc>
          <w:tcPr>
            <w:tcW w:w="12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74</w:t>
            </w:r>
          </w:p>
        </w:tc>
      </w:tr>
      <w:tr>
        <w:tblPrEx>
          <w:tblCellMar>
            <w:top w:w="0" w:type="dxa"/>
            <w:left w:w="108" w:type="dxa"/>
            <w:bottom w:w="0" w:type="dxa"/>
            <w:right w:w="108" w:type="dxa"/>
          </w:tblCellMar>
        </w:tblPrEx>
        <w:trPr>
          <w:trHeight w:val="249" w:hRule="atLeast"/>
        </w:trPr>
        <w:tc>
          <w:tcPr>
            <w:tcW w:w="742"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剑池街道</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2600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1179</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1200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625</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335</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55</w:t>
            </w:r>
          </w:p>
        </w:tc>
      </w:tr>
      <w:tr>
        <w:tblPrEx>
          <w:tblCellMar>
            <w:top w:w="0" w:type="dxa"/>
            <w:left w:w="108" w:type="dxa"/>
            <w:bottom w:w="0" w:type="dxa"/>
            <w:right w:w="108" w:type="dxa"/>
          </w:tblCellMar>
        </w:tblPrEx>
        <w:trPr>
          <w:trHeight w:val="249" w:hRule="atLeast"/>
        </w:trPr>
        <w:tc>
          <w:tcPr>
            <w:tcW w:w="742"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hint="eastAsia" w:ascii="仿宋_GB2312" w:hAnsi="宋体" w:eastAsia="仿宋_GB2312" w:cs="宋体"/>
                <w:b/>
                <w:bCs/>
                <w:color w:val="auto"/>
                <w:kern w:val="0"/>
                <w:sz w:val="24"/>
                <w:szCs w:val="24"/>
                <w:lang w:eastAsia="zh-CN"/>
              </w:rPr>
            </w:pPr>
            <w:r>
              <w:rPr>
                <w:rFonts w:hint="eastAsia" w:ascii="仿宋_GB2312" w:hAnsi="宋体" w:eastAsia="仿宋_GB2312" w:cs="宋体"/>
                <w:b/>
                <w:bCs/>
                <w:color w:val="auto"/>
                <w:kern w:val="0"/>
                <w:sz w:val="24"/>
                <w:szCs w:val="24"/>
                <w:lang w:eastAsia="zh-CN"/>
              </w:rPr>
              <w:t>塔石街道</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7000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3140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5000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2600</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640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105</w:t>
            </w:r>
          </w:p>
        </w:tc>
      </w:tr>
      <w:tr>
        <w:tblPrEx>
          <w:tblCellMar>
            <w:top w:w="0" w:type="dxa"/>
            <w:left w:w="108" w:type="dxa"/>
            <w:bottom w:w="0" w:type="dxa"/>
            <w:right w:w="108" w:type="dxa"/>
          </w:tblCellMar>
        </w:tblPrEx>
        <w:trPr>
          <w:trHeight w:val="249" w:hRule="atLeast"/>
        </w:trPr>
        <w:tc>
          <w:tcPr>
            <w:tcW w:w="1394"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八都镇</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23500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10534</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17000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8860</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1920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315</w:t>
            </w:r>
          </w:p>
        </w:tc>
      </w:tr>
      <w:tr>
        <w:tblPrEx>
          <w:tblCellMar>
            <w:top w:w="0" w:type="dxa"/>
            <w:left w:w="108" w:type="dxa"/>
            <w:bottom w:w="0" w:type="dxa"/>
            <w:right w:w="108" w:type="dxa"/>
          </w:tblCellMar>
        </w:tblPrEx>
        <w:trPr>
          <w:trHeight w:val="249" w:hRule="atLeast"/>
        </w:trPr>
        <w:tc>
          <w:tcPr>
            <w:tcW w:w="1394"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上</w:t>
            </w:r>
            <w:r>
              <w:rPr>
                <w:rFonts w:hint="eastAsia" w:ascii="宋体" w:hAnsi="宋体" w:cs="宋体"/>
                <w:b/>
                <w:bCs/>
                <w:color w:val="auto"/>
                <w:kern w:val="0"/>
                <w:sz w:val="24"/>
                <w:szCs w:val="24"/>
              </w:rPr>
              <w:t>垟</w:t>
            </w:r>
            <w:r>
              <w:rPr>
                <w:rFonts w:hint="eastAsia" w:ascii="仿宋_GB2312" w:hAnsi="仿宋_GB2312" w:eastAsia="仿宋_GB2312" w:cs="仿宋_GB2312"/>
                <w:b/>
                <w:bCs/>
                <w:color w:val="auto"/>
                <w:kern w:val="0"/>
                <w:sz w:val="24"/>
                <w:szCs w:val="24"/>
              </w:rPr>
              <w:t>镇</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14000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6260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9500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4950</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1240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203</w:t>
            </w:r>
          </w:p>
        </w:tc>
      </w:tr>
      <w:tr>
        <w:tblPrEx>
          <w:tblCellMar>
            <w:top w:w="0" w:type="dxa"/>
            <w:left w:w="108" w:type="dxa"/>
            <w:bottom w:w="0" w:type="dxa"/>
            <w:right w:w="108" w:type="dxa"/>
          </w:tblCellMar>
        </w:tblPrEx>
        <w:trPr>
          <w:trHeight w:val="249" w:hRule="atLeast"/>
        </w:trPr>
        <w:tc>
          <w:tcPr>
            <w:tcW w:w="1394"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小梅镇</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12000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5368</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10500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5600</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1020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167</w:t>
            </w:r>
          </w:p>
        </w:tc>
      </w:tr>
      <w:tr>
        <w:tblPrEx>
          <w:tblCellMar>
            <w:top w:w="0" w:type="dxa"/>
            <w:left w:w="108" w:type="dxa"/>
            <w:bottom w:w="0" w:type="dxa"/>
            <w:right w:w="108" w:type="dxa"/>
          </w:tblCellMar>
        </w:tblPrEx>
        <w:trPr>
          <w:trHeight w:val="249" w:hRule="atLeast"/>
        </w:trPr>
        <w:tc>
          <w:tcPr>
            <w:tcW w:w="1394"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查田镇</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16000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7151</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14480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7650</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1320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216</w:t>
            </w:r>
          </w:p>
        </w:tc>
      </w:tr>
      <w:tr>
        <w:tblPrEx>
          <w:tblCellMar>
            <w:top w:w="0" w:type="dxa"/>
            <w:left w:w="108" w:type="dxa"/>
            <w:bottom w:w="0" w:type="dxa"/>
            <w:right w:w="108" w:type="dxa"/>
          </w:tblCellMar>
        </w:tblPrEx>
        <w:trPr>
          <w:trHeight w:val="249" w:hRule="atLeast"/>
        </w:trPr>
        <w:tc>
          <w:tcPr>
            <w:tcW w:w="1394"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安仁镇</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14000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6260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10200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5350</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1280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210</w:t>
            </w:r>
          </w:p>
        </w:tc>
      </w:tr>
      <w:tr>
        <w:tblPrEx>
          <w:tblCellMar>
            <w:top w:w="0" w:type="dxa"/>
            <w:left w:w="108" w:type="dxa"/>
            <w:bottom w:w="0" w:type="dxa"/>
            <w:right w:w="108" w:type="dxa"/>
          </w:tblCellMar>
        </w:tblPrEx>
        <w:trPr>
          <w:trHeight w:val="249" w:hRule="atLeast"/>
        </w:trPr>
        <w:tc>
          <w:tcPr>
            <w:tcW w:w="1394"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锦溪镇</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9200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4120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6700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3490</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810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132</w:t>
            </w:r>
          </w:p>
        </w:tc>
      </w:tr>
      <w:tr>
        <w:tblPrEx>
          <w:tblCellMar>
            <w:top w:w="0" w:type="dxa"/>
            <w:left w:w="108" w:type="dxa"/>
            <w:bottom w:w="0" w:type="dxa"/>
            <w:right w:w="108" w:type="dxa"/>
          </w:tblCellMar>
        </w:tblPrEx>
        <w:trPr>
          <w:trHeight w:val="249" w:hRule="atLeast"/>
        </w:trPr>
        <w:tc>
          <w:tcPr>
            <w:tcW w:w="1394"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住龙镇</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3500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1367</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2070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1070</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330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54</w:t>
            </w:r>
          </w:p>
        </w:tc>
      </w:tr>
      <w:tr>
        <w:tblPrEx>
          <w:tblCellMar>
            <w:top w:w="0" w:type="dxa"/>
            <w:left w:w="108" w:type="dxa"/>
            <w:bottom w:w="0" w:type="dxa"/>
            <w:right w:w="108" w:type="dxa"/>
          </w:tblCellMar>
        </w:tblPrEx>
        <w:trPr>
          <w:trHeight w:val="249" w:hRule="atLeast"/>
        </w:trPr>
        <w:tc>
          <w:tcPr>
            <w:tcW w:w="1394"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屏南镇</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6000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2330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4100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2050</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620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101</w:t>
            </w:r>
          </w:p>
        </w:tc>
      </w:tr>
      <w:tr>
        <w:tblPrEx>
          <w:tblCellMar>
            <w:top w:w="0" w:type="dxa"/>
            <w:left w:w="108" w:type="dxa"/>
            <w:bottom w:w="0" w:type="dxa"/>
            <w:right w:w="108" w:type="dxa"/>
          </w:tblCellMar>
        </w:tblPrEx>
        <w:trPr>
          <w:trHeight w:val="249" w:hRule="atLeast"/>
        </w:trPr>
        <w:tc>
          <w:tcPr>
            <w:tcW w:w="1394"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兰巨乡</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16080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7187</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14000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7500</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1260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207</w:t>
            </w:r>
          </w:p>
        </w:tc>
      </w:tr>
      <w:tr>
        <w:tblPrEx>
          <w:tblCellMar>
            <w:top w:w="0" w:type="dxa"/>
            <w:left w:w="108" w:type="dxa"/>
            <w:bottom w:w="0" w:type="dxa"/>
            <w:right w:w="108" w:type="dxa"/>
          </w:tblCellMar>
        </w:tblPrEx>
        <w:trPr>
          <w:trHeight w:val="249" w:hRule="atLeast"/>
        </w:trPr>
        <w:tc>
          <w:tcPr>
            <w:tcW w:w="742"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宝溪乡</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6500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2654</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4800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2500</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540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88</w:t>
            </w:r>
          </w:p>
        </w:tc>
      </w:tr>
      <w:tr>
        <w:tblPrEx>
          <w:tblCellMar>
            <w:top w:w="0" w:type="dxa"/>
            <w:left w:w="108" w:type="dxa"/>
            <w:bottom w:w="0" w:type="dxa"/>
            <w:right w:w="108" w:type="dxa"/>
          </w:tblCellMar>
        </w:tblPrEx>
        <w:trPr>
          <w:trHeight w:val="249" w:hRule="atLeast"/>
        </w:trPr>
        <w:tc>
          <w:tcPr>
            <w:tcW w:w="742"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竹</w:t>
            </w:r>
            <w:r>
              <w:rPr>
                <w:rFonts w:hint="eastAsia" w:ascii="宋体" w:hAnsi="宋体" w:cs="宋体"/>
                <w:b/>
                <w:bCs/>
                <w:color w:val="auto"/>
                <w:kern w:val="0"/>
                <w:sz w:val="24"/>
                <w:szCs w:val="24"/>
              </w:rPr>
              <w:t>垟</w:t>
            </w:r>
            <w:r>
              <w:rPr>
                <w:rFonts w:hint="eastAsia" w:ascii="仿宋_GB2312" w:hAnsi="仿宋_GB2312" w:eastAsia="仿宋_GB2312" w:cs="仿宋_GB2312"/>
                <w:b/>
                <w:bCs/>
                <w:color w:val="auto"/>
                <w:kern w:val="0"/>
                <w:sz w:val="24"/>
                <w:szCs w:val="24"/>
              </w:rPr>
              <w:t>乡</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9500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4350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6900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3650</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900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147</w:t>
            </w:r>
          </w:p>
        </w:tc>
      </w:tr>
      <w:tr>
        <w:tblPrEx>
          <w:tblCellMar>
            <w:top w:w="0" w:type="dxa"/>
            <w:left w:w="108" w:type="dxa"/>
            <w:bottom w:w="0" w:type="dxa"/>
            <w:right w:w="108" w:type="dxa"/>
          </w:tblCellMar>
        </w:tblPrEx>
        <w:trPr>
          <w:trHeight w:val="249" w:hRule="atLeast"/>
        </w:trPr>
        <w:tc>
          <w:tcPr>
            <w:tcW w:w="742"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道太乡</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9500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3677</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6900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3580</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780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127</w:t>
            </w:r>
          </w:p>
        </w:tc>
      </w:tr>
      <w:tr>
        <w:tblPrEx>
          <w:tblCellMar>
            <w:top w:w="0" w:type="dxa"/>
            <w:left w:w="108" w:type="dxa"/>
            <w:bottom w:w="0" w:type="dxa"/>
            <w:right w:w="108" w:type="dxa"/>
          </w:tblCellMar>
        </w:tblPrEx>
        <w:trPr>
          <w:trHeight w:val="249" w:hRule="atLeast"/>
        </w:trPr>
        <w:tc>
          <w:tcPr>
            <w:tcW w:w="742"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岩樟乡</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2220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873</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1250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650</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420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68</w:t>
            </w:r>
          </w:p>
        </w:tc>
      </w:tr>
      <w:tr>
        <w:tblPrEx>
          <w:tblCellMar>
            <w:top w:w="0" w:type="dxa"/>
            <w:left w:w="108" w:type="dxa"/>
            <w:bottom w:w="0" w:type="dxa"/>
            <w:right w:w="108" w:type="dxa"/>
          </w:tblCellMar>
        </w:tblPrEx>
        <w:trPr>
          <w:trHeight w:val="249" w:hRule="atLeast"/>
        </w:trPr>
        <w:tc>
          <w:tcPr>
            <w:tcW w:w="742"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城北乡</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9000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3485</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6500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3250</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1010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165</w:t>
            </w:r>
          </w:p>
        </w:tc>
      </w:tr>
      <w:tr>
        <w:tblPrEx>
          <w:tblCellMar>
            <w:top w:w="0" w:type="dxa"/>
            <w:left w:w="108" w:type="dxa"/>
            <w:bottom w:w="0" w:type="dxa"/>
            <w:right w:w="108" w:type="dxa"/>
          </w:tblCellMar>
        </w:tblPrEx>
        <w:trPr>
          <w:trHeight w:val="249" w:hRule="atLeast"/>
        </w:trPr>
        <w:tc>
          <w:tcPr>
            <w:tcW w:w="742"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龙南乡</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10000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3565</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6500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3100</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860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140</w:t>
            </w:r>
          </w:p>
        </w:tc>
      </w:tr>
      <w:tr>
        <w:tblPrEx>
          <w:tblCellMar>
            <w:top w:w="0" w:type="dxa"/>
            <w:left w:w="108" w:type="dxa"/>
            <w:bottom w:w="0" w:type="dxa"/>
            <w:right w:w="108" w:type="dxa"/>
          </w:tblCellMar>
        </w:tblPrEx>
        <w:trPr>
          <w:trHeight w:val="249" w:hRule="atLeast"/>
        </w:trPr>
        <w:tc>
          <w:tcPr>
            <w:tcW w:w="742"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全市合计</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default" w:ascii="仿宋_GB2312" w:hAnsi="宋体" w:eastAsia="仿宋_GB2312" w:cs="仿宋_GB2312"/>
                <w:b/>
                <w:bCs/>
                <w:i w:val="0"/>
                <w:color w:val="000000"/>
                <w:kern w:val="0"/>
                <w:sz w:val="24"/>
                <w:szCs w:val="24"/>
                <w:u w:val="none"/>
                <w:lang w:val="en-US" w:eastAsia="zh-CN" w:bidi="ar"/>
              </w:rPr>
              <w:t>181500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rPr>
            </w:pPr>
            <w:r>
              <w:rPr>
                <w:rFonts w:hint="eastAsia" w:ascii="宋体" w:hAnsi="宋体" w:eastAsia="宋体" w:cs="宋体"/>
                <w:b/>
                <w:bCs/>
                <w:i w:val="0"/>
                <w:color w:val="000000"/>
                <w:kern w:val="0"/>
                <w:sz w:val="22"/>
                <w:szCs w:val="22"/>
                <w:u w:val="none"/>
                <w:lang w:val="en-US" w:eastAsia="zh-CN" w:bidi="ar"/>
              </w:rPr>
              <w:t>78500</w:t>
            </w:r>
          </w:p>
        </w:tc>
        <w:tc>
          <w:tcPr>
            <w:tcW w:w="14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bCs/>
                <w:color w:val="auto"/>
                <w:kern w:val="0"/>
                <w:sz w:val="24"/>
                <w:szCs w:val="24"/>
                <w:lang w:val="en-US" w:eastAsia="zh-CN"/>
              </w:rPr>
            </w:pPr>
            <w:r>
              <w:rPr>
                <w:rFonts w:hint="eastAsia" w:ascii="宋体" w:hAnsi="宋体" w:eastAsia="宋体" w:cs="宋体"/>
                <w:b/>
                <w:bCs/>
                <w:i w:val="0"/>
                <w:color w:val="000000"/>
                <w:kern w:val="0"/>
                <w:sz w:val="22"/>
                <w:szCs w:val="22"/>
                <w:u w:val="none"/>
                <w:lang w:val="en-US" w:eastAsia="zh-CN" w:bidi="ar"/>
              </w:rPr>
              <w:t>135200</w:t>
            </w:r>
          </w:p>
        </w:tc>
        <w:tc>
          <w:tcPr>
            <w:tcW w:w="13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70425</w:t>
            </w:r>
          </w:p>
        </w:tc>
        <w:tc>
          <w:tcPr>
            <w:tcW w:w="12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16200</w:t>
            </w:r>
          </w:p>
        </w:tc>
        <w:tc>
          <w:tcPr>
            <w:tcW w:w="12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4"/>
                <w:szCs w:val="24"/>
                <w:lang w:val="en-US" w:eastAsia="zh-CN"/>
              </w:rPr>
            </w:pPr>
            <w:r>
              <w:rPr>
                <w:rFonts w:hint="default" w:ascii="仿宋_GB2312" w:hAnsi="宋体" w:eastAsia="仿宋_GB2312" w:cs="仿宋_GB2312"/>
                <w:b/>
                <w:bCs/>
                <w:i w:val="0"/>
                <w:color w:val="000000"/>
                <w:kern w:val="0"/>
                <w:sz w:val="24"/>
                <w:szCs w:val="24"/>
                <w:u w:val="none"/>
                <w:lang w:val="en-US" w:eastAsia="zh-CN" w:bidi="ar"/>
              </w:rPr>
              <w:t>2650</w:t>
            </w:r>
          </w:p>
        </w:tc>
      </w:tr>
    </w:tbl>
    <w:p>
      <w:pPr>
        <w:pStyle w:val="4"/>
        <w:ind w:left="0" w:leftChars="0" w:firstLine="0" w:firstLineChars="0"/>
        <w:rPr>
          <w:rFonts w:hint="eastAsia" w:ascii="PMingLiU-ExtB" w:hAnsi="宋体" w:cs="宋体"/>
          <w:b/>
          <w:bCs/>
          <w:color w:val="auto"/>
          <w:kern w:val="0"/>
          <w:sz w:val="28"/>
          <w:szCs w:val="28"/>
          <w:lang w:val="en-US" w:eastAsia="zh-CN"/>
        </w:rPr>
      </w:pPr>
    </w:p>
    <w:p>
      <w:pPr>
        <w:pStyle w:val="4"/>
        <w:ind w:left="0" w:leftChars="0" w:firstLine="0" w:firstLineChars="0"/>
        <w:rPr>
          <w:rFonts w:hint="eastAsia" w:ascii="PMingLiU-ExtB" w:hAnsi="宋体" w:cs="宋体"/>
          <w:b/>
          <w:bCs/>
          <w:color w:val="auto"/>
          <w:kern w:val="0"/>
          <w:sz w:val="28"/>
          <w:szCs w:val="28"/>
          <w:lang w:val="en-US" w:eastAsia="zh-CN"/>
        </w:rPr>
      </w:pPr>
      <w:r>
        <w:rPr>
          <w:rFonts w:hint="eastAsia" w:ascii="PMingLiU-ExtB" w:hAnsi="宋体" w:cs="宋体"/>
          <w:b/>
          <w:bCs/>
          <w:color w:val="auto"/>
          <w:kern w:val="0"/>
          <w:sz w:val="28"/>
          <w:szCs w:val="28"/>
          <w:lang w:val="en-US" w:eastAsia="zh-CN"/>
        </w:rPr>
        <w:t>附件2：</w:t>
      </w:r>
    </w:p>
    <w:tbl>
      <w:tblPr>
        <w:tblStyle w:val="7"/>
        <w:tblpPr w:leftFromText="180" w:rightFromText="180" w:vertAnchor="text" w:horzAnchor="page" w:tblpX="1800" w:tblpY="821"/>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2"/>
        <w:gridCol w:w="1699"/>
        <w:gridCol w:w="1517"/>
        <w:gridCol w:w="1565"/>
        <w:gridCol w:w="1809"/>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序号</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乡镇街道</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油料面积（亩）</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油料产量（吨）</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其中油菜面积（亩）</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其中油菜产量（吨）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龙渊街道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410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46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350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2</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西街街道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640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65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640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3</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剑池街道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190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23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175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4</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w w:val="50"/>
                <w:kern w:val="0"/>
                <w:sz w:val="24"/>
                <w:szCs w:val="24"/>
                <w:u w:val="none"/>
                <w:lang w:val="en-US" w:eastAsia="zh-CN" w:bidi="ar"/>
              </w:rPr>
              <w:t>石达</w:t>
            </w:r>
            <w:r>
              <w:rPr>
                <w:rFonts w:hint="eastAsia" w:ascii="仿宋_GB2312" w:hAnsi="仿宋_GB2312" w:eastAsia="仿宋_GB2312" w:cs="仿宋_GB2312"/>
                <w:b/>
                <w:bCs/>
                <w:i w:val="0"/>
                <w:iCs w:val="0"/>
                <w:color w:val="auto"/>
                <w:kern w:val="0"/>
                <w:sz w:val="24"/>
                <w:szCs w:val="24"/>
                <w:u w:val="none"/>
                <w:lang w:val="en-US" w:eastAsia="zh-CN" w:bidi="ar"/>
              </w:rPr>
              <w:t>石街道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800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86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780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5</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八都镇</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1330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155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1100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6</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上垟镇</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390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44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385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7</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小梅镇</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2400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259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2390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8</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查田镇</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2850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305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2680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9</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安仁镇</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970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105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850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10</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锦溪镇</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560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62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510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住龙镇</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150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110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12</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屏南镇</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190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190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13</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兰巨乡</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1350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151.5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1250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14</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宝溪乡</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460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47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460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15</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竹垟乡</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140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580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16</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道太乡</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900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92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900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17</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岩樟乡</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280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51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140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18</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城北乡</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420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73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300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19</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龙南乡</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110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10.5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110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default" w:ascii="Calibri" w:hAnsi="Calibri" w:eastAsia="宋体" w:cs="Calibri"/>
                <w:b w:val="0"/>
                <w:bCs w:val="0"/>
                <w:i w:val="0"/>
                <w:color w:val="auto"/>
                <w:kern w:val="0"/>
                <w:sz w:val="24"/>
                <w:szCs w:val="24"/>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合计</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15400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bCs/>
                <w:i w:val="0"/>
                <w:color w:val="000000"/>
                <w:kern w:val="0"/>
                <w:sz w:val="22"/>
                <w:szCs w:val="22"/>
                <w:u w:val="none"/>
                <w:lang w:val="en-US" w:eastAsia="zh-CN" w:bidi="ar"/>
              </w:rPr>
              <w:t>1750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13900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color w:val="auto"/>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1415</w:t>
            </w:r>
          </w:p>
        </w:tc>
      </w:tr>
    </w:tbl>
    <w:p>
      <w:pPr>
        <w:pStyle w:val="5"/>
        <w:spacing w:after="0"/>
        <w:ind w:left="0" w:leftChars="0" w:firstLine="0" w:firstLineChars="0"/>
        <w:jc w:val="center"/>
        <w:rPr>
          <w:rFonts w:hint="default"/>
          <w:color w:val="auto"/>
          <w:lang w:val="en-US" w:eastAsia="zh-CN"/>
        </w:rPr>
      </w:pPr>
      <w:r>
        <w:rPr>
          <w:rFonts w:hint="eastAsia" w:ascii="PMingLiU-ExtB" w:hAnsi="宋体" w:cs="宋体"/>
          <w:b/>
          <w:bCs/>
          <w:color w:val="auto"/>
          <w:kern w:val="0"/>
          <w:sz w:val="36"/>
          <w:szCs w:val="36"/>
          <w:lang w:val="en-US" w:eastAsia="zh-CN"/>
        </w:rPr>
        <w:t xml:space="preserve">   龙泉市2025年油料作物任务分解表</w:t>
      </w:r>
    </w:p>
    <w:p>
      <w:pPr>
        <w:widowControl/>
        <w:jc w:val="left"/>
        <w:rPr>
          <w:rFonts w:hint="eastAsia" w:ascii="PMingLiU-ExtB" w:hAnsi="宋体" w:cs="宋体"/>
          <w:b/>
          <w:bCs/>
          <w:color w:val="auto"/>
          <w:kern w:val="0"/>
          <w:sz w:val="28"/>
          <w:szCs w:val="28"/>
          <w:lang w:eastAsia="zh-CN"/>
        </w:rPr>
      </w:pPr>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F"/>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PMingLiU-ExtB">
    <w:panose1 w:val="02020500000000000000"/>
    <w:charset w:val="88"/>
    <w:family w:val="roman"/>
    <w:pitch w:val="default"/>
    <w:sig w:usb0="8000002F" w:usb1="02000008" w:usb2="00000000" w:usb3="00000000" w:csb0="00100001"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06826"/>
    <w:multiLevelType w:val="singleLevel"/>
    <w:tmpl w:val="368068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F7A03"/>
    <w:rsid w:val="6EE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Body Text"/>
    <w:basedOn w:val="1"/>
    <w:next w:val="4"/>
    <w:qFormat/>
    <w:uiPriority w:val="0"/>
  </w:style>
  <w:style w:type="paragraph" w:styleId="4">
    <w:name w:val="Body Text First Indent"/>
    <w:basedOn w:val="3"/>
    <w:next w:val="5"/>
    <w:qFormat/>
    <w:uiPriority w:val="0"/>
    <w:pPr>
      <w:ind w:firstLine="420" w:firstLineChars="100"/>
    </w:pPr>
    <w:rPr>
      <w:color w:val="000000"/>
      <w:lang w:eastAsia="en-US" w:bidi="en-US"/>
    </w:rPr>
  </w:style>
  <w:style w:type="paragraph" w:styleId="5">
    <w:name w:val="Body Text First Indent 2"/>
    <w:basedOn w:val="6"/>
    <w:next w:val="1"/>
    <w:qFormat/>
    <w:uiPriority w:val="0"/>
    <w:pPr>
      <w:ind w:firstLine="420" w:firstLineChars="200"/>
    </w:pPr>
  </w:style>
  <w:style w:type="paragraph" w:styleId="6">
    <w:name w:val="Body Text Indent"/>
    <w:basedOn w:val="1"/>
    <w:next w:val="2"/>
    <w:qFormat/>
    <w:uiPriority w:val="0"/>
    <w:pPr>
      <w:spacing w:after="120"/>
      <w:ind w:left="420" w:leftChars="200"/>
    </w:pPr>
  </w:style>
  <w:style w:type="character" w:customStyle="1" w:styleId="9">
    <w:name w:val="15"/>
    <w:qFormat/>
    <w:uiPriority w:val="99"/>
    <w:rPr>
      <w:rFonts w:hint="default" w:ascii="Times New Roman" w:hAnsi="Times New Roman" w:cs="Times New Roman"/>
    </w:rPr>
  </w:style>
  <w:style w:type="character" w:customStyle="1" w:styleId="10">
    <w:name w:val="font21"/>
    <w:basedOn w:val="8"/>
    <w:qFormat/>
    <w:uiPriority w:val="0"/>
    <w:rPr>
      <w:rFonts w:hint="default" w:ascii="仿宋_GB2312" w:eastAsia="仿宋_GB2312" w:cs="仿宋_GB2312"/>
      <w:color w:val="FF0000"/>
      <w:sz w:val="28"/>
      <w:szCs w:val="28"/>
      <w:u w:val="none"/>
    </w:rPr>
  </w:style>
  <w:style w:type="character" w:customStyle="1" w:styleId="11">
    <w:name w:val="font11"/>
    <w:basedOn w:val="8"/>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2025-03-25T00:51:00Z</dcterms:created>
  <dc:creator>Administrator</dc:creator>
  <cp:lastModifiedBy>Administrator</cp:lastModifiedBy>
  <dcterms:modified xsi:type="dcterms:W3CDTF">2025-03-25T01:04:56Z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