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龙泉市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发展和改革局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 xml:space="preserve"> 龙泉市教育局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关于龙泉市外国语高级中学民办教育收费事项批复的函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龙泉市外国语高级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你校《关于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龙泉市外国语高级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2024学年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收费的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申请报告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》收悉。根据《浙江省定价目录（2022年版）》、《浙江省民办教育收费管理办法》(浙发改价格〔2020〕18号)、《丽水市人民政府关于促进民办教育加快发展的实施意见》（丽政发〔2014〕58号）、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《龙泉市发展和改革局 龙泉市教育局关于印发〈</w:t>
      </w:r>
      <w:r>
        <w:rPr>
          <w:rFonts w:hint="eastAsia" w:ascii="仿宋_GB2312" w:hAnsi="仿宋_GB2312" w:eastAsia="仿宋_GB2312" w:cs="仿宋_GB2312"/>
          <w:sz w:val="32"/>
          <w:szCs w:val="32"/>
        </w:rPr>
        <w:t>龙泉市民办教育收费管理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〉的通知》(</w:t>
      </w:r>
      <w:r>
        <w:rPr>
          <w:rFonts w:hint="eastAsia" w:ascii="仿宋_GB2312" w:hAnsi="仿宋_GB2312" w:eastAsia="仿宋_GB2312" w:cs="仿宋_GB2312"/>
          <w:sz w:val="32"/>
          <w:szCs w:val="32"/>
        </w:rPr>
        <w:t>龙发改费管〔2017〕327号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等有关规定，现就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龙泉市外国语高级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中学民办教育收费有关事项批复如下：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龙泉市外国语高级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中学民办教育收费实行政府指导价。学费基准价(试行)为11700元/生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·学期，住宿费基准价为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元/生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·学期；学校可按不高于基准价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0%的幅度内自主确定收费标准。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二、本批复自202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年9月1日起试行二年，期满后将依据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龙泉市外国语高级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中学教育成本监审情况重新核定教育收费基准价标准。其他未尽事项按《浙江省民办教育收费管理办法》(浙发改价格〔2020〕18号)、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《龙泉市发展和改革局 龙泉市教育局关于印发〈</w:t>
      </w:r>
      <w:r>
        <w:rPr>
          <w:rFonts w:hint="eastAsia" w:ascii="仿宋_GB2312" w:hAnsi="仿宋_GB2312" w:eastAsia="仿宋_GB2312" w:cs="仿宋_GB2312"/>
          <w:sz w:val="32"/>
          <w:szCs w:val="32"/>
        </w:rPr>
        <w:t>龙泉市民办教育收费管理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〉的通知》(</w:t>
      </w:r>
      <w:r>
        <w:rPr>
          <w:rFonts w:hint="eastAsia" w:ascii="仿宋_GB2312" w:hAnsi="仿宋_GB2312" w:eastAsia="仿宋_GB2312" w:cs="仿宋_GB2312"/>
          <w:sz w:val="32"/>
          <w:szCs w:val="32"/>
        </w:rPr>
        <w:t>龙发改费管〔2017〕327号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龙泉市发展和改革局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top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8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2024-07-11T10:01:34Z</dcterms:created>
  <dc:creator>zys</dc:creator>
  <cp:lastModifiedBy>WPS_1696989259</cp:lastModifiedBy>
  <dcterms:modified xsi:type="dcterms:W3CDTF">2024-07-11T10:04:30Z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