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CD38">
      <w:pPr>
        <w:pStyle w:val="3"/>
        <w:keepNext w:val="0"/>
        <w:keepLines w:val="0"/>
        <w:pageBreakBefore w:val="0"/>
        <w:widowControl w:val="0"/>
        <w:kinsoku/>
        <w:wordWrap/>
        <w:overflowPunct/>
        <w:topLinePunct w:val="0"/>
        <w:bidi w:val="0"/>
        <w:snapToGrid/>
        <w:spacing w:line="600" w:lineRule="exact"/>
        <w:ind w:left="0" w:leftChars="0" w:right="0" w:firstLine="0" w:firstLineChars="0"/>
        <w:jc w:val="center"/>
        <w:textAlignment w:val="auto"/>
        <w:rPr>
          <w:rFonts w:hint="eastAsia" w:ascii="小标宋" w:hAnsi="小标宋" w:eastAsia="小标宋" w:cs="小标宋"/>
          <w:spacing w:val="0"/>
          <w:w w:val="100"/>
          <w:sz w:val="44"/>
          <w:szCs w:val="44"/>
          <w:lang w:eastAsia="zh-CN"/>
        </w:rPr>
      </w:pPr>
      <w:r>
        <w:rPr>
          <w:rFonts w:hint="eastAsia" w:ascii="小标宋" w:hAnsi="小标宋" w:eastAsia="小标宋" w:cs="小标宋"/>
          <w:spacing w:val="0"/>
          <w:w w:val="100"/>
          <w:sz w:val="44"/>
          <w:szCs w:val="44"/>
          <w:lang w:val="en-US" w:eastAsia="zh-CN"/>
        </w:rPr>
        <w:t>龙泉市</w:t>
      </w:r>
      <w:r>
        <w:rPr>
          <w:rFonts w:hint="eastAsia" w:ascii="小标宋" w:hAnsi="小标宋" w:eastAsia="小标宋" w:cs="小标宋"/>
          <w:spacing w:val="0"/>
          <w:w w:val="100"/>
          <w:sz w:val="44"/>
          <w:szCs w:val="44"/>
          <w:lang w:eastAsia="zh-CN"/>
        </w:rPr>
        <w:t>人民政府</w:t>
      </w:r>
      <w:r>
        <w:rPr>
          <w:rFonts w:hint="eastAsia" w:ascii="小标宋" w:hAnsi="小标宋" w:eastAsia="小标宋" w:cs="小标宋"/>
          <w:spacing w:val="0"/>
          <w:w w:val="100"/>
          <w:sz w:val="44"/>
          <w:szCs w:val="44"/>
        </w:rPr>
        <w:t>关于调整耕地开垦费等有关政策的通知</w:t>
      </w:r>
      <w:r>
        <w:rPr>
          <w:rFonts w:hint="eastAsia" w:ascii="小标宋" w:hAnsi="小标宋" w:eastAsia="小标宋" w:cs="小标宋"/>
          <w:spacing w:val="0"/>
          <w:w w:val="100"/>
          <w:sz w:val="44"/>
          <w:szCs w:val="44"/>
          <w:lang w:eastAsia="zh-CN"/>
        </w:rPr>
        <w:t>（</w:t>
      </w:r>
      <w:r>
        <w:rPr>
          <w:rFonts w:hint="eastAsia" w:ascii="小标宋" w:hAnsi="小标宋" w:eastAsia="小标宋" w:cs="小标宋"/>
          <w:spacing w:val="0"/>
          <w:w w:val="100"/>
          <w:sz w:val="44"/>
          <w:szCs w:val="44"/>
          <w:lang w:val="en-US" w:eastAsia="zh-CN"/>
        </w:rPr>
        <w:t>征求意见稿</w:t>
      </w:r>
      <w:r>
        <w:rPr>
          <w:rFonts w:hint="eastAsia" w:ascii="小标宋" w:hAnsi="小标宋" w:eastAsia="小标宋" w:cs="小标宋"/>
          <w:spacing w:val="0"/>
          <w:w w:val="100"/>
          <w:sz w:val="44"/>
          <w:szCs w:val="44"/>
          <w:lang w:eastAsia="zh-CN"/>
        </w:rPr>
        <w:t>）</w:t>
      </w:r>
    </w:p>
    <w:p w14:paraId="46A7AA5B">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 w:hAnsi="仿宋" w:eastAsia="仿宋" w:cs="仿宋"/>
          <w:spacing w:val="0"/>
          <w:w w:val="100"/>
          <w:sz w:val="32"/>
          <w:szCs w:val="32"/>
          <w:lang w:val="en-US" w:eastAsia="zh-CN"/>
        </w:rPr>
      </w:pPr>
    </w:p>
    <w:p w14:paraId="4083A32F">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为严格落实耕地占补平衡制度，做好耕地保护工作，根据《中华人民共和国土地管理法》《浙江省土地管理条例》</w:t>
      </w:r>
      <w:r>
        <w:rPr>
          <w:rFonts w:hint="eastAsia" w:ascii="仿宋_GB2312" w:hAnsi="仿宋_GB2312" w:eastAsia="仿宋_GB2312" w:cs="仿宋_GB2312"/>
          <w:sz w:val="32"/>
          <w:szCs w:val="32"/>
          <w:lang w:eastAsia="zh-CN"/>
        </w:rPr>
        <w:t>《浙江省人民政府办公厅关于调整耕地开垦费等有关政策的通知》（浙政办函</w:t>
      </w:r>
      <w:r>
        <w:rPr>
          <w:rFonts w:hint="eastAsia" w:ascii="仿宋_GB2312" w:hAnsi="仿宋_GB2312" w:eastAsia="仿宋_GB2312" w:cs="仿宋_GB2312"/>
          <w:sz w:val="32"/>
          <w:szCs w:val="32"/>
          <w:lang w:val="en-US" w:eastAsia="zh-CN"/>
        </w:rPr>
        <w:t>[2025]2号</w:t>
      </w:r>
      <w:r>
        <w:rPr>
          <w:rFonts w:hint="eastAsia" w:ascii="仿宋_GB2312" w:hAnsi="仿宋_GB2312" w:eastAsia="仿宋_GB2312" w:cs="仿宋_GB2312"/>
          <w:sz w:val="32"/>
          <w:szCs w:val="32"/>
          <w:lang w:eastAsia="zh-CN"/>
        </w:rPr>
        <w:t>）、《浙江省自然资源厅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浙江省农业农村厅关于进一步加强耕地保护改革完善耕地占补平衡管理的通知》（浙自然资发〔2025〕1号）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pacing w:val="0"/>
          <w:w w:val="100"/>
          <w:sz w:val="32"/>
          <w:szCs w:val="32"/>
          <w:lang w:val="en-US" w:eastAsia="zh-CN"/>
        </w:rPr>
        <w:t>等规定，经</w:t>
      </w:r>
      <w:r>
        <w:rPr>
          <w:rFonts w:hint="eastAsia" w:ascii="仿宋_GB2312" w:hAnsi="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lang w:val="en-US" w:eastAsia="zh-CN"/>
        </w:rPr>
        <w:t>政府同意，现就调整耕地开垦费等有关政策事项通知如下：</w:t>
      </w:r>
    </w:p>
    <w:p w14:paraId="4FC48087">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一、征收范围</w:t>
      </w:r>
    </w:p>
    <w:p w14:paraId="04EA4736">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非农业建设经批准占用耕地的单位和个人，按照“占多少，垦多少”的原则，由占用耕地的单位和个人负责开垦与占用耕地数量和质量相当的耕地；没有条件开垦或者开垦的耕地不符合要求的，按照规定标准缴纳耕地开垦费和委托补充耕地产生的相关费用（以下简称补充耕地资金），委托县政府组织开垦相应的耕地。耕地开垦费和补充耕地资金作为建设成本，列入建设项目总投资或者生产成本。</w:t>
      </w:r>
    </w:p>
    <w:p w14:paraId="3D0E3F93">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二、征收标准</w:t>
      </w:r>
    </w:p>
    <w:p w14:paraId="59813781">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根据建设项目占用耕地质量等别，划分为4档，分别征收耕地开垦费：一类2-4等为72元/平方米，二类5-7等为64元/平方米，三类8-10等为56元/平方米，四类11-13等为40元/平方米。经依法批准占用永久基本农田的，按照上述标准的2倍收缴</w:t>
      </w:r>
      <w:r>
        <w:rPr>
          <w:rFonts w:hint="eastAsia" w:ascii="仿宋_GB2312" w:hAnsi="仿宋_GB2312" w:cs="仿宋_GB2312"/>
          <w:spacing w:val="0"/>
          <w:w w:val="100"/>
          <w:sz w:val="32"/>
          <w:szCs w:val="32"/>
          <w:lang w:val="en-US" w:eastAsia="zh-CN"/>
        </w:rPr>
        <w:t>。</w:t>
      </w:r>
    </w:p>
    <w:p w14:paraId="06B2ABC5">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z w:val="32"/>
          <w:szCs w:val="32"/>
          <w:lang w:val="en-US" w:eastAsia="zh-CN"/>
        </w:rPr>
        <w:t>补充耕地资金旱地按225元/平方米、水田按375元/平方米收缴。</w:t>
      </w:r>
    </w:p>
    <w:p w14:paraId="7AD5425A">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对于使用已购入的国家统筹、省统筹和跨市调剂指标的项目，补充耕地资金按原调剂补充耕地指标价格执行。</w:t>
      </w:r>
    </w:p>
    <w:p w14:paraId="447CF336">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592" w:firstLineChars="200"/>
        <w:jc w:val="both"/>
        <w:textAlignment w:val="auto"/>
        <w:rPr>
          <w:rFonts w:hint="eastAsia" w:ascii="黑体" w:hAnsi="黑体" w:eastAsia="黑体" w:cs="黑体"/>
          <w:spacing w:val="0"/>
          <w:w w:val="100"/>
          <w:sz w:val="30"/>
          <w:szCs w:val="30"/>
          <w:lang w:val="en-US" w:eastAsia="zh-CN"/>
        </w:rPr>
      </w:pPr>
      <w:r>
        <w:rPr>
          <w:rFonts w:hint="eastAsia" w:ascii="黑体" w:hAnsi="黑体" w:eastAsia="黑体" w:cs="黑体"/>
          <w:spacing w:val="0"/>
          <w:w w:val="100"/>
          <w:sz w:val="30"/>
          <w:szCs w:val="30"/>
          <w:lang w:val="en-US" w:eastAsia="zh-CN"/>
        </w:rPr>
        <w:t>三、征收程序</w:t>
      </w:r>
    </w:p>
    <w:p w14:paraId="27B1D2AC">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color w:val="FF0000"/>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用地主体在申请办理农用地转用审批时，按照规定标准向县自然资源部门足额缴纳耕地开垦费和补充耕地资金。耕地开垦费省分成比例为20％，具体收缴流程按非税收入管理规定执行。</w:t>
      </w:r>
    </w:p>
    <w:p w14:paraId="5B6BE853">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592" w:firstLineChars="200"/>
        <w:jc w:val="both"/>
        <w:textAlignment w:val="auto"/>
        <w:rPr>
          <w:rFonts w:hint="eastAsia" w:ascii="黑体" w:hAnsi="黑体" w:eastAsia="黑体" w:cs="黑体"/>
          <w:spacing w:val="0"/>
          <w:w w:val="100"/>
          <w:sz w:val="30"/>
          <w:szCs w:val="30"/>
          <w:lang w:val="en-US" w:eastAsia="zh-CN"/>
        </w:rPr>
      </w:pPr>
      <w:r>
        <w:rPr>
          <w:rFonts w:hint="eastAsia" w:ascii="黑体" w:hAnsi="黑体" w:eastAsia="黑体" w:cs="黑体"/>
          <w:spacing w:val="0"/>
          <w:w w:val="100"/>
          <w:sz w:val="30"/>
          <w:szCs w:val="30"/>
          <w:lang w:val="en-US" w:eastAsia="zh-CN"/>
        </w:rPr>
        <w:t>四、资金使用和管理</w:t>
      </w:r>
    </w:p>
    <w:p w14:paraId="6105BAE1">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耕地开垦费和补充耕地资金纳入一般公共预算管理，实行收支两条线管理，耕地开垦费收入要及时全额收缴入库。耕地开垦费和补充耕地资金统筹用于耕地保护与质量建设。</w:t>
      </w:r>
    </w:p>
    <w:p w14:paraId="4DC4C2EE">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发改、财政、自然资源、审计、市场监管等部门</w:t>
      </w:r>
      <w:r>
        <w:rPr>
          <w:rFonts w:hint="eastAsia" w:ascii="仿宋_GB2312" w:hAnsi="仿宋_GB2312" w:cs="仿宋_GB2312"/>
          <w:spacing w:val="0"/>
          <w:w w:val="100"/>
          <w:sz w:val="32"/>
          <w:szCs w:val="32"/>
          <w:lang w:val="en-US" w:eastAsia="zh-CN"/>
        </w:rPr>
        <w:t>应定期</w:t>
      </w:r>
      <w:r>
        <w:rPr>
          <w:rFonts w:hint="eastAsia" w:ascii="仿宋_GB2312" w:hAnsi="仿宋_GB2312" w:eastAsia="仿宋_GB2312" w:cs="仿宋_GB2312"/>
          <w:spacing w:val="0"/>
          <w:w w:val="100"/>
          <w:sz w:val="32"/>
          <w:szCs w:val="32"/>
          <w:lang w:val="en-US" w:eastAsia="zh-CN"/>
        </w:rPr>
        <w:t>对耕地开垦费和补充耕地资金的收缴、使用和管理情况进行监督检查，如有违纪违法行为的，要依据有关法律、法规和规定进行严肃处理。</w:t>
      </w:r>
    </w:p>
    <w:p w14:paraId="719B09B8">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592" w:firstLineChars="200"/>
        <w:jc w:val="both"/>
        <w:textAlignment w:val="auto"/>
        <w:rPr>
          <w:rFonts w:hint="eastAsia" w:ascii="黑体" w:hAnsi="黑体" w:eastAsia="黑体" w:cs="黑体"/>
          <w:spacing w:val="0"/>
          <w:w w:val="100"/>
          <w:sz w:val="30"/>
          <w:szCs w:val="30"/>
          <w:lang w:val="en-US" w:eastAsia="zh-CN"/>
        </w:rPr>
      </w:pPr>
      <w:r>
        <w:rPr>
          <w:rFonts w:hint="eastAsia" w:ascii="黑体" w:hAnsi="黑体" w:eastAsia="黑体" w:cs="黑体"/>
          <w:spacing w:val="0"/>
          <w:w w:val="100"/>
          <w:sz w:val="30"/>
          <w:szCs w:val="30"/>
          <w:lang w:val="en-US" w:eastAsia="zh-CN"/>
        </w:rPr>
        <w:t>五、其他事项</w:t>
      </w:r>
    </w:p>
    <w:p w14:paraId="2DFA8169">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凡依法利用农村集体所有土地或国有土地（含依法征收为国有土地）用于农民建房或农民住房安置的新建、翻建自用住房，不缴纳耕地开垦费，由</w:t>
      </w:r>
      <w:r>
        <w:rPr>
          <w:rFonts w:hint="eastAsia" w:ascii="仿宋_GB2312" w:hAnsi="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lang w:val="en-US" w:eastAsia="zh-CN"/>
        </w:rPr>
        <w:t>政府统筹落实补充耕地任务。</w:t>
      </w:r>
    </w:p>
    <w:p w14:paraId="73A626B6">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城乡建设用地增减挂钩项目区内新建农村居民安置住房和农村公共服务、基础设施用地，未超过项目增减挂钩建设用地复耕总面积的，不缴纳耕地开垦费。</w:t>
      </w:r>
    </w:p>
    <w:p w14:paraId="51BC3887">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非农业建设经批准占用园地的，不缴纳耕地开垦费。</w:t>
      </w:r>
    </w:p>
    <w:p w14:paraId="53DFFC15">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其他耕地开垦费减免政策按国家有关规定执行。</w:t>
      </w:r>
    </w:p>
    <w:p w14:paraId="319F9A17">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本通知自2025年XX月XX日起施行。</w:t>
      </w:r>
      <w:bookmarkStart w:id="0" w:name="_GoBack"/>
      <w:bookmarkEnd w:id="0"/>
    </w:p>
    <w:p w14:paraId="41793C6A">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p>
    <w:p w14:paraId="2C97BBB1">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32" w:firstLineChars="200"/>
        <w:jc w:val="both"/>
        <w:textAlignment w:val="auto"/>
        <w:rPr>
          <w:rFonts w:hint="eastAsia" w:ascii="仿宋_GB2312" w:hAnsi="仿宋_GB2312" w:eastAsia="仿宋_GB2312" w:cs="仿宋_GB2312"/>
          <w:spacing w:val="0"/>
          <w:w w:val="100"/>
          <w:sz w:val="32"/>
          <w:szCs w:val="32"/>
          <w:lang w:val="en-US" w:eastAsia="zh-CN"/>
        </w:rPr>
      </w:pPr>
    </w:p>
    <w:p w14:paraId="7037164C">
      <w:pPr>
        <w:pStyle w:val="4"/>
        <w:keepNext w:val="0"/>
        <w:keepLines w:val="0"/>
        <w:pageBreakBefore w:val="0"/>
        <w:widowControl w:val="0"/>
        <w:kinsoku/>
        <w:wordWrap/>
        <w:overflowPunct/>
        <w:topLinePunct w:val="0"/>
        <w:bidi w:val="0"/>
        <w:snapToGrid/>
        <w:spacing w:line="600" w:lineRule="exact"/>
        <w:ind w:left="5056" w:leftChars="1600" w:right="0"/>
        <w:jc w:val="center"/>
        <w:textAlignment w:val="auto"/>
        <w:rPr>
          <w:rFonts w:hint="eastAsia" w:ascii="仿宋" w:hAnsi="仿宋" w:eastAsia="仿宋" w:cs="仿宋"/>
          <w:spacing w:val="0"/>
          <w:w w:val="100"/>
          <w:sz w:val="32"/>
          <w:szCs w:val="32"/>
          <w:lang w:eastAsia="zh-CN"/>
        </w:rPr>
      </w:pPr>
    </w:p>
    <w:p w14:paraId="3545E720">
      <w:pPr>
        <w:spacing w:line="100" w:lineRule="exact"/>
        <w:rPr>
          <w:rFonts w:ascii="仿宋_GB2312" w:hAnsi="宋体" w:cs="华文仿宋"/>
          <w:spacing w:val="0"/>
          <w:w w:val="100"/>
          <w:sz w:val="28"/>
          <w:szCs w:val="28"/>
          <w:u w:val="single"/>
        </w:rPr>
      </w:pPr>
    </w:p>
    <w:p w14:paraId="4F886AC6"/>
    <w:sectPr>
      <w:footerReference r:id="rId3" w:type="default"/>
      <w:footerReference r:id="rId4" w:type="even"/>
      <w:pgSz w:w="11906" w:h="16838"/>
      <w:pgMar w:top="1814" w:right="1474" w:bottom="1814" w:left="1474" w:header="851" w:footer="79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SJ-PK7482000169f-Identity-H">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D0CA">
    <w:pPr>
      <w:pStyle w:val="5"/>
      <w:ind w:firstLine="8120" w:firstLineChars="29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14:paraId="0467F869">
    <w:pPr>
      <w:pStyle w:val="5"/>
      <w:ind w:firstLine="7840" w:firstLineChars="280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6181">
    <w:pPr>
      <w:pStyle w:val="5"/>
      <w:framePr w:wrap="around" w:vAnchor="text" w:hAnchor="page" w:x="1515" w:y="-329"/>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14:paraId="6E997F98">
    <w:pPr>
      <w:pStyle w:val="5"/>
      <w:ind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63133"/>
    <w:rsid w:val="20C763AD"/>
    <w:rsid w:val="42294ACA"/>
    <w:rsid w:val="58C0421B"/>
    <w:rsid w:val="5AD25E43"/>
    <w:rsid w:val="5C56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spacing w:line="643" w:lineRule="exact"/>
      <w:ind w:left="642" w:right="902"/>
      <w:jc w:val="center"/>
      <w:outlineLvl w:val="0"/>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40" w:afterAutospacing="0" w:line="240" w:lineRule="auto"/>
      <w:ind w:left="0" w:leftChars="0" w:firstLine="880" w:firstLineChars="200"/>
    </w:pPr>
    <w:rPr>
      <w:rFonts w:cs="Times New Roman"/>
    </w:rPr>
  </w:style>
  <w:style w:type="paragraph" w:styleId="4">
    <w:name w:val="Body Text"/>
    <w:basedOn w:val="1"/>
    <w:unhideWhenUsed/>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1308</Characters>
  <Lines>0</Lines>
  <Paragraphs>0</Paragraphs>
  <TotalTime>127</TotalTime>
  <ScaleCrop>false</ScaleCrop>
  <LinksUpToDate>false</LinksUpToDate>
  <CharactersWithSpaces>1310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2025-03-06T03:28:00Z</dcterms:created>
  <dc:creator>李俊卿✨</dc:creator>
  <cp:lastModifiedBy>李俊卿✨</cp:lastModifiedBy>
  <cp:lastPrinted>2025-04-18T08:06:30Z</cp:lastPrinted>
  <dcterms:modified xsi:type="dcterms:W3CDTF">2025-04-18T08:25:30Z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2B08F524FE3E4AADB741B2DCECB8297F_11</vt:lpwstr>
  </property>
  <property fmtid="{D5CDD505-2E9C-101B-9397-08002B2CF9AE}" pid="4" name="KSOTemplateDocerSaveRecord">
    <vt:lpwstr>eyJoZGlkIjoiNDJmNzkxYzA5MThjZmUzMjk2YTAxMWQ5NTE5ZTAxOGQiLCJ1c2VySWQiOiI2MTA2NjcyOTcifQ==</vt:lpwstr>
  </property>
</Properties>
</file>