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2713E">
      <w:pPr>
        <w:pStyle w:val="20"/>
        <w:adjustRightInd w:val="0"/>
        <w:snapToGrid w:val="0"/>
        <w:spacing w:line="560" w:lineRule="exact"/>
        <w:ind w:firstLine="87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关于《龙泉市均溪三级水库改建工程建设征地移民安置实施管理办法（征求意见稿）》的起草说明</w:t>
      </w:r>
    </w:p>
    <w:p w14:paraId="11D0A6D6">
      <w:pPr>
        <w:pStyle w:val="20"/>
        <w:adjustRightInd w:val="0"/>
        <w:snapToGrid w:val="0"/>
        <w:spacing w:line="560" w:lineRule="exact"/>
        <w:ind w:firstLine="872"/>
        <w:jc w:val="center"/>
        <w:rPr>
          <w:rFonts w:hint="eastAsia" w:ascii="方正小标宋简体" w:hAnsi="方正小标宋简体" w:eastAsia="方正小标宋简体" w:cs="方正小标宋简体"/>
          <w:sz w:val="44"/>
          <w:szCs w:val="44"/>
        </w:rPr>
      </w:pPr>
    </w:p>
    <w:p w14:paraId="04DEDF04">
      <w:pPr>
        <w:spacing w:after="0" w:line="240" w:lineRule="auto"/>
        <w:ind w:firstLine="632" w:firstLineChars="200"/>
        <w:jc w:val="both"/>
        <w:outlineLvl w:val="0"/>
        <w:rPr>
          <w:rFonts w:ascii="Times New Roman" w:hAnsi="黑体" w:eastAsia="黑体"/>
        </w:rPr>
      </w:pPr>
      <w:r>
        <w:rPr>
          <w:rFonts w:hint="eastAsia" w:ascii="Times New Roman" w:hAnsi="黑体" w:eastAsia="黑体"/>
        </w:rPr>
        <w:t>一、制定原因及背景</w:t>
      </w:r>
    </w:p>
    <w:p w14:paraId="4E84AF61">
      <w:pPr>
        <w:spacing w:after="0" w:line="240" w:lineRule="auto"/>
        <w:ind w:firstLine="632" w:firstLineChars="200"/>
        <w:jc w:val="both"/>
        <w:rPr>
          <w:rFonts w:ascii="Times New Roman" w:eastAsia="仿宋_GB2312"/>
        </w:rPr>
      </w:pPr>
      <w:r>
        <w:rPr>
          <w:rFonts w:hint="eastAsia" w:ascii="Times New Roman" w:eastAsia="仿宋_GB2312"/>
        </w:rPr>
        <w:t>2025年3月18日浙江省发改委以《关于均溪三级水库改建工程初步设计批复的函》（浙发改项字〔2025〕118号）文批复项目初步设计报告，标志着项目由前期阶段迈入实施阶段。龙泉市均溪三级水库改建工程建设范围内建设征地和移民安置参照大中型水利水电工程标准和流程执行。根据《大中型水利水电工程建设征地补偿和移民安置条例》（2017年国务院令第679号），建设征地和移民安置工作实行“政府领导、分级负责、县为基础、项目法人参与”的管理体制，龙泉市人民政府负责建设征地和移民安置工作的组织和领导。</w:t>
      </w:r>
    </w:p>
    <w:p w14:paraId="10C77E5E">
      <w:pPr>
        <w:spacing w:after="0" w:line="240" w:lineRule="auto"/>
        <w:ind w:firstLine="632" w:firstLineChars="200"/>
        <w:jc w:val="both"/>
        <w:outlineLvl w:val="0"/>
        <w:rPr>
          <w:rFonts w:ascii="Times New Roman" w:hAnsi="黑体" w:eastAsia="黑体"/>
        </w:rPr>
      </w:pPr>
      <w:r>
        <w:rPr>
          <w:rFonts w:hint="eastAsia" w:ascii="Times New Roman" w:hAnsi="黑体" w:eastAsia="黑体"/>
        </w:rPr>
        <w:t>二、制定依据</w:t>
      </w:r>
    </w:p>
    <w:p w14:paraId="3CE96388">
      <w:pPr>
        <w:spacing w:after="0" w:line="240" w:lineRule="auto"/>
        <w:ind w:firstLine="632" w:firstLineChars="200"/>
        <w:jc w:val="both"/>
        <w:rPr>
          <w:rFonts w:ascii="Times New Roman" w:eastAsia="仿宋_GB2312"/>
        </w:rPr>
      </w:pPr>
      <w:r>
        <w:rPr>
          <w:rFonts w:hint="eastAsia" w:ascii="Times New Roman" w:eastAsia="仿宋_GB2312"/>
        </w:rPr>
        <w:t>1.《中华人民共和国土地管理法》《大中型水利水电工程建设征地补偿和移民安置条例》《浙江省土地管理条例》；</w:t>
      </w:r>
    </w:p>
    <w:p w14:paraId="3B583259">
      <w:pPr>
        <w:spacing w:after="0" w:line="240" w:lineRule="auto"/>
        <w:ind w:firstLine="632" w:firstLineChars="200"/>
        <w:jc w:val="both"/>
        <w:rPr>
          <w:rFonts w:hint="eastAsia" w:ascii="Times New Roman" w:eastAsia="仿宋_GB2312"/>
        </w:rPr>
      </w:pPr>
      <w:r>
        <w:rPr>
          <w:rFonts w:hint="eastAsia" w:ascii="Times New Roman" w:eastAsia="仿宋_GB2312"/>
        </w:rPr>
        <w:t>2.《浙江省大中型水库移民安置实施工作规程（试行）》（浙民移〔2024〕135号)</w:t>
      </w:r>
    </w:p>
    <w:p w14:paraId="609C26A1">
      <w:pPr>
        <w:spacing w:after="0" w:line="240" w:lineRule="auto"/>
        <w:ind w:firstLine="632" w:firstLineChars="200"/>
        <w:jc w:val="both"/>
        <w:rPr>
          <w:rFonts w:hint="eastAsia" w:ascii="Times New Roman" w:eastAsia="仿宋_GB2312"/>
        </w:rPr>
      </w:pPr>
      <w:r>
        <w:rPr>
          <w:rFonts w:hint="eastAsia" w:ascii="Times New Roman" w:eastAsia="仿宋_GB2312"/>
        </w:rPr>
        <w:t>3.《龙泉市人民政府 关于确认龙泉市均溪三级水库改建工程建设征地移民实物调查成果的函》（龙政函〔2023〕91号）；</w:t>
      </w:r>
    </w:p>
    <w:p w14:paraId="6182E09A">
      <w:pPr>
        <w:spacing w:after="0" w:line="240" w:lineRule="auto"/>
        <w:ind w:firstLine="632" w:firstLineChars="200"/>
        <w:jc w:val="both"/>
        <w:rPr>
          <w:rFonts w:hint="eastAsia" w:ascii="Times New Roman" w:eastAsia="仿宋_GB2312"/>
        </w:rPr>
      </w:pPr>
      <w:r>
        <w:rPr>
          <w:rFonts w:hint="eastAsia" w:ascii="Times New Roman" w:eastAsia="仿宋_GB2312"/>
        </w:rPr>
        <w:t>4.《浙江省人民政府 关于禁止在龙泉市均溪三级水库改建工程占地和淹没区新增建设项目和迁入人口的通告》；</w:t>
      </w:r>
    </w:p>
    <w:p w14:paraId="503724E5">
      <w:pPr>
        <w:spacing w:after="0" w:line="240" w:lineRule="auto"/>
        <w:ind w:firstLine="632" w:firstLineChars="200"/>
        <w:jc w:val="both"/>
        <w:rPr>
          <w:rFonts w:ascii="Times New Roman" w:eastAsia="仿宋_GB2312"/>
        </w:rPr>
      </w:pPr>
      <w:r>
        <w:rPr>
          <w:rFonts w:hint="eastAsia" w:ascii="Times New Roman" w:eastAsia="仿宋_GB2312"/>
        </w:rPr>
        <w:t>5.《浙江省人民政府 关于龙泉市均溪三级水库改建工程建设征地移民安置规划大纲的批复》(浙政函〔2024〕21号)、《浙江省水库移民安置办公室 关于龙泉市均溪三级水库改建工程建设征地移民安置规划报告审核意见的函》(浙移函〔2024〕31号)。</w:t>
      </w:r>
    </w:p>
    <w:p w14:paraId="7B2C1B32">
      <w:pPr>
        <w:spacing w:after="0" w:line="240" w:lineRule="auto"/>
        <w:ind w:firstLine="632" w:firstLineChars="200"/>
        <w:jc w:val="both"/>
        <w:outlineLvl w:val="0"/>
        <w:rPr>
          <w:rFonts w:ascii="Times New Roman" w:hAnsi="黑体" w:eastAsia="黑体"/>
        </w:rPr>
      </w:pPr>
      <w:r>
        <w:rPr>
          <w:rFonts w:hint="eastAsia" w:ascii="Times New Roman" w:hAnsi="黑体" w:eastAsia="黑体"/>
        </w:rPr>
        <w:t>三、起草过程</w:t>
      </w:r>
    </w:p>
    <w:p w14:paraId="113054E5">
      <w:pPr>
        <w:spacing w:after="0" w:line="240" w:lineRule="auto"/>
        <w:ind w:firstLine="632" w:firstLineChars="200"/>
        <w:jc w:val="both"/>
        <w:rPr>
          <w:rFonts w:ascii="Times New Roman" w:eastAsia="仿宋_GB2312"/>
        </w:rPr>
      </w:pPr>
      <w:r>
        <w:rPr>
          <w:rFonts w:hint="eastAsia" w:ascii="Times New Roman" w:eastAsia="仿宋_GB2312"/>
        </w:rPr>
        <w:t>2023年7月，浙江省人民政府发布《关于禁止在龙泉市均溪三级水库改建工程占地和淹没区新增建设项目和迁入人口的通告》。2024年4月，浙江省水库移民安置办公室印发了《关于龙泉市均溪三级水库改建工程建设征地移民安置规划报告审核意见的函》（浙移函〔2024〕31号）”。项目建设指挥部及时根据规划报告，结合龙泉市实际，启动实施方案起草工作。经有关部门、属地乡镇多次讨论</w:t>
      </w:r>
      <w:r>
        <w:rPr>
          <w:rFonts w:hint="eastAsia" w:ascii="Times New Roman" w:eastAsia="仿宋_GB2312"/>
        </w:rPr>
        <w:t>，修改形成《龙泉市均溪三级水库改建工程建设征地移民安置实施管理办法（意见征求稿）》。</w:t>
      </w:r>
    </w:p>
    <w:p w14:paraId="17C4B806">
      <w:pPr>
        <w:spacing w:after="0" w:line="240" w:lineRule="auto"/>
        <w:ind w:firstLine="632" w:firstLineChars="200"/>
        <w:jc w:val="both"/>
        <w:outlineLvl w:val="0"/>
        <w:rPr>
          <w:rFonts w:hint="eastAsia" w:ascii="Times New Roman" w:hAnsi="黑体" w:eastAsia="黑体"/>
        </w:rPr>
      </w:pPr>
      <w:r>
        <w:rPr>
          <w:rFonts w:hint="eastAsia" w:ascii="Times New Roman" w:hAnsi="黑体" w:eastAsia="黑体"/>
        </w:rPr>
        <w:t>四、主要内容</w:t>
      </w:r>
    </w:p>
    <w:p w14:paraId="5F9C360D">
      <w:pPr>
        <w:spacing w:after="0" w:line="240" w:lineRule="auto"/>
        <w:ind w:firstLine="632" w:firstLineChars="200"/>
        <w:jc w:val="both"/>
        <w:outlineLvl w:val="1"/>
        <w:rPr>
          <w:rFonts w:ascii="Times New Roman" w:eastAsia="楷体_GB2312"/>
        </w:rPr>
      </w:pPr>
      <w:r>
        <w:rPr>
          <w:rFonts w:hint="eastAsia" w:ascii="Times New Roman" w:eastAsia="楷体_GB2312"/>
        </w:rPr>
        <w:t>（一）实物补偿依据</w:t>
      </w:r>
    </w:p>
    <w:p w14:paraId="64EDE9BF">
      <w:pPr>
        <w:spacing w:after="0" w:line="240" w:lineRule="auto"/>
        <w:ind w:firstLine="632" w:firstLineChars="200"/>
        <w:jc w:val="both"/>
        <w:rPr>
          <w:rFonts w:ascii="Times New Roman" w:eastAsia="仿宋_GB2312"/>
        </w:rPr>
      </w:pPr>
      <w:r>
        <w:rPr>
          <w:rFonts w:hint="eastAsia" w:ascii="Times New Roman" w:eastAsia="仿宋_GB2312"/>
        </w:rPr>
        <w:t>以2023年7月11日《禁建通告》发布之日为实物调查基准日（以下简称“基准日”）。自基准日起，任何单位和个人不得在项目建设区域内新建、扩建或改建房屋及其他设施，不得新栽种林木、植被或新增附着物。</w:t>
      </w:r>
    </w:p>
    <w:p w14:paraId="2A599FA9">
      <w:pPr>
        <w:spacing w:after="0" w:line="240" w:lineRule="auto"/>
        <w:ind w:firstLine="632" w:firstLineChars="200"/>
        <w:jc w:val="both"/>
        <w:outlineLvl w:val="1"/>
        <w:rPr>
          <w:rFonts w:ascii="Times New Roman" w:eastAsia="楷体_GB2312"/>
        </w:rPr>
      </w:pPr>
      <w:r>
        <w:rPr>
          <w:rFonts w:hint="eastAsia" w:ascii="Times New Roman" w:eastAsia="楷体_GB2312"/>
        </w:rPr>
        <w:t>（二）实物补偿范围</w:t>
      </w:r>
    </w:p>
    <w:p w14:paraId="53406F1B">
      <w:pPr>
        <w:spacing w:after="0" w:line="240" w:lineRule="auto"/>
        <w:ind w:firstLine="632" w:firstLineChars="200"/>
        <w:jc w:val="both"/>
        <w:rPr>
          <w:rFonts w:ascii="Times New Roman" w:eastAsia="仿宋_GB2312"/>
        </w:rPr>
      </w:pPr>
      <w:r>
        <w:rPr>
          <w:rFonts w:hint="eastAsia" w:ascii="Times New Roman" w:eastAsia="仿宋_GB2312"/>
        </w:rPr>
        <w:t>水库工程建设区及淹没影响区涉及的集体土地、国有土地使用权、建（构）筑物、青苗及地上附着物。</w:t>
      </w:r>
    </w:p>
    <w:p w14:paraId="319A0CFF">
      <w:pPr>
        <w:spacing w:after="0" w:line="240" w:lineRule="auto"/>
        <w:ind w:firstLine="632" w:firstLineChars="200"/>
        <w:jc w:val="both"/>
        <w:outlineLvl w:val="1"/>
        <w:rPr>
          <w:rFonts w:ascii="Times New Roman" w:eastAsia="楷体_GB2312"/>
        </w:rPr>
      </w:pPr>
      <w:r>
        <w:rPr>
          <w:rFonts w:hint="eastAsia" w:ascii="Times New Roman" w:eastAsia="楷体_GB2312"/>
        </w:rPr>
        <w:t>（三）征地补偿补助标准</w:t>
      </w:r>
    </w:p>
    <w:p w14:paraId="14467ACF">
      <w:pPr>
        <w:spacing w:after="0" w:line="240" w:lineRule="auto"/>
        <w:ind w:firstLine="632" w:firstLineChars="200"/>
        <w:jc w:val="both"/>
        <w:rPr>
          <w:rFonts w:ascii="Times New Roman" w:eastAsia="仿宋_GB2312"/>
        </w:rPr>
      </w:pPr>
      <w:r>
        <w:rPr>
          <w:rFonts w:hint="eastAsia" w:ascii="Times New Roman" w:eastAsia="仿宋_GB2312"/>
        </w:rPr>
        <w:t>1.土地补偿及安置补助费标准，根据《浙江省自然资源厅关于重新公布全省征地区片综合地价最低保护标准的通知》（浙自然资规〔2023〕12号）和《龙泉市人民政府关于印发&lt;龙泉市征收土地区片综合地价补偿标准暂行规定&gt;的通知》（龙政发〔2023〕24号）文件执行。</w:t>
      </w:r>
    </w:p>
    <w:p w14:paraId="4C8EE8F2">
      <w:pPr>
        <w:spacing w:after="0" w:line="240" w:lineRule="auto"/>
        <w:ind w:firstLine="632" w:firstLineChars="200"/>
        <w:jc w:val="both"/>
        <w:rPr>
          <w:rFonts w:ascii="Times New Roman" w:eastAsia="仿宋_GB2312"/>
        </w:rPr>
      </w:pPr>
      <w:r>
        <w:rPr>
          <w:rFonts w:hint="eastAsia" w:ascii="Times New Roman" w:eastAsia="仿宋_GB2312"/>
        </w:rPr>
        <w:t>2.青苗、林木补偿、零星林（果）木补偿费、坟墓补偿费分为迁移费和墓地安置费标准根据《龙泉市人民政府关于印发龙泉市征收集体土地青苗和地上附着物补偿标准的通知》（龙政发〔2021〕1号）执行。</w:t>
      </w:r>
    </w:p>
    <w:p w14:paraId="4D9C4BC6">
      <w:pPr>
        <w:spacing w:after="0" w:line="240" w:lineRule="auto"/>
        <w:ind w:firstLine="632" w:firstLineChars="200"/>
        <w:jc w:val="both"/>
        <w:rPr>
          <w:rFonts w:ascii="Times New Roman" w:eastAsia="仿宋_GB2312"/>
        </w:rPr>
      </w:pPr>
      <w:r>
        <w:rPr>
          <w:rFonts w:hint="eastAsia" w:ascii="Times New Roman" w:eastAsia="仿宋_GB2312"/>
        </w:rPr>
        <w:t>3.集体经济发展资金补助根据《龙泉市人民政府办公室关于印发&lt;龙泉市调整征地补偿安置政策的相关规定&gt;的通知》（龙政办发〔2022〕69号）执行。</w:t>
      </w:r>
    </w:p>
    <w:p w14:paraId="16DC88B7">
      <w:pPr>
        <w:spacing w:after="0" w:line="240" w:lineRule="auto"/>
        <w:ind w:firstLine="632" w:firstLineChars="200"/>
        <w:jc w:val="both"/>
        <w:rPr>
          <w:rFonts w:ascii="Times New Roman" w:eastAsia="仿宋_GB2312"/>
        </w:rPr>
      </w:pPr>
      <w:r>
        <w:rPr>
          <w:rFonts w:hint="eastAsia" w:ascii="Times New Roman" w:eastAsia="仿宋_GB2312"/>
        </w:rPr>
        <w:t>4.房屋结构补偿费、附属物补偿费、房屋装修补助费，根据龙泉市发布的《关于公布2020年度龙泉市房屋征收重置价格等相关补偿标准的通知》（龙建设〔2020〕70号）执行。</w:t>
      </w:r>
    </w:p>
    <w:p w14:paraId="1A4D0534">
      <w:pPr>
        <w:spacing w:after="0" w:line="240" w:lineRule="auto"/>
        <w:ind w:firstLine="632" w:firstLineChars="200"/>
        <w:jc w:val="both"/>
        <w:outlineLvl w:val="1"/>
        <w:rPr>
          <w:rFonts w:ascii="Times New Roman" w:eastAsia="楷体_GB2312"/>
        </w:rPr>
      </w:pPr>
      <w:r>
        <w:rPr>
          <w:rFonts w:hint="eastAsia" w:ascii="Times New Roman" w:eastAsia="楷体_GB2312"/>
        </w:rPr>
        <w:t>（四）移民生产安置方式</w:t>
      </w:r>
      <w:bookmarkStart w:id="0" w:name="_GoBack"/>
      <w:bookmarkEnd w:id="0"/>
    </w:p>
    <w:p w14:paraId="62CEB95A">
      <w:pPr>
        <w:spacing w:after="0" w:line="240" w:lineRule="auto"/>
        <w:ind w:firstLine="632" w:firstLineChars="200"/>
        <w:jc w:val="both"/>
        <w:rPr>
          <w:rFonts w:hint="eastAsia" w:ascii="Times New Roman" w:eastAsia="仿宋_GB2312"/>
        </w:rPr>
      </w:pPr>
      <w:r>
        <w:rPr>
          <w:rFonts w:hint="eastAsia" w:ascii="Times New Roman" w:eastAsia="仿宋_GB2312"/>
        </w:rPr>
        <w:t>移民生产安置为基本养老保险辅以自谋职业安置和一次性货币补偿安置等方式。</w:t>
      </w:r>
    </w:p>
    <w:sectPr>
      <w:headerReference r:id="rId7" w:type="first"/>
      <w:footerReference r:id="rId10" w:type="first"/>
      <w:headerReference r:id="rId5" w:type="default"/>
      <w:footerReference r:id="rId8" w:type="default"/>
      <w:headerReference r:id="rId6" w:type="even"/>
      <w:footerReference r:id="rId9" w:type="even"/>
      <w:pgSz w:w="11907" w:h="16839"/>
      <w:pgMar w:top="1984" w:right="1474" w:bottom="1871" w:left="1587" w:header="850" w:footer="1417" w:gutter="0"/>
      <w:cols w:space="425" w:num="1"/>
      <w:docGrid w:type="linesAndChars" w:linePitch="590" w:charSpace="-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533B">
    <w:pPr>
      <w:pStyle w:val="13"/>
      <w:snapToGrid/>
      <w:spacing w:after="0"/>
      <w:jc w:val="center"/>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Page \* MERGEFORMAT </w:instrText>
    </w:r>
    <w:r>
      <w:rPr>
        <w:rFonts w:hint="eastAsia" w:ascii="宋体" w:hAnsi="宋体" w:eastAsia="宋体"/>
        <w:sz w:val="28"/>
      </w:rPr>
      <w:fldChar w:fldCharType="separate"/>
    </w:r>
    <w:r>
      <w:rPr>
        <w:rFonts w:hint="eastAsia"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A90E">
    <w:pPr>
      <w:pStyle w:val="1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D5010">
    <w:pPr>
      <w:pStyle w:val="1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E08E">
    <w:pPr>
      <w:pStyle w:val="1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47DF">
    <w:pPr>
      <w:pStyle w:val="1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2761">
    <w:pPr>
      <w:pStyle w:val="1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43410"/>
    <w:multiLevelType w:val="multilevel"/>
    <w:tmpl w:val="41843410"/>
    <w:lvl w:ilvl="0" w:tentative="0">
      <w:start w:val="1"/>
      <w:numFmt w:val="chineseCountingThousand"/>
      <w:pStyle w:val="25"/>
      <w:suff w:val="nothing"/>
      <w:lvlText w:val="%1、"/>
      <w:lvlJc w:val="left"/>
      <w:pPr>
        <w:ind w:left="425" w:hanging="425"/>
      </w:pPr>
      <w:rPr>
        <w:rFonts w:hint="eastAsia"/>
      </w:rPr>
    </w:lvl>
    <w:lvl w:ilvl="1" w:tentative="0">
      <w:start w:val="1"/>
      <w:numFmt w:val="chineseCountingThousand"/>
      <w:pStyle w:val="28"/>
      <w:suff w:val="nothing"/>
      <w:lvlText w:val="（%2）"/>
      <w:lvlJc w:val="left"/>
      <w:pPr>
        <w:ind w:left="567" w:hanging="567"/>
      </w:pPr>
      <w:rPr>
        <w:rFonts w:hint="eastAsia"/>
      </w:rPr>
    </w:lvl>
    <w:lvl w:ilvl="2" w:tentative="0">
      <w:start w:val="1"/>
      <w:numFmt w:val="decimal"/>
      <w:pStyle w:val="29"/>
      <w:suff w:val="nothing"/>
      <w:lvlText w:val="%3."/>
      <w:lvlJc w:val="left"/>
      <w:pPr>
        <w:ind w:left="709" w:hanging="709"/>
      </w:pPr>
      <w:rPr>
        <w:rFonts w:hint="eastAsia"/>
      </w:rPr>
    </w:lvl>
    <w:lvl w:ilvl="3" w:tentative="0">
      <w:start w:val="1"/>
      <w:numFmt w:val="decimal"/>
      <w:pStyle w:val="30"/>
      <w:suff w:val="nothing"/>
      <w:lvlText w:val="（%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drawingGridHorizontalSpacing w:val="158"/>
  <w:drawingGridVerticalSpacing w:val="29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B8"/>
    <w:rsid w:val="000530B0"/>
    <w:rsid w:val="00061DB8"/>
    <w:rsid w:val="00153ED7"/>
    <w:rsid w:val="001B0296"/>
    <w:rsid w:val="001E0CF3"/>
    <w:rsid w:val="001F06C4"/>
    <w:rsid w:val="002056BE"/>
    <w:rsid w:val="00353CB9"/>
    <w:rsid w:val="003D32AF"/>
    <w:rsid w:val="0044073C"/>
    <w:rsid w:val="005467F8"/>
    <w:rsid w:val="005856C3"/>
    <w:rsid w:val="005D431B"/>
    <w:rsid w:val="005D4EDC"/>
    <w:rsid w:val="007C7C26"/>
    <w:rsid w:val="00902BB4"/>
    <w:rsid w:val="00992F57"/>
    <w:rsid w:val="009B5AE8"/>
    <w:rsid w:val="00A27956"/>
    <w:rsid w:val="00B82D87"/>
    <w:rsid w:val="00BD1353"/>
    <w:rsid w:val="00C23DB9"/>
    <w:rsid w:val="00CF37BA"/>
    <w:rsid w:val="00D942BD"/>
    <w:rsid w:val="00E47DA3"/>
    <w:rsid w:val="00E841E3"/>
    <w:rsid w:val="00EB1F1B"/>
    <w:rsid w:val="00ED3D37"/>
    <w:rsid w:val="00EE11D9"/>
    <w:rsid w:val="00F04606"/>
    <w:rsid w:val="00F07757"/>
    <w:rsid w:val="00FF6731"/>
    <w:rsid w:val="0612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32"/>
      <w:szCs w:val="24"/>
      <w:lang w:val="en-US" w:eastAsia="zh-CN" w:bidi="ar-SA"/>
      <w14:ligatures w14:val="standardContextual"/>
    </w:rPr>
  </w:style>
  <w:style w:type="paragraph" w:styleId="2">
    <w:name w:val="heading 1"/>
    <w:basedOn w:val="1"/>
    <w:next w:val="1"/>
    <w:link w:val="3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3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6"/>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Body Text Indent"/>
    <w:basedOn w:val="1"/>
    <w:link w:val="50"/>
    <w:semiHidden/>
    <w:unhideWhenUsed/>
    <w:uiPriority w:val="99"/>
    <w:pPr>
      <w:spacing w:after="120"/>
      <w:ind w:left="420" w:leftChars="200"/>
    </w:pPr>
  </w:style>
  <w:style w:type="paragraph" w:styleId="12">
    <w:name w:val="toc 3"/>
    <w:basedOn w:val="1"/>
    <w:next w:val="1"/>
    <w:autoRedefine/>
    <w:unhideWhenUsed/>
    <w:uiPriority w:val="39"/>
    <w:pPr>
      <w:tabs>
        <w:tab w:val="right" w:leader="dot" w:pos="8836"/>
      </w:tabs>
      <w:spacing w:after="0" w:line="380" w:lineRule="exact"/>
      <w:ind w:left="824" w:leftChars="400"/>
    </w:pPr>
    <w:rPr>
      <w:rFonts w:ascii="仿宋_GB2312" w:eastAsia="仿宋_GB2312"/>
      <w:sz w:val="21"/>
    </w:rPr>
  </w:style>
  <w:style w:type="paragraph" w:styleId="13">
    <w:name w:val="footer"/>
    <w:basedOn w:val="1"/>
    <w:link w:val="49"/>
    <w:unhideWhenUsed/>
    <w:uiPriority w:val="99"/>
    <w:pPr>
      <w:tabs>
        <w:tab w:val="center" w:pos="4153"/>
        <w:tab w:val="right" w:pos="8306"/>
      </w:tabs>
      <w:snapToGrid w:val="0"/>
      <w:spacing w:line="240" w:lineRule="auto"/>
    </w:pPr>
    <w:rPr>
      <w:sz w:val="18"/>
      <w:szCs w:val="18"/>
    </w:rPr>
  </w:style>
  <w:style w:type="paragraph" w:styleId="14">
    <w:name w:val="header"/>
    <w:basedOn w:val="1"/>
    <w:link w:val="48"/>
    <w:unhideWhenUsed/>
    <w:uiPriority w:val="99"/>
    <w:pP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uiPriority w:val="39"/>
    <w:pPr>
      <w:tabs>
        <w:tab w:val="right" w:leader="dot" w:pos="8836"/>
      </w:tabs>
      <w:spacing w:before="118" w:beforeLines="20" w:after="0" w:line="440" w:lineRule="exact"/>
    </w:pPr>
    <w:rPr>
      <w:rFonts w:ascii="仿宋_GB2312" w:eastAsia="仿宋_GB2312"/>
      <w:b/>
      <w:bCs/>
      <w:szCs w:val="28"/>
    </w:rPr>
  </w:style>
  <w:style w:type="paragraph" w:styleId="16">
    <w:name w:val="toc 4"/>
    <w:basedOn w:val="1"/>
    <w:next w:val="1"/>
    <w:autoRedefine/>
    <w:unhideWhenUsed/>
    <w:uiPriority w:val="39"/>
    <w:pPr>
      <w:tabs>
        <w:tab w:val="right" w:leader="dot" w:pos="8836"/>
      </w:tabs>
      <w:spacing w:after="0" w:line="360" w:lineRule="exact"/>
      <w:ind w:left="1236" w:leftChars="600"/>
    </w:pPr>
    <w:rPr>
      <w:rFonts w:ascii="仿宋_GB2312" w:eastAsia="仿宋_GB2312"/>
      <w:sz w:val="21"/>
    </w:rPr>
  </w:style>
  <w:style w:type="paragraph" w:styleId="17">
    <w:name w:val="Subtitle"/>
    <w:basedOn w:val="1"/>
    <w:next w:val="1"/>
    <w:link w:val="4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autoRedefine/>
    <w:unhideWhenUsed/>
    <w:uiPriority w:val="39"/>
    <w:pPr>
      <w:tabs>
        <w:tab w:val="right" w:leader="dot" w:pos="8836"/>
      </w:tabs>
      <w:spacing w:after="0" w:line="400" w:lineRule="exact"/>
      <w:ind w:left="412" w:leftChars="200"/>
    </w:pPr>
    <w:rPr>
      <w:rFonts w:ascii="仿宋_GB2312" w:eastAsia="仿宋_GB2312"/>
      <w:sz w:val="24"/>
      <w:szCs w:val="32"/>
    </w:rPr>
  </w:style>
  <w:style w:type="paragraph" w:styleId="19">
    <w:name w:val="Title"/>
    <w:basedOn w:val="1"/>
    <w:next w:val="1"/>
    <w:link w:val="4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0">
    <w:name w:val="Body Text First Indent 2"/>
    <w:basedOn w:val="11"/>
    <w:link w:val="51"/>
    <w:qFormat/>
    <w:uiPriority w:val="0"/>
    <w:pPr>
      <w:spacing w:after="0" w:line="620" w:lineRule="exact"/>
      <w:ind w:left="0" w:leftChars="0" w:firstLine="640" w:firstLineChars="200"/>
      <w:jc w:val="both"/>
    </w:pPr>
    <w:rPr>
      <w:rFonts w:ascii="仿宋_GB2312" w:hAnsi="仿宋" w:eastAsia="仿宋_GB2312" w:cs="Times New Roman"/>
      <w:szCs w:val="32"/>
      <w14:ligatures w14:val="none"/>
    </w:rPr>
  </w:style>
  <w:style w:type="paragraph" w:customStyle="1" w:styleId="23">
    <w:name w:val="gw 0正文"/>
    <w:basedOn w:val="1"/>
    <w:qFormat/>
    <w:uiPriority w:val="0"/>
    <w:pPr>
      <w:spacing w:after="0" w:line="480" w:lineRule="exact"/>
      <w:ind w:firstLine="472" w:firstLineChars="200"/>
      <w:jc w:val="both"/>
    </w:pPr>
    <w:rPr>
      <w:rFonts w:ascii="Times New Roman" w:hAnsi="Calibri" w:eastAsia="仿宋_GB2312" w:cs="Times New Roman"/>
      <w:sz w:val="24"/>
      <w:szCs w:val="18"/>
    </w:rPr>
  </w:style>
  <w:style w:type="paragraph" w:customStyle="1" w:styleId="24">
    <w:name w:val="gw 0表格"/>
    <w:basedOn w:val="23"/>
    <w:qFormat/>
    <w:uiPriority w:val="0"/>
    <w:pPr>
      <w:spacing w:line="320" w:lineRule="exact"/>
      <w:ind w:firstLine="0" w:firstLineChars="0"/>
      <w:jc w:val="center"/>
    </w:pPr>
    <w:rPr>
      <w:sz w:val="22"/>
      <w:szCs w:val="16"/>
    </w:rPr>
  </w:style>
  <w:style w:type="paragraph" w:customStyle="1" w:styleId="25">
    <w:name w:val="gw 1级标题"/>
    <w:basedOn w:val="26"/>
    <w:link w:val="27"/>
    <w:qFormat/>
    <w:uiPriority w:val="0"/>
    <w:pPr>
      <w:numPr>
        <w:ilvl w:val="0"/>
        <w:numId w:val="1"/>
      </w:numPr>
      <w:spacing w:after="0" w:line="240" w:lineRule="auto"/>
      <w:jc w:val="both"/>
      <w:outlineLvl w:val="0"/>
    </w:pPr>
    <w:rPr>
      <w:rFonts w:ascii="Times New Roman" w:hAnsi="黑体" w:eastAsia="黑体" w:cs="Times New Roman"/>
      <w:szCs w:val="22"/>
    </w:rPr>
  </w:style>
  <w:style w:type="paragraph" w:styleId="26">
    <w:name w:val="List Paragraph"/>
    <w:basedOn w:val="1"/>
    <w:qFormat/>
    <w:uiPriority w:val="34"/>
    <w:pPr>
      <w:ind w:left="720"/>
      <w:contextualSpacing/>
    </w:pPr>
  </w:style>
  <w:style w:type="character" w:customStyle="1" w:styleId="27">
    <w:name w:val="gw 1级标题 字符"/>
    <w:basedOn w:val="22"/>
    <w:link w:val="25"/>
    <w:qFormat/>
    <w:uiPriority w:val="0"/>
    <w:rPr>
      <w:rFonts w:ascii="Times New Roman" w:hAnsi="黑体" w:eastAsia="黑体" w:cs="Times New Roman"/>
      <w:sz w:val="32"/>
      <w:szCs w:val="22"/>
    </w:rPr>
  </w:style>
  <w:style w:type="paragraph" w:customStyle="1" w:styleId="28">
    <w:name w:val="gw 2级标题"/>
    <w:basedOn w:val="25"/>
    <w:qFormat/>
    <w:uiPriority w:val="0"/>
    <w:pPr>
      <w:numPr>
        <w:ilvl w:val="1"/>
      </w:numPr>
      <w:outlineLvl w:val="1"/>
    </w:pPr>
    <w:rPr>
      <w:rFonts w:eastAsia="楷体_GB2312"/>
    </w:rPr>
  </w:style>
  <w:style w:type="paragraph" w:customStyle="1" w:styleId="29">
    <w:name w:val="gw 3级标题"/>
    <w:basedOn w:val="28"/>
    <w:qFormat/>
    <w:uiPriority w:val="0"/>
    <w:pPr>
      <w:numPr>
        <w:ilvl w:val="2"/>
      </w:numPr>
      <w:outlineLvl w:val="2"/>
    </w:pPr>
    <w:rPr>
      <w:rFonts w:eastAsia="仿宋_GB2312"/>
    </w:rPr>
  </w:style>
  <w:style w:type="paragraph" w:customStyle="1" w:styleId="30">
    <w:name w:val="gw 4级标题"/>
    <w:basedOn w:val="29"/>
    <w:qFormat/>
    <w:uiPriority w:val="0"/>
    <w:pPr>
      <w:numPr>
        <w:ilvl w:val="3"/>
      </w:numPr>
      <w:ind w:firstLine="200" w:firstLineChars="200"/>
      <w:outlineLvl w:val="3"/>
    </w:pPr>
  </w:style>
  <w:style w:type="character" w:customStyle="1" w:styleId="31">
    <w:name w:val="标题 1 字符"/>
    <w:basedOn w:val="22"/>
    <w:link w:val="2"/>
    <w:uiPriority w:val="9"/>
    <w:rPr>
      <w:rFonts w:asciiTheme="majorHAnsi" w:hAnsiTheme="majorHAnsi" w:eastAsiaTheme="majorEastAsia" w:cstheme="majorBidi"/>
      <w:color w:val="104862" w:themeColor="accent1" w:themeShade="BF"/>
      <w:sz w:val="48"/>
      <w:szCs w:val="48"/>
    </w:rPr>
  </w:style>
  <w:style w:type="character" w:customStyle="1" w:styleId="32">
    <w:name w:val="标题 2 字符"/>
    <w:basedOn w:val="22"/>
    <w:link w:val="3"/>
    <w:semiHidden/>
    <w:uiPriority w:val="9"/>
    <w:rPr>
      <w:rFonts w:asciiTheme="majorHAnsi" w:hAnsiTheme="majorHAnsi" w:eastAsiaTheme="majorEastAsia" w:cstheme="majorBidi"/>
      <w:color w:val="104862" w:themeColor="accent1" w:themeShade="BF"/>
      <w:sz w:val="40"/>
      <w:szCs w:val="40"/>
    </w:rPr>
  </w:style>
  <w:style w:type="character" w:customStyle="1" w:styleId="33">
    <w:name w:val="标题 3 字符"/>
    <w:basedOn w:val="22"/>
    <w:link w:val="4"/>
    <w:semiHidden/>
    <w:uiPriority w:val="9"/>
    <w:rPr>
      <w:rFonts w:asciiTheme="majorHAnsi" w:hAnsiTheme="majorHAnsi" w:eastAsiaTheme="majorEastAsia" w:cstheme="majorBidi"/>
      <w:color w:val="104862" w:themeColor="accent1" w:themeShade="BF"/>
      <w:sz w:val="32"/>
      <w:szCs w:val="32"/>
    </w:rPr>
  </w:style>
  <w:style w:type="character" w:customStyle="1" w:styleId="34">
    <w:name w:val="标题 4 字符"/>
    <w:basedOn w:val="22"/>
    <w:link w:val="5"/>
    <w:semiHidden/>
    <w:uiPriority w:val="9"/>
    <w:rPr>
      <w:rFonts w:cstheme="majorBidi"/>
      <w:color w:val="104862" w:themeColor="accent1" w:themeShade="BF"/>
      <w:sz w:val="28"/>
      <w:szCs w:val="28"/>
    </w:rPr>
  </w:style>
  <w:style w:type="character" w:customStyle="1" w:styleId="35">
    <w:name w:val="标题 5 字符"/>
    <w:basedOn w:val="22"/>
    <w:link w:val="6"/>
    <w:semiHidden/>
    <w:uiPriority w:val="9"/>
    <w:rPr>
      <w:rFonts w:cstheme="majorBidi"/>
      <w:color w:val="104862" w:themeColor="accent1" w:themeShade="BF"/>
      <w:sz w:val="24"/>
    </w:rPr>
  </w:style>
  <w:style w:type="character" w:customStyle="1" w:styleId="36">
    <w:name w:val="标题 6 字符"/>
    <w:basedOn w:val="22"/>
    <w:link w:val="7"/>
    <w:semiHidden/>
    <w:uiPriority w:val="9"/>
    <w:rPr>
      <w:rFonts w:cstheme="majorBidi"/>
      <w:b/>
      <w:bCs/>
      <w:color w:val="104862" w:themeColor="accent1" w:themeShade="BF"/>
    </w:rPr>
  </w:style>
  <w:style w:type="character" w:customStyle="1" w:styleId="37">
    <w:name w:val="标题 7 字符"/>
    <w:basedOn w:val="22"/>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2"/>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2"/>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2"/>
    <w:link w:val="19"/>
    <w:uiPriority w:val="10"/>
    <w:rPr>
      <w:rFonts w:asciiTheme="majorHAnsi" w:hAnsiTheme="majorHAnsi" w:eastAsiaTheme="majorEastAsia" w:cstheme="majorBidi"/>
      <w:spacing w:val="-10"/>
      <w:kern w:val="28"/>
      <w:sz w:val="56"/>
      <w:szCs w:val="56"/>
    </w:rPr>
  </w:style>
  <w:style w:type="character" w:customStyle="1" w:styleId="41">
    <w:name w:val="副标题 字符"/>
    <w:basedOn w:val="22"/>
    <w:link w:val="17"/>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2"/>
    <w:link w:val="42"/>
    <w:uiPriority w:val="29"/>
    <w:rPr>
      <w:i/>
      <w:iCs/>
      <w:color w:val="404040" w:themeColor="text1" w:themeTint="BF"/>
      <w14:textFill>
        <w14:solidFill>
          <w14:schemeClr w14:val="tx1">
            <w14:lumMod w14:val="75000"/>
            <w14:lumOff w14:val="25000"/>
          </w14:schemeClr>
        </w14:solidFill>
      </w14:textFill>
    </w:rPr>
  </w:style>
  <w:style w:type="character" w:customStyle="1" w:styleId="44">
    <w:name w:val="Intense Emphasis"/>
    <w:basedOn w:val="22"/>
    <w:qFormat/>
    <w:uiPriority w:val="21"/>
    <w:rPr>
      <w:i/>
      <w:iCs/>
      <w:color w:val="104862" w:themeColor="accent1" w:themeShade="BF"/>
    </w:rPr>
  </w:style>
  <w:style w:type="paragraph" w:styleId="45">
    <w:name w:val="Intense Quote"/>
    <w:basedOn w:val="1"/>
    <w:next w:val="1"/>
    <w:link w:val="4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6">
    <w:name w:val="明显引用 字符"/>
    <w:basedOn w:val="22"/>
    <w:link w:val="45"/>
    <w:uiPriority w:val="30"/>
    <w:rPr>
      <w:i/>
      <w:iCs/>
      <w:color w:val="104862" w:themeColor="accent1" w:themeShade="BF"/>
    </w:rPr>
  </w:style>
  <w:style w:type="character" w:customStyle="1" w:styleId="47">
    <w:name w:val="Intense Reference"/>
    <w:basedOn w:val="22"/>
    <w:qFormat/>
    <w:uiPriority w:val="32"/>
    <w:rPr>
      <w:b/>
      <w:bCs/>
      <w:smallCaps/>
      <w:color w:val="104862" w:themeColor="accent1" w:themeShade="BF"/>
      <w:spacing w:val="5"/>
    </w:rPr>
  </w:style>
  <w:style w:type="character" w:customStyle="1" w:styleId="48">
    <w:name w:val="页眉 字符"/>
    <w:basedOn w:val="22"/>
    <w:link w:val="14"/>
    <w:uiPriority w:val="99"/>
    <w:rPr>
      <w:sz w:val="18"/>
      <w:szCs w:val="18"/>
    </w:rPr>
  </w:style>
  <w:style w:type="character" w:customStyle="1" w:styleId="49">
    <w:name w:val="页脚 字符"/>
    <w:basedOn w:val="22"/>
    <w:link w:val="13"/>
    <w:uiPriority w:val="99"/>
    <w:rPr>
      <w:sz w:val="18"/>
      <w:szCs w:val="18"/>
    </w:rPr>
  </w:style>
  <w:style w:type="character" w:customStyle="1" w:styleId="50">
    <w:name w:val="正文文本缩进 字符"/>
    <w:basedOn w:val="22"/>
    <w:link w:val="11"/>
    <w:semiHidden/>
    <w:uiPriority w:val="99"/>
    <w:rPr>
      <w:sz w:val="32"/>
    </w:rPr>
  </w:style>
  <w:style w:type="character" w:customStyle="1" w:styleId="51">
    <w:name w:val="正文文本首行缩进 2 字符"/>
    <w:basedOn w:val="50"/>
    <w:link w:val="20"/>
    <w:uiPriority w:val="0"/>
    <w:rPr>
      <w:rFonts w:ascii="仿宋_GB2312" w:hAnsi="仿宋" w:eastAsia="仿宋_GB2312" w:cs="Times New Roman"/>
      <w:sz w:val="32"/>
      <w:szCs w:val="32"/>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1446</Characters>
  <Lines>10</Lines>
  <Paragraphs>2</Paragraphs>
  <TotalTime>138</TotalTime>
  <ScaleCrop>false</ScaleCrop>
  <LinksUpToDate>false</LinksUpToDate>
  <CharactersWithSpaces>1450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2025-06-18T08:40:00Z</dcterms:created>
  <dc:creator>Zhao Peng</dc:creator>
  <cp:lastModifiedBy>李小肥</cp:lastModifiedBy>
  <dcterms:modified xsi:type="dcterms:W3CDTF">2025-06-19T06:55:50Z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eyJoZGlkIjoiYTY4OTJhMmRlNWFlOGNiMWQxYTE2YjkyYzM0MjY2YWIiLCJ1c2VySWQiOiIyNTQ2NjczMTkifQ==</vt:lpwstr>
  </property>
  <property fmtid="{D5CDD505-2E9C-101B-9397-08002B2CF9AE}" pid="3" name="KSOProductBuildVer">
    <vt:lpwstr>2052-12.1.0.21541</vt:lpwstr>
  </property>
  <property fmtid="{D5CDD505-2E9C-101B-9397-08002B2CF9AE}" pid="4" name="ICV">
    <vt:lpwstr>D8A253FC72684558A1564A5E21943885_12</vt:lpwstr>
  </property>
</Properties>
</file>