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关于修改和废止部分行政规范性文件的通知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color w:val="000000"/>
          <w:kern w:val="0"/>
          <w:sz w:val="32"/>
          <w:szCs w:val="32"/>
          <w:u w:val="none" w:color="000000"/>
          <w:lang w:val="en-US" w:eastAsia="zh-CN" w:bidi="ar-SA"/>
        </w:rPr>
      </w:pPr>
      <w:r>
        <w:rPr>
          <w:rFonts w:hint="eastAsia" w:ascii="楷体" w:hAnsi="楷体" w:eastAsia="楷体" w:cs="楷体"/>
          <w:color w:val="000000"/>
          <w:kern w:val="0"/>
          <w:sz w:val="32"/>
          <w:szCs w:val="32"/>
          <w:u w:val="none" w:color="000000"/>
          <w:lang w:val="en-US" w:eastAsia="zh-CN" w:bidi="ar-SA"/>
        </w:rPr>
        <w:t>（征求意见稿）</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none" w:color="000000"/>
          <w:lang w:val="en-US" w:eastAsia="zh-CN" w:bidi="ar-SA"/>
        </w:rPr>
        <w:t>各乡镇人民政府、街道办事处，</w:t>
      </w:r>
      <w:r>
        <w:rPr>
          <w:rFonts w:hint="eastAsia" w:ascii="仿宋_GB2312" w:hAnsi="仿宋_GB2312" w:eastAsia="仿宋_GB2312" w:cs="仿宋_GB2312"/>
          <w:sz w:val="32"/>
          <w:szCs w:val="32"/>
        </w:rPr>
        <w:t>市政府直属各单位：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w:t>
      </w:r>
      <w:r>
        <w:rPr>
          <w:rFonts w:hint="eastAsia" w:ascii="仿宋_GB2312" w:hAnsi="仿宋_GB2312" w:eastAsia="仿宋_GB2312" w:cs="仿宋_GB2312"/>
          <w:sz w:val="32"/>
          <w:szCs w:val="32"/>
          <w:lang w:eastAsia="zh-CN"/>
        </w:rPr>
        <w:t>优化营商环境，</w:t>
      </w:r>
      <w:r>
        <w:rPr>
          <w:rFonts w:hint="eastAsia" w:ascii="仿宋_GB2312" w:hAnsi="仿宋_GB2312" w:eastAsia="仿宋_GB2312" w:cs="仿宋_GB2312"/>
          <w:sz w:val="32"/>
          <w:szCs w:val="32"/>
        </w:rPr>
        <w:t>推进依法行政，</w:t>
      </w:r>
      <w:r>
        <w:rPr>
          <w:rFonts w:hint="eastAsia" w:ascii="仿宋_GB2312" w:hAnsi="仿宋_GB2312" w:eastAsia="仿宋_GB2312" w:cs="仿宋_GB2312"/>
          <w:spacing w:val="0"/>
          <w:kern w:val="2"/>
          <w:sz w:val="32"/>
          <w:szCs w:val="32"/>
          <w:lang w:val="en-US" w:eastAsia="zh-CN" w:bidi="ar-SA"/>
        </w:rPr>
        <w:t>市府办会同市司法局对不符合优化营商环境、工作实际和发展需要的行政规范性文件进行清理。经</w:t>
      </w:r>
      <w:r>
        <w:rPr>
          <w:rFonts w:hint="eastAsia" w:ascii="仿宋_GB2312" w:hAnsi="仿宋_GB2312" w:eastAsia="仿宋_GB2312" w:cs="仿宋_GB2312"/>
          <w:sz w:val="32"/>
          <w:szCs w:val="32"/>
          <w:lang w:eastAsia="zh-CN"/>
        </w:rPr>
        <w:t>市政府同意，</w:t>
      </w:r>
      <w:r>
        <w:rPr>
          <w:rFonts w:hint="eastAsia" w:ascii="仿宋_GB2312" w:hAnsi="仿宋_GB2312" w:eastAsia="仿宋_GB2312" w:cs="仿宋_GB2312"/>
          <w:spacing w:val="0"/>
          <w:kern w:val="2"/>
          <w:sz w:val="32"/>
          <w:szCs w:val="32"/>
          <w:lang w:val="en-US" w:eastAsia="zh-CN" w:bidi="ar-SA"/>
        </w:rPr>
        <w:t>决定修改行政规范性文件</w:t>
      </w:r>
      <w:r>
        <w:rPr>
          <w:rFonts w:hint="eastAsia" w:ascii="仿宋_GB2312" w:hAnsi="仿宋_GB2312" w:eastAsia="仿宋_GB2312" w:cs="仿宋_GB2312"/>
          <w:spacing w:val="0"/>
          <w:kern w:val="2"/>
          <w:sz w:val="32"/>
          <w:szCs w:val="32"/>
          <w:highlight w:val="none"/>
          <w:lang w:val="en-US" w:eastAsia="zh-CN" w:bidi="ar-SA"/>
        </w:rPr>
        <w:t>1件，废止行政规范性文件6件</w:t>
      </w:r>
      <w:r>
        <w:rPr>
          <w:rFonts w:hint="eastAsia" w:ascii="仿宋_GB2312" w:hAnsi="仿宋_GB2312" w:eastAsia="仿宋_GB2312" w:cs="仿宋_GB2312"/>
          <w:spacing w:val="0"/>
          <w:kern w:val="2"/>
          <w:sz w:val="32"/>
          <w:szCs w:val="32"/>
          <w:lang w:val="en-US" w:eastAsia="zh-CN" w:bidi="ar-SA"/>
        </w:rPr>
        <w:t>。现将上述清理结果予以公布。</w:t>
      </w:r>
    </w:p>
    <w:p>
      <w:pPr>
        <w:keepNext w:val="0"/>
        <w:keepLines w:val="0"/>
        <w:pageBreakBefore w:val="0"/>
        <w:widowControl w:val="0"/>
        <w:kinsoku/>
        <w:wordWrap/>
        <w:overflowPunct/>
        <w:topLinePunct w:val="0"/>
        <w:autoSpaceDE/>
        <w:autoSpaceDN/>
        <w:bidi w:val="0"/>
        <w:adjustRightInd w:val="0"/>
        <w:snapToGrid w:val="0"/>
        <w:spacing w:line="600" w:lineRule="exact"/>
        <w:ind w:firstLine="63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firstLine="63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的行政规范性文件</w:t>
      </w:r>
    </w:p>
    <w:p>
      <w:pPr>
        <w:pStyle w:val="2"/>
        <w:keepNext w:val="0"/>
        <w:keepLines w:val="0"/>
        <w:pageBreakBefore w:val="0"/>
        <w:widowControl w:val="0"/>
        <w:kinsoku/>
        <w:overflowPunct/>
        <w:topLinePunct w:val="0"/>
        <w:autoSpaceDE/>
        <w:autoSpaceDN/>
        <w:bidi w:val="0"/>
        <w:adjustRightInd w:val="0"/>
        <w:snapToGrid w:val="0"/>
        <w:spacing w:line="600" w:lineRule="exact"/>
        <w:ind w:left="0" w:leftChars="0" w:firstLine="1600" w:firstLineChars="5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决定废止</w:t>
      </w:r>
      <w:r>
        <w:rPr>
          <w:rFonts w:hint="eastAsia" w:ascii="仿宋_GB2312" w:hAnsi="仿宋_GB2312" w:eastAsia="仿宋_GB2312" w:cs="仿宋_GB2312"/>
          <w:spacing w:val="-11"/>
          <w:sz w:val="32"/>
          <w:szCs w:val="32"/>
        </w:rPr>
        <w:t>的行政规范性文件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120" w:leftChars="57" w:firstLine="1490" w:firstLineChars="500"/>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1600" w:firstLineChars="500"/>
        <w:jc w:val="righ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right="525" w:rightChars="250" w:firstLine="1600" w:firstLineChars="5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龙泉</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人民政府办公室</w:t>
      </w:r>
    </w:p>
    <w:p>
      <w:pPr>
        <w:keepNext w:val="0"/>
        <w:keepLines w:val="0"/>
        <w:pageBreakBefore w:val="0"/>
        <w:widowControl w:val="0"/>
        <w:kinsoku/>
        <w:wordWrap w:val="0"/>
        <w:overflowPunct/>
        <w:topLinePunct w:val="0"/>
        <w:autoSpaceDE/>
        <w:autoSpaceDN/>
        <w:bidi w:val="0"/>
        <w:adjustRightInd w:val="0"/>
        <w:snapToGrid w:val="0"/>
        <w:spacing w:line="600" w:lineRule="exact"/>
        <w:ind w:right="525" w:rightChars="25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sectPr>
          <w:footerReference r:id="rId3" w:type="default"/>
          <w:pgSz w:w="11906" w:h="16838"/>
          <w:pgMar w:top="1701" w:right="1474" w:bottom="1474" w:left="1474" w:header="851" w:footer="1417" w:gutter="0"/>
          <w:pgNumType w:fmt="numberInDash"/>
          <w:cols w:space="720" w:num="1"/>
          <w:rtlGutter w:val="0"/>
          <w:docGrid w:type="lines" w:linePitch="312" w:charSpace="0"/>
        </w:sectPr>
      </w:pPr>
      <w:r>
        <w:rPr>
          <w:rFonts w:hint="eastAsia" w:ascii="仿宋_GB2312" w:hAnsi="仿宋_GB2312" w:eastAsia="仿宋_GB2312" w:cs="仿宋_GB2312"/>
          <w:sz w:val="32"/>
          <w:szCs w:val="32"/>
          <w:lang w:val="en-US" w:eastAsia="zh-CN"/>
        </w:rPr>
        <w:t>（此件公开发布）</w:t>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sz w:val="32"/>
          <w:szCs w:val="32"/>
          <w:lang w:eastAsia="zh-CN"/>
        </w:rPr>
      </w:pPr>
      <w:r>
        <w:rPr>
          <w:rFonts w:hint="eastAsia" w:ascii="方正小标宋简体" w:hAnsi="方正小标宋简体" w:eastAsia="方正小标宋简体" w:cs="方正小标宋简体"/>
          <w:sz w:val="44"/>
          <w:szCs w:val="44"/>
        </w:rPr>
        <w:t>决定</w:t>
      </w:r>
      <w:r>
        <w:rPr>
          <w:rFonts w:hint="eastAsia" w:ascii="方正小标宋简体" w:hAnsi="方正小标宋简体" w:eastAsia="方正小标宋简体" w:cs="方正小标宋简体"/>
          <w:sz w:val="44"/>
          <w:szCs w:val="44"/>
          <w:lang w:eastAsia="zh-CN"/>
        </w:rPr>
        <w:t>修改</w:t>
      </w:r>
      <w:r>
        <w:rPr>
          <w:rFonts w:hint="eastAsia" w:ascii="方正小标宋简体" w:hAnsi="方正小标宋简体" w:eastAsia="方正小标宋简体" w:cs="方正小标宋简体"/>
          <w:sz w:val="44"/>
          <w:szCs w:val="44"/>
        </w:rPr>
        <w:t>的行政规范性文件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一、《龙泉市人民政府办公室关于印发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龙泉市关于促进制造业信贷投放的实施意见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的通知》（龙政办发〔2022〕24号）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二部分第5点修改为“制造业贷款平均利率指标（5分）：根据当季末制造业贷款平均利率计分，各银行机构得分＝5-（季末该银行机构制造业贷款平均利率-季末银行机构制造业贷款平均利率）＊2，最高得满分，负值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二部分第8点第（2）点修改为“评估地价高于现行工业用地基准地价1倍以上且按7折以上发放给制造业企业的抵押贷款按200％计入考核；评估地价高于现行工业用地基准地价1.5倍以上且按7折以上发放给制造业企业的抵押贷款按300％计入评价指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（三）将第二部分第10点第（2）点修改为“增值化金融服务：支持金融顾问工作室和企业综合服务中心开展金融增值化服务，及时完成交办事项的银行，视完成情况酌情加分，最高可加10分。”</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32"/>
          <w:szCs w:val="32"/>
          <w:lang w:eastAsia="zh-CN"/>
        </w:rPr>
      </w:pPr>
      <w:r>
        <w:rPr>
          <w:rFonts w:hint="eastAsia" w:ascii="方正小标宋简体" w:hAnsi="方正小标宋简体" w:eastAsia="方正小标宋简体" w:cs="方正小标宋简体"/>
          <w:sz w:val="44"/>
          <w:szCs w:val="44"/>
          <w:lang w:eastAsia="zh-CN"/>
        </w:rPr>
        <w:t>决定废止</w:t>
      </w:r>
      <w:r>
        <w:rPr>
          <w:rFonts w:hint="eastAsia" w:ascii="方正小标宋简体" w:hAnsi="方正小标宋简体" w:eastAsia="方正小标宋简体" w:cs="方正小标宋简体"/>
          <w:spacing w:val="-11"/>
          <w:sz w:val="44"/>
          <w:szCs w:val="44"/>
        </w:rPr>
        <w:t>的行政规范性文件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lang w:eastAsia="zh-CN"/>
        </w:rPr>
        <w:t>龙泉市人民政府办公室</w:t>
      </w:r>
      <w:r>
        <w:rPr>
          <w:rFonts w:hint="eastAsia" w:ascii="仿宋_GB2312" w:hAnsi="仿宋_GB2312" w:eastAsia="仿宋_GB2312" w:cs="仿宋_GB2312"/>
          <w:spacing w:val="0"/>
          <w:sz w:val="32"/>
          <w:szCs w:val="32"/>
          <w:lang w:eastAsia="zh-CN"/>
        </w:rPr>
        <w:t>关于印发龙泉市重点农业龙头企业认定和运行监测管理暂行办法（试行）的通知》（龙政办发〔2010〕143号）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龙泉市人民政府办公室关于印发龙泉市企业还贷周转金风险补偿实施办法的通知</w:t>
      </w:r>
      <w:r>
        <w:rPr>
          <w:rFonts w:hint="eastAsia" w:ascii="仿宋_GB2312" w:hAnsi="仿宋_GB2312" w:eastAsia="仿宋_GB2312" w:cs="仿宋_GB2312"/>
          <w:sz w:val="32"/>
          <w:szCs w:val="32"/>
          <w:lang w:val="en-US" w:eastAsia="zh-CN"/>
        </w:rPr>
        <w:t>》（龙政办发〔2014〕83号）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三、《龙泉市人民政府办公室关于印发龙泉市村级惠农担保合作社管理办法（试行）的通知》（龙政办发〔2015〕59号）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龙泉市人民政府办公室关于印发有效防范和化解企业资金链担保链风险促进经济平稳健康发展实施意见的通知</w:t>
      </w:r>
      <w:r>
        <w:rPr>
          <w:rFonts w:hint="eastAsia" w:ascii="仿宋_GB2312" w:hAnsi="仿宋_GB2312" w:eastAsia="仿宋_GB2312" w:cs="仿宋_GB2312"/>
          <w:sz w:val="32"/>
          <w:szCs w:val="32"/>
          <w:lang w:val="en-US" w:eastAsia="zh-CN"/>
        </w:rPr>
        <w:t>》（龙政办发〔2015〕73号）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龙泉市人民政府办公室关于印发</w:t>
      </w:r>
      <w:r>
        <w:rPr>
          <w:rFonts w:hint="eastAsia" w:ascii="仿宋_GB2312" w:hAnsi="仿宋_GB2312" w:eastAsia="仿宋_GB2312" w:cs="仿宋_GB2312"/>
          <w:sz w:val="32"/>
          <w:szCs w:val="32"/>
          <w:lang w:val="en-US" w:eastAsia="zh-CN"/>
        </w:rPr>
        <w:t>龙泉市扶持肉鸡产业发展的若干意见的通知》（龙政办发〔2016〕64号）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六、《龙泉市人民政府办公室关于印发&lt;龙泉市公共资源交易目录&gt;的通知》（龙政办发〔2018〕49号）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b/>
                              <w:bCs/>
                              <w:sz w:val="21"/>
                              <w:szCs w:val="32"/>
                              <w:lang w:eastAsia="zh-CN"/>
                            </w:rPr>
                          </w:pPr>
                          <w:r>
                            <w:rPr>
                              <w:rFonts w:hint="eastAsia" w:ascii="宋体" w:hAnsi="宋体" w:eastAsia="宋体" w:cs="宋体"/>
                              <w:b/>
                              <w:bCs/>
                              <w:sz w:val="21"/>
                              <w:szCs w:val="32"/>
                              <w:lang w:eastAsia="zh-CN"/>
                            </w:rPr>
                            <w:fldChar w:fldCharType="begin"/>
                          </w:r>
                          <w:r>
                            <w:rPr>
                              <w:rFonts w:hint="eastAsia" w:ascii="宋体" w:hAnsi="宋体" w:eastAsia="宋体" w:cs="宋体"/>
                              <w:b/>
                              <w:bCs/>
                              <w:sz w:val="21"/>
                              <w:szCs w:val="32"/>
                              <w:lang w:eastAsia="zh-CN"/>
                            </w:rPr>
                            <w:instrText xml:space="preserve"> PAGE  \* MERGEFORMAT </w:instrText>
                          </w:r>
                          <w:r>
                            <w:rPr>
                              <w:rFonts w:hint="eastAsia" w:ascii="宋体" w:hAnsi="宋体" w:eastAsia="宋体" w:cs="宋体"/>
                              <w:b/>
                              <w:bCs/>
                              <w:sz w:val="21"/>
                              <w:szCs w:val="32"/>
                              <w:lang w:eastAsia="zh-CN"/>
                            </w:rPr>
                            <w:fldChar w:fldCharType="separate"/>
                          </w:r>
                          <w:r>
                            <w:rPr>
                              <w:rFonts w:hint="eastAsia" w:ascii="宋体" w:hAnsi="宋体" w:eastAsia="宋体" w:cs="宋体"/>
                              <w:b/>
                              <w:bCs/>
                              <w:sz w:val="21"/>
                              <w:szCs w:val="32"/>
                              <w:lang w:eastAsia="zh-CN"/>
                            </w:rPr>
                            <w:t>- 1 -</w:t>
                          </w:r>
                          <w:r>
                            <w:rPr>
                              <w:rFonts w:hint="eastAsia" w:ascii="宋体" w:hAnsi="宋体" w:eastAsia="宋体" w:cs="宋体"/>
                              <w:b/>
                              <w:bCs/>
                              <w:sz w:val="21"/>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b/>
                        <w:bCs/>
                        <w:sz w:val="21"/>
                        <w:szCs w:val="32"/>
                        <w:lang w:eastAsia="zh-CN"/>
                      </w:rPr>
                    </w:pPr>
                    <w:r>
                      <w:rPr>
                        <w:rFonts w:hint="eastAsia" w:ascii="宋体" w:hAnsi="宋体" w:eastAsia="宋体" w:cs="宋体"/>
                        <w:b/>
                        <w:bCs/>
                        <w:sz w:val="21"/>
                        <w:szCs w:val="32"/>
                        <w:lang w:eastAsia="zh-CN"/>
                      </w:rPr>
                      <w:fldChar w:fldCharType="begin"/>
                    </w:r>
                    <w:r>
                      <w:rPr>
                        <w:rFonts w:hint="eastAsia" w:ascii="宋体" w:hAnsi="宋体" w:eastAsia="宋体" w:cs="宋体"/>
                        <w:b/>
                        <w:bCs/>
                        <w:sz w:val="21"/>
                        <w:szCs w:val="32"/>
                        <w:lang w:eastAsia="zh-CN"/>
                      </w:rPr>
                      <w:instrText xml:space="preserve"> PAGE  \* MERGEFORMAT </w:instrText>
                    </w:r>
                    <w:r>
                      <w:rPr>
                        <w:rFonts w:hint="eastAsia" w:ascii="宋体" w:hAnsi="宋体" w:eastAsia="宋体" w:cs="宋体"/>
                        <w:b/>
                        <w:bCs/>
                        <w:sz w:val="21"/>
                        <w:szCs w:val="32"/>
                        <w:lang w:eastAsia="zh-CN"/>
                      </w:rPr>
                      <w:fldChar w:fldCharType="separate"/>
                    </w:r>
                    <w:r>
                      <w:rPr>
                        <w:rFonts w:hint="eastAsia" w:ascii="宋体" w:hAnsi="宋体" w:eastAsia="宋体" w:cs="宋体"/>
                        <w:b/>
                        <w:bCs/>
                        <w:sz w:val="21"/>
                        <w:szCs w:val="32"/>
                        <w:lang w:eastAsia="zh-CN"/>
                      </w:rPr>
                      <w:t>- 1 -</w:t>
                    </w:r>
                    <w:r>
                      <w:rPr>
                        <w:rFonts w:hint="eastAsia" w:ascii="宋体" w:hAnsi="宋体" w:eastAsia="宋体" w:cs="宋体"/>
                        <w:b/>
                        <w:bCs/>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67388"/>
    <w:rsid w:val="00C3783B"/>
    <w:rsid w:val="0C0215FA"/>
    <w:rsid w:val="11E74B1F"/>
    <w:rsid w:val="1F5B4495"/>
    <w:rsid w:val="23ED7A03"/>
    <w:rsid w:val="275A0A6A"/>
    <w:rsid w:val="29C84987"/>
    <w:rsid w:val="33A67388"/>
    <w:rsid w:val="3616286C"/>
    <w:rsid w:val="43F7103D"/>
    <w:rsid w:val="4DFD19ED"/>
    <w:rsid w:val="56C74C01"/>
    <w:rsid w:val="74C83CB4"/>
    <w:rsid w:val="7980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eastAsia="宋体"/>
      <w:sz w:val="21"/>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2024-08-16T09:22:00Z</dcterms:created>
  <dc:creator>W.g</dc:creator>
  <cp:lastModifiedBy>W.g</cp:lastModifiedBy>
  <dcterms:modified xsi:type="dcterms:W3CDTF">2024-08-19T03:48:20Z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