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  <w:t>西街历史文化街区云水渠管理暂行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(意见征求稿）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 总则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第一条 为加强云水渠风貌保护的管理工作，根据《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中华人民共和国文物法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中华人民共和国文物保护法实施条例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《历史文化名城名镇名村保护条例》《浙江省历史文化名城名镇名村保护条例》《浙江省文物保护管理条例》以及《龙泉历史文化名城保护规划》等相关法律法规和规定要求，结合工作实际，经研究决定，制定本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第二条 本规定所称的云水渠，是指经浙江省人民政府公布的省级文物保护单位。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本规定适用范围是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经浙江省人民政府公布的云水渠保护范围和控制范围：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（一）核心保护范围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1.坝体部分:北向坝体外延10米，西向驳岸外延3米，南向坝体外延10米，东向驳岸外延1米。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2.水渠部分：水渠两边外延1米。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1．坝体部分:南、北向保护范围外顺延15米，西、东向保护范围外顺延5米。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2．水渠部分:水渠两边向保护范围外顺延3米。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第四条 严格遵循保护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为主、合理利用原则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，保护云水渠整体风貌，保存历史遗存，保持云水渠空间形态、尺度、形式、色彩等传统特征。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第五条 云水渠的保护与展示应与历史文化街区的保护有机结合，强化街区特色，提升街区品质。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第六条 鼓励机关、事业单位、企业、社会团体和个人参与云水渠风貌保护工作,建立完善云水渠沿线居民自我约束和管理机制。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第二章 职责分工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第七条 建立规范云水渠风貌保护工作机制。相关部门单位按照职责切实抓好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云水渠保护管理工作：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西街街道办事处在职责范围内做好云水渠的日常保护管理工作，主要负责保洁、巡查、宣传和运维管理。西街综合执法队负责对违章、违规违法等行为进行查处。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市文广旅体局负责对云水渠保护工作的指导、监督和管理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反文物保护相关法律法规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行为进行查处。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历史文化街区传统格局和历史风貌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保护进行日常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指导、监督和管理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水利局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负责对三江口区域河道及云水渠相关水利设施的建设工作进行监督、指导。</w:t>
      </w: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发展和改革局、财政局、公安局、资规局等部门单位按照各自职责，共同做好云水渠保护、管理、研究和利用等相关工作。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文旅公司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历史文化街区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云水渠沿线国有资产进行建设改造，落实好风貌管控和业态引进相关工作。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任何单位和个人都有保护云水渠的义务，并有权对云水渠风貌保护工作提出意见和建议，对破坏云水渠风貌的行为进行劝阻和检举。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第三章 管理内容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云水渠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保护范围及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建设控制地带内从事建设活动，应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方案需报上级部门审批，建设内容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不得损害历史文化街区传统格局和历史风貌的真实性和完整性，不得对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文物遗存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构成破坏和影响。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云水渠盖板通道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铺设应严格按规划方案实施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，原则上相邻两盖板通道相距50米以上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鼓励住户借用门前公共通道通行。住户有其他通道保障日常通行的，不得在云水渠上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搭建盖板通道。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在云水渠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保护范围及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建设控制地带内，禁止下列行为: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（一）擅自搭建并铺覆云水渠顶部盖板;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（二）擅自填没和拓宽云水渠；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（三）擅自改变云水渠与两侧建筑构成的现有空间尺度、造型和风格;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擅自进行爆破、开挖、勘探等作业；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（五）倾倒、排放污染物、废弃物及其他有毒有害物质，以及其他污染云水渠水质的行为；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擅自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在建筑外墙开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设门窗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乱搭乱建等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（七）违法侵占公共空间;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）其它影响历史风貌保护的行为。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第四章 查处措施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在云水渠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保护范围及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建设控制地带内未经批准，进行新建、改建、扩建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，构成违法的，由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职能部门依据相关法律法规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予以查处。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违反第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条之规定，由执法部门责令停止违法行为，恢复原状，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情节严重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造成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较大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或拒不整改的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依照相关法律法规予以处罚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阻碍管理人员依法执行公务，违反《中华人民共和国治安管理处罚法》的，由公安机关予以处罚；构成犯罪的，由司法机关依法追究刑事责任。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本规定自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9DB6"/>
    <w:multiLevelType w:val="singleLevel"/>
    <w:tmpl w:val="FCFC9DB6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DBkY2JhZDIwMzNkYjc4OGEwZjMzMjBkZjk2ODUifQ=="/>
  </w:docVars>
  <w:rsids>
    <w:rsidRoot w:val="6C971F42"/>
    <w:rsid w:val="022925EA"/>
    <w:rsid w:val="036D5BC9"/>
    <w:rsid w:val="04304DC0"/>
    <w:rsid w:val="07AD57B9"/>
    <w:rsid w:val="09021EE4"/>
    <w:rsid w:val="0F5785EC"/>
    <w:rsid w:val="25031DB9"/>
    <w:rsid w:val="2FC1713D"/>
    <w:rsid w:val="4672081A"/>
    <w:rsid w:val="47E6651B"/>
    <w:rsid w:val="47FE2E32"/>
    <w:rsid w:val="4A6F5559"/>
    <w:rsid w:val="4CAD7271"/>
    <w:rsid w:val="509C0A56"/>
    <w:rsid w:val="5137241C"/>
    <w:rsid w:val="5DBD57A1"/>
    <w:rsid w:val="64422AE3"/>
    <w:rsid w:val="655F49C4"/>
    <w:rsid w:val="65E964A3"/>
    <w:rsid w:val="68A16DC6"/>
    <w:rsid w:val="6C971F42"/>
    <w:rsid w:val="6F25663C"/>
    <w:rsid w:val="741552DF"/>
    <w:rsid w:val="7460716D"/>
    <w:rsid w:val="79265771"/>
    <w:rsid w:val="7A3D0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autoRedefine/>
    <w:qFormat/>
    <w:uiPriority w:val="0"/>
    <w:pPr>
      <w:ind w:firstLine="420" w:firstLineChars="200"/>
    </w:pPr>
  </w:style>
  <w:style w:type="paragraph" w:styleId="3">
    <w:name w:val="Body Text First Indent"/>
    <w:basedOn w:val="4"/>
    <w:autoRedefine/>
    <w:unhideWhenUsed/>
    <w:qFormat/>
    <w:uiPriority w:val="99"/>
    <w:pPr>
      <w:spacing w:line="560" w:lineRule="exact"/>
      <w:ind w:firstLine="420" w:firstLineChars="100"/>
    </w:pPr>
    <w:rPr>
      <w:rFonts w:ascii="等线" w:hAnsi="等线" w:eastAsia="仿宋_GB2312" w:cs="Times New Roman"/>
      <w:sz w:val="32"/>
      <w:szCs w:val="22"/>
    </w:rPr>
  </w:style>
  <w:style w:type="paragraph" w:styleId="4">
    <w:name w:val="Body Text"/>
    <w:basedOn w:val="1"/>
    <w:next w:val="3"/>
    <w:autoRedefine/>
    <w:qFormat/>
    <w:uiPriority w:val="0"/>
    <w:pPr>
      <w:jc w:val="center"/>
    </w:pPr>
    <w:rPr>
      <w:rFonts w:ascii="华文中宋" w:hAnsi="华文中宋" w:eastAsia="华文中宋"/>
      <w:b/>
      <w:bCs/>
      <w:sz w:val="44"/>
      <w:szCs w:val="44"/>
    </w:rPr>
  </w:style>
  <w:style w:type="paragraph" w:styleId="5">
    <w:name w:val="Normal Indent"/>
    <w:basedOn w:val="1"/>
    <w:autoRedefine/>
    <w:qFormat/>
    <w:uiPriority w:val="0"/>
    <w:pPr>
      <w:ind w:firstLine="567"/>
    </w:pPr>
  </w:style>
  <w:style w:type="paragraph" w:styleId="6">
    <w:name w:val="toc 8"/>
    <w:basedOn w:val="1"/>
    <w:next w:val="1"/>
    <w:autoRedefine/>
    <w:qFormat/>
    <w:uiPriority w:val="0"/>
    <w:pPr>
      <w:wordWrap w:val="0"/>
      <w:ind w:left="127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1821</Words>
  <Characters>1838</Characters>
  <Lines>0</Lines>
  <Paragraphs>0</Paragraphs>
  <TotalTime>0</TotalTime>
  <ScaleCrop>false</ScaleCrop>
  <LinksUpToDate>false</LinksUpToDate>
  <CharactersWithSpaces>1939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2023-11-02T09:12:00Z</dcterms:created>
  <dc:creator>Administrator</dc:creator>
  <cp:lastModifiedBy>耿店山</cp:lastModifiedBy>
  <cp:lastPrinted>2024-01-10T08:40:00Z</cp:lastPrinted>
  <dcterms:modified xsi:type="dcterms:W3CDTF">2024-01-24T03:05:27Z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376C9FFD51B742B9AFE8524864F573A2_13</vt:lpwstr>
  </property>
</Properties>
</file>