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《关于促进龙泉市乡村旅游管理的若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28CB6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 w14:paraId="3210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现就龙泉市文化和广电旅游体育局《关于促进龙泉市乡村旅游管理的若干意见》（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）的有关情况说明如下：</w:t>
      </w:r>
    </w:p>
    <w:p w14:paraId="572C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一、制定文件的必要性和可行性</w:t>
      </w:r>
    </w:p>
    <w:p w14:paraId="49B3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龙泉市依托青瓷文化、剑瓷非遗、龙泉山生态资源等特色，乡村旅游发展迅速，但存在业态同质化、管理不规范、生态保护压力大、安全监管不足等问题。为规范龙泉市乡村旅游开发、保障各方权益、促进“文化+生态+产业”深度融合，亟需出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性管理文件。本意见的制定符合《浙江省乡村旅游促进办法》及相关法律法规要求，具备政策衔接性和实践可行性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40DA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起草情况</w:t>
      </w:r>
    </w:p>
    <w:p w14:paraId="3F9A6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2025年4月7日至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" w:eastAsia="zh-CN"/>
        </w:rPr>
        <w:t>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" w:eastAsia="zh-CN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5月6日在龙泉市人民政府网上公开征求意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见。</w:t>
      </w:r>
    </w:p>
    <w:p w14:paraId="3F771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6"/>
          <w:sz w:val="32"/>
          <w:szCs w:val="40"/>
        </w:rPr>
        <w:t>需要解决的主要问题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CDA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乡村旅游无序开发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。旅游资源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缺乏统一规划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导致资源浪费及文化资源保护不足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经营者行为失范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夸大服务内容，误导消费者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节假日哄抬物价、未明码标价引发游客投诉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基础设施短板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交通不便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景区之间缺乏直达公交，自驾游道路狭窄且无明确标识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；部分景区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停车场容量不足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节假日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情况；四是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数字化水平滞后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景区导览依赖传统标识牌，缺乏实时语音讲解或AR导览；各部门监管信息未互通，难以形成综合管理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D31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30016_WPSOffice_Level2"/>
      <w:bookmarkStart w:id="1" w:name="_Toc11553_WPSOffice_Level2"/>
      <w:r>
        <w:rPr>
          <w:rFonts w:hint="eastAsia" w:ascii="黑体" w:hAnsi="黑体" w:eastAsia="黑体" w:cs="黑体"/>
          <w:spacing w:val="-6"/>
          <w:sz w:val="32"/>
          <w:szCs w:val="40"/>
        </w:rPr>
        <w:t>四、拟规定的主要制度和拟采取的主要措施</w:t>
      </w:r>
      <w:bookmarkEnd w:id="0"/>
      <w:bookmarkEnd w:id="1"/>
    </w:p>
    <w:p w14:paraId="248BC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强化规划与规范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文化遗产、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传统村落、青瓷古窑遗址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要求经营者依法取得资质，明码标价，禁止虚假宣传、哄抬物价等行为。通过科学规划和严格监管，实现乡村旅游资源合理利用，避免无序开发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88F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强化生态环境保护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生态与文化可持续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发展，使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自然保护区和文化遗产得到有效保护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7B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完善基础设施与服务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优化交通网络，开通景区专线公交，完善道路、停车场等设施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在重点景区设立医疗急救站，配备AED设备和急救药品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ABE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推动数字化升级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建设智慧旅游平台，集成导览、直播、电商等功能，推广沉浸式数字化产品，实时监测客流、环境数据及经营行为。</w:t>
      </w:r>
    </w:p>
    <w:p w14:paraId="2644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40"/>
        </w:rPr>
      </w:pPr>
      <w:bookmarkStart w:id="2" w:name="_Toc29247_WPSOffice_Level2"/>
      <w:bookmarkStart w:id="3" w:name="_Toc9781_WPSOffice_Level2"/>
      <w:r>
        <w:rPr>
          <w:rFonts w:hint="eastAsia" w:ascii="黑体" w:hAnsi="黑体" w:eastAsia="黑体" w:cs="黑体"/>
          <w:spacing w:val="-6"/>
          <w:sz w:val="32"/>
          <w:szCs w:val="40"/>
        </w:rPr>
        <w:t>五、其他需要说明的情况</w:t>
      </w:r>
      <w:bookmarkEnd w:id="2"/>
      <w:bookmarkEnd w:id="3"/>
    </w:p>
    <w:p w14:paraId="04189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0E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9AAA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F9AAA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5829B"/>
    <w:multiLevelType w:val="singleLevel"/>
    <w:tmpl w:val="BEE582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1C73"/>
    <w:rsid w:val="1B8427BD"/>
    <w:rsid w:val="24B34947"/>
    <w:rsid w:val="2FE31C73"/>
    <w:rsid w:val="396913A3"/>
    <w:rsid w:val="432606F4"/>
    <w:rsid w:val="47EC421E"/>
    <w:rsid w:val="5D853415"/>
    <w:rsid w:val="6DF6140B"/>
    <w:rsid w:val="76B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74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820</Characters>
  <Lines>0</Lines>
  <Paragraphs>0</Paragraphs>
  <TotalTime>3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2025-03-17T03:32:00Z</dcterms:created>
  <dc:creator>WPS_1683248417</dc:creator>
  <cp:lastModifiedBy>WPS_1610590048</cp:lastModifiedBy>
  <dcterms:modified xsi:type="dcterms:W3CDTF">2025-04-07T07:42:48Z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eyJoZGlkIjoiNzEzYzYzMzYzZTcwOTVlYjdlZWZiYjg5NmY0YjlmZDQiLCJ1c2VySWQiOiIxNjEwNTkwMDQ4In0=</vt:lpwstr>
  </property>
  <property fmtid="{D5CDD505-2E9C-101B-9397-08002B2CF9AE}" pid="4" name="ICV">
    <vt:lpwstr>853A750D6B404B16AD06D9AE2CE3C03A_12</vt:lpwstr>
  </property>
</Properties>
</file>