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1716A4">
      <w:pPr>
        <w:pStyle w:val="2"/>
        <w:keepNext w:val="0"/>
        <w:keepLines w:val="0"/>
        <w:pageBreakBefore w:val="0"/>
        <w:widowControl w:val="0"/>
        <w:kinsoku/>
        <w:wordWrap/>
        <w:overflowPunct/>
        <w:topLinePunct w:val="0"/>
        <w:autoSpaceDE w:val="0"/>
        <w:autoSpaceDN w:val="0"/>
        <w:bidi w:val="0"/>
        <w:adjustRightInd w:val="0"/>
        <w:snapToGrid/>
        <w:spacing w:line="520" w:lineRule="exact"/>
        <w:ind w:left="0" w:leftChars="0" w:firstLine="880" w:firstLineChars="200"/>
        <w:jc w:val="center"/>
        <w:textAlignment w:val="baseline"/>
        <w:outlineLvl w:val="0"/>
        <w:rPr>
          <w:rFonts w:hint="eastAsia" w:ascii="方正小标宋简体" w:hAnsi="方正小标宋简体" w:eastAsia="方正小标宋简体" w:cs="方正小标宋简体"/>
          <w:b w:val="0"/>
          <w:bCs/>
          <w:snapToGrid w:val="0"/>
          <w:color w:val="000000"/>
          <w:sz w:val="44"/>
          <w:szCs w:val="44"/>
          <w:lang w:bidi="ar"/>
        </w:rPr>
      </w:pPr>
      <w:bookmarkStart w:id="0" w:name="_Toc126848545"/>
      <w:bookmarkStart w:id="1" w:name="_Toc1589"/>
      <w:bookmarkStart w:id="19" w:name="_GoBack"/>
      <w:r>
        <w:rPr>
          <w:rFonts w:hint="eastAsia" w:ascii="方正小标宋简体" w:hAnsi="方正小标宋简体" w:eastAsia="方正小标宋简体" w:cs="方正小标宋简体"/>
          <w:b w:val="0"/>
          <w:bCs/>
          <w:snapToGrid w:val="0"/>
          <w:color w:val="000000"/>
          <w:sz w:val="44"/>
          <w:szCs w:val="44"/>
          <w:lang w:bidi="ar"/>
        </w:rPr>
        <w:t>龙泉市屏南镇林业共同富裕综合体实施方案（征求意见稿）</w:t>
      </w:r>
    </w:p>
    <w:bookmarkEnd w:id="19"/>
    <w:p w14:paraId="3A2EDF47">
      <w:pPr>
        <w:pStyle w:val="2"/>
        <w:keepNext w:val="0"/>
        <w:keepLines w:val="0"/>
        <w:pageBreakBefore w:val="0"/>
        <w:widowControl w:val="0"/>
        <w:kinsoku/>
        <w:wordWrap/>
        <w:overflowPunct/>
        <w:topLinePunct w:val="0"/>
        <w:autoSpaceDE w:val="0"/>
        <w:autoSpaceDN w:val="0"/>
        <w:bidi w:val="0"/>
        <w:adjustRightInd w:val="0"/>
        <w:snapToGrid/>
        <w:spacing w:line="520" w:lineRule="exact"/>
        <w:ind w:left="0" w:leftChars="0" w:firstLine="640" w:firstLineChars="200"/>
        <w:textAlignment w:val="baseline"/>
        <w:outlineLvl w:val="0"/>
        <w:rPr>
          <w:rFonts w:hint="eastAsia" w:ascii="黑体" w:hAnsi="宋体" w:eastAsia="黑体" w:cs="黑体"/>
          <w:b w:val="0"/>
          <w:bCs/>
          <w:snapToGrid w:val="0"/>
          <w:color w:val="000000"/>
          <w:sz w:val="32"/>
          <w:szCs w:val="32"/>
        </w:rPr>
      </w:pPr>
      <w:r>
        <w:rPr>
          <w:rFonts w:hint="eastAsia" w:ascii="黑体" w:hAnsi="宋体" w:eastAsia="黑体" w:cs="黑体"/>
          <w:b w:val="0"/>
          <w:bCs/>
          <w:snapToGrid w:val="0"/>
          <w:color w:val="000000"/>
          <w:sz w:val="32"/>
          <w:szCs w:val="32"/>
          <w:lang w:bidi="ar"/>
        </w:rPr>
        <w:t>1</w:t>
      </w:r>
      <w:r>
        <w:rPr>
          <w:rFonts w:hint="eastAsia" w:ascii="黑体" w:hAnsi="宋体" w:eastAsia="黑体" w:cs="黑体"/>
          <w:b w:val="0"/>
          <w:bCs/>
          <w:color w:val="000000"/>
          <w:sz w:val="32"/>
          <w:szCs w:val="32"/>
          <w:lang w:bidi="ar"/>
        </w:rPr>
        <w:t xml:space="preserve">  </w:t>
      </w:r>
      <w:r>
        <w:rPr>
          <w:rFonts w:hint="eastAsia" w:ascii="黑体" w:hAnsi="宋体" w:eastAsia="黑体" w:cs="黑体"/>
          <w:b w:val="0"/>
          <w:bCs/>
          <w:snapToGrid w:val="0"/>
          <w:color w:val="000000"/>
          <w:sz w:val="32"/>
          <w:szCs w:val="32"/>
          <w:lang w:bidi="ar"/>
        </w:rPr>
        <w:t>基本情况</w:t>
      </w:r>
      <w:bookmarkEnd w:id="0"/>
      <w:bookmarkEnd w:id="1"/>
    </w:p>
    <w:p w14:paraId="1FAB880F">
      <w:pPr>
        <w:keepNext w:val="0"/>
        <w:keepLines w:val="0"/>
        <w:pageBreakBefore w:val="0"/>
        <w:widowControl w:val="0"/>
        <w:numPr>
          <w:ilvl w:val="1"/>
          <w:numId w:val="0"/>
        </w:numPr>
        <w:kinsoku/>
        <w:wordWrap/>
        <w:overflowPunct/>
        <w:topLinePunct w:val="0"/>
        <w:bidi w:val="0"/>
        <w:snapToGrid/>
        <w:spacing w:line="520" w:lineRule="exact"/>
        <w:ind w:left="0" w:leftChars="0" w:firstLine="643" w:firstLineChars="200"/>
        <w:outlineLvl w:val="1"/>
        <w:rPr>
          <w:rFonts w:hint="eastAsia" w:ascii="楷体_GB2312" w:hAnsi="楷体_GB2312" w:eastAsia="楷体_GB2312" w:cs="楷体_GB2312"/>
          <w:b/>
          <w:snapToGrid w:val="0"/>
          <w:color w:val="000000"/>
          <w:sz w:val="32"/>
          <w:szCs w:val="32"/>
          <w:lang w:bidi="ar"/>
        </w:rPr>
      </w:pPr>
      <w:bookmarkStart w:id="2" w:name="_Toc2356"/>
      <w:r>
        <w:rPr>
          <w:rFonts w:hint="eastAsia" w:ascii="楷体_GB2312" w:hAnsi="楷体_GB2312" w:eastAsia="楷体_GB2312" w:cs="楷体_GB2312"/>
          <w:b/>
          <w:snapToGrid w:val="0"/>
          <w:color w:val="000000"/>
          <w:kern w:val="2"/>
          <w:sz w:val="32"/>
          <w:szCs w:val="32"/>
          <w:lang w:val="en-US" w:eastAsia="zh-CN" w:bidi="ar"/>
        </w:rPr>
        <w:t>1.1</w:t>
      </w:r>
      <w:r>
        <w:rPr>
          <w:rFonts w:hint="eastAsia" w:ascii="楷体_GB2312" w:hAnsi="楷体_GB2312" w:eastAsia="楷体_GB2312" w:cs="楷体_GB2312"/>
          <w:b/>
          <w:color w:val="000000"/>
          <w:sz w:val="32"/>
          <w:szCs w:val="32"/>
          <w:lang w:bidi="ar"/>
        </w:rPr>
        <w:t xml:space="preserve"> </w:t>
      </w:r>
      <w:r>
        <w:rPr>
          <w:rFonts w:hint="eastAsia" w:ascii="楷体_GB2312" w:hAnsi="楷体_GB2312" w:eastAsia="楷体_GB2312" w:cs="楷体_GB2312"/>
          <w:b/>
          <w:snapToGrid w:val="0"/>
          <w:color w:val="000000"/>
          <w:sz w:val="32"/>
          <w:szCs w:val="32"/>
          <w:lang w:bidi="ar"/>
        </w:rPr>
        <w:t>自然社会经济发展情况</w:t>
      </w:r>
      <w:bookmarkEnd w:id="2"/>
    </w:p>
    <w:p w14:paraId="37EA125B">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屏南镇位于龙泉市南部，下辖9个行政村，28个自然村；户籍人口9843人，常住人口1106人；土地总面积285km²。屏南镇属亚热带季风气候，常年温和湿润，年平均气温在17-18℃，雨量充沛，年降雨量1645</w:t>
      </w:r>
      <w:r>
        <w:rPr>
          <w:rFonts w:hint="eastAsia" w:ascii="仿宋_GB2312" w:hAnsi="仿宋_GB2312" w:eastAsia="仿宋_GB2312" w:cs="仿宋_GB2312"/>
          <w:bCs/>
          <w:snapToGrid w:val="0"/>
          <w:color w:val="000000"/>
          <w:spacing w:val="0"/>
          <w:sz w:val="32"/>
          <w:szCs w:val="32"/>
          <w:lang w:eastAsia="zh-CN" w:bidi="ar"/>
        </w:rPr>
        <w:t>—</w:t>
      </w:r>
      <w:r>
        <w:rPr>
          <w:rFonts w:hint="eastAsia" w:ascii="仿宋_GB2312" w:hAnsi="仿宋_GB2312" w:eastAsia="仿宋_GB2312" w:cs="仿宋_GB2312"/>
          <w:bCs/>
          <w:snapToGrid w:val="0"/>
          <w:color w:val="000000"/>
          <w:spacing w:val="0"/>
          <w:sz w:val="32"/>
          <w:szCs w:val="32"/>
          <w:lang w:bidi="ar"/>
        </w:rPr>
        <w:t>1850mm，是瓯江发源地，也是浙江省第一个林区。辖区内划入钱江源</w:t>
      </w:r>
      <w:r>
        <w:rPr>
          <w:rFonts w:hint="eastAsia" w:ascii="仿宋_GB2312" w:hAnsi="仿宋_GB2312" w:eastAsia="仿宋_GB2312" w:cs="仿宋_GB2312"/>
          <w:bCs/>
          <w:snapToGrid w:val="0"/>
          <w:color w:val="000000"/>
          <w:spacing w:val="0"/>
          <w:sz w:val="32"/>
          <w:szCs w:val="32"/>
          <w:lang w:eastAsia="zh-CN" w:bidi="ar"/>
        </w:rPr>
        <w:t>－</w:t>
      </w:r>
      <w:r>
        <w:rPr>
          <w:rFonts w:hint="eastAsia" w:ascii="仿宋_GB2312" w:hAnsi="仿宋_GB2312" w:eastAsia="仿宋_GB2312" w:cs="仿宋_GB2312"/>
          <w:bCs/>
          <w:snapToGrid w:val="0"/>
          <w:color w:val="000000"/>
          <w:spacing w:val="0"/>
          <w:sz w:val="32"/>
          <w:szCs w:val="32"/>
          <w:lang w:bidi="ar"/>
        </w:rPr>
        <w:t>百山祖国家公园范围面积153.1平方公里，风光秀丽，环境优美，平均海拔超800米，是省3A景区镇，省级“美丽城镇基本达标镇”；拥有</w:t>
      </w:r>
      <w:r>
        <w:rPr>
          <w:rFonts w:hint="eastAsia" w:ascii="仿宋_GB2312" w:hAnsi="仿宋_GB2312" w:eastAsia="仿宋_GB2312" w:cs="仿宋_GB2312"/>
          <w:bCs/>
          <w:snapToGrid w:val="0"/>
          <w:color w:val="000000"/>
          <w:spacing w:val="0"/>
          <w:sz w:val="32"/>
          <w:szCs w:val="32"/>
          <w:lang w:eastAsia="zh-CN" w:bidi="ar"/>
        </w:rPr>
        <w:t>国家级</w:t>
      </w:r>
      <w:r>
        <w:rPr>
          <w:rFonts w:hint="eastAsia" w:ascii="仿宋_GB2312" w:hAnsi="仿宋_GB2312" w:eastAsia="仿宋_GB2312" w:cs="仿宋_GB2312"/>
          <w:bCs/>
          <w:snapToGrid w:val="0"/>
          <w:color w:val="000000"/>
          <w:spacing w:val="0"/>
          <w:sz w:val="32"/>
          <w:szCs w:val="32"/>
          <w:lang w:bidi="ar"/>
        </w:rPr>
        <w:t>传统村落8个，A级旅游景区村6个，获得浙江省和美乡村特色精品村、浙江省自然保护地融合发展村等荣誉。镇政府驻地为坪田村，距城区49公里，海拔1080米，是浙江省海拔最高的建制镇，素有浙江屋脊之称。下辖的周岱村海拔1250米，为全省海拔最高的行政村；南溪村为八百里瓯江源头第一村。</w:t>
      </w:r>
    </w:p>
    <w:tbl>
      <w:tblPr>
        <w:tblStyle w:val="7"/>
        <w:tblW w:w="8948" w:type="dxa"/>
        <w:jc w:val="center"/>
        <w:tblLayout w:type="autofit"/>
        <w:tblCellMar>
          <w:top w:w="0" w:type="dxa"/>
          <w:left w:w="108" w:type="dxa"/>
          <w:bottom w:w="0" w:type="dxa"/>
          <w:right w:w="108" w:type="dxa"/>
        </w:tblCellMar>
      </w:tblPr>
      <w:tblGrid>
        <w:gridCol w:w="8948"/>
      </w:tblGrid>
      <w:tr w14:paraId="701776B8">
        <w:tblPrEx>
          <w:tblCellMar>
            <w:top w:w="0" w:type="dxa"/>
            <w:left w:w="108" w:type="dxa"/>
            <w:bottom w:w="0" w:type="dxa"/>
            <w:right w:w="108" w:type="dxa"/>
          </w:tblCellMar>
        </w:tblPrEx>
        <w:trPr>
          <w:trHeight w:val="1056" w:hRule="atLeast"/>
          <w:jc w:val="center"/>
        </w:trPr>
        <w:tc>
          <w:tcPr>
            <w:tcW w:w="8948" w:type="dxa"/>
            <w:noWrap w:val="0"/>
            <w:vAlign w:val="top"/>
          </w:tcPr>
          <w:p w14:paraId="3FA9D2D2">
            <w:pPr>
              <w:pStyle w:val="2"/>
              <w:ind w:firstLine="0"/>
              <w:rPr>
                <w:rFonts w:hint="eastAsia" w:ascii="Times New Roman" w:hAnsi="Times New Roman" w:eastAsia="仿宋"/>
                <w:color w:val="000000"/>
                <w:sz w:val="32"/>
                <w:szCs w:val="32"/>
              </w:rPr>
            </w:pPr>
            <w:r>
              <w:rPr>
                <w:rFonts w:hint="eastAsia" w:ascii="仿宋_GB2312" w:hAnsi="仿宋_GB2312" w:eastAsia="仿宋_GB2312" w:cs="仿宋_GB2312"/>
                <w:bCs/>
                <w:snapToGrid w:val="0"/>
                <w:color w:val="000000"/>
                <w:sz w:val="32"/>
                <w:szCs w:val="32"/>
                <w:lang w:bidi="ar"/>
              </w:rPr>
              <w:drawing>
                <wp:anchor distT="0" distB="0" distL="114300" distR="114300" simplePos="0" relativeHeight="251660288" behindDoc="0" locked="0" layoutInCell="1" allowOverlap="1">
                  <wp:simplePos x="0" y="0"/>
                  <wp:positionH relativeFrom="column">
                    <wp:posOffset>211455</wp:posOffset>
                  </wp:positionH>
                  <wp:positionV relativeFrom="paragraph">
                    <wp:posOffset>194310</wp:posOffset>
                  </wp:positionV>
                  <wp:extent cx="4918710" cy="3279775"/>
                  <wp:effectExtent l="0" t="0" r="3810" b="12065"/>
                  <wp:wrapNone/>
                  <wp:docPr id="5" name="图片 24" descr="e9fcf5c9be09de0de548bfd26b9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e9fcf5c9be09de0de548bfd26b94130"/>
                          <pic:cNvPicPr>
                            <a:picLocks noChangeAspect="1"/>
                          </pic:cNvPicPr>
                        </pic:nvPicPr>
                        <pic:blipFill>
                          <a:blip r:embed="rId5"/>
                          <a:stretch>
                            <a:fillRect/>
                          </a:stretch>
                        </pic:blipFill>
                        <pic:spPr>
                          <a:xfrm>
                            <a:off x="0" y="0"/>
                            <a:ext cx="4918710" cy="3279775"/>
                          </a:xfrm>
                          <a:prstGeom prst="rect">
                            <a:avLst/>
                          </a:prstGeom>
                          <a:noFill/>
                          <a:ln>
                            <a:noFill/>
                          </a:ln>
                        </pic:spPr>
                      </pic:pic>
                    </a:graphicData>
                  </a:graphic>
                </wp:anchor>
              </w:drawing>
            </w:r>
          </w:p>
          <w:p w14:paraId="3C52B252">
            <w:pPr>
              <w:pStyle w:val="2"/>
              <w:rPr>
                <w:rFonts w:hint="eastAsia" w:ascii="Times New Roman" w:hAnsi="Times New Roman" w:eastAsia="仿宋"/>
                <w:color w:val="000000"/>
                <w:sz w:val="32"/>
                <w:szCs w:val="32"/>
              </w:rPr>
            </w:pPr>
          </w:p>
          <w:p w14:paraId="5BBE9D7C">
            <w:pPr>
              <w:pStyle w:val="2"/>
              <w:rPr>
                <w:rFonts w:hint="eastAsia" w:ascii="Times New Roman" w:hAnsi="Times New Roman" w:eastAsia="仿宋"/>
                <w:color w:val="000000"/>
                <w:sz w:val="32"/>
                <w:szCs w:val="32"/>
              </w:rPr>
            </w:pPr>
          </w:p>
          <w:p w14:paraId="7D3A5A84">
            <w:pPr>
              <w:pStyle w:val="2"/>
              <w:rPr>
                <w:rFonts w:hint="eastAsia" w:ascii="Times New Roman" w:hAnsi="Times New Roman" w:eastAsia="仿宋"/>
                <w:color w:val="000000"/>
                <w:sz w:val="32"/>
                <w:szCs w:val="32"/>
              </w:rPr>
            </w:pPr>
          </w:p>
          <w:p w14:paraId="256A7589">
            <w:pPr>
              <w:pStyle w:val="2"/>
              <w:rPr>
                <w:rFonts w:hint="eastAsia" w:ascii="Times New Roman" w:hAnsi="Times New Roman" w:eastAsia="仿宋"/>
                <w:color w:val="000000"/>
                <w:sz w:val="32"/>
                <w:szCs w:val="32"/>
              </w:rPr>
            </w:pPr>
          </w:p>
          <w:p w14:paraId="541EAAE5">
            <w:pPr>
              <w:pStyle w:val="2"/>
              <w:rPr>
                <w:rFonts w:hint="eastAsia" w:ascii="Times New Roman" w:hAnsi="Times New Roman" w:eastAsia="仿宋"/>
                <w:color w:val="000000"/>
                <w:sz w:val="32"/>
                <w:szCs w:val="32"/>
              </w:rPr>
            </w:pPr>
          </w:p>
          <w:p w14:paraId="2F852B8A">
            <w:pPr>
              <w:pStyle w:val="2"/>
              <w:rPr>
                <w:rFonts w:hint="eastAsia" w:ascii="Times New Roman" w:hAnsi="Times New Roman" w:eastAsia="仿宋"/>
                <w:color w:val="000000"/>
                <w:sz w:val="32"/>
                <w:szCs w:val="32"/>
              </w:rPr>
            </w:pPr>
          </w:p>
          <w:p w14:paraId="7961CF66">
            <w:pPr>
              <w:pStyle w:val="2"/>
              <w:rPr>
                <w:rFonts w:hint="eastAsia" w:ascii="Times New Roman" w:hAnsi="Times New Roman" w:eastAsia="仿宋"/>
                <w:color w:val="000000"/>
                <w:sz w:val="32"/>
                <w:szCs w:val="32"/>
              </w:rPr>
            </w:pPr>
          </w:p>
          <w:p w14:paraId="4D80E69D">
            <w:pPr>
              <w:pStyle w:val="2"/>
              <w:ind w:left="0" w:leftChars="0" w:firstLine="0" w:firstLineChars="0"/>
              <w:rPr>
                <w:rFonts w:hint="eastAsia" w:ascii="Times New Roman" w:hAnsi="Times New Roman" w:eastAsia="仿宋"/>
                <w:color w:val="000000"/>
                <w:sz w:val="32"/>
                <w:szCs w:val="32"/>
              </w:rPr>
            </w:pPr>
          </w:p>
          <w:p w14:paraId="203E4C5E">
            <w:pPr>
              <w:pStyle w:val="3"/>
              <w:widowControl/>
              <w:adjustRightInd w:val="0"/>
              <w:snapToGrid w:val="0"/>
              <w:spacing w:before="0" w:line="320" w:lineRule="exact"/>
              <w:jc w:val="center"/>
              <w:rPr>
                <w:rFonts w:hint="eastAsia" w:ascii="Times New Roman" w:hAnsi="Times New Roman" w:eastAsia="仿宋"/>
                <w:color w:val="000000"/>
                <w:sz w:val="32"/>
                <w:szCs w:val="32"/>
              </w:rPr>
            </w:pPr>
            <w:r>
              <w:rPr>
                <w:rFonts w:hint="eastAsia" w:ascii="仿宋_GB2312" w:hAnsi="仿宋_GB2312" w:eastAsia="仿宋_GB2312" w:cs="仿宋_GB2312"/>
                <w:snapToGrid w:val="0"/>
                <w:color w:val="000000"/>
                <w:sz w:val="32"/>
                <w:szCs w:val="36"/>
                <w:lang w:bidi="ar"/>
              </w:rPr>
              <w:t>图1 屏南镇地理区位图</w:t>
            </w:r>
          </w:p>
        </w:tc>
      </w:tr>
    </w:tbl>
    <w:p w14:paraId="7B92BCD5">
      <w:pPr>
        <w:numPr>
          <w:ilvl w:val="1"/>
          <w:numId w:val="0"/>
        </w:numPr>
        <w:spacing w:line="560" w:lineRule="exact"/>
        <w:ind w:left="0" w:leftChars="0" w:firstLine="643" w:firstLineChars="200"/>
        <w:outlineLvl w:val="1"/>
        <w:rPr>
          <w:rFonts w:hint="eastAsia" w:ascii="楷体_GB2312" w:hAnsi="楷体_GB2312" w:eastAsia="楷体_GB2312" w:cs="楷体_GB2312"/>
          <w:b/>
          <w:snapToGrid w:val="0"/>
          <w:color w:val="000000"/>
          <w:sz w:val="32"/>
          <w:szCs w:val="32"/>
          <w:lang w:bidi="ar"/>
        </w:rPr>
      </w:pPr>
      <w:bookmarkStart w:id="3" w:name="_Toc22636"/>
      <w:r>
        <w:rPr>
          <w:rFonts w:hint="eastAsia" w:ascii="楷体_GB2312" w:hAnsi="楷体_GB2312" w:eastAsia="楷体_GB2312" w:cs="楷体_GB2312"/>
          <w:b/>
          <w:snapToGrid w:val="0"/>
          <w:color w:val="000000"/>
          <w:kern w:val="2"/>
          <w:sz w:val="32"/>
          <w:szCs w:val="32"/>
          <w:lang w:val="en-US" w:eastAsia="zh-CN" w:bidi="ar"/>
        </w:rPr>
        <w:t>1.2</w:t>
      </w:r>
      <w:r>
        <w:rPr>
          <w:rFonts w:hint="eastAsia" w:ascii="楷体_GB2312" w:hAnsi="楷体_GB2312" w:eastAsia="楷体_GB2312" w:cs="楷体_GB2312"/>
          <w:b/>
          <w:color w:val="000000"/>
          <w:sz w:val="32"/>
          <w:szCs w:val="32"/>
          <w:lang w:bidi="ar"/>
        </w:rPr>
        <w:t xml:space="preserve"> </w:t>
      </w:r>
      <w:r>
        <w:rPr>
          <w:rFonts w:hint="eastAsia" w:ascii="楷体_GB2312" w:hAnsi="楷体_GB2312" w:eastAsia="楷体_GB2312" w:cs="楷体_GB2312"/>
          <w:b/>
          <w:snapToGrid w:val="0"/>
          <w:color w:val="000000"/>
          <w:sz w:val="32"/>
          <w:szCs w:val="32"/>
          <w:lang w:bidi="ar"/>
        </w:rPr>
        <w:t>林业资源基本情况</w:t>
      </w:r>
      <w:bookmarkEnd w:id="3"/>
    </w:p>
    <w:p w14:paraId="6E2353CB">
      <w:pPr>
        <w:widowControl/>
        <w:spacing w:line="560" w:lineRule="exact"/>
        <w:ind w:firstLine="640" w:firstLineChars="200"/>
        <w:rPr>
          <w:rFonts w:hint="eastAsia" w:ascii="仿宋_GB2312" w:hAnsi="仿宋_GB2312" w:eastAsia="仿宋_GB2312" w:cs="仿宋_GB2312"/>
          <w:bCs/>
          <w:snapToGrid w:val="0"/>
          <w:color w:val="000000"/>
          <w:sz w:val="32"/>
          <w:szCs w:val="32"/>
          <w:lang w:bidi="ar"/>
        </w:rPr>
      </w:pPr>
      <w:r>
        <w:rPr>
          <w:rFonts w:hint="eastAsia" w:ascii="仿宋_GB2312" w:hAnsi="仿宋_GB2312" w:eastAsia="仿宋_GB2312" w:cs="仿宋_GB2312"/>
          <w:bCs/>
          <w:snapToGrid w:val="0"/>
          <w:color w:val="000000"/>
          <w:sz w:val="32"/>
          <w:szCs w:val="32"/>
          <w:lang w:bidi="ar"/>
        </w:rPr>
        <w:t>屏南镇是华东植物摇篮，林地面积34.8万亩，其中公益林面积19.4万亩，天然林面积10.8万亩，森林覆盖率92.21%，林木绿化率92.26%。森林活立木蓄积量126万余立方米。屏南镇划入钱江源</w:t>
      </w:r>
      <w:r>
        <w:rPr>
          <w:rFonts w:hint="eastAsia" w:ascii="仿宋_GB2312" w:hAnsi="仿宋_GB2312" w:eastAsia="仿宋_GB2312" w:cs="仿宋_GB2312"/>
          <w:bCs/>
          <w:snapToGrid w:val="0"/>
          <w:color w:val="000000"/>
          <w:sz w:val="32"/>
          <w:szCs w:val="32"/>
          <w:lang w:eastAsia="zh-CN" w:bidi="ar"/>
        </w:rPr>
        <w:t>－</w:t>
      </w:r>
      <w:r>
        <w:rPr>
          <w:rFonts w:hint="eastAsia" w:ascii="仿宋_GB2312" w:hAnsi="仿宋_GB2312" w:eastAsia="仿宋_GB2312" w:cs="仿宋_GB2312"/>
          <w:bCs/>
          <w:snapToGrid w:val="0"/>
          <w:color w:val="000000"/>
          <w:sz w:val="32"/>
          <w:szCs w:val="32"/>
          <w:lang w:bidi="ar"/>
        </w:rPr>
        <w:t>百山祖国家公园的面积占龙泉片区的61.4%。2021年，屏南镇以其气候优越、生态优良、空气清新、配套设施较完善、适宜发展休闲旅游、康体养生等优势，入选首批“浙江省气候康养乡村”。</w:t>
      </w:r>
    </w:p>
    <w:tbl>
      <w:tblPr>
        <w:tblStyle w:val="7"/>
        <w:tblW w:w="9392" w:type="dxa"/>
        <w:jc w:val="center"/>
        <w:tblLayout w:type="autofit"/>
        <w:tblCellMar>
          <w:top w:w="0" w:type="dxa"/>
          <w:left w:w="108" w:type="dxa"/>
          <w:bottom w:w="0" w:type="dxa"/>
          <w:right w:w="108" w:type="dxa"/>
        </w:tblCellMar>
      </w:tblPr>
      <w:tblGrid>
        <w:gridCol w:w="4752"/>
        <w:gridCol w:w="4656"/>
      </w:tblGrid>
      <w:tr w14:paraId="4C70E674">
        <w:tblPrEx>
          <w:tblCellMar>
            <w:top w:w="0" w:type="dxa"/>
            <w:left w:w="108" w:type="dxa"/>
            <w:bottom w:w="0" w:type="dxa"/>
            <w:right w:w="108" w:type="dxa"/>
          </w:tblCellMar>
        </w:tblPrEx>
        <w:trPr>
          <w:trHeight w:val="90" w:hRule="atLeast"/>
          <w:jc w:val="center"/>
        </w:trPr>
        <w:tc>
          <w:tcPr>
            <w:tcW w:w="4737" w:type="dxa"/>
            <w:noWrap w:val="0"/>
            <w:vAlign w:val="top"/>
          </w:tcPr>
          <w:p w14:paraId="7F0DFCAE">
            <w:pPr>
              <w:jc w:val="center"/>
              <w:rPr>
                <w:rFonts w:ascii="Times New Roman" w:hAnsi="Times New Roman" w:eastAsia="仿宋"/>
                <w:color w:val="000000"/>
              </w:rPr>
            </w:pPr>
            <w:r>
              <w:rPr>
                <w:color w:val="000000"/>
              </w:rPr>
              <w:drawing>
                <wp:inline distT="0" distB="0" distL="114300" distR="114300">
                  <wp:extent cx="2870835" cy="188023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2870835" cy="1880235"/>
                          </a:xfrm>
                          <a:prstGeom prst="rect">
                            <a:avLst/>
                          </a:prstGeom>
                          <a:noFill/>
                          <a:ln>
                            <a:noFill/>
                          </a:ln>
                        </pic:spPr>
                      </pic:pic>
                    </a:graphicData>
                  </a:graphic>
                </wp:inline>
              </w:drawing>
            </w:r>
          </w:p>
        </w:tc>
        <w:tc>
          <w:tcPr>
            <w:tcW w:w="4655" w:type="dxa"/>
            <w:noWrap w:val="0"/>
            <w:vAlign w:val="top"/>
          </w:tcPr>
          <w:p w14:paraId="609D6067">
            <w:pPr>
              <w:rPr>
                <w:rFonts w:hint="eastAsia" w:ascii="Times New Roman" w:hAnsi="Times New Roman" w:eastAsia="仿宋"/>
                <w:color w:val="000000"/>
              </w:rPr>
            </w:pPr>
            <w:r>
              <w:rPr>
                <w:rFonts w:hint="eastAsia" w:ascii="Times New Roman" w:hAnsi="Times New Roman" w:eastAsia="仿宋"/>
                <w:color w:val="000000"/>
                <w:sz w:val="32"/>
              </w:rPr>
              <w:drawing>
                <wp:anchor distT="0" distB="0" distL="114300" distR="114300" simplePos="0" relativeHeight="251661312" behindDoc="0" locked="0" layoutInCell="1" allowOverlap="1">
                  <wp:simplePos x="0" y="0"/>
                  <wp:positionH relativeFrom="column">
                    <wp:posOffset>106680</wp:posOffset>
                  </wp:positionH>
                  <wp:positionV relativeFrom="paragraph">
                    <wp:posOffset>47625</wp:posOffset>
                  </wp:positionV>
                  <wp:extent cx="2828925" cy="1882140"/>
                  <wp:effectExtent l="0" t="0" r="5715" b="7620"/>
                  <wp:wrapNone/>
                  <wp:docPr id="6" name="图片 27" descr="琉盘村车盘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descr="琉盘村车盘坑"/>
                          <pic:cNvPicPr>
                            <a:picLocks noChangeAspect="1"/>
                          </pic:cNvPicPr>
                        </pic:nvPicPr>
                        <pic:blipFill>
                          <a:blip r:embed="rId7"/>
                          <a:stretch>
                            <a:fillRect/>
                          </a:stretch>
                        </pic:blipFill>
                        <pic:spPr>
                          <a:xfrm>
                            <a:off x="0" y="0"/>
                            <a:ext cx="2828925" cy="1882140"/>
                          </a:xfrm>
                          <a:prstGeom prst="rect">
                            <a:avLst/>
                          </a:prstGeom>
                          <a:noFill/>
                          <a:ln>
                            <a:noFill/>
                          </a:ln>
                        </pic:spPr>
                      </pic:pic>
                    </a:graphicData>
                  </a:graphic>
                </wp:anchor>
              </w:drawing>
            </w:r>
          </w:p>
        </w:tc>
      </w:tr>
      <w:tr w14:paraId="06F34746">
        <w:tblPrEx>
          <w:tblCellMar>
            <w:top w:w="0" w:type="dxa"/>
            <w:left w:w="108" w:type="dxa"/>
            <w:bottom w:w="0" w:type="dxa"/>
            <w:right w:w="108" w:type="dxa"/>
          </w:tblCellMar>
        </w:tblPrEx>
        <w:trPr>
          <w:trHeight w:val="650" w:hRule="atLeast"/>
          <w:jc w:val="center"/>
        </w:trPr>
        <w:tc>
          <w:tcPr>
            <w:tcW w:w="4737" w:type="dxa"/>
            <w:noWrap w:val="0"/>
            <w:vAlign w:val="top"/>
          </w:tcPr>
          <w:p w14:paraId="1799583D">
            <w:pPr>
              <w:spacing w:line="560" w:lineRule="exact"/>
              <w:jc w:val="center"/>
              <w:rPr>
                <w:rFonts w:ascii="Times New Roman" w:hAnsi="Times New Roman" w:eastAsia="仿宋" w:cs="仿宋"/>
                <w:bCs/>
                <w:color w:val="000000"/>
                <w:sz w:val="28"/>
                <w:szCs w:val="28"/>
              </w:rPr>
            </w:pPr>
            <w:r>
              <w:rPr>
                <w:rFonts w:hint="eastAsia" w:ascii="Times New Roman" w:hAnsi="Times New Roman" w:eastAsia="仿宋" w:cs="仿宋"/>
                <w:bCs/>
                <w:color w:val="000000"/>
                <w:sz w:val="28"/>
                <w:szCs w:val="28"/>
              </w:rPr>
              <w:t>坪田村</w:t>
            </w:r>
          </w:p>
        </w:tc>
        <w:tc>
          <w:tcPr>
            <w:tcW w:w="4655" w:type="dxa"/>
            <w:noWrap w:val="0"/>
            <w:vAlign w:val="top"/>
          </w:tcPr>
          <w:p w14:paraId="1B461960">
            <w:pPr>
              <w:spacing w:line="560" w:lineRule="exact"/>
              <w:jc w:val="center"/>
              <w:rPr>
                <w:rFonts w:ascii="Times New Roman" w:hAnsi="Times New Roman" w:eastAsia="仿宋" w:cs="仿宋"/>
                <w:bCs/>
                <w:color w:val="000000"/>
                <w:sz w:val="28"/>
                <w:szCs w:val="28"/>
              </w:rPr>
            </w:pPr>
            <w:r>
              <w:rPr>
                <w:rFonts w:hint="eastAsia" w:ascii="Times New Roman" w:hAnsi="Times New Roman" w:eastAsia="仿宋" w:cs="仿宋"/>
                <w:bCs/>
                <w:color w:val="000000"/>
                <w:sz w:val="28"/>
                <w:szCs w:val="28"/>
              </w:rPr>
              <w:t>琉盘村</w:t>
            </w:r>
          </w:p>
        </w:tc>
      </w:tr>
      <w:tr w14:paraId="1FB7D6B2">
        <w:tblPrEx>
          <w:tblCellMar>
            <w:top w:w="0" w:type="dxa"/>
            <w:left w:w="108" w:type="dxa"/>
            <w:bottom w:w="0" w:type="dxa"/>
            <w:right w:w="108" w:type="dxa"/>
          </w:tblCellMar>
        </w:tblPrEx>
        <w:trPr>
          <w:trHeight w:val="2856" w:hRule="atLeast"/>
          <w:jc w:val="center"/>
        </w:trPr>
        <w:tc>
          <w:tcPr>
            <w:tcW w:w="4737" w:type="dxa"/>
            <w:noWrap w:val="0"/>
            <w:vAlign w:val="top"/>
          </w:tcPr>
          <w:p w14:paraId="26843333">
            <w:pPr>
              <w:jc w:val="center"/>
              <w:rPr>
                <w:rFonts w:ascii="Times New Roman" w:hAnsi="Times New Roman" w:eastAsia="仿宋"/>
                <w:color w:val="000000"/>
                <w:sz w:val="32"/>
              </w:rPr>
            </w:pPr>
            <w:r>
              <w:rPr>
                <w:rFonts w:ascii="Times New Roman" w:hAnsi="Times New Roman" w:eastAsia="仿宋" w:cs="宋体"/>
                <w:color w:val="000000"/>
                <w:sz w:val="24"/>
              </w:rPr>
              <w:drawing>
                <wp:inline distT="0" distB="0" distL="114300" distR="114300">
                  <wp:extent cx="2868295" cy="1858645"/>
                  <wp:effectExtent l="0" t="0" r="12065" b="63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2868295" cy="1858645"/>
                          </a:xfrm>
                          <a:prstGeom prst="rect">
                            <a:avLst/>
                          </a:prstGeom>
                          <a:noFill/>
                          <a:ln>
                            <a:noFill/>
                          </a:ln>
                        </pic:spPr>
                      </pic:pic>
                    </a:graphicData>
                  </a:graphic>
                </wp:inline>
              </w:drawing>
            </w:r>
          </w:p>
        </w:tc>
        <w:tc>
          <w:tcPr>
            <w:tcW w:w="4655" w:type="dxa"/>
            <w:noWrap w:val="0"/>
            <w:vAlign w:val="top"/>
          </w:tcPr>
          <w:p w14:paraId="107B04E1">
            <w:pPr>
              <w:rPr>
                <w:rFonts w:hint="eastAsia" w:ascii="Times New Roman" w:hAnsi="Times New Roman" w:eastAsia="仿宋"/>
                <w:color w:val="000000"/>
                <w:sz w:val="32"/>
              </w:rPr>
            </w:pPr>
            <w:r>
              <w:rPr>
                <w:rFonts w:hint="eastAsia" w:ascii="Times New Roman" w:hAnsi="Times New Roman" w:eastAsia="仿宋"/>
                <w:color w:val="000000"/>
              </w:rPr>
              <w:drawing>
                <wp:inline distT="0" distB="0" distL="114300" distR="114300">
                  <wp:extent cx="2818765" cy="1873885"/>
                  <wp:effectExtent l="0" t="0" r="635" b="635"/>
                  <wp:docPr id="1" name="图片 3" descr="顺合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顺合村"/>
                          <pic:cNvPicPr>
                            <a:picLocks noChangeAspect="1"/>
                          </pic:cNvPicPr>
                        </pic:nvPicPr>
                        <pic:blipFill>
                          <a:blip r:embed="rId9"/>
                          <a:stretch>
                            <a:fillRect/>
                          </a:stretch>
                        </pic:blipFill>
                        <pic:spPr>
                          <a:xfrm>
                            <a:off x="0" y="0"/>
                            <a:ext cx="2818765" cy="1873885"/>
                          </a:xfrm>
                          <a:prstGeom prst="rect">
                            <a:avLst/>
                          </a:prstGeom>
                          <a:noFill/>
                          <a:ln>
                            <a:noFill/>
                          </a:ln>
                        </pic:spPr>
                      </pic:pic>
                    </a:graphicData>
                  </a:graphic>
                </wp:inline>
              </w:drawing>
            </w:r>
          </w:p>
        </w:tc>
      </w:tr>
      <w:tr w14:paraId="0B91584A">
        <w:tblPrEx>
          <w:tblCellMar>
            <w:top w:w="0" w:type="dxa"/>
            <w:left w:w="108" w:type="dxa"/>
            <w:bottom w:w="0" w:type="dxa"/>
            <w:right w:w="108" w:type="dxa"/>
          </w:tblCellMar>
        </w:tblPrEx>
        <w:trPr>
          <w:trHeight w:val="527" w:hRule="atLeast"/>
          <w:jc w:val="center"/>
        </w:trPr>
        <w:tc>
          <w:tcPr>
            <w:tcW w:w="4737" w:type="dxa"/>
            <w:noWrap w:val="0"/>
            <w:vAlign w:val="top"/>
          </w:tcPr>
          <w:p w14:paraId="3060CC6D">
            <w:pPr>
              <w:spacing w:line="560" w:lineRule="exact"/>
              <w:jc w:val="center"/>
              <w:rPr>
                <w:rFonts w:ascii="Times New Roman" w:hAnsi="Times New Roman" w:eastAsia="仿宋" w:cs="仿宋"/>
                <w:bCs/>
                <w:color w:val="000000"/>
                <w:sz w:val="28"/>
                <w:szCs w:val="28"/>
              </w:rPr>
            </w:pPr>
            <w:r>
              <w:rPr>
                <w:rFonts w:hint="eastAsia" w:ascii="Times New Roman" w:hAnsi="Times New Roman" w:eastAsia="仿宋" w:cs="仿宋"/>
                <w:color w:val="000000"/>
                <w:sz w:val="28"/>
                <w:szCs w:val="28"/>
              </w:rPr>
              <w:t>周铺垟</w:t>
            </w:r>
          </w:p>
        </w:tc>
        <w:tc>
          <w:tcPr>
            <w:tcW w:w="4655" w:type="dxa"/>
            <w:noWrap w:val="0"/>
            <w:vAlign w:val="top"/>
          </w:tcPr>
          <w:p w14:paraId="6E39927F">
            <w:pPr>
              <w:spacing w:line="560" w:lineRule="exact"/>
              <w:jc w:val="center"/>
              <w:rPr>
                <w:rFonts w:ascii="Times New Roman" w:hAnsi="Times New Roman" w:eastAsia="仿宋" w:cs="仿宋"/>
                <w:bCs/>
                <w:color w:val="000000"/>
                <w:sz w:val="28"/>
                <w:szCs w:val="28"/>
              </w:rPr>
            </w:pPr>
            <w:r>
              <w:rPr>
                <w:rFonts w:hint="eastAsia" w:ascii="Times New Roman" w:hAnsi="Times New Roman" w:eastAsia="仿宋" w:cs="仿宋"/>
                <w:bCs/>
                <w:color w:val="000000"/>
                <w:sz w:val="28"/>
                <w:szCs w:val="28"/>
              </w:rPr>
              <w:t>顺合村</w:t>
            </w:r>
          </w:p>
        </w:tc>
      </w:tr>
      <w:tr w14:paraId="47B32843">
        <w:tblPrEx>
          <w:tblCellMar>
            <w:top w:w="0" w:type="dxa"/>
            <w:left w:w="108" w:type="dxa"/>
            <w:bottom w:w="0" w:type="dxa"/>
            <w:right w:w="108" w:type="dxa"/>
          </w:tblCellMar>
        </w:tblPrEx>
        <w:trPr>
          <w:trHeight w:val="527" w:hRule="atLeast"/>
          <w:jc w:val="center"/>
        </w:trPr>
        <w:tc>
          <w:tcPr>
            <w:tcW w:w="9392" w:type="dxa"/>
            <w:gridSpan w:val="2"/>
            <w:noWrap w:val="0"/>
            <w:vAlign w:val="top"/>
          </w:tcPr>
          <w:p w14:paraId="172698C0">
            <w:pPr>
              <w:spacing w:line="560" w:lineRule="exact"/>
              <w:jc w:val="center"/>
              <w:rPr>
                <w:rFonts w:hint="eastAsia"/>
                <w:color w:val="000000"/>
              </w:rPr>
            </w:pPr>
            <w:r>
              <w:rPr>
                <w:rFonts w:hint="eastAsia" w:ascii="仿宋_GB2312" w:hAnsi="仿宋_GB2312" w:eastAsia="仿宋_GB2312" w:cs="仿宋_GB2312"/>
                <w:b/>
                <w:bCs/>
                <w:snapToGrid w:val="0"/>
                <w:color w:val="000000"/>
                <w:sz w:val="32"/>
                <w:szCs w:val="36"/>
                <w:lang w:bidi="ar"/>
              </w:rPr>
              <w:t>图2 屏南镇各村的绮丽景色</w:t>
            </w:r>
          </w:p>
        </w:tc>
      </w:tr>
    </w:tbl>
    <w:p w14:paraId="6C63887C">
      <w:pPr>
        <w:spacing w:line="580" w:lineRule="exact"/>
        <w:ind w:firstLine="640" w:firstLineChars="200"/>
        <w:rPr>
          <w:rFonts w:hint="eastAsia" w:ascii="楷体_GB2312" w:hAnsi="仿宋_GB2312" w:eastAsia="楷体_GB2312" w:cs="仿宋_GB2312"/>
          <w:color w:val="000000"/>
          <w:sz w:val="32"/>
          <w:szCs w:val="32"/>
        </w:rPr>
      </w:pPr>
    </w:p>
    <w:p w14:paraId="30DC391E">
      <w:pPr>
        <w:pageBreakBefore/>
        <w:widowControl/>
        <w:spacing w:line="580" w:lineRule="exact"/>
        <w:ind w:firstLine="640" w:firstLineChars="200"/>
        <w:jc w:val="left"/>
        <w:outlineLvl w:val="0"/>
        <w:rPr>
          <w:rFonts w:hint="eastAsia" w:ascii="黑体" w:hAnsi="宋体" w:eastAsia="黑体" w:cs="黑体"/>
          <w:b w:val="0"/>
          <w:bCs/>
          <w:snapToGrid w:val="0"/>
          <w:color w:val="000000"/>
          <w:sz w:val="32"/>
          <w:szCs w:val="32"/>
        </w:rPr>
      </w:pPr>
      <w:bookmarkStart w:id="4" w:name="_Toc126848546"/>
      <w:bookmarkStart w:id="5" w:name="_Toc10841"/>
      <w:r>
        <w:rPr>
          <w:rFonts w:hint="eastAsia" w:ascii="黑体" w:hAnsi="宋体" w:eastAsia="黑体" w:cs="黑体"/>
          <w:b w:val="0"/>
          <w:bCs/>
          <w:snapToGrid w:val="0"/>
          <w:color w:val="000000"/>
          <w:sz w:val="32"/>
          <w:szCs w:val="32"/>
          <w:lang w:bidi="ar"/>
        </w:rPr>
        <w:t>2</w:t>
      </w:r>
      <w:r>
        <w:rPr>
          <w:rFonts w:hint="eastAsia" w:ascii="黑体" w:hAnsi="宋体" w:eastAsia="黑体" w:cs="黑体"/>
          <w:b w:val="0"/>
          <w:bCs/>
          <w:color w:val="000000"/>
          <w:sz w:val="32"/>
          <w:szCs w:val="32"/>
          <w:lang w:bidi="ar"/>
        </w:rPr>
        <w:t xml:space="preserve">  </w:t>
      </w:r>
      <w:r>
        <w:rPr>
          <w:rFonts w:hint="eastAsia" w:ascii="黑体" w:hAnsi="宋体" w:eastAsia="黑体" w:cs="黑体"/>
          <w:b w:val="0"/>
          <w:bCs/>
          <w:snapToGrid w:val="0"/>
          <w:color w:val="000000"/>
          <w:sz w:val="32"/>
          <w:szCs w:val="32"/>
          <w:lang w:bidi="ar"/>
        </w:rPr>
        <w:t>试点任务工作基础</w:t>
      </w:r>
      <w:bookmarkEnd w:id="4"/>
      <w:bookmarkEnd w:id="5"/>
    </w:p>
    <w:p w14:paraId="61D892E6">
      <w:pPr>
        <w:numPr>
          <w:ilvl w:val="0"/>
          <w:numId w:val="0"/>
        </w:numPr>
        <w:tabs>
          <w:tab w:val="left" w:pos="630"/>
        </w:tabs>
        <w:spacing w:line="580" w:lineRule="exact"/>
        <w:ind w:left="1134" w:leftChars="0" w:hanging="504" w:firstLineChars="0"/>
        <w:outlineLvl w:val="1"/>
        <w:rPr>
          <w:rFonts w:hint="eastAsia" w:ascii="楷体_GB2312" w:hAnsi="楷体_GB2312" w:eastAsia="楷体_GB2312" w:cs="楷体_GB2312"/>
          <w:b/>
          <w:snapToGrid w:val="0"/>
          <w:color w:val="000000"/>
          <w:sz w:val="32"/>
          <w:szCs w:val="32"/>
        </w:rPr>
      </w:pPr>
      <w:bookmarkStart w:id="6" w:name="_Toc126848547"/>
      <w:bookmarkStart w:id="7" w:name="_Toc23879"/>
      <w:r>
        <w:rPr>
          <w:rFonts w:hint="eastAsia" w:ascii="楷体_GB2312" w:hAnsi="楷体_GB2312" w:eastAsia="楷体_GB2312" w:cs="楷体_GB2312"/>
          <w:b/>
          <w:snapToGrid w:val="0"/>
          <w:color w:val="000000"/>
          <w:kern w:val="2"/>
          <w:sz w:val="32"/>
          <w:szCs w:val="32"/>
          <w:lang w:val="en-US" w:eastAsia="zh-CN" w:bidi="ar-SA"/>
        </w:rPr>
        <w:t xml:space="preserve">2.1 </w:t>
      </w:r>
      <w:r>
        <w:rPr>
          <w:rFonts w:hint="eastAsia" w:ascii="楷体_GB2312" w:hAnsi="楷体_GB2312" w:eastAsia="楷体_GB2312" w:cs="楷体_GB2312"/>
          <w:b/>
          <w:snapToGrid w:val="0"/>
          <w:color w:val="000000"/>
          <w:sz w:val="32"/>
          <w:szCs w:val="32"/>
          <w:lang w:bidi="ar"/>
        </w:rPr>
        <w:t>林业工作基础</w:t>
      </w:r>
      <w:bookmarkEnd w:id="6"/>
      <w:bookmarkEnd w:id="7"/>
    </w:p>
    <w:p w14:paraId="23494F0E">
      <w:pPr>
        <w:numPr>
          <w:ilvl w:val="0"/>
          <w:numId w:val="0"/>
        </w:numPr>
        <w:spacing w:line="560" w:lineRule="exact"/>
        <w:ind w:left="1055" w:leftChars="0" w:hanging="425" w:firstLineChars="0"/>
        <w:rPr>
          <w:rFonts w:hint="eastAsia" w:ascii="仿宋_GB2312" w:hAnsi="仿宋_GB2312" w:eastAsia="仿宋_GB2312" w:cs="仿宋_GB2312"/>
          <w:b/>
          <w:snapToGrid w:val="0"/>
          <w:color w:val="000000"/>
          <w:sz w:val="32"/>
          <w:szCs w:val="32"/>
          <w:lang w:bidi="ar"/>
        </w:rPr>
      </w:pPr>
      <w:bookmarkStart w:id="8" w:name="_Toc126848548"/>
      <w:r>
        <w:rPr>
          <w:rFonts w:hint="eastAsia" w:ascii="仿宋_GB2312" w:hAnsi="仿宋_GB2312" w:eastAsia="仿宋_GB2312" w:cs="仿宋_GB2312"/>
          <w:b/>
          <w:snapToGrid w:val="0"/>
          <w:color w:val="000000"/>
          <w:kern w:val="2"/>
          <w:sz w:val="32"/>
          <w:szCs w:val="32"/>
          <w:lang w:val="en-US" w:eastAsia="zh-CN" w:bidi="ar"/>
        </w:rPr>
        <w:t xml:space="preserve">2.1.1  </w:t>
      </w:r>
      <w:r>
        <w:rPr>
          <w:rFonts w:hint="eastAsia" w:ascii="仿宋_GB2312" w:hAnsi="仿宋_GB2312" w:eastAsia="仿宋_GB2312" w:cs="仿宋_GB2312"/>
          <w:b/>
          <w:snapToGrid w:val="0"/>
          <w:color w:val="000000"/>
          <w:sz w:val="32"/>
          <w:szCs w:val="32"/>
          <w:lang w:bidi="ar"/>
        </w:rPr>
        <w:t>林改赋权活权，明晰产权赋能</w:t>
      </w:r>
    </w:p>
    <w:p w14:paraId="01E100B0">
      <w:pPr>
        <w:widowControl/>
        <w:spacing w:line="560" w:lineRule="exact"/>
        <w:ind w:firstLine="640" w:firstLineChars="200"/>
        <w:rPr>
          <w:rFonts w:hint="eastAsia" w:ascii="仿宋_GB2312" w:hAnsi="仿宋_GB2312" w:eastAsia="仿宋_GB2312" w:cs="仿宋_GB2312"/>
          <w:bCs/>
          <w:snapToGrid w:val="0"/>
          <w:color w:val="000000"/>
          <w:sz w:val="32"/>
          <w:szCs w:val="32"/>
          <w:lang w:bidi="ar"/>
        </w:rPr>
      </w:pPr>
      <w:r>
        <w:rPr>
          <w:rFonts w:hint="eastAsia" w:ascii="仿宋_GB2312" w:hAnsi="仿宋_GB2312" w:eastAsia="仿宋_GB2312" w:cs="仿宋_GB2312"/>
          <w:bCs/>
          <w:snapToGrid w:val="0"/>
          <w:color w:val="000000"/>
          <w:sz w:val="32"/>
          <w:szCs w:val="32"/>
          <w:lang w:bidi="ar"/>
        </w:rPr>
        <w:t>一是推行“三权分置”改革。在全国率先试行林地经营权流转证制度，赋予经营权林权抵押、林木采伐等权益证明功能，有效破解了林地流转难、林地经营权抵押贷款难问题，促进了林地规模化、集约化经营，成功入选国家级集体林业综合改革试验示范区。二是精准落界推动活权富农。在全国首创公益林数字化落界方法和技术标准，精准完成公益林落界，创新“益林证”确权，将收益权从物权中剥离出来，可作为公益林流转和涉林贷款的权益证明。三是地役权改革开创全国先河。在全国率先开展集体林地役权改革，加快打通“两山”转化通道，入选全国生态产品价值转化典型案例。四是创新林地流转平台，实现市场供需信息精准适配，为龙泉市成为全国试行最早、发证面积最大、抵押贷款最多的县市贡献了屏南力量。林业收入对农民人均可支配收入的贡献可观。</w:t>
      </w:r>
    </w:p>
    <w:tbl>
      <w:tblPr>
        <w:tblStyle w:val="7"/>
        <w:tblW w:w="0" w:type="auto"/>
        <w:tblInd w:w="103" w:type="dxa"/>
        <w:tblLayout w:type="autofit"/>
        <w:tblCellMar>
          <w:top w:w="0" w:type="dxa"/>
          <w:left w:w="108" w:type="dxa"/>
          <w:bottom w:w="0" w:type="dxa"/>
          <w:right w:w="108" w:type="dxa"/>
        </w:tblCellMar>
      </w:tblPr>
      <w:tblGrid>
        <w:gridCol w:w="4272"/>
        <w:gridCol w:w="4573"/>
      </w:tblGrid>
      <w:tr w14:paraId="66DB11DB">
        <w:tblPrEx>
          <w:tblCellMar>
            <w:top w:w="0" w:type="dxa"/>
            <w:left w:w="108" w:type="dxa"/>
            <w:bottom w:w="0" w:type="dxa"/>
            <w:right w:w="108" w:type="dxa"/>
          </w:tblCellMar>
        </w:tblPrEx>
        <w:trPr>
          <w:trHeight w:val="3245" w:hRule="atLeast"/>
        </w:trPr>
        <w:tc>
          <w:tcPr>
            <w:tcW w:w="4313" w:type="dxa"/>
            <w:noWrap w:val="0"/>
            <w:vAlign w:val="top"/>
          </w:tcPr>
          <w:p w14:paraId="28B26E79">
            <w:pPr>
              <w:jc w:val="center"/>
              <w:rPr>
                <w:rFonts w:ascii="Times New Roman" w:hAnsi="Times New Roman" w:eastAsia="仿宋"/>
                <w:color w:val="000000"/>
              </w:rPr>
            </w:pPr>
            <w:r>
              <w:rPr>
                <w:rFonts w:ascii="Times New Roman" w:hAnsi="Times New Roman" w:eastAsia="仿宋"/>
                <w:color w:val="000000"/>
              </w:rPr>
              <w:drawing>
                <wp:inline distT="0" distB="0" distL="114300" distR="114300">
                  <wp:extent cx="2652395" cy="1824990"/>
                  <wp:effectExtent l="0" t="0" r="14605" b="381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a:stretch>
                            <a:fillRect/>
                          </a:stretch>
                        </pic:blipFill>
                        <pic:spPr>
                          <a:xfrm>
                            <a:off x="0" y="0"/>
                            <a:ext cx="2652395" cy="1824990"/>
                          </a:xfrm>
                          <a:prstGeom prst="rect">
                            <a:avLst/>
                          </a:prstGeom>
                          <a:noFill/>
                          <a:ln>
                            <a:noFill/>
                          </a:ln>
                        </pic:spPr>
                      </pic:pic>
                    </a:graphicData>
                  </a:graphic>
                </wp:inline>
              </w:drawing>
            </w:r>
          </w:p>
        </w:tc>
        <w:tc>
          <w:tcPr>
            <w:tcW w:w="4728" w:type="dxa"/>
            <w:noWrap w:val="0"/>
            <w:vAlign w:val="top"/>
          </w:tcPr>
          <w:p w14:paraId="1FB57798">
            <w:pPr>
              <w:jc w:val="center"/>
              <w:rPr>
                <w:rFonts w:ascii="Times New Roman" w:hAnsi="Times New Roman" w:eastAsia="仿宋"/>
                <w:color w:val="000000"/>
              </w:rPr>
            </w:pPr>
            <w:r>
              <w:rPr>
                <w:rFonts w:ascii="Times New Roman" w:hAnsi="Times New Roman" w:eastAsia="仿宋"/>
                <w:color w:val="000000"/>
              </w:rPr>
              <w:drawing>
                <wp:inline distT="0" distB="0" distL="114300" distR="114300">
                  <wp:extent cx="2854325" cy="1903095"/>
                  <wp:effectExtent l="0" t="0" r="10795"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2854325" cy="1903095"/>
                          </a:xfrm>
                          <a:prstGeom prst="rect">
                            <a:avLst/>
                          </a:prstGeom>
                          <a:noFill/>
                          <a:ln>
                            <a:noFill/>
                          </a:ln>
                        </pic:spPr>
                      </pic:pic>
                    </a:graphicData>
                  </a:graphic>
                </wp:inline>
              </w:drawing>
            </w:r>
          </w:p>
        </w:tc>
      </w:tr>
      <w:tr w14:paraId="04E75030">
        <w:tblPrEx>
          <w:tblCellMar>
            <w:top w:w="0" w:type="dxa"/>
            <w:left w:w="108" w:type="dxa"/>
            <w:bottom w:w="0" w:type="dxa"/>
            <w:right w:w="108" w:type="dxa"/>
          </w:tblCellMar>
        </w:tblPrEx>
        <w:trPr>
          <w:trHeight w:val="710" w:hRule="atLeast"/>
        </w:trPr>
        <w:tc>
          <w:tcPr>
            <w:tcW w:w="9041" w:type="dxa"/>
            <w:gridSpan w:val="2"/>
            <w:noWrap w:val="0"/>
            <w:vAlign w:val="top"/>
          </w:tcPr>
          <w:p w14:paraId="292550E1">
            <w:pPr>
              <w:spacing w:after="435" w:afterLines="100" w:line="560" w:lineRule="exact"/>
              <w:jc w:val="center"/>
              <w:rPr>
                <w:rFonts w:hint="eastAsia"/>
                <w:color w:val="000000"/>
              </w:rPr>
            </w:pPr>
            <w:r>
              <w:rPr>
                <w:rFonts w:hint="eastAsia" w:ascii="仿宋_GB2312" w:hAnsi="仿宋_GB2312" w:eastAsia="仿宋_GB2312" w:cs="仿宋_GB2312"/>
                <w:b/>
                <w:bCs/>
                <w:snapToGrid w:val="0"/>
                <w:color w:val="000000"/>
                <w:sz w:val="32"/>
                <w:szCs w:val="36"/>
                <w:lang w:bidi="ar"/>
              </w:rPr>
              <w:t>图3 省委书记颁发全国首本地役权证</w:t>
            </w:r>
          </w:p>
        </w:tc>
      </w:tr>
    </w:tbl>
    <w:p w14:paraId="473A1AAC">
      <w:pPr>
        <w:numPr>
          <w:ilvl w:val="0"/>
          <w:numId w:val="0"/>
        </w:numPr>
        <w:spacing w:line="560" w:lineRule="exact"/>
        <w:ind w:left="1055" w:leftChars="0" w:hanging="425" w:firstLineChars="0"/>
        <w:rPr>
          <w:rFonts w:hint="eastAsia" w:ascii="仿宋_GB2312" w:hAnsi="仿宋_GB2312" w:eastAsia="仿宋_GB2312" w:cs="仿宋_GB2312"/>
          <w:b/>
          <w:snapToGrid w:val="0"/>
          <w:color w:val="000000"/>
          <w:sz w:val="32"/>
          <w:szCs w:val="32"/>
          <w:lang w:bidi="ar"/>
        </w:rPr>
      </w:pPr>
      <w:r>
        <w:rPr>
          <w:rFonts w:hint="eastAsia" w:ascii="仿宋_GB2312" w:hAnsi="仿宋_GB2312" w:eastAsia="仿宋_GB2312" w:cs="仿宋_GB2312"/>
          <w:b/>
          <w:snapToGrid w:val="0"/>
          <w:color w:val="000000"/>
          <w:kern w:val="2"/>
          <w:sz w:val="32"/>
          <w:szCs w:val="32"/>
          <w:lang w:val="en-US" w:eastAsia="zh-CN" w:bidi="ar"/>
        </w:rPr>
        <w:t xml:space="preserve">2.1.2  </w:t>
      </w:r>
      <w:r>
        <w:rPr>
          <w:rFonts w:hint="eastAsia" w:ascii="仿宋_GB2312" w:hAnsi="仿宋_GB2312" w:eastAsia="仿宋_GB2312" w:cs="仿宋_GB2312"/>
          <w:b/>
          <w:snapToGrid w:val="0"/>
          <w:color w:val="000000"/>
          <w:sz w:val="32"/>
          <w:szCs w:val="32"/>
          <w:lang w:bidi="ar"/>
        </w:rPr>
        <w:t>森林文化厚重，传统现代共生</w:t>
      </w:r>
    </w:p>
    <w:p w14:paraId="39D88283">
      <w:pPr>
        <w:widowControl/>
        <w:spacing w:line="560" w:lineRule="exact"/>
        <w:ind w:firstLine="640" w:firstLineChars="200"/>
        <w:rPr>
          <w:rFonts w:hint="eastAsia" w:ascii="仿宋_GB2312" w:hAnsi="仿宋_GB2312" w:eastAsia="仿宋_GB2312" w:cs="仿宋_GB2312"/>
          <w:bCs/>
          <w:snapToGrid w:val="0"/>
          <w:color w:val="000000"/>
          <w:sz w:val="32"/>
          <w:szCs w:val="32"/>
          <w:lang w:bidi="ar"/>
        </w:rPr>
      </w:pPr>
      <w:r>
        <w:rPr>
          <w:rFonts w:hint="eastAsia" w:ascii="仿宋_GB2312" w:hAnsi="仿宋_GB2312" w:eastAsia="仿宋_GB2312" w:cs="仿宋_GB2312"/>
          <w:bCs/>
          <w:snapToGrid w:val="0"/>
          <w:color w:val="000000"/>
          <w:sz w:val="32"/>
          <w:szCs w:val="32"/>
          <w:lang w:bidi="ar"/>
        </w:rPr>
        <w:t>一是农耕文化深厚。屏南古村落资源丰富，乡村在选址布局、农民信仰、乡农民风、建筑形态、自然环境等方面保留较为完善，有明显的浙南风格。山地地势，梯田耕种，保持着较多传统农耕种植方式。农耕文化基础较好，结合“耕读”“耕食”“耕作”等方式，具有很强的体验感和开发价值。二是越野文化兴盛。特殊的地理形成“千八线”，越野强度大、路程长、线路复杂，号称“华东第一虐”。成功举办多届“江南之巅·天空越野赛”，吸引了全国各地的超马跑者在屏南境内翻山越岭、溯溪攀岩，荣获2018年度“浙江省十佳商业体育赛事”。举办“屏南晚秋”越野拉力赛，赛段从屏南镇坪田村出发，登顶琉华山（海拔1559米，全程约18公里）。三是避暑康养文化流行。“浙最高”——最高海拔建制镇，最高海拔村周岱；“浙最绿”——省级农业绿色发展示范区、高山蔬菜种植示范区；“浙最凉”——常年温和湿润，年平均气温14℃—16℃，最高月平均气温不超过23℃；“浙最美”——屏南镇位于百山祖国家公园的中心地带，村庄布局错落有致，风格独特，是避暑度假、休闲康养的天然佳所。</w:t>
      </w:r>
    </w:p>
    <w:p w14:paraId="5B6EC098">
      <w:pPr>
        <w:numPr>
          <w:ilvl w:val="0"/>
          <w:numId w:val="0"/>
        </w:numPr>
        <w:spacing w:line="560" w:lineRule="exact"/>
        <w:ind w:left="1055" w:leftChars="0" w:hanging="425" w:firstLineChars="0"/>
        <w:rPr>
          <w:rFonts w:hint="eastAsia" w:ascii="仿宋_GB2312" w:hAnsi="仿宋_GB2312" w:eastAsia="仿宋_GB2312" w:cs="仿宋_GB2312"/>
          <w:b/>
          <w:snapToGrid w:val="0"/>
          <w:color w:val="000000"/>
          <w:sz w:val="32"/>
          <w:szCs w:val="32"/>
          <w:lang w:bidi="ar"/>
        </w:rPr>
      </w:pPr>
      <w:r>
        <w:rPr>
          <w:rFonts w:hint="eastAsia" w:ascii="仿宋_GB2312" w:hAnsi="仿宋_GB2312" w:eastAsia="仿宋_GB2312" w:cs="仿宋_GB2312"/>
          <w:b/>
          <w:snapToGrid w:val="0"/>
          <w:color w:val="000000"/>
          <w:kern w:val="2"/>
          <w:sz w:val="32"/>
          <w:szCs w:val="32"/>
          <w:lang w:val="en-US" w:eastAsia="zh-CN" w:bidi="ar"/>
        </w:rPr>
        <w:t xml:space="preserve">2.1.3  </w:t>
      </w:r>
      <w:r>
        <w:rPr>
          <w:rFonts w:hint="eastAsia" w:ascii="仿宋_GB2312" w:hAnsi="仿宋_GB2312" w:eastAsia="仿宋_GB2312" w:cs="仿宋_GB2312"/>
          <w:b/>
          <w:snapToGrid w:val="0"/>
          <w:color w:val="000000"/>
          <w:sz w:val="32"/>
          <w:szCs w:val="32"/>
          <w:lang w:bidi="ar"/>
        </w:rPr>
        <w:t>涉林产业勃发，富民效应卓著</w:t>
      </w:r>
    </w:p>
    <w:p w14:paraId="151F31FB">
      <w:pPr>
        <w:widowControl/>
        <w:spacing w:line="560" w:lineRule="exact"/>
        <w:ind w:firstLine="640" w:firstLineChars="200"/>
        <w:rPr>
          <w:rFonts w:hint="eastAsia" w:ascii="仿宋_GB2312" w:hAnsi="仿宋_GB2312" w:eastAsia="仿宋_GB2312" w:cs="仿宋_GB2312"/>
          <w:bCs/>
          <w:snapToGrid w:val="0"/>
          <w:color w:val="000000"/>
          <w:spacing w:val="-11"/>
          <w:sz w:val="32"/>
          <w:szCs w:val="32"/>
          <w:lang w:bidi="ar"/>
        </w:rPr>
      </w:pPr>
      <w:r>
        <w:rPr>
          <w:rFonts w:hint="eastAsia" w:ascii="仿宋_GB2312" w:hAnsi="仿宋_GB2312" w:eastAsia="仿宋_GB2312" w:cs="仿宋_GB2312"/>
          <w:bCs/>
          <w:snapToGrid w:val="0"/>
          <w:color w:val="000000"/>
          <w:sz w:val="32"/>
          <w:szCs w:val="32"/>
          <w:lang w:bidi="ar"/>
        </w:rPr>
        <w:t>一是特产丰富强基础。屏南镇海拔高，气候适宜，森林覆盖率高，有野生灵芝、黄精、红花油茶、上等香菇、黑木耳，有笋干、金栗子、山核桃、山柿子、蜂蜜等森林食品特产，成为产业富民的重要基础。二是环境优越强产业。高山深谷的真山真水真空气使屏南镇成为浙江省农业绿色发展示范区、高山蔬菜种植示范区，高山蔬菜绿色优质，远销省内外，深受上海、杭州和宁波等地客户的青睐。四季豆、甜玉米、南瓜、西瓜、土豆、萝卜、西红柿、小辣椒、绿皮茄等蔬果种植面积达4000</w:t>
      </w:r>
      <w:r>
        <w:rPr>
          <w:rFonts w:hint="eastAsia" w:ascii="仿宋_GB2312" w:hAnsi="仿宋_GB2312" w:eastAsia="仿宋_GB2312" w:cs="仿宋_GB2312"/>
          <w:bCs/>
          <w:snapToGrid w:val="0"/>
          <w:color w:val="000000"/>
          <w:spacing w:val="-11"/>
          <w:sz w:val="32"/>
          <w:szCs w:val="32"/>
          <w:lang w:bidi="ar"/>
        </w:rPr>
        <w:t>余亩，已成为屏南最具特色的主导产业，是农民收入的主要来源。</w:t>
      </w:r>
    </w:p>
    <w:p w14:paraId="7848FFBA">
      <w:pPr>
        <w:numPr>
          <w:ilvl w:val="0"/>
          <w:numId w:val="0"/>
        </w:numPr>
        <w:tabs>
          <w:tab w:val="left" w:pos="630"/>
        </w:tabs>
        <w:spacing w:line="580" w:lineRule="exact"/>
        <w:ind w:left="1134" w:leftChars="0" w:hanging="504" w:firstLineChars="0"/>
        <w:outlineLvl w:val="1"/>
        <w:rPr>
          <w:rFonts w:hint="eastAsia" w:ascii="楷体_GB2312" w:hAnsi="楷体_GB2312" w:eastAsia="楷体_GB2312" w:cs="楷体_GB2312"/>
          <w:b/>
          <w:snapToGrid w:val="0"/>
          <w:color w:val="000000"/>
          <w:sz w:val="32"/>
          <w:szCs w:val="32"/>
          <w:lang w:bidi="ar"/>
        </w:rPr>
      </w:pPr>
      <w:bookmarkStart w:id="9" w:name="_Toc21513"/>
      <w:r>
        <w:rPr>
          <w:rFonts w:hint="eastAsia" w:ascii="楷体_GB2312" w:hAnsi="楷体_GB2312" w:eastAsia="楷体_GB2312" w:cs="楷体_GB2312"/>
          <w:b/>
          <w:snapToGrid w:val="0"/>
          <w:color w:val="000000"/>
          <w:kern w:val="2"/>
          <w:sz w:val="32"/>
          <w:szCs w:val="32"/>
          <w:lang w:val="en-US" w:eastAsia="zh-CN" w:bidi="ar"/>
        </w:rPr>
        <w:t xml:space="preserve">2.2 </w:t>
      </w:r>
      <w:r>
        <w:rPr>
          <w:rFonts w:hint="eastAsia" w:ascii="楷体_GB2312" w:hAnsi="楷体_GB2312" w:eastAsia="楷体_GB2312" w:cs="楷体_GB2312"/>
          <w:b/>
          <w:snapToGrid w:val="0"/>
          <w:color w:val="000000"/>
          <w:sz w:val="32"/>
          <w:szCs w:val="32"/>
          <w:lang w:bidi="ar"/>
        </w:rPr>
        <w:t>试点任务建设优势</w:t>
      </w:r>
      <w:bookmarkEnd w:id="8"/>
      <w:bookmarkEnd w:id="9"/>
    </w:p>
    <w:p w14:paraId="0E6C3AF7">
      <w:pPr>
        <w:numPr>
          <w:ilvl w:val="0"/>
          <w:numId w:val="0"/>
        </w:numPr>
        <w:spacing w:line="560" w:lineRule="exact"/>
        <w:ind w:left="1055" w:leftChars="0" w:hanging="425" w:firstLineChars="0"/>
        <w:rPr>
          <w:rFonts w:hint="eastAsia" w:ascii="仿宋_GB2312" w:hAnsi="仿宋_GB2312" w:eastAsia="仿宋_GB2312" w:cs="仿宋_GB2312"/>
          <w:b/>
          <w:snapToGrid w:val="0"/>
          <w:color w:val="000000"/>
          <w:sz w:val="32"/>
          <w:szCs w:val="32"/>
          <w:lang w:bidi="ar"/>
        </w:rPr>
      </w:pPr>
      <w:r>
        <w:rPr>
          <w:rFonts w:hint="eastAsia" w:ascii="仿宋_GB2312" w:hAnsi="仿宋_GB2312" w:eastAsia="仿宋_GB2312" w:cs="仿宋_GB2312"/>
          <w:b/>
          <w:bCs/>
          <w:snapToGrid w:val="0"/>
          <w:color w:val="000000"/>
          <w:kern w:val="2"/>
          <w:sz w:val="32"/>
          <w:szCs w:val="32"/>
          <w:lang w:val="en-US" w:eastAsia="zh-CN" w:bidi="ar"/>
        </w:rPr>
        <w:t xml:space="preserve">2.2.1 </w:t>
      </w:r>
      <w:r>
        <w:rPr>
          <w:rFonts w:hint="eastAsia" w:ascii="仿宋_GB2312" w:hAnsi="仿宋_GB2312" w:eastAsia="仿宋_GB2312" w:cs="仿宋_GB2312"/>
          <w:b/>
          <w:snapToGrid w:val="0"/>
          <w:color w:val="000000"/>
          <w:sz w:val="32"/>
          <w:szCs w:val="32"/>
          <w:lang w:bidi="ar"/>
        </w:rPr>
        <w:t>政策优势</w:t>
      </w:r>
    </w:p>
    <w:p w14:paraId="0E3AA96A">
      <w:pPr>
        <w:widowControl/>
        <w:spacing w:line="560" w:lineRule="exact"/>
        <w:ind w:firstLine="640" w:firstLineChars="200"/>
        <w:rPr>
          <w:rFonts w:hint="eastAsia" w:ascii="仿宋_GB2312" w:hAnsi="仿宋_GB2312" w:eastAsia="仿宋_GB2312" w:cs="仿宋_GB2312"/>
          <w:bCs/>
          <w:snapToGrid w:val="0"/>
          <w:color w:val="000000"/>
          <w:sz w:val="32"/>
          <w:szCs w:val="32"/>
          <w:lang w:bidi="ar"/>
        </w:rPr>
      </w:pPr>
      <w:r>
        <w:rPr>
          <w:rFonts w:hint="eastAsia" w:ascii="仿宋_GB2312" w:hAnsi="仿宋_GB2312" w:eastAsia="仿宋_GB2312" w:cs="仿宋_GB2312"/>
          <w:bCs/>
          <w:snapToGrid w:val="0"/>
          <w:color w:val="000000"/>
          <w:sz w:val="32"/>
          <w:szCs w:val="32"/>
          <w:lang w:bidi="ar"/>
        </w:rPr>
        <w:t>根据国家林业和草原局《关于支持浙江共建林业践行绿水青山就是金山银山理念先行省、推动共同富裕示范区建设的若干措施》，落实省人民政府与国家林草局签署的推进人与自然和谐共生现代化先行示范战略合作协议，以及浙江省林业局《林业推进共同富裕示范区建设行动方案（2021—2025年）》，林业推进共同富裕试点任务建设主要围绕产业提效增收、资源提量增值、生态提质增汇、文化提韵增彩、管理提智增能五个方面展开。</w:t>
      </w:r>
    </w:p>
    <w:p w14:paraId="67AC1533">
      <w:pPr>
        <w:widowControl/>
        <w:spacing w:line="560" w:lineRule="exact"/>
        <w:ind w:firstLine="640" w:firstLineChars="200"/>
        <w:rPr>
          <w:rFonts w:hint="eastAsia" w:ascii="仿宋_GB2312" w:hAnsi="仿宋_GB2312" w:eastAsia="仿宋_GB2312" w:cs="仿宋_GB2312"/>
          <w:bCs/>
          <w:snapToGrid w:val="0"/>
          <w:color w:val="000000"/>
          <w:sz w:val="32"/>
          <w:szCs w:val="32"/>
          <w:lang w:bidi="ar"/>
        </w:rPr>
      </w:pPr>
      <w:r>
        <w:rPr>
          <w:rFonts w:hint="eastAsia" w:ascii="仿宋_GB2312" w:hAnsi="仿宋_GB2312" w:eastAsia="仿宋_GB2312" w:cs="仿宋_GB2312"/>
          <w:bCs/>
          <w:snapToGrid w:val="0"/>
          <w:color w:val="000000"/>
          <w:sz w:val="32"/>
          <w:szCs w:val="32"/>
          <w:lang w:bidi="ar"/>
        </w:rPr>
        <w:t>共同富裕的追求，不仅体现在高水平的繁荣上，更体现在高水平的均衡上。浙江省通过多年的积累和实践探索，已经成为全国区域发展均衡、城乡收入差距最小的省份之一。然而，作为全省26个加快发展县之一的龙泉市，与全国、全省的发展水平仍存在一定的差距。在2024年浙江省林业推进共同富裕试点任务名单中，龙泉市屏南镇林业共同富裕综合体成功入选。因此，建设共同富裕示范区项目，是龙泉市及屏南镇高质量发展建设共同富裕示范区的必然要求。</w:t>
      </w:r>
    </w:p>
    <w:p w14:paraId="6FA90777">
      <w:pPr>
        <w:numPr>
          <w:ilvl w:val="0"/>
          <w:numId w:val="0"/>
        </w:numPr>
        <w:spacing w:line="560" w:lineRule="exact"/>
        <w:ind w:left="1055" w:leftChars="0" w:hanging="425" w:firstLineChars="0"/>
        <w:rPr>
          <w:rFonts w:hint="eastAsia" w:ascii="仿宋_GB2312" w:hAnsi="仿宋_GB2312" w:eastAsia="仿宋_GB2312" w:cs="仿宋_GB2312"/>
          <w:b/>
          <w:snapToGrid w:val="0"/>
          <w:color w:val="000000"/>
          <w:sz w:val="32"/>
          <w:szCs w:val="32"/>
          <w:lang w:bidi="ar"/>
        </w:rPr>
      </w:pPr>
      <w:r>
        <w:rPr>
          <w:rFonts w:hint="eastAsia" w:ascii="仿宋_GB2312" w:hAnsi="仿宋_GB2312" w:eastAsia="仿宋_GB2312" w:cs="仿宋_GB2312"/>
          <w:b/>
          <w:bCs/>
          <w:snapToGrid w:val="0"/>
          <w:color w:val="000000"/>
          <w:kern w:val="2"/>
          <w:sz w:val="32"/>
          <w:szCs w:val="32"/>
          <w:lang w:val="en-US" w:eastAsia="zh-CN" w:bidi="ar"/>
        </w:rPr>
        <w:t xml:space="preserve">2.2.2 </w:t>
      </w:r>
      <w:r>
        <w:rPr>
          <w:rFonts w:hint="eastAsia" w:ascii="仿宋_GB2312" w:hAnsi="仿宋_GB2312" w:eastAsia="仿宋_GB2312" w:cs="仿宋_GB2312"/>
          <w:b/>
          <w:snapToGrid w:val="0"/>
          <w:color w:val="000000"/>
          <w:sz w:val="32"/>
          <w:szCs w:val="32"/>
          <w:lang w:bidi="ar"/>
        </w:rPr>
        <w:t>区位优势</w:t>
      </w:r>
    </w:p>
    <w:p w14:paraId="6DD054AF">
      <w:pPr>
        <w:spacing w:line="560" w:lineRule="exact"/>
        <w:ind w:firstLine="640" w:firstLineChars="200"/>
        <w:rPr>
          <w:rFonts w:hint="eastAsia" w:ascii="仿宋_GB2312" w:hAnsi="仿宋_GB2312" w:eastAsia="仿宋_GB2312" w:cs="仿宋_GB2312"/>
          <w:bCs/>
          <w:snapToGrid w:val="0"/>
          <w:color w:val="000000"/>
          <w:sz w:val="32"/>
          <w:szCs w:val="32"/>
          <w:lang w:bidi="ar"/>
        </w:rPr>
      </w:pPr>
      <w:r>
        <w:rPr>
          <w:rFonts w:hint="eastAsia" w:ascii="仿宋_GB2312" w:hAnsi="仿宋_GB2312" w:eastAsia="仿宋_GB2312" w:cs="仿宋_GB2312"/>
          <w:bCs/>
          <w:snapToGrid w:val="0"/>
          <w:color w:val="000000"/>
          <w:sz w:val="32"/>
          <w:szCs w:val="32"/>
          <w:lang w:bidi="ar"/>
        </w:rPr>
        <w:t>屏南镇位于龙泉市南端，东邻龙南乡，南与庆元县交界，西连小梅、查田两镇，北接兰巨乡，位于龙泉、庆元两市（县）交界处。屏南为浙江省海拔最高的建制镇，是浙江屋脊，拥有浙江省海拔最高村，也是浙江第二大江瓯江的发源地。新规划的查田至屏南三级公路，全长21公里，从长深高速出口到镇中心所在地坪田村、百山祖国家公园核心区域用时仅需30分钟，并与大窑龙泉窑国家考古遗址公园、金村海丝之路起点等，形成半小时的多场景康养度假游线。</w:t>
      </w:r>
    </w:p>
    <w:p w14:paraId="49150599">
      <w:pPr>
        <w:numPr>
          <w:ilvl w:val="0"/>
          <w:numId w:val="0"/>
        </w:numPr>
        <w:spacing w:line="560" w:lineRule="exact"/>
        <w:ind w:left="1055" w:leftChars="0" w:hanging="425" w:firstLineChars="0"/>
        <w:rPr>
          <w:rFonts w:hint="eastAsia" w:ascii="仿宋_GB2312" w:hAnsi="仿宋_GB2312" w:eastAsia="仿宋_GB2312" w:cs="仿宋_GB2312"/>
          <w:b/>
          <w:bCs/>
          <w:snapToGrid w:val="0"/>
          <w:color w:val="000000"/>
          <w:kern w:val="2"/>
          <w:sz w:val="32"/>
          <w:szCs w:val="32"/>
          <w:lang w:val="en-US" w:eastAsia="zh-CN" w:bidi="ar"/>
        </w:rPr>
      </w:pPr>
      <w:r>
        <w:rPr>
          <w:rFonts w:hint="default" w:ascii="仿宋_GB2312" w:hAnsi="仿宋_GB2312" w:eastAsia="仿宋_GB2312" w:cs="仿宋_GB2312"/>
          <w:b/>
          <w:bCs/>
          <w:snapToGrid w:val="0"/>
          <w:color w:val="000000"/>
          <w:kern w:val="2"/>
          <w:sz w:val="32"/>
          <w:szCs w:val="32"/>
          <w:lang w:val="en-US" w:eastAsia="zh-CN" w:bidi="ar"/>
        </w:rPr>
        <w:t xml:space="preserve">2.2.3 </w:t>
      </w:r>
      <w:r>
        <w:rPr>
          <w:rFonts w:hint="eastAsia" w:ascii="仿宋_GB2312" w:hAnsi="仿宋_GB2312" w:eastAsia="仿宋_GB2312" w:cs="仿宋_GB2312"/>
          <w:b/>
          <w:bCs/>
          <w:snapToGrid w:val="0"/>
          <w:color w:val="000000"/>
          <w:kern w:val="2"/>
          <w:sz w:val="32"/>
          <w:szCs w:val="32"/>
          <w:lang w:val="en-US" w:eastAsia="zh-CN" w:bidi="ar"/>
        </w:rPr>
        <w:t>生态优势</w:t>
      </w:r>
    </w:p>
    <w:p w14:paraId="0834C304">
      <w:pPr>
        <w:widowControl/>
        <w:spacing w:line="560" w:lineRule="exact"/>
        <w:ind w:firstLine="640" w:firstLineChars="200"/>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屏南镇坐拥钱江源-百山祖国家公园主IP，生态资源富饶，自然景观特色突出，区域内山、林、湖、河、田要素集聚，生态资源丰富多彩。平均海拔超800米，高海拔“暑凉”资源，年平均温度17~18℃，最高气温≤28℃，适合打造优质避暑康养疗愈地，实现自然气候等优越生态价值最优转化，每年已吸引不少外地游客前来避暑。</w:t>
      </w:r>
    </w:p>
    <w:p w14:paraId="3B7B5E35">
      <w:pPr>
        <w:widowControl/>
        <w:spacing w:line="560" w:lineRule="exact"/>
        <w:ind w:firstLine="640" w:firstLineChars="200"/>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屏南镇森林资源富饶，生态环境质量优，排名全国前10位，空气负氧离子浓度高达1000个/cm³，空气质量达到清新以上等级，气候宜人，对健康非常有利，适合开发生态康养项目。</w:t>
      </w:r>
    </w:p>
    <w:p w14:paraId="648F0AB9">
      <w:pPr>
        <w:widowControl/>
        <w:spacing w:line="560" w:lineRule="exact"/>
        <w:ind w:firstLine="640" w:firstLineChars="200"/>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屏南镇自然景观颇具特色，以山地风貌为主，集传统村落、峡谷、瀑布、峰林、绝壁、溪流等多种地貌景观于一体，兼具山水与梯田风貌，具有发展避暑康养的天然优势。</w:t>
      </w:r>
    </w:p>
    <w:p w14:paraId="187E247A">
      <w:pPr>
        <w:numPr>
          <w:ilvl w:val="0"/>
          <w:numId w:val="0"/>
        </w:numPr>
        <w:spacing w:line="560" w:lineRule="exact"/>
        <w:ind w:left="1055" w:leftChars="0" w:hanging="425" w:firstLineChars="0"/>
        <w:rPr>
          <w:rFonts w:hint="eastAsia" w:ascii="仿宋_GB2312" w:hAnsi="仿宋_GB2312" w:eastAsia="仿宋_GB2312" w:cs="仿宋_GB2312"/>
          <w:b/>
          <w:snapToGrid w:val="0"/>
          <w:color w:val="000000"/>
          <w:sz w:val="32"/>
          <w:szCs w:val="32"/>
          <w:lang w:bidi="ar"/>
        </w:rPr>
      </w:pPr>
      <w:r>
        <w:rPr>
          <w:rFonts w:hint="default" w:ascii="仿宋_GB2312" w:hAnsi="仿宋_GB2312" w:eastAsia="仿宋_GB2312" w:cs="仿宋_GB2312"/>
          <w:b/>
          <w:bCs/>
          <w:snapToGrid w:val="0"/>
          <w:color w:val="000000"/>
          <w:kern w:val="2"/>
          <w:sz w:val="32"/>
          <w:szCs w:val="32"/>
          <w:lang w:val="en-US" w:eastAsia="zh-CN" w:bidi="ar"/>
        </w:rPr>
        <w:t xml:space="preserve">2.2.4 </w:t>
      </w:r>
      <w:r>
        <w:rPr>
          <w:rFonts w:hint="eastAsia" w:ascii="仿宋_GB2312" w:hAnsi="仿宋_GB2312" w:eastAsia="仿宋_GB2312" w:cs="仿宋_GB2312"/>
          <w:b/>
          <w:bCs/>
          <w:snapToGrid w:val="0"/>
          <w:color w:val="000000"/>
          <w:kern w:val="2"/>
          <w:sz w:val="32"/>
          <w:szCs w:val="32"/>
          <w:lang w:val="en-US" w:eastAsia="zh-CN" w:bidi="ar"/>
        </w:rPr>
        <w:t>文化优势</w:t>
      </w:r>
    </w:p>
    <w:p w14:paraId="24890CFD">
      <w:pPr>
        <w:widowControl/>
        <w:spacing w:line="560" w:lineRule="exact"/>
        <w:ind w:firstLine="640" w:firstLineChars="200"/>
        <w:rPr>
          <w:rFonts w:hint="eastAsia" w:ascii="仿宋_GB2312" w:hAnsi="仿宋_GB2312" w:eastAsia="仿宋_GB2312" w:cs="仿宋_GB2312"/>
          <w:bCs/>
          <w:snapToGrid w:val="0"/>
          <w:color w:val="000000"/>
          <w:sz w:val="32"/>
          <w:szCs w:val="32"/>
          <w:lang w:bidi="ar"/>
        </w:rPr>
      </w:pPr>
      <w:r>
        <w:rPr>
          <w:rFonts w:hint="eastAsia" w:ascii="仿宋_GB2312" w:hAnsi="仿宋_GB2312" w:eastAsia="仿宋_GB2312" w:cs="仿宋_GB2312"/>
          <w:bCs/>
          <w:snapToGrid w:val="0"/>
          <w:color w:val="000000"/>
          <w:sz w:val="32"/>
          <w:szCs w:val="32"/>
          <w:lang w:bidi="ar"/>
        </w:rPr>
        <w:t>原乡生活文化。屏南镇拥有历史悠久的原生态村落，镇域内周岱、南溪、垟顺、竹蓬后等自然村距今已有五六百年历史，村子原始生态风貌保存较为完整，保留着底蕴深厚、独具特色的民俗文化，如“众火堂”“绑火炬”等民俗活动以及“红旗渠”精神文化等，游客能沉浸式体验浙南山区原乡生活氛围和艰苦创业精神，具有很强的体验感和开发价值。</w:t>
      </w:r>
    </w:p>
    <w:p w14:paraId="6C1A5C22">
      <w:pPr>
        <w:widowControl/>
        <w:spacing w:line="560" w:lineRule="exact"/>
        <w:ind w:firstLine="640" w:firstLineChars="200"/>
        <w:rPr>
          <w:rFonts w:hint="eastAsia" w:ascii="仿宋_GB2312" w:hAnsi="仿宋_GB2312" w:eastAsia="仿宋_GB2312" w:cs="仿宋_GB2312"/>
          <w:bCs/>
          <w:snapToGrid w:val="0"/>
          <w:color w:val="000000"/>
          <w:sz w:val="32"/>
          <w:szCs w:val="32"/>
          <w:lang w:bidi="ar"/>
        </w:rPr>
      </w:pPr>
      <w:r>
        <w:rPr>
          <w:rFonts w:hint="eastAsia" w:ascii="仿宋_GB2312" w:hAnsi="仿宋_GB2312" w:eastAsia="仿宋_GB2312" w:cs="仿宋_GB2312"/>
          <w:bCs/>
          <w:snapToGrid w:val="0"/>
          <w:color w:val="000000"/>
          <w:sz w:val="32"/>
          <w:szCs w:val="32"/>
          <w:lang w:bidi="ar"/>
        </w:rPr>
        <w:t>天空越野文化。屏南镇拥有目前亚洲难度系数最大的越野跑赛道，已连续多年举办的“江南之巅·天空越野赛”。这一赛事入选浙江省十大商业体育赛事和省级运动休闲旅游项目，吸引了国内外上千位专业越野赛跑者参与，也是世界最难百公里钻石赛事。此外还有“华东第一虐”千八线，已经成为享誉海内外的越野驴友黄金线路。</w:t>
      </w:r>
    </w:p>
    <w:p w14:paraId="2CDBE518">
      <w:pPr>
        <w:numPr>
          <w:ilvl w:val="0"/>
          <w:numId w:val="0"/>
        </w:numPr>
        <w:spacing w:line="560" w:lineRule="exact"/>
        <w:ind w:left="1055" w:leftChars="0" w:hanging="425" w:firstLineChars="0"/>
        <w:rPr>
          <w:rFonts w:hint="eastAsia" w:ascii="仿宋_GB2312" w:hAnsi="仿宋_GB2312" w:eastAsia="仿宋_GB2312" w:cs="仿宋_GB2312"/>
          <w:b/>
          <w:snapToGrid w:val="0"/>
          <w:color w:val="000000"/>
          <w:sz w:val="32"/>
          <w:szCs w:val="32"/>
          <w:lang w:bidi="ar"/>
        </w:rPr>
      </w:pPr>
      <w:r>
        <w:rPr>
          <w:rFonts w:hint="default" w:ascii="仿宋_GB2312" w:hAnsi="仿宋_GB2312" w:eastAsia="仿宋_GB2312" w:cs="仿宋_GB2312"/>
          <w:b/>
          <w:bCs/>
          <w:snapToGrid w:val="0"/>
          <w:color w:val="000000"/>
          <w:kern w:val="2"/>
          <w:sz w:val="32"/>
          <w:szCs w:val="32"/>
          <w:lang w:val="en-US" w:eastAsia="zh-CN" w:bidi="ar"/>
        </w:rPr>
        <w:t xml:space="preserve">2.2.5 </w:t>
      </w:r>
      <w:r>
        <w:rPr>
          <w:rFonts w:hint="eastAsia" w:ascii="仿宋_GB2312" w:hAnsi="仿宋_GB2312" w:eastAsia="仿宋_GB2312" w:cs="仿宋_GB2312"/>
          <w:b/>
          <w:bCs/>
          <w:snapToGrid w:val="0"/>
          <w:color w:val="000000"/>
          <w:kern w:val="2"/>
          <w:sz w:val="32"/>
          <w:szCs w:val="32"/>
          <w:lang w:val="en-US" w:eastAsia="zh-CN" w:bidi="ar"/>
        </w:rPr>
        <w:t>运营优势</w:t>
      </w:r>
    </w:p>
    <w:p w14:paraId="63AA09C3">
      <w:pPr>
        <w:widowControl/>
        <w:spacing w:line="560" w:lineRule="exact"/>
        <w:ind w:firstLine="640" w:firstLineChars="200"/>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屏南镇大量古村落老宅空置，为盘活资源，9个行政村合股成立了强村公司。2023年获得龙泉市一事一议财政奖补支持，打造共富乡村试点项目的5个行政村均已与市场主体签约确定合作关系，形成了“农户出租资产+村集体资产入股+市场主体投资并运营”的合作模式。项目建设的基地、营地、民宿等均根据市场主体对整村设计规划的需求进行落地，装饰装修后租赁给市场主体运营或作为资产入股，现有床位300余个。</w:t>
      </w:r>
    </w:p>
    <w:p w14:paraId="1BC54C16">
      <w:pPr>
        <w:numPr>
          <w:ilvl w:val="0"/>
          <w:numId w:val="0"/>
        </w:numPr>
        <w:tabs>
          <w:tab w:val="left" w:pos="630"/>
        </w:tabs>
        <w:spacing w:line="580" w:lineRule="exact"/>
        <w:ind w:left="1134" w:leftChars="0" w:hanging="504" w:firstLineChars="0"/>
        <w:outlineLvl w:val="1"/>
        <w:rPr>
          <w:rFonts w:hint="eastAsia" w:ascii="楷体_GB2312" w:hAnsi="楷体_GB2312" w:eastAsia="楷体_GB2312" w:cs="楷体_GB2312"/>
          <w:b/>
          <w:snapToGrid w:val="0"/>
          <w:color w:val="000000"/>
          <w:sz w:val="32"/>
          <w:szCs w:val="32"/>
          <w:lang w:bidi="ar"/>
        </w:rPr>
      </w:pPr>
      <w:bookmarkStart w:id="10" w:name="_Toc25616"/>
      <w:bookmarkStart w:id="11" w:name="_Toc126848549"/>
      <w:r>
        <w:rPr>
          <w:rFonts w:hint="eastAsia" w:ascii="楷体_GB2312" w:hAnsi="楷体_GB2312" w:eastAsia="楷体_GB2312" w:cs="楷体_GB2312"/>
          <w:b/>
          <w:snapToGrid w:val="0"/>
          <w:color w:val="000000"/>
          <w:kern w:val="2"/>
          <w:sz w:val="32"/>
          <w:szCs w:val="32"/>
          <w:lang w:val="en-US" w:eastAsia="zh-CN" w:bidi="ar"/>
        </w:rPr>
        <w:t xml:space="preserve">2.3 </w:t>
      </w:r>
      <w:r>
        <w:rPr>
          <w:rFonts w:hint="eastAsia" w:ascii="楷体_GB2312" w:hAnsi="楷体_GB2312" w:eastAsia="楷体_GB2312" w:cs="楷体_GB2312"/>
          <w:b/>
          <w:snapToGrid w:val="0"/>
          <w:color w:val="000000"/>
          <w:sz w:val="32"/>
          <w:szCs w:val="32"/>
          <w:lang w:bidi="ar"/>
        </w:rPr>
        <w:t>现阶段存在的不足</w:t>
      </w:r>
      <w:bookmarkEnd w:id="10"/>
      <w:bookmarkEnd w:id="11"/>
    </w:p>
    <w:p w14:paraId="79B48C9E">
      <w:pPr>
        <w:widowControl/>
        <w:spacing w:line="560" w:lineRule="exact"/>
        <w:ind w:firstLine="640" w:firstLineChars="200"/>
        <w:rPr>
          <w:rFonts w:hint="eastAsia" w:ascii="仿宋_GB2312" w:hAnsi="仿宋_GB2312" w:eastAsia="仿宋_GB2312" w:cs="仿宋_GB2312"/>
          <w:bCs/>
          <w:snapToGrid w:val="0"/>
          <w:color w:val="000000"/>
          <w:sz w:val="32"/>
          <w:szCs w:val="32"/>
          <w:lang w:bidi="ar"/>
        </w:rPr>
      </w:pPr>
      <w:r>
        <w:rPr>
          <w:rFonts w:hint="eastAsia" w:ascii="仿宋_GB2312" w:hAnsi="仿宋_GB2312" w:eastAsia="仿宋_GB2312" w:cs="仿宋_GB2312"/>
          <w:bCs/>
          <w:snapToGrid w:val="0"/>
          <w:color w:val="000000"/>
          <w:sz w:val="32"/>
          <w:szCs w:val="32"/>
          <w:lang w:bidi="ar"/>
        </w:rPr>
        <w:t>现阶段存在的不足主要有以下四方面：林下空间利用不充分、避暑产业支撑待强化、避暑康养核心区设施需完善、营销体系建设需加强。</w:t>
      </w:r>
    </w:p>
    <w:p w14:paraId="4DEF2EED">
      <w:pPr>
        <w:numPr>
          <w:ilvl w:val="0"/>
          <w:numId w:val="0"/>
        </w:numPr>
        <w:spacing w:line="560" w:lineRule="exact"/>
        <w:ind w:left="1055" w:leftChars="0" w:hanging="425" w:firstLineChars="0"/>
        <w:rPr>
          <w:rFonts w:hint="eastAsia" w:ascii="仿宋_GB2312" w:hAnsi="仿宋_GB2312" w:eastAsia="仿宋_GB2312" w:cs="仿宋_GB2312"/>
          <w:b/>
          <w:bCs/>
          <w:snapToGrid w:val="0"/>
          <w:color w:val="000000"/>
          <w:kern w:val="2"/>
          <w:sz w:val="32"/>
          <w:szCs w:val="32"/>
          <w:lang w:val="en-US" w:eastAsia="zh-CN" w:bidi="ar"/>
        </w:rPr>
      </w:pPr>
      <w:r>
        <w:rPr>
          <w:rFonts w:hint="default" w:ascii="仿宋_GB2312" w:hAnsi="仿宋_GB2312" w:eastAsia="仿宋_GB2312" w:cs="仿宋_GB2312"/>
          <w:b/>
          <w:bCs/>
          <w:snapToGrid w:val="0"/>
          <w:color w:val="000000"/>
          <w:kern w:val="2"/>
          <w:sz w:val="32"/>
          <w:szCs w:val="32"/>
          <w:lang w:val="en-US" w:eastAsia="zh-CN" w:bidi="ar"/>
        </w:rPr>
        <w:t xml:space="preserve">2.3.1 </w:t>
      </w:r>
      <w:r>
        <w:rPr>
          <w:rFonts w:hint="eastAsia" w:ascii="仿宋_GB2312" w:hAnsi="仿宋_GB2312" w:eastAsia="仿宋_GB2312" w:cs="仿宋_GB2312"/>
          <w:b/>
          <w:bCs/>
          <w:snapToGrid w:val="0"/>
          <w:color w:val="000000"/>
          <w:kern w:val="2"/>
          <w:sz w:val="32"/>
          <w:szCs w:val="32"/>
          <w:lang w:val="en-US" w:eastAsia="zh-CN" w:bidi="ar"/>
        </w:rPr>
        <w:t>林下空间利用不充分</w:t>
      </w:r>
    </w:p>
    <w:p w14:paraId="42DB1B3F">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屏南镇属高海拔乡镇，受地形条件限制，交通通达性较弱，随着“大搬快聚”政策的推进和就业外迁，有相当一部分农民从高山搬迁到离城市较近且交通便利的地方，多数年轻人外出打工，以至于大量林下空间利用不充分，但为优质森林食品产业的发展留下了充足的空间。</w:t>
      </w:r>
    </w:p>
    <w:p w14:paraId="1DE26318">
      <w:pPr>
        <w:keepNext w:val="0"/>
        <w:keepLines w:val="0"/>
        <w:pageBreakBefore w:val="0"/>
        <w:numPr>
          <w:ilvl w:val="0"/>
          <w:numId w:val="0"/>
        </w:numPr>
        <w:kinsoku/>
        <w:wordWrap/>
        <w:overflowPunct/>
        <w:topLinePunct w:val="0"/>
        <w:autoSpaceDE/>
        <w:autoSpaceDN/>
        <w:bidi w:val="0"/>
        <w:adjustRightInd/>
        <w:snapToGrid/>
        <w:spacing w:line="590" w:lineRule="exact"/>
        <w:ind w:left="1055" w:leftChars="0" w:hanging="425" w:firstLineChars="0"/>
        <w:textAlignment w:val="auto"/>
        <w:rPr>
          <w:rFonts w:hint="eastAsia" w:ascii="仿宋_GB2312" w:hAnsi="仿宋_GB2312" w:eastAsia="仿宋_GB2312" w:cs="仿宋_GB2312"/>
          <w:b/>
          <w:snapToGrid w:val="0"/>
          <w:color w:val="000000"/>
          <w:sz w:val="32"/>
          <w:szCs w:val="32"/>
          <w:lang w:bidi="ar"/>
        </w:rPr>
      </w:pPr>
      <w:r>
        <w:rPr>
          <w:rFonts w:hint="default" w:ascii="仿宋_GB2312" w:hAnsi="仿宋_GB2312" w:eastAsia="仿宋_GB2312" w:cs="仿宋_GB2312"/>
          <w:b/>
          <w:bCs/>
          <w:snapToGrid w:val="0"/>
          <w:color w:val="000000"/>
          <w:kern w:val="2"/>
          <w:sz w:val="32"/>
          <w:szCs w:val="32"/>
          <w:lang w:val="en-US" w:eastAsia="zh-CN" w:bidi="ar"/>
        </w:rPr>
        <w:t xml:space="preserve">2.3.2 </w:t>
      </w:r>
      <w:r>
        <w:rPr>
          <w:rFonts w:hint="eastAsia" w:ascii="仿宋_GB2312" w:hAnsi="仿宋_GB2312" w:eastAsia="仿宋_GB2312" w:cs="仿宋_GB2312"/>
          <w:b/>
          <w:bCs/>
          <w:snapToGrid w:val="0"/>
          <w:color w:val="000000"/>
          <w:kern w:val="2"/>
          <w:sz w:val="32"/>
          <w:szCs w:val="32"/>
          <w:lang w:val="en-US" w:eastAsia="zh-CN" w:bidi="ar"/>
        </w:rPr>
        <w:t>避暑康养支撑待强化</w:t>
      </w:r>
    </w:p>
    <w:p w14:paraId="03FBD787">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浙最凉”的资源条件和“史上最热夏天”的不断刷新，为屏南镇的避暑产业带来了前所未有的发展机遇。《屏南镇共富发展五年规划》等的制定与实施持续推进了屏南镇避暑产业的有序发展。与之匹配的民宿资源和公共交通及康养疗愈导览设施等支撑条件亟待强化。</w:t>
      </w:r>
    </w:p>
    <w:p w14:paraId="47BA795C">
      <w:pPr>
        <w:keepNext w:val="0"/>
        <w:keepLines w:val="0"/>
        <w:pageBreakBefore w:val="0"/>
        <w:numPr>
          <w:ilvl w:val="0"/>
          <w:numId w:val="0"/>
        </w:numPr>
        <w:kinsoku/>
        <w:wordWrap/>
        <w:overflowPunct/>
        <w:topLinePunct w:val="0"/>
        <w:autoSpaceDE/>
        <w:autoSpaceDN/>
        <w:bidi w:val="0"/>
        <w:adjustRightInd/>
        <w:snapToGrid/>
        <w:spacing w:line="590" w:lineRule="exact"/>
        <w:ind w:left="1055" w:leftChars="0" w:hanging="425" w:firstLineChars="0"/>
        <w:textAlignment w:val="auto"/>
        <w:rPr>
          <w:rFonts w:hint="eastAsia" w:ascii="仿宋_GB2312" w:hAnsi="仿宋_GB2312" w:eastAsia="仿宋_GB2312" w:cs="仿宋_GB2312"/>
          <w:b/>
          <w:bCs/>
          <w:snapToGrid w:val="0"/>
          <w:color w:val="000000"/>
          <w:kern w:val="2"/>
          <w:sz w:val="32"/>
          <w:szCs w:val="32"/>
          <w:lang w:val="en-US" w:eastAsia="zh-CN" w:bidi="ar"/>
        </w:rPr>
      </w:pPr>
      <w:r>
        <w:rPr>
          <w:rFonts w:hint="default" w:ascii="仿宋_GB2312" w:hAnsi="仿宋_GB2312" w:eastAsia="仿宋_GB2312" w:cs="仿宋_GB2312"/>
          <w:b/>
          <w:bCs/>
          <w:snapToGrid w:val="0"/>
          <w:color w:val="000000"/>
          <w:kern w:val="2"/>
          <w:sz w:val="32"/>
          <w:szCs w:val="32"/>
          <w:lang w:val="en-US" w:eastAsia="zh-CN" w:bidi="ar"/>
        </w:rPr>
        <w:t xml:space="preserve">2.3.3 </w:t>
      </w:r>
      <w:r>
        <w:rPr>
          <w:rFonts w:hint="eastAsia" w:ascii="仿宋_GB2312" w:hAnsi="仿宋_GB2312" w:eastAsia="仿宋_GB2312" w:cs="仿宋_GB2312"/>
          <w:b/>
          <w:bCs/>
          <w:snapToGrid w:val="0"/>
          <w:color w:val="000000"/>
          <w:kern w:val="2"/>
          <w:sz w:val="32"/>
          <w:szCs w:val="32"/>
          <w:lang w:val="en-US" w:eastAsia="zh-CN" w:bidi="ar"/>
        </w:rPr>
        <w:t>避暑康养核心区设施需完善</w:t>
      </w:r>
    </w:p>
    <w:p w14:paraId="7C49E3FF">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napToGrid w:val="0"/>
          <w:color w:val="000000"/>
          <w:sz w:val="32"/>
          <w:szCs w:val="32"/>
          <w:lang w:bidi="ar"/>
        </w:rPr>
      </w:pPr>
      <w:r>
        <w:rPr>
          <w:rFonts w:hint="eastAsia" w:ascii="仿宋_GB2312" w:hAnsi="仿宋_GB2312" w:eastAsia="仿宋_GB2312" w:cs="仿宋_GB2312"/>
          <w:bCs/>
          <w:snapToGrid w:val="0"/>
          <w:color w:val="000000"/>
          <w:sz w:val="32"/>
          <w:szCs w:val="32"/>
          <w:lang w:bidi="ar"/>
        </w:rPr>
        <w:t>屏南镇依托独特的自然条件成功开发了琉华山——桃枝砻核心景区，但林文体</w:t>
      </w:r>
      <w:r>
        <w:rPr>
          <w:rFonts w:hint="eastAsia" w:ascii="仿宋_GB2312" w:hAnsi="仿宋_GB2312" w:eastAsia="仿宋_GB2312" w:cs="仿宋_GB2312"/>
          <w:bCs/>
          <w:snapToGrid w:val="0"/>
          <w:color w:val="000000"/>
          <w:sz w:val="32"/>
          <w:szCs w:val="32"/>
          <w:lang w:eastAsia="zh-CN" w:bidi="ar"/>
        </w:rPr>
        <w:t>旅游</w:t>
      </w:r>
      <w:r>
        <w:rPr>
          <w:rFonts w:hint="eastAsia" w:ascii="仿宋_GB2312" w:hAnsi="仿宋_GB2312" w:eastAsia="仿宋_GB2312" w:cs="仿宋_GB2312"/>
          <w:bCs/>
          <w:snapToGrid w:val="0"/>
          <w:color w:val="000000"/>
          <w:sz w:val="32"/>
          <w:szCs w:val="32"/>
          <w:lang w:bidi="ar"/>
        </w:rPr>
        <w:t>的相互促进效应不显著，全域避暑康养产业亟待通过设施完善、环境整治和景观提升来发展。</w:t>
      </w:r>
    </w:p>
    <w:p w14:paraId="08E4FD99">
      <w:pPr>
        <w:keepNext w:val="0"/>
        <w:keepLines w:val="0"/>
        <w:pageBreakBefore w:val="0"/>
        <w:numPr>
          <w:ilvl w:val="0"/>
          <w:numId w:val="0"/>
        </w:numPr>
        <w:kinsoku/>
        <w:wordWrap/>
        <w:overflowPunct/>
        <w:topLinePunct w:val="0"/>
        <w:autoSpaceDE/>
        <w:autoSpaceDN/>
        <w:bidi w:val="0"/>
        <w:adjustRightInd/>
        <w:snapToGrid/>
        <w:spacing w:line="590" w:lineRule="exact"/>
        <w:ind w:left="1055" w:leftChars="0" w:hanging="425" w:firstLineChars="0"/>
        <w:textAlignment w:val="auto"/>
        <w:rPr>
          <w:rFonts w:hint="eastAsia" w:ascii="仿宋_GB2312" w:hAnsi="仿宋_GB2312" w:eastAsia="仿宋_GB2312" w:cs="仿宋_GB2312"/>
          <w:b/>
          <w:bCs/>
          <w:snapToGrid w:val="0"/>
          <w:color w:val="000000"/>
          <w:kern w:val="2"/>
          <w:sz w:val="32"/>
          <w:szCs w:val="32"/>
          <w:lang w:val="en-US" w:eastAsia="zh-CN" w:bidi="ar"/>
        </w:rPr>
      </w:pPr>
      <w:r>
        <w:rPr>
          <w:rFonts w:hint="default" w:ascii="仿宋_GB2312" w:hAnsi="仿宋_GB2312" w:eastAsia="仿宋_GB2312" w:cs="仿宋_GB2312"/>
          <w:b/>
          <w:bCs/>
          <w:snapToGrid w:val="0"/>
          <w:color w:val="000000"/>
          <w:kern w:val="2"/>
          <w:sz w:val="32"/>
          <w:szCs w:val="32"/>
          <w:lang w:val="en-US" w:eastAsia="zh-CN" w:bidi="ar"/>
        </w:rPr>
        <w:t xml:space="preserve">2.3.4 </w:t>
      </w:r>
      <w:r>
        <w:rPr>
          <w:rFonts w:hint="eastAsia" w:ascii="仿宋_GB2312" w:hAnsi="仿宋_GB2312" w:eastAsia="仿宋_GB2312" w:cs="仿宋_GB2312"/>
          <w:b/>
          <w:bCs/>
          <w:snapToGrid w:val="0"/>
          <w:color w:val="000000"/>
          <w:kern w:val="2"/>
          <w:sz w:val="32"/>
          <w:szCs w:val="32"/>
          <w:lang w:val="en-US" w:eastAsia="zh-CN" w:bidi="ar"/>
        </w:rPr>
        <w:t>营销体系建设需加强</w:t>
      </w:r>
    </w:p>
    <w:p w14:paraId="5AB7FBB4">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屏南镇常住人口以中老年群体为主，勤劳善良但文化程度偏低，现代技术手段应用能力较弱，导致现有营销体系相对传统，农林产品销售以中间商上门收购为主；文旅产品营销虽已实现口碑营销与线上营销相结合，但线上渠道有待拓宽、亚高山康养主题特色有待持续推广。</w:t>
      </w:r>
      <w:bookmarkStart w:id="12" w:name="_Toc126848550"/>
    </w:p>
    <w:p w14:paraId="47FE2032">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outlineLvl w:val="0"/>
        <w:rPr>
          <w:rFonts w:hint="eastAsia" w:ascii="黑体" w:hAnsi="黑体" w:eastAsia="黑体" w:cs="黑体"/>
          <w:b w:val="0"/>
          <w:bCs/>
          <w:snapToGrid w:val="0"/>
          <w:color w:val="000000"/>
          <w:sz w:val="32"/>
          <w:szCs w:val="32"/>
        </w:rPr>
      </w:pPr>
      <w:bookmarkStart w:id="13" w:name="_Toc11847"/>
      <w:r>
        <w:rPr>
          <w:rFonts w:hint="eastAsia" w:ascii="黑体" w:hAnsi="黑体" w:eastAsia="黑体" w:cs="黑体"/>
          <w:b w:val="0"/>
          <w:bCs/>
          <w:snapToGrid w:val="0"/>
          <w:color w:val="000000"/>
          <w:sz w:val="32"/>
          <w:szCs w:val="32"/>
          <w:lang w:bidi="ar"/>
        </w:rPr>
        <w:t>3</w:t>
      </w:r>
      <w:r>
        <w:rPr>
          <w:rFonts w:hint="eastAsia" w:ascii="黑体" w:hAnsi="黑体" w:eastAsia="黑体" w:cs="黑体"/>
          <w:b w:val="0"/>
          <w:bCs/>
          <w:color w:val="000000"/>
          <w:sz w:val="32"/>
          <w:szCs w:val="32"/>
          <w:lang w:bidi="ar"/>
        </w:rPr>
        <w:t xml:space="preserve">  </w:t>
      </w:r>
      <w:r>
        <w:rPr>
          <w:rFonts w:hint="eastAsia" w:ascii="黑体" w:hAnsi="黑体" w:eastAsia="黑体" w:cs="黑体"/>
          <w:b w:val="0"/>
          <w:bCs/>
          <w:snapToGrid w:val="0"/>
          <w:color w:val="000000"/>
          <w:sz w:val="32"/>
          <w:szCs w:val="32"/>
          <w:lang w:bidi="ar"/>
        </w:rPr>
        <w:t>建设目标</w:t>
      </w:r>
      <w:bookmarkEnd w:id="12"/>
      <w:bookmarkEnd w:id="13"/>
    </w:p>
    <w:p w14:paraId="351E78C1">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1054" w:leftChars="0" w:hanging="425" w:firstLineChars="0"/>
        <w:textAlignment w:val="auto"/>
        <w:outlineLvl w:val="1"/>
        <w:rPr>
          <w:rFonts w:hint="eastAsia" w:ascii="楷体_GB2312" w:hAnsi="楷体_GB2312" w:eastAsia="楷体_GB2312" w:cs="楷体_GB2312"/>
          <w:b/>
          <w:bCs/>
          <w:snapToGrid w:val="0"/>
          <w:color w:val="000000"/>
          <w:kern w:val="2"/>
          <w:sz w:val="32"/>
          <w:szCs w:val="32"/>
          <w:lang w:val="en-US" w:eastAsia="zh-CN" w:bidi="ar"/>
        </w:rPr>
      </w:pPr>
      <w:bookmarkStart w:id="14" w:name="_Toc6959"/>
      <w:r>
        <w:rPr>
          <w:rFonts w:hint="eastAsia" w:ascii="楷体_GB2312" w:hAnsi="楷体_GB2312" w:eastAsia="楷体_GB2312" w:cs="楷体_GB2312"/>
          <w:b/>
          <w:bCs/>
          <w:snapToGrid w:val="0"/>
          <w:color w:val="000000"/>
          <w:kern w:val="2"/>
          <w:sz w:val="32"/>
          <w:szCs w:val="32"/>
          <w:lang w:val="en-US" w:eastAsia="zh-CN" w:bidi="ar"/>
        </w:rPr>
        <w:t>3.1 总体目标</w:t>
      </w:r>
      <w:bookmarkEnd w:id="14"/>
    </w:p>
    <w:p w14:paraId="142BD192">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napToGrid w:val="0"/>
          <w:color w:val="000000"/>
          <w:sz w:val="32"/>
          <w:szCs w:val="32"/>
          <w:lang w:bidi="ar"/>
        </w:rPr>
      </w:pPr>
      <w:r>
        <w:rPr>
          <w:rFonts w:hint="eastAsia" w:ascii="仿宋_GB2312" w:hAnsi="仿宋_GB2312" w:eastAsia="仿宋_GB2312" w:cs="仿宋_GB2312"/>
          <w:bCs/>
          <w:snapToGrid w:val="0"/>
          <w:color w:val="000000"/>
          <w:spacing w:val="0"/>
          <w:sz w:val="32"/>
          <w:szCs w:val="32"/>
          <w:lang w:bidi="ar"/>
        </w:rPr>
        <w:t>依托屏南镇和钱江源-百山祖国家公园资源丰富的森林资源、优良的气候环境、扎实的产业基础和丰富的人文底蕴，通过高质量培育森林食品产业和深入挖掘越野文化、</w:t>
      </w:r>
      <w:r>
        <w:rPr>
          <w:rFonts w:hint="eastAsia" w:ascii="仿宋_GB2312" w:hAnsi="仿宋_GB2312" w:eastAsia="仿宋_GB2312" w:cs="仿宋_GB2312"/>
          <w:bCs/>
          <w:snapToGrid w:val="0"/>
          <w:color w:val="000000"/>
          <w:spacing w:val="0"/>
          <w:sz w:val="32"/>
          <w:szCs w:val="32"/>
          <w:lang w:eastAsia="zh-CN" w:bidi="ar"/>
        </w:rPr>
        <w:t>年俗</w:t>
      </w:r>
      <w:r>
        <w:rPr>
          <w:rFonts w:hint="eastAsia" w:ascii="仿宋_GB2312" w:hAnsi="仿宋_GB2312" w:eastAsia="仿宋_GB2312" w:cs="仿宋_GB2312"/>
          <w:bCs/>
          <w:snapToGrid w:val="0"/>
          <w:color w:val="000000"/>
          <w:spacing w:val="0"/>
          <w:sz w:val="32"/>
          <w:szCs w:val="32"/>
          <w:lang w:bidi="ar"/>
        </w:rPr>
        <w:t>文化、红旗渠文化等核心资源，打造集避暑康养、高山运动和原乡生活于一体的林文体旅融合共富发展示范强镇。</w:t>
      </w:r>
    </w:p>
    <w:p w14:paraId="1708C87A">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1054" w:leftChars="0" w:hanging="425" w:firstLineChars="0"/>
        <w:textAlignment w:val="auto"/>
        <w:outlineLvl w:val="1"/>
        <w:rPr>
          <w:rFonts w:hint="eastAsia" w:ascii="楷体_GB2312" w:hAnsi="楷体_GB2312" w:eastAsia="楷体_GB2312" w:cs="楷体_GB2312"/>
          <w:b/>
          <w:bCs/>
          <w:snapToGrid w:val="0"/>
          <w:color w:val="000000"/>
          <w:kern w:val="2"/>
          <w:sz w:val="32"/>
          <w:szCs w:val="32"/>
          <w:lang w:val="en-US" w:eastAsia="zh-CN" w:bidi="ar"/>
        </w:rPr>
      </w:pPr>
      <w:bookmarkStart w:id="15" w:name="_Toc641"/>
      <w:r>
        <w:rPr>
          <w:rFonts w:hint="eastAsia" w:ascii="楷体_GB2312" w:hAnsi="楷体_GB2312" w:eastAsia="楷体_GB2312" w:cs="楷体_GB2312"/>
          <w:b/>
          <w:bCs/>
          <w:snapToGrid w:val="0"/>
          <w:color w:val="000000"/>
          <w:kern w:val="2"/>
          <w:sz w:val="32"/>
          <w:szCs w:val="32"/>
          <w:lang w:val="en-US" w:eastAsia="zh-CN" w:bidi="ar"/>
        </w:rPr>
        <w:t>3.2 分项目标</w:t>
      </w:r>
      <w:bookmarkEnd w:id="15"/>
    </w:p>
    <w:p w14:paraId="7B4430C3">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深化林改塑造森林食品共富产业带。坚持以民为本，深化林改让闲置森林资源“活”起来，促进仿野生铁皮石斛、黄精、仿野生灵芝等中药材产业、香菇等森林食品产业、高山红花油茶产业等发展，破解高山远山乡村“空心化”带来的林下空间利用不充分和留守群体增收难问题。</w:t>
      </w:r>
    </w:p>
    <w:p w14:paraId="34D0E2EE">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强基铸魂打造避暑康养民宿产业链。充分挖掘乡村闲置农房资源，持续改善越野疗愈步道、智慧化登山指引系统、瞭望台、自然疗愈平台等设施，强化规划与管理，集中打造避暑康养、民俗体验、越野露营民宿产业链。</w:t>
      </w:r>
    </w:p>
    <w:p w14:paraId="30611F77">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聚焦优势营造林文体旅联动IP。挖掘文化资源特质，聚焦“江南之巅，越野天堂”优势，营造“听得见的媒体传播”“看得见的场景体验”“带得走的森林食品”“走得远的品牌授权”林文体旅联动IP，线上线下O2O营销体系初具，实现多方优势互补、资源共享、产业共创的美好目标。</w:t>
      </w:r>
    </w:p>
    <w:p w14:paraId="674B2E2C">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精准发力实现兴林强村富民。通过适地适树发展大食物产业，拓宽资源培育、村庄经营、农民增收渠道。积极营建林下仿野生中药材（森林食品）基地计1199亩（仿野生黄精种植面积1026亩；仿野生铁皮石斛种植面积143亩；林下仿野生森林食品种植面积469亩）。</w:t>
      </w:r>
      <w:r>
        <w:rPr>
          <w:rFonts w:hint="eastAsia" w:ascii="仿宋_GB2312" w:hAnsi="仿宋_GB2312" w:eastAsia="仿宋_GB2312" w:cs="仿宋_GB2312"/>
          <w:bCs/>
          <w:snapToGrid w:val="0"/>
          <w:color w:val="000000"/>
          <w:spacing w:val="0"/>
          <w:sz w:val="32"/>
          <w:szCs w:val="32"/>
          <w:lang w:eastAsia="zh-CN" w:bidi="ar"/>
        </w:rPr>
        <w:t>改造</w:t>
      </w:r>
      <w:r>
        <w:rPr>
          <w:rFonts w:hint="eastAsia" w:ascii="仿宋_GB2312" w:hAnsi="仿宋_GB2312" w:eastAsia="仿宋_GB2312" w:cs="仿宋_GB2312"/>
          <w:bCs/>
          <w:snapToGrid w:val="0"/>
          <w:color w:val="000000"/>
          <w:spacing w:val="0"/>
          <w:sz w:val="32"/>
          <w:szCs w:val="32"/>
          <w:lang w:bidi="ar"/>
        </w:rPr>
        <w:t>红花油茶基地500亩，打造彩色健康森林总面积达288亩（其中杜鹃花种植面积116亩，猕猴桃种植面积22亩）。避暑康养产业年经营性收入达到1000万元以上，带动项目</w:t>
      </w:r>
      <w:r>
        <w:rPr>
          <w:rFonts w:hint="eastAsia" w:ascii="仿宋_GB2312" w:hAnsi="仿宋_GB2312" w:eastAsia="仿宋_GB2312" w:cs="仿宋_GB2312"/>
          <w:bCs/>
          <w:snapToGrid w:val="0"/>
          <w:color w:val="000000"/>
          <w:spacing w:val="0"/>
          <w:sz w:val="32"/>
          <w:szCs w:val="32"/>
          <w:lang w:eastAsia="zh-CN" w:bidi="ar"/>
        </w:rPr>
        <w:t>所在</w:t>
      </w:r>
      <w:r>
        <w:rPr>
          <w:rFonts w:hint="eastAsia" w:ascii="仿宋_GB2312" w:hAnsi="仿宋_GB2312" w:eastAsia="仿宋_GB2312" w:cs="仿宋_GB2312"/>
          <w:bCs/>
          <w:snapToGrid w:val="0"/>
          <w:color w:val="000000"/>
          <w:spacing w:val="0"/>
          <w:sz w:val="32"/>
          <w:szCs w:val="32"/>
          <w:lang w:bidi="ar"/>
        </w:rPr>
        <w:t>村年集体经营性收入均实现50万元以上；新增就业岗位100个以上；农民人均可支配收入增长12%。</w:t>
      </w:r>
      <w:bookmarkStart w:id="16" w:name="_Toc126848551"/>
    </w:p>
    <w:p w14:paraId="07BA06ED">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outlineLvl w:val="0"/>
        <w:rPr>
          <w:rFonts w:hint="eastAsia" w:ascii="黑体" w:hAnsi="宋体" w:eastAsia="黑体" w:cs="黑体"/>
          <w:b w:val="0"/>
          <w:bCs/>
          <w:snapToGrid w:val="0"/>
          <w:color w:val="000000"/>
          <w:sz w:val="32"/>
          <w:szCs w:val="32"/>
        </w:rPr>
      </w:pPr>
      <w:bookmarkStart w:id="17" w:name="_Toc20570"/>
      <w:r>
        <w:rPr>
          <w:rFonts w:hint="eastAsia" w:ascii="黑体" w:hAnsi="宋体" w:eastAsia="黑体" w:cs="黑体"/>
          <w:b w:val="0"/>
          <w:bCs/>
          <w:snapToGrid w:val="0"/>
          <w:color w:val="000000"/>
          <w:sz w:val="32"/>
          <w:szCs w:val="32"/>
          <w:lang w:bidi="ar"/>
        </w:rPr>
        <w:t>4</w:t>
      </w:r>
      <w:r>
        <w:rPr>
          <w:rFonts w:hint="eastAsia" w:ascii="黑体" w:hAnsi="宋体" w:eastAsia="黑体" w:cs="黑体"/>
          <w:b w:val="0"/>
          <w:bCs/>
          <w:color w:val="000000"/>
          <w:sz w:val="32"/>
          <w:szCs w:val="32"/>
          <w:lang w:bidi="ar"/>
        </w:rPr>
        <w:t xml:space="preserve">  </w:t>
      </w:r>
      <w:r>
        <w:rPr>
          <w:rFonts w:hint="eastAsia" w:ascii="黑体" w:hAnsi="宋体" w:eastAsia="黑体" w:cs="黑体"/>
          <w:b w:val="0"/>
          <w:bCs/>
          <w:snapToGrid w:val="0"/>
          <w:color w:val="000000"/>
          <w:sz w:val="32"/>
          <w:szCs w:val="32"/>
          <w:lang w:bidi="ar"/>
        </w:rPr>
        <w:t>建设任务</w:t>
      </w:r>
      <w:bookmarkEnd w:id="16"/>
      <w:bookmarkEnd w:id="17"/>
    </w:p>
    <w:p w14:paraId="05B0179E">
      <w:pPr>
        <w:keepNext w:val="0"/>
        <w:keepLines w:val="0"/>
        <w:pageBreakBefore w:val="0"/>
        <w:numPr>
          <w:ilvl w:val="0"/>
          <w:numId w:val="0"/>
        </w:numPr>
        <w:tabs>
          <w:tab w:val="left" w:pos="630"/>
        </w:tabs>
        <w:kinsoku/>
        <w:wordWrap/>
        <w:overflowPunct/>
        <w:topLinePunct w:val="0"/>
        <w:autoSpaceDE/>
        <w:autoSpaceDN/>
        <w:bidi w:val="0"/>
        <w:adjustRightInd/>
        <w:snapToGrid/>
        <w:spacing w:line="590" w:lineRule="exact"/>
        <w:ind w:left="1134" w:leftChars="0" w:hanging="504" w:firstLineChars="0"/>
        <w:textAlignment w:val="auto"/>
        <w:outlineLvl w:val="1"/>
        <w:rPr>
          <w:rFonts w:hint="eastAsia" w:ascii="楷体_GB2312" w:hAnsi="楷体_GB2312" w:eastAsia="楷体_GB2312" w:cs="楷体_GB2312"/>
          <w:b/>
          <w:snapToGrid w:val="0"/>
          <w:color w:val="000000"/>
          <w:sz w:val="32"/>
          <w:szCs w:val="32"/>
          <w:lang w:bidi="ar"/>
        </w:rPr>
      </w:pPr>
      <w:bookmarkStart w:id="18" w:name="_Toc29071"/>
      <w:r>
        <w:rPr>
          <w:rFonts w:hint="eastAsia" w:ascii="楷体_GB2312" w:hAnsi="楷体_GB2312" w:eastAsia="楷体_GB2312" w:cs="楷体_GB2312"/>
          <w:b/>
          <w:bCs/>
          <w:snapToGrid w:val="0"/>
          <w:color w:val="000000"/>
          <w:kern w:val="2"/>
          <w:sz w:val="32"/>
          <w:szCs w:val="32"/>
          <w:lang w:val="en-US" w:eastAsia="zh-CN" w:bidi="ar"/>
        </w:rPr>
        <w:t xml:space="preserve">4.1 </w:t>
      </w:r>
      <w:r>
        <w:rPr>
          <w:rFonts w:hint="eastAsia" w:ascii="楷体_GB2312" w:hAnsi="楷体_GB2312" w:eastAsia="楷体_GB2312" w:cs="楷体_GB2312"/>
          <w:b/>
          <w:snapToGrid w:val="0"/>
          <w:color w:val="000000"/>
          <w:sz w:val="32"/>
          <w:szCs w:val="32"/>
          <w:lang w:bidi="ar"/>
        </w:rPr>
        <w:t>森林食品共富产业带建设</w:t>
      </w:r>
      <w:bookmarkEnd w:id="18"/>
    </w:p>
    <w:p w14:paraId="198A623F">
      <w:pPr>
        <w:keepNext w:val="0"/>
        <w:keepLines w:val="0"/>
        <w:pageBreakBefore w:val="0"/>
        <w:numPr>
          <w:ilvl w:val="0"/>
          <w:numId w:val="0"/>
        </w:numPr>
        <w:kinsoku/>
        <w:wordWrap/>
        <w:overflowPunct/>
        <w:topLinePunct w:val="0"/>
        <w:autoSpaceDE/>
        <w:autoSpaceDN/>
        <w:bidi w:val="0"/>
        <w:adjustRightInd/>
        <w:snapToGrid/>
        <w:spacing w:line="590" w:lineRule="exact"/>
        <w:ind w:left="1055" w:leftChars="0" w:hanging="425" w:firstLineChars="0"/>
        <w:textAlignment w:val="auto"/>
        <w:rPr>
          <w:rFonts w:hint="eastAsia" w:ascii="仿宋_GB2312" w:hAnsi="仿宋_GB2312" w:eastAsia="仿宋_GB2312" w:cs="仿宋_GB2312"/>
          <w:b/>
          <w:bCs/>
          <w:snapToGrid w:val="0"/>
          <w:color w:val="000000"/>
          <w:kern w:val="2"/>
          <w:sz w:val="32"/>
          <w:szCs w:val="32"/>
          <w:lang w:val="en-US" w:eastAsia="zh-CN" w:bidi="ar"/>
        </w:rPr>
      </w:pPr>
      <w:r>
        <w:rPr>
          <w:rFonts w:hint="default" w:ascii="仿宋_GB2312" w:hAnsi="仿宋_GB2312" w:eastAsia="仿宋_GB2312" w:cs="仿宋_GB2312"/>
          <w:b/>
          <w:bCs/>
          <w:snapToGrid w:val="0"/>
          <w:color w:val="000000"/>
          <w:kern w:val="2"/>
          <w:sz w:val="32"/>
          <w:szCs w:val="32"/>
          <w:lang w:val="en-US" w:eastAsia="zh-CN" w:bidi="ar"/>
        </w:rPr>
        <w:t xml:space="preserve">4.1.1 </w:t>
      </w:r>
      <w:r>
        <w:rPr>
          <w:rFonts w:hint="eastAsia" w:ascii="仿宋_GB2312" w:hAnsi="仿宋_GB2312" w:eastAsia="仿宋_GB2312" w:cs="仿宋_GB2312"/>
          <w:b/>
          <w:bCs/>
          <w:snapToGrid w:val="0"/>
          <w:color w:val="000000"/>
          <w:kern w:val="2"/>
          <w:sz w:val="32"/>
          <w:szCs w:val="32"/>
          <w:lang w:val="en-US" w:eastAsia="zh-CN" w:bidi="ar"/>
        </w:rPr>
        <w:t>建设现状</w:t>
      </w:r>
    </w:p>
    <w:p w14:paraId="7FBE9C70">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屏南镇地处龙泉市南部，森林覆盖率高达85%以上，气候宜人、土壤肥沃，为林下中药材如三叶青、黄精等提供了得天独厚的生长条件。屏南镇依托丰富的天然林资源，成功构建了可持续发展的“林药共生”模式。至2024年，全镇林下中药材种植面积突破1.5万亩，引领周边村镇形成规模化种植区域。以“丽九味”区域品牌为引领，结合市场需求，积极拓展高附加值品种。部分基地亩均产值可达1.5-3万元，有效带动农户年均收入增长超过20%。屏南镇受限于地形条件，交通通达性相对较弱，</w:t>
      </w:r>
      <w:r>
        <w:rPr>
          <w:rFonts w:hint="eastAsia" w:ascii="仿宋_GB2312" w:hAnsi="仿宋_GB2312" w:eastAsia="仿宋_GB2312" w:cs="仿宋_GB2312"/>
          <w:bCs/>
          <w:snapToGrid w:val="0"/>
          <w:color w:val="000000"/>
          <w:spacing w:val="0"/>
          <w:sz w:val="32"/>
          <w:szCs w:val="32"/>
          <w:lang w:eastAsia="zh-CN" w:bidi="ar"/>
        </w:rPr>
        <w:t>且</w:t>
      </w:r>
      <w:r>
        <w:rPr>
          <w:rFonts w:hint="eastAsia" w:ascii="仿宋_GB2312" w:hAnsi="仿宋_GB2312" w:eastAsia="仿宋_GB2312" w:cs="仿宋_GB2312"/>
          <w:bCs/>
          <w:snapToGrid w:val="0"/>
          <w:color w:val="000000"/>
          <w:spacing w:val="0"/>
          <w:sz w:val="32"/>
          <w:szCs w:val="32"/>
          <w:lang w:bidi="ar"/>
        </w:rPr>
        <w:t>随着政策推动和就业外迁，人员流失现象较为严重，导致大量林下空间未得到充分利用。</w:t>
      </w:r>
      <w:r>
        <w:rPr>
          <w:rFonts w:hint="eastAsia" w:ascii="仿宋_GB2312" w:hAnsi="仿宋_GB2312" w:eastAsia="仿宋_GB2312" w:cs="仿宋_GB2312"/>
          <w:bCs/>
          <w:snapToGrid w:val="0"/>
          <w:color w:val="000000"/>
          <w:spacing w:val="0"/>
          <w:sz w:val="32"/>
          <w:szCs w:val="32"/>
          <w:lang w:eastAsia="zh-CN" w:bidi="ar"/>
        </w:rPr>
        <w:t>截至目前</w:t>
      </w:r>
      <w:r>
        <w:rPr>
          <w:rFonts w:hint="eastAsia" w:ascii="仿宋_GB2312" w:hAnsi="仿宋_GB2312" w:eastAsia="仿宋_GB2312" w:cs="仿宋_GB2312"/>
          <w:bCs/>
          <w:snapToGrid w:val="0"/>
          <w:color w:val="000000"/>
          <w:spacing w:val="0"/>
          <w:sz w:val="32"/>
          <w:szCs w:val="32"/>
          <w:lang w:bidi="ar"/>
        </w:rPr>
        <w:t>，</w:t>
      </w:r>
      <w:r>
        <w:rPr>
          <w:rFonts w:hint="eastAsia" w:ascii="仿宋_GB2312" w:hAnsi="仿宋_GB2312" w:eastAsia="仿宋_GB2312" w:cs="仿宋_GB2312"/>
          <w:bCs/>
          <w:snapToGrid w:val="0"/>
          <w:color w:val="000000"/>
          <w:spacing w:val="0"/>
          <w:sz w:val="32"/>
          <w:szCs w:val="32"/>
          <w:lang w:eastAsia="zh-CN" w:bidi="ar"/>
        </w:rPr>
        <w:t>屏南镇</w:t>
      </w:r>
      <w:r>
        <w:rPr>
          <w:rFonts w:hint="eastAsia" w:ascii="仿宋_GB2312" w:hAnsi="仿宋_GB2312" w:eastAsia="仿宋_GB2312" w:cs="仿宋_GB2312"/>
          <w:bCs/>
          <w:snapToGrid w:val="0"/>
          <w:color w:val="000000"/>
          <w:spacing w:val="0"/>
          <w:sz w:val="32"/>
          <w:szCs w:val="32"/>
          <w:lang w:bidi="ar"/>
        </w:rPr>
        <w:t>仍有广阔空间可用于优质森林食品产业的进一步发展。</w:t>
      </w:r>
    </w:p>
    <w:p w14:paraId="5667AE40">
      <w:pPr>
        <w:keepNext w:val="0"/>
        <w:keepLines w:val="0"/>
        <w:pageBreakBefore w:val="0"/>
        <w:numPr>
          <w:ilvl w:val="0"/>
          <w:numId w:val="0"/>
        </w:numPr>
        <w:kinsoku/>
        <w:wordWrap/>
        <w:overflowPunct/>
        <w:topLinePunct w:val="0"/>
        <w:autoSpaceDE/>
        <w:autoSpaceDN/>
        <w:bidi w:val="0"/>
        <w:adjustRightInd/>
        <w:snapToGrid/>
        <w:spacing w:line="590" w:lineRule="exact"/>
        <w:ind w:left="1055" w:leftChars="0" w:hanging="425" w:firstLineChars="0"/>
        <w:textAlignment w:val="auto"/>
        <w:rPr>
          <w:rFonts w:hint="default" w:ascii="仿宋_GB2312" w:hAnsi="仿宋_GB2312" w:eastAsia="仿宋_GB2312" w:cs="仿宋_GB2312"/>
          <w:b/>
          <w:bCs/>
          <w:snapToGrid w:val="0"/>
          <w:color w:val="000000"/>
          <w:kern w:val="2"/>
          <w:sz w:val="32"/>
          <w:szCs w:val="32"/>
          <w:lang w:val="en-US" w:eastAsia="zh-CN" w:bidi="ar"/>
        </w:rPr>
      </w:pPr>
    </w:p>
    <w:p w14:paraId="7D58ECC3">
      <w:pPr>
        <w:keepNext w:val="0"/>
        <w:keepLines w:val="0"/>
        <w:pageBreakBefore w:val="0"/>
        <w:numPr>
          <w:ilvl w:val="0"/>
          <w:numId w:val="0"/>
        </w:numPr>
        <w:kinsoku/>
        <w:wordWrap/>
        <w:overflowPunct/>
        <w:topLinePunct w:val="0"/>
        <w:autoSpaceDE/>
        <w:autoSpaceDN/>
        <w:bidi w:val="0"/>
        <w:adjustRightInd/>
        <w:snapToGrid/>
        <w:spacing w:line="590" w:lineRule="exact"/>
        <w:ind w:left="1055" w:leftChars="0" w:hanging="425" w:firstLineChars="0"/>
        <w:textAlignment w:val="auto"/>
        <w:rPr>
          <w:rFonts w:hint="eastAsia" w:ascii="仿宋_GB2312" w:hAnsi="仿宋_GB2312" w:eastAsia="仿宋_GB2312" w:cs="仿宋_GB2312"/>
          <w:b/>
          <w:bCs/>
          <w:snapToGrid w:val="0"/>
          <w:color w:val="000000"/>
          <w:kern w:val="2"/>
          <w:sz w:val="32"/>
          <w:szCs w:val="32"/>
          <w:lang w:val="en-US" w:eastAsia="zh-CN" w:bidi="ar"/>
        </w:rPr>
      </w:pPr>
      <w:r>
        <w:rPr>
          <w:rFonts w:hint="default" w:ascii="仿宋_GB2312" w:hAnsi="仿宋_GB2312" w:eastAsia="仿宋_GB2312" w:cs="仿宋_GB2312"/>
          <w:b/>
          <w:bCs/>
          <w:snapToGrid w:val="0"/>
          <w:color w:val="000000"/>
          <w:kern w:val="2"/>
          <w:sz w:val="32"/>
          <w:szCs w:val="32"/>
          <w:lang w:val="en-US" w:eastAsia="zh-CN" w:bidi="ar"/>
        </w:rPr>
        <w:t xml:space="preserve">4.1.2 </w:t>
      </w:r>
      <w:r>
        <w:rPr>
          <w:rFonts w:hint="eastAsia" w:ascii="仿宋_GB2312" w:hAnsi="仿宋_GB2312" w:eastAsia="仿宋_GB2312" w:cs="仿宋_GB2312"/>
          <w:b/>
          <w:bCs/>
          <w:snapToGrid w:val="0"/>
          <w:color w:val="000000"/>
          <w:kern w:val="2"/>
          <w:sz w:val="32"/>
          <w:szCs w:val="32"/>
          <w:lang w:val="en-US" w:eastAsia="zh-CN" w:bidi="ar"/>
        </w:rPr>
        <w:t>建设目标</w:t>
      </w:r>
    </w:p>
    <w:p w14:paraId="50ECE08E">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napToGrid w:val="0"/>
          <w:color w:val="000000"/>
          <w:spacing w:val="0"/>
          <w:sz w:val="32"/>
          <w:szCs w:val="32"/>
          <w:lang w:bidi="ar"/>
        </w:rPr>
      </w:pPr>
      <w:r>
        <w:rPr>
          <w:rFonts w:hint="eastAsia" w:ascii="仿宋_GB2312" w:hAnsi="仿宋_GB2312" w:eastAsia="仿宋_GB2312" w:cs="仿宋_GB2312"/>
          <w:bCs/>
          <w:snapToGrid w:val="0"/>
          <w:color w:val="000000"/>
          <w:spacing w:val="0"/>
          <w:sz w:val="32"/>
          <w:szCs w:val="32"/>
          <w:lang w:bidi="ar"/>
        </w:rPr>
        <w:t>本项目旨在稳步推进森林食品共富产业带的建设，具体目标包括：营建1199亩林下仿野生中药材（森林食品）基地，</w:t>
      </w:r>
      <w:r>
        <w:rPr>
          <w:rFonts w:hint="eastAsia" w:ascii="仿宋_GB2312" w:hAnsi="仿宋_GB2312" w:eastAsia="仿宋_GB2312" w:cs="仿宋_GB2312"/>
          <w:bCs/>
          <w:snapToGrid w:val="0"/>
          <w:color w:val="000000"/>
          <w:spacing w:val="0"/>
          <w:sz w:val="32"/>
          <w:szCs w:val="32"/>
          <w:lang w:eastAsia="zh-CN" w:bidi="ar"/>
        </w:rPr>
        <w:t>改造</w:t>
      </w:r>
      <w:r>
        <w:rPr>
          <w:rFonts w:hint="eastAsia" w:ascii="仿宋_GB2312" w:hAnsi="仿宋_GB2312" w:eastAsia="仿宋_GB2312" w:cs="仿宋_GB2312"/>
          <w:bCs/>
          <w:snapToGrid w:val="0"/>
          <w:color w:val="000000"/>
          <w:spacing w:val="0"/>
          <w:sz w:val="32"/>
          <w:szCs w:val="32"/>
          <w:lang w:bidi="ar"/>
        </w:rPr>
        <w:t>500亩红花油茶基地，打造288亩彩色健康森林。</w:t>
      </w:r>
    </w:p>
    <w:p w14:paraId="160B0539">
      <w:pPr>
        <w:numPr>
          <w:ilvl w:val="0"/>
          <w:numId w:val="0"/>
        </w:numPr>
        <w:spacing w:line="560" w:lineRule="exact"/>
        <w:ind w:left="1055" w:leftChars="0" w:hanging="425" w:firstLineChars="0"/>
        <w:rPr>
          <w:rFonts w:hint="eastAsia" w:ascii="仿宋_GB2312" w:hAnsi="仿宋_GB2312" w:eastAsia="仿宋_GB2312" w:cs="仿宋_GB2312"/>
          <w:b/>
          <w:bCs/>
          <w:snapToGrid w:val="0"/>
          <w:color w:val="000000"/>
          <w:kern w:val="2"/>
          <w:sz w:val="32"/>
          <w:szCs w:val="32"/>
          <w:lang w:val="en-US" w:eastAsia="zh-CN" w:bidi="ar"/>
        </w:rPr>
      </w:pPr>
      <w:r>
        <w:rPr>
          <w:rFonts w:hint="default" w:ascii="仿宋_GB2312" w:hAnsi="仿宋_GB2312" w:eastAsia="仿宋_GB2312" w:cs="仿宋_GB2312"/>
          <w:b/>
          <w:bCs/>
          <w:snapToGrid w:val="0"/>
          <w:color w:val="000000"/>
          <w:kern w:val="2"/>
          <w:sz w:val="32"/>
          <w:szCs w:val="32"/>
          <w:lang w:val="en-US" w:eastAsia="zh-CN" w:bidi="ar"/>
        </w:rPr>
        <w:t xml:space="preserve">4.1.3 </w:t>
      </w:r>
      <w:r>
        <w:rPr>
          <w:rFonts w:hint="eastAsia" w:ascii="仿宋_GB2312" w:hAnsi="仿宋_GB2312" w:eastAsia="仿宋_GB2312" w:cs="仿宋_GB2312"/>
          <w:b/>
          <w:bCs/>
          <w:snapToGrid w:val="0"/>
          <w:color w:val="000000"/>
          <w:kern w:val="2"/>
          <w:sz w:val="32"/>
          <w:szCs w:val="32"/>
          <w:lang w:val="en-US" w:eastAsia="zh-CN" w:bidi="ar"/>
        </w:rPr>
        <w:t>建设内容及规模</w:t>
      </w:r>
    </w:p>
    <w:p w14:paraId="142938FF">
      <w:pPr>
        <w:pStyle w:val="5"/>
        <w:spacing w:after="0" w:line="580" w:lineRule="exact"/>
        <w:ind w:firstLine="0" w:firstLineChars="0"/>
        <w:jc w:val="center"/>
        <w:rPr>
          <w:rFonts w:hint="eastAsia" w:ascii="仿宋_GB2312" w:hAnsi="仿宋_GB2312" w:eastAsia="仿宋_GB2312" w:cs="仿宋_GB2312"/>
          <w:b/>
          <w:bCs/>
          <w:snapToGrid w:val="0"/>
          <w:color w:val="000000"/>
          <w:sz w:val="28"/>
          <w:szCs w:val="32"/>
          <w:lang w:bidi="ar"/>
        </w:rPr>
      </w:pPr>
      <w:r>
        <w:rPr>
          <w:rFonts w:hint="eastAsia" w:ascii="仿宋_GB2312" w:hAnsi="仿宋_GB2312" w:eastAsia="仿宋_GB2312" w:cs="仿宋_GB2312"/>
          <w:b/>
          <w:bCs/>
          <w:snapToGrid w:val="0"/>
          <w:color w:val="000000"/>
          <w:sz w:val="28"/>
          <w:szCs w:val="32"/>
          <w:lang w:bidi="ar"/>
        </w:rPr>
        <w:t>表4-1 营建森林食品共富产业带信息汇总表</w:t>
      </w:r>
    </w:p>
    <w:tbl>
      <w:tblPr>
        <w:tblStyle w:val="7"/>
        <w:tblW w:w="5510" w:type="pct"/>
        <w:jc w:val="center"/>
        <w:tblLayout w:type="fixed"/>
        <w:tblCellMar>
          <w:top w:w="0" w:type="dxa"/>
          <w:left w:w="108" w:type="dxa"/>
          <w:bottom w:w="0" w:type="dxa"/>
          <w:right w:w="108" w:type="dxa"/>
        </w:tblCellMar>
      </w:tblPr>
      <w:tblGrid>
        <w:gridCol w:w="717"/>
        <w:gridCol w:w="706"/>
        <w:gridCol w:w="1021"/>
        <w:gridCol w:w="1110"/>
        <w:gridCol w:w="1005"/>
        <w:gridCol w:w="1005"/>
        <w:gridCol w:w="4297"/>
      </w:tblGrid>
      <w:tr w14:paraId="4E224482">
        <w:tblPrEx>
          <w:tblCellMar>
            <w:top w:w="0" w:type="dxa"/>
            <w:left w:w="108" w:type="dxa"/>
            <w:bottom w:w="0" w:type="dxa"/>
            <w:right w:w="108" w:type="dxa"/>
          </w:tblCellMar>
        </w:tblPrEx>
        <w:trPr>
          <w:trHeight w:val="329" w:hRule="atLeast"/>
          <w:tblHeader/>
          <w:jc w:val="center"/>
        </w:trPr>
        <w:tc>
          <w:tcPr>
            <w:tcW w:w="363" w:type="pct"/>
            <w:tcBorders>
              <w:top w:val="single" w:color="000000" w:sz="8" w:space="0"/>
              <w:left w:val="single" w:color="000000" w:sz="8" w:space="0"/>
              <w:bottom w:val="single" w:color="000000" w:sz="8" w:space="0"/>
              <w:right w:val="single" w:color="000000" w:sz="8" w:space="0"/>
            </w:tcBorders>
            <w:noWrap/>
            <w:vAlign w:val="center"/>
          </w:tcPr>
          <w:p w14:paraId="2303516B">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r>
              <w:rPr>
                <w:rFonts w:hint="eastAsia" w:ascii="方正仿宋_GB2312" w:hAnsi="方正仿宋_GB2312" w:eastAsia="方正仿宋_GB2312" w:cs="方正仿宋_GB2312"/>
                <w:b/>
                <w:bCs/>
                <w:color w:val="000000"/>
                <w:sz w:val="24"/>
              </w:rPr>
              <w:t>项目名称</w:t>
            </w:r>
          </w:p>
        </w:tc>
        <w:tc>
          <w:tcPr>
            <w:tcW w:w="357" w:type="pct"/>
            <w:tcBorders>
              <w:top w:val="single" w:color="000000" w:sz="8" w:space="0"/>
              <w:left w:val="nil"/>
              <w:bottom w:val="single" w:color="000000" w:sz="8" w:space="0"/>
              <w:right w:val="single" w:color="000000" w:sz="8" w:space="0"/>
            </w:tcBorders>
            <w:noWrap/>
            <w:vAlign w:val="center"/>
          </w:tcPr>
          <w:p w14:paraId="10B46D0F">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r>
              <w:rPr>
                <w:rFonts w:hint="eastAsia" w:ascii="方正仿宋_GB2312" w:hAnsi="方正仿宋_GB2312" w:eastAsia="方正仿宋_GB2312" w:cs="方正仿宋_GB2312"/>
                <w:b/>
                <w:bCs/>
                <w:color w:val="000000"/>
                <w:sz w:val="24"/>
              </w:rPr>
              <w:t>区块号</w:t>
            </w:r>
          </w:p>
        </w:tc>
        <w:tc>
          <w:tcPr>
            <w:tcW w:w="517" w:type="pct"/>
            <w:tcBorders>
              <w:top w:val="single" w:color="000000" w:sz="8" w:space="0"/>
              <w:left w:val="nil"/>
              <w:bottom w:val="single" w:color="000000" w:sz="8" w:space="0"/>
              <w:right w:val="single" w:color="000000" w:sz="8" w:space="0"/>
            </w:tcBorders>
            <w:noWrap/>
            <w:vAlign w:val="center"/>
          </w:tcPr>
          <w:p w14:paraId="0E6F7966">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r>
              <w:rPr>
                <w:rFonts w:hint="eastAsia" w:ascii="方正仿宋_GB2312" w:hAnsi="方正仿宋_GB2312" w:eastAsia="方正仿宋_GB2312" w:cs="方正仿宋_GB2312"/>
                <w:b/>
                <w:bCs/>
                <w:color w:val="000000"/>
                <w:sz w:val="24"/>
              </w:rPr>
              <w:t>乡镇</w:t>
            </w:r>
          </w:p>
        </w:tc>
        <w:tc>
          <w:tcPr>
            <w:tcW w:w="562" w:type="pct"/>
            <w:tcBorders>
              <w:top w:val="single" w:color="000000" w:sz="8" w:space="0"/>
              <w:left w:val="nil"/>
              <w:bottom w:val="single" w:color="000000" w:sz="8" w:space="0"/>
              <w:right w:val="single" w:color="000000" w:sz="8" w:space="0"/>
            </w:tcBorders>
            <w:noWrap/>
            <w:vAlign w:val="center"/>
          </w:tcPr>
          <w:p w14:paraId="6982BC2F">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r>
              <w:rPr>
                <w:rFonts w:hint="eastAsia" w:ascii="方正仿宋_GB2312" w:hAnsi="方正仿宋_GB2312" w:eastAsia="方正仿宋_GB2312" w:cs="方正仿宋_GB2312"/>
                <w:b/>
                <w:bCs/>
                <w:color w:val="000000"/>
                <w:sz w:val="24"/>
              </w:rPr>
              <w:t>行政村</w:t>
            </w:r>
          </w:p>
        </w:tc>
        <w:tc>
          <w:tcPr>
            <w:tcW w:w="509" w:type="pct"/>
            <w:tcBorders>
              <w:top w:val="single" w:color="000000" w:sz="8" w:space="0"/>
              <w:left w:val="nil"/>
              <w:bottom w:val="single" w:color="000000" w:sz="8" w:space="0"/>
              <w:right w:val="single" w:color="000000" w:sz="8" w:space="0"/>
            </w:tcBorders>
            <w:noWrap/>
            <w:vAlign w:val="center"/>
          </w:tcPr>
          <w:p w14:paraId="266E33DB">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r>
              <w:rPr>
                <w:rFonts w:hint="eastAsia" w:ascii="方正仿宋_GB2312" w:hAnsi="方正仿宋_GB2312" w:eastAsia="方正仿宋_GB2312" w:cs="方正仿宋_GB2312"/>
                <w:b/>
                <w:bCs/>
                <w:color w:val="000000"/>
                <w:sz w:val="24"/>
              </w:rPr>
              <w:t>小地名</w:t>
            </w:r>
          </w:p>
        </w:tc>
        <w:tc>
          <w:tcPr>
            <w:tcW w:w="509" w:type="pct"/>
            <w:tcBorders>
              <w:top w:val="single" w:color="000000" w:sz="8" w:space="0"/>
              <w:left w:val="nil"/>
              <w:bottom w:val="single" w:color="000000" w:sz="8" w:space="0"/>
              <w:right w:val="single" w:color="000000" w:sz="8" w:space="0"/>
            </w:tcBorders>
            <w:noWrap/>
            <w:vAlign w:val="center"/>
          </w:tcPr>
          <w:p w14:paraId="3A0CF326">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r>
              <w:rPr>
                <w:rFonts w:hint="eastAsia" w:ascii="方正仿宋_GB2312" w:hAnsi="方正仿宋_GB2312" w:eastAsia="方正仿宋_GB2312" w:cs="方正仿宋_GB2312"/>
                <w:b/>
                <w:bCs/>
                <w:color w:val="000000"/>
                <w:sz w:val="24"/>
              </w:rPr>
              <w:t>面积</w:t>
            </w:r>
          </w:p>
          <w:p w14:paraId="141EAEFE">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r>
              <w:rPr>
                <w:rFonts w:hint="eastAsia" w:ascii="方正仿宋_GB2312" w:hAnsi="方正仿宋_GB2312" w:eastAsia="方正仿宋_GB2312" w:cs="方正仿宋_GB2312"/>
                <w:b/>
                <w:bCs/>
                <w:color w:val="000000"/>
                <w:sz w:val="24"/>
              </w:rPr>
              <w:t>（亩）</w:t>
            </w:r>
          </w:p>
        </w:tc>
        <w:tc>
          <w:tcPr>
            <w:tcW w:w="2178" w:type="pct"/>
            <w:tcBorders>
              <w:top w:val="single" w:color="000000" w:sz="8" w:space="0"/>
              <w:left w:val="nil"/>
              <w:bottom w:val="single" w:color="000000" w:sz="8" w:space="0"/>
              <w:right w:val="single" w:color="000000" w:sz="8" w:space="0"/>
            </w:tcBorders>
            <w:noWrap/>
            <w:vAlign w:val="center"/>
          </w:tcPr>
          <w:p w14:paraId="261AB1C7">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r>
              <w:rPr>
                <w:rFonts w:hint="eastAsia" w:ascii="方正仿宋_GB2312" w:hAnsi="方正仿宋_GB2312" w:eastAsia="方正仿宋_GB2312" w:cs="方正仿宋_GB2312"/>
                <w:b/>
                <w:bCs/>
                <w:color w:val="000000"/>
                <w:sz w:val="24"/>
              </w:rPr>
              <w:t>主要建设内容</w:t>
            </w:r>
          </w:p>
        </w:tc>
      </w:tr>
      <w:tr w14:paraId="2AF81F46">
        <w:tblPrEx>
          <w:tblCellMar>
            <w:top w:w="0" w:type="dxa"/>
            <w:left w:w="108" w:type="dxa"/>
            <w:bottom w:w="0" w:type="dxa"/>
            <w:right w:w="108" w:type="dxa"/>
          </w:tblCellMar>
        </w:tblPrEx>
        <w:trPr>
          <w:trHeight w:val="329" w:hRule="atLeast"/>
          <w:jc w:val="center"/>
        </w:trPr>
        <w:tc>
          <w:tcPr>
            <w:tcW w:w="363" w:type="pct"/>
            <w:vMerge w:val="restart"/>
            <w:tcBorders>
              <w:top w:val="nil"/>
              <w:left w:val="single" w:color="000000" w:sz="8" w:space="0"/>
              <w:bottom w:val="single" w:color="000000" w:sz="8" w:space="0"/>
              <w:right w:val="single" w:color="000000" w:sz="8" w:space="0"/>
            </w:tcBorders>
            <w:noWrap/>
            <w:vAlign w:val="center"/>
          </w:tcPr>
          <w:p w14:paraId="46B97324">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r>
              <w:rPr>
                <w:rFonts w:hint="eastAsia" w:ascii="方正仿宋_GB2312" w:hAnsi="方正仿宋_GB2312" w:eastAsia="方正仿宋_GB2312" w:cs="方正仿宋_GB2312"/>
                <w:b/>
                <w:bCs/>
                <w:color w:val="000000"/>
                <w:sz w:val="24"/>
              </w:rPr>
              <w:t>营建林下仿野生中药材（森林食品）基地</w:t>
            </w:r>
          </w:p>
        </w:tc>
        <w:tc>
          <w:tcPr>
            <w:tcW w:w="357" w:type="pct"/>
            <w:tcBorders>
              <w:top w:val="nil"/>
              <w:left w:val="nil"/>
              <w:bottom w:val="single" w:color="000000" w:sz="8" w:space="0"/>
              <w:right w:val="single" w:color="000000" w:sz="8" w:space="0"/>
            </w:tcBorders>
            <w:noWrap/>
            <w:vAlign w:val="center"/>
          </w:tcPr>
          <w:p w14:paraId="37D5677C">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lang w:eastAsia="en-US"/>
              </w:rPr>
            </w:pPr>
            <w:r>
              <w:rPr>
                <w:rFonts w:hint="eastAsia" w:ascii="仿宋_GB2312" w:hAnsi="仿宋_GB2312" w:eastAsia="仿宋_GB2312" w:cs="仿宋_GB2312"/>
                <w:color w:val="000000"/>
                <w:sz w:val="24"/>
              </w:rPr>
              <w:t>1</w:t>
            </w:r>
          </w:p>
        </w:tc>
        <w:tc>
          <w:tcPr>
            <w:tcW w:w="517" w:type="pct"/>
            <w:tcBorders>
              <w:top w:val="nil"/>
              <w:left w:val="nil"/>
              <w:bottom w:val="single" w:color="000000" w:sz="8" w:space="0"/>
              <w:right w:val="single" w:color="000000" w:sz="8" w:space="0"/>
            </w:tcBorders>
            <w:noWrap/>
            <w:vAlign w:val="center"/>
          </w:tcPr>
          <w:p w14:paraId="681DED90">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single" w:color="000000" w:sz="8" w:space="0"/>
              <w:left w:val="nil"/>
              <w:bottom w:val="single" w:color="000000" w:sz="8" w:space="0"/>
              <w:right w:val="single" w:color="000000" w:sz="8" w:space="0"/>
            </w:tcBorders>
            <w:noWrap/>
            <w:vAlign w:val="center"/>
          </w:tcPr>
          <w:p w14:paraId="22B42B31">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琉盘村</w:t>
            </w:r>
          </w:p>
        </w:tc>
        <w:tc>
          <w:tcPr>
            <w:tcW w:w="509" w:type="pct"/>
            <w:tcBorders>
              <w:top w:val="single" w:color="000000" w:sz="8" w:space="0"/>
              <w:left w:val="nil"/>
              <w:bottom w:val="single" w:color="000000" w:sz="8" w:space="0"/>
              <w:right w:val="single" w:color="000000" w:sz="8" w:space="0"/>
            </w:tcBorders>
            <w:noWrap/>
            <w:vAlign w:val="center"/>
          </w:tcPr>
          <w:p w14:paraId="541653F7">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处后林</w:t>
            </w:r>
          </w:p>
        </w:tc>
        <w:tc>
          <w:tcPr>
            <w:tcW w:w="509" w:type="pct"/>
            <w:tcBorders>
              <w:top w:val="single" w:color="000000" w:sz="8" w:space="0"/>
              <w:left w:val="nil"/>
              <w:bottom w:val="single" w:color="000000" w:sz="8" w:space="0"/>
              <w:right w:val="single" w:color="000000" w:sz="8" w:space="0"/>
            </w:tcBorders>
            <w:noWrap/>
            <w:vAlign w:val="center"/>
          </w:tcPr>
          <w:p w14:paraId="75E4D784">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113</w:t>
            </w:r>
          </w:p>
        </w:tc>
        <w:tc>
          <w:tcPr>
            <w:tcW w:w="2178" w:type="pct"/>
            <w:tcBorders>
              <w:top w:val="single" w:color="000000" w:sz="8" w:space="0"/>
              <w:left w:val="nil"/>
              <w:bottom w:val="single" w:color="000000" w:sz="8" w:space="0"/>
              <w:right w:val="single" w:color="000000" w:sz="8" w:space="0"/>
            </w:tcBorders>
            <w:noWrap/>
            <w:vAlign w:val="center"/>
          </w:tcPr>
          <w:p w14:paraId="6F5B196D">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营建仿野生铁皮石斛基地，合计栽培仿野生铁皮石斛22000丛。</w:t>
            </w:r>
          </w:p>
        </w:tc>
      </w:tr>
      <w:tr w14:paraId="211A4538">
        <w:tblPrEx>
          <w:tblCellMar>
            <w:top w:w="0" w:type="dxa"/>
            <w:left w:w="108" w:type="dxa"/>
            <w:bottom w:w="0" w:type="dxa"/>
            <w:right w:w="108" w:type="dxa"/>
          </w:tblCellMar>
        </w:tblPrEx>
        <w:trPr>
          <w:trHeight w:val="90"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1BC8E7C4">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p>
        </w:tc>
        <w:tc>
          <w:tcPr>
            <w:tcW w:w="357" w:type="pct"/>
            <w:tcBorders>
              <w:top w:val="nil"/>
              <w:left w:val="nil"/>
              <w:bottom w:val="single" w:color="000000" w:sz="8" w:space="0"/>
              <w:right w:val="single" w:color="000000" w:sz="8" w:space="0"/>
            </w:tcBorders>
            <w:noWrap/>
            <w:vAlign w:val="center"/>
          </w:tcPr>
          <w:p w14:paraId="2C81FC1E">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lang w:eastAsia="en-US"/>
              </w:rPr>
            </w:pPr>
            <w:r>
              <w:rPr>
                <w:rFonts w:hint="eastAsia" w:ascii="仿宋_GB2312" w:hAnsi="仿宋_GB2312" w:eastAsia="仿宋_GB2312" w:cs="仿宋_GB2312"/>
                <w:color w:val="000000"/>
                <w:sz w:val="24"/>
              </w:rPr>
              <w:t>2</w:t>
            </w:r>
          </w:p>
        </w:tc>
        <w:tc>
          <w:tcPr>
            <w:tcW w:w="517" w:type="pct"/>
            <w:tcBorders>
              <w:top w:val="nil"/>
              <w:left w:val="nil"/>
              <w:bottom w:val="single" w:color="000000" w:sz="8" w:space="0"/>
              <w:right w:val="single" w:color="000000" w:sz="8" w:space="0"/>
            </w:tcBorders>
            <w:noWrap/>
            <w:vAlign w:val="center"/>
          </w:tcPr>
          <w:p w14:paraId="6BF9D1F2">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nil"/>
              <w:left w:val="nil"/>
              <w:bottom w:val="single" w:color="000000" w:sz="8" w:space="0"/>
              <w:right w:val="single" w:color="000000" w:sz="8" w:space="0"/>
            </w:tcBorders>
            <w:noWrap/>
            <w:vAlign w:val="center"/>
          </w:tcPr>
          <w:p w14:paraId="2BB62E18">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坪田村</w:t>
            </w:r>
          </w:p>
        </w:tc>
        <w:tc>
          <w:tcPr>
            <w:tcW w:w="509" w:type="pct"/>
            <w:tcBorders>
              <w:top w:val="nil"/>
              <w:left w:val="nil"/>
              <w:bottom w:val="single" w:color="000000" w:sz="8" w:space="0"/>
              <w:right w:val="single" w:color="000000" w:sz="8" w:space="0"/>
            </w:tcBorders>
            <w:noWrap/>
            <w:vAlign w:val="center"/>
          </w:tcPr>
          <w:p w14:paraId="150A44E4">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处旁</w:t>
            </w:r>
          </w:p>
        </w:tc>
        <w:tc>
          <w:tcPr>
            <w:tcW w:w="509" w:type="pct"/>
            <w:tcBorders>
              <w:top w:val="single" w:color="000000" w:sz="8" w:space="0"/>
              <w:left w:val="nil"/>
              <w:bottom w:val="single" w:color="000000" w:sz="8" w:space="0"/>
              <w:right w:val="single" w:color="000000" w:sz="8" w:space="0"/>
            </w:tcBorders>
            <w:noWrap/>
            <w:vAlign w:val="center"/>
          </w:tcPr>
          <w:p w14:paraId="0F63ECB3">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30</w:t>
            </w:r>
          </w:p>
        </w:tc>
        <w:tc>
          <w:tcPr>
            <w:tcW w:w="2178" w:type="pct"/>
            <w:tcBorders>
              <w:top w:val="single" w:color="000000" w:sz="8" w:space="0"/>
              <w:left w:val="nil"/>
              <w:bottom w:val="single" w:color="000000" w:sz="8" w:space="0"/>
              <w:right w:val="single" w:color="000000" w:sz="8" w:space="0"/>
            </w:tcBorders>
            <w:noWrap/>
            <w:vAlign w:val="center"/>
          </w:tcPr>
          <w:p w14:paraId="65564962">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营建仿野生铁皮石斛基地，合计栽培仿野生铁皮石斛6000丛。</w:t>
            </w:r>
          </w:p>
        </w:tc>
      </w:tr>
      <w:tr w14:paraId="028B381E">
        <w:tblPrEx>
          <w:tblCellMar>
            <w:top w:w="0" w:type="dxa"/>
            <w:left w:w="108" w:type="dxa"/>
            <w:bottom w:w="0" w:type="dxa"/>
            <w:right w:w="108" w:type="dxa"/>
          </w:tblCellMar>
        </w:tblPrEx>
        <w:trPr>
          <w:trHeight w:val="329"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68C169C5">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p>
        </w:tc>
        <w:tc>
          <w:tcPr>
            <w:tcW w:w="357" w:type="pct"/>
            <w:tcBorders>
              <w:top w:val="nil"/>
              <w:left w:val="nil"/>
              <w:bottom w:val="single" w:color="000000" w:sz="8" w:space="0"/>
              <w:right w:val="single" w:color="000000" w:sz="8" w:space="0"/>
            </w:tcBorders>
            <w:noWrap/>
            <w:vAlign w:val="center"/>
          </w:tcPr>
          <w:p w14:paraId="20455668">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lang w:eastAsia="en-US"/>
              </w:rPr>
            </w:pPr>
            <w:r>
              <w:rPr>
                <w:rFonts w:hint="eastAsia" w:ascii="仿宋_GB2312" w:hAnsi="仿宋_GB2312" w:eastAsia="仿宋_GB2312" w:cs="仿宋_GB2312"/>
                <w:color w:val="000000"/>
                <w:sz w:val="24"/>
              </w:rPr>
              <w:t>3</w:t>
            </w:r>
          </w:p>
        </w:tc>
        <w:tc>
          <w:tcPr>
            <w:tcW w:w="517" w:type="pct"/>
            <w:tcBorders>
              <w:top w:val="nil"/>
              <w:left w:val="nil"/>
              <w:bottom w:val="single" w:color="000000" w:sz="8" w:space="0"/>
              <w:right w:val="single" w:color="000000" w:sz="8" w:space="0"/>
            </w:tcBorders>
            <w:noWrap/>
            <w:vAlign w:val="center"/>
          </w:tcPr>
          <w:p w14:paraId="00A1011B">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nil"/>
              <w:left w:val="nil"/>
              <w:bottom w:val="single" w:color="000000" w:sz="8" w:space="0"/>
              <w:right w:val="single" w:color="000000" w:sz="8" w:space="0"/>
            </w:tcBorders>
            <w:noWrap/>
            <w:vAlign w:val="center"/>
          </w:tcPr>
          <w:p w14:paraId="63626375">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坪田村</w:t>
            </w:r>
          </w:p>
        </w:tc>
        <w:tc>
          <w:tcPr>
            <w:tcW w:w="509" w:type="pct"/>
            <w:tcBorders>
              <w:top w:val="nil"/>
              <w:left w:val="nil"/>
              <w:bottom w:val="single" w:color="000000" w:sz="8" w:space="0"/>
              <w:right w:val="single" w:color="000000" w:sz="8" w:space="0"/>
            </w:tcBorders>
            <w:noWrap/>
            <w:vAlign w:val="center"/>
          </w:tcPr>
          <w:p w14:paraId="1CA49995">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上书</w:t>
            </w:r>
          </w:p>
        </w:tc>
        <w:tc>
          <w:tcPr>
            <w:tcW w:w="509" w:type="pct"/>
            <w:tcBorders>
              <w:top w:val="single" w:color="000000" w:sz="8" w:space="0"/>
              <w:left w:val="nil"/>
              <w:bottom w:val="single" w:color="000000" w:sz="8" w:space="0"/>
              <w:right w:val="single" w:color="000000" w:sz="8" w:space="0"/>
            </w:tcBorders>
            <w:noWrap/>
            <w:vAlign w:val="center"/>
          </w:tcPr>
          <w:p w14:paraId="6BB23C6C">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439</w:t>
            </w:r>
          </w:p>
        </w:tc>
        <w:tc>
          <w:tcPr>
            <w:tcW w:w="2178" w:type="pct"/>
            <w:tcBorders>
              <w:top w:val="single" w:color="000000" w:sz="8" w:space="0"/>
              <w:left w:val="nil"/>
              <w:bottom w:val="single" w:color="000000" w:sz="8" w:space="0"/>
              <w:right w:val="single" w:color="000000" w:sz="8" w:space="0"/>
            </w:tcBorders>
            <w:noWrap/>
            <w:vAlign w:val="center"/>
          </w:tcPr>
          <w:p w14:paraId="2AE1D7C2">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营建与黄精基地相结合的仿野生森林食品基地，其中灵芝椴木15000段，仿野生香菇6500段。黄精密度1000株/亩。</w:t>
            </w:r>
          </w:p>
        </w:tc>
      </w:tr>
      <w:tr w14:paraId="40EBB922">
        <w:tblPrEx>
          <w:tblCellMar>
            <w:top w:w="0" w:type="dxa"/>
            <w:left w:w="108" w:type="dxa"/>
            <w:bottom w:w="0" w:type="dxa"/>
            <w:right w:w="108" w:type="dxa"/>
          </w:tblCellMar>
        </w:tblPrEx>
        <w:trPr>
          <w:trHeight w:val="329"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2F24D1AF">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p>
        </w:tc>
        <w:tc>
          <w:tcPr>
            <w:tcW w:w="357" w:type="pct"/>
            <w:tcBorders>
              <w:top w:val="nil"/>
              <w:left w:val="nil"/>
              <w:bottom w:val="single" w:color="000000" w:sz="8" w:space="0"/>
              <w:right w:val="single" w:color="000000" w:sz="8" w:space="0"/>
            </w:tcBorders>
            <w:noWrap/>
            <w:vAlign w:val="center"/>
          </w:tcPr>
          <w:p w14:paraId="487CDAA3">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lang w:eastAsia="en-US"/>
              </w:rPr>
            </w:pPr>
            <w:r>
              <w:rPr>
                <w:rFonts w:hint="eastAsia" w:ascii="仿宋_GB2312" w:hAnsi="仿宋_GB2312" w:eastAsia="仿宋_GB2312" w:cs="仿宋_GB2312"/>
                <w:color w:val="000000"/>
                <w:sz w:val="24"/>
              </w:rPr>
              <w:t>4</w:t>
            </w:r>
          </w:p>
        </w:tc>
        <w:tc>
          <w:tcPr>
            <w:tcW w:w="517" w:type="pct"/>
            <w:tcBorders>
              <w:top w:val="nil"/>
              <w:left w:val="nil"/>
              <w:bottom w:val="single" w:color="000000" w:sz="8" w:space="0"/>
              <w:right w:val="single" w:color="000000" w:sz="8" w:space="0"/>
            </w:tcBorders>
            <w:noWrap/>
            <w:vAlign w:val="center"/>
          </w:tcPr>
          <w:p w14:paraId="74658855">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nil"/>
              <w:left w:val="nil"/>
              <w:bottom w:val="single" w:color="000000" w:sz="8" w:space="0"/>
              <w:right w:val="single" w:color="000000" w:sz="8" w:space="0"/>
            </w:tcBorders>
            <w:noWrap/>
            <w:vAlign w:val="center"/>
          </w:tcPr>
          <w:p w14:paraId="6B4C0E60">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坪田村</w:t>
            </w:r>
          </w:p>
        </w:tc>
        <w:tc>
          <w:tcPr>
            <w:tcW w:w="509" w:type="pct"/>
            <w:tcBorders>
              <w:top w:val="nil"/>
              <w:left w:val="nil"/>
              <w:bottom w:val="single" w:color="000000" w:sz="8" w:space="0"/>
              <w:right w:val="single" w:color="000000" w:sz="8" w:space="0"/>
            </w:tcBorders>
            <w:noWrap/>
            <w:vAlign w:val="center"/>
          </w:tcPr>
          <w:p w14:paraId="164F6877">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祖砻湾</w:t>
            </w:r>
          </w:p>
        </w:tc>
        <w:tc>
          <w:tcPr>
            <w:tcW w:w="509" w:type="pct"/>
            <w:tcBorders>
              <w:top w:val="single" w:color="000000" w:sz="8" w:space="0"/>
              <w:left w:val="nil"/>
              <w:bottom w:val="single" w:color="000000" w:sz="8" w:space="0"/>
              <w:right w:val="single" w:color="000000" w:sz="8" w:space="0"/>
            </w:tcBorders>
            <w:noWrap/>
            <w:vAlign w:val="center"/>
          </w:tcPr>
          <w:p w14:paraId="230003DF">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299</w:t>
            </w:r>
          </w:p>
        </w:tc>
        <w:tc>
          <w:tcPr>
            <w:tcW w:w="2178" w:type="pct"/>
            <w:tcBorders>
              <w:top w:val="single" w:color="000000" w:sz="8" w:space="0"/>
              <w:left w:val="nil"/>
              <w:bottom w:val="single" w:color="000000" w:sz="8" w:space="0"/>
              <w:right w:val="single" w:color="000000" w:sz="8" w:space="0"/>
            </w:tcBorders>
            <w:noWrap/>
            <w:vAlign w:val="center"/>
          </w:tcPr>
          <w:p w14:paraId="383999CE">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营建仿野生黄精基地，种植密度2000株/亩。</w:t>
            </w:r>
          </w:p>
        </w:tc>
      </w:tr>
      <w:tr w14:paraId="4BF35CFB">
        <w:tblPrEx>
          <w:tblCellMar>
            <w:top w:w="0" w:type="dxa"/>
            <w:left w:w="108" w:type="dxa"/>
            <w:bottom w:w="0" w:type="dxa"/>
            <w:right w:w="108" w:type="dxa"/>
          </w:tblCellMar>
        </w:tblPrEx>
        <w:trPr>
          <w:trHeight w:val="421"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2FAA6B7A">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p>
        </w:tc>
        <w:tc>
          <w:tcPr>
            <w:tcW w:w="357" w:type="pct"/>
            <w:tcBorders>
              <w:top w:val="nil"/>
              <w:left w:val="nil"/>
              <w:bottom w:val="single" w:color="000000" w:sz="8" w:space="0"/>
              <w:right w:val="single" w:color="000000" w:sz="8" w:space="0"/>
            </w:tcBorders>
            <w:noWrap/>
            <w:vAlign w:val="center"/>
          </w:tcPr>
          <w:p w14:paraId="7712991C">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lang w:eastAsia="en-US"/>
              </w:rPr>
            </w:pPr>
            <w:r>
              <w:rPr>
                <w:rFonts w:hint="eastAsia" w:ascii="仿宋_GB2312" w:hAnsi="仿宋_GB2312" w:eastAsia="仿宋_GB2312" w:cs="仿宋_GB2312"/>
                <w:color w:val="000000"/>
                <w:sz w:val="24"/>
              </w:rPr>
              <w:t>5</w:t>
            </w:r>
          </w:p>
        </w:tc>
        <w:tc>
          <w:tcPr>
            <w:tcW w:w="517" w:type="pct"/>
            <w:tcBorders>
              <w:top w:val="nil"/>
              <w:left w:val="nil"/>
              <w:bottom w:val="single" w:color="000000" w:sz="8" w:space="0"/>
              <w:right w:val="single" w:color="000000" w:sz="8" w:space="0"/>
            </w:tcBorders>
            <w:noWrap/>
            <w:vAlign w:val="center"/>
          </w:tcPr>
          <w:p w14:paraId="2E2F66F4">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nil"/>
              <w:left w:val="nil"/>
              <w:bottom w:val="single" w:color="000000" w:sz="8" w:space="0"/>
              <w:right w:val="single" w:color="000000" w:sz="8" w:space="0"/>
            </w:tcBorders>
            <w:noWrap/>
            <w:vAlign w:val="center"/>
          </w:tcPr>
          <w:p w14:paraId="2DC707C6">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pacing w:val="-11"/>
                <w:sz w:val="24"/>
              </w:rPr>
              <w:t>周铺垟村</w:t>
            </w:r>
          </w:p>
        </w:tc>
        <w:tc>
          <w:tcPr>
            <w:tcW w:w="509" w:type="pct"/>
            <w:tcBorders>
              <w:top w:val="nil"/>
              <w:left w:val="nil"/>
              <w:bottom w:val="single" w:color="000000" w:sz="8" w:space="0"/>
              <w:right w:val="single" w:color="000000" w:sz="8" w:space="0"/>
            </w:tcBorders>
            <w:noWrap/>
            <w:vAlign w:val="center"/>
          </w:tcPr>
          <w:p w14:paraId="2E6DA909">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南垟岭</w:t>
            </w:r>
          </w:p>
        </w:tc>
        <w:tc>
          <w:tcPr>
            <w:tcW w:w="509" w:type="pct"/>
            <w:tcBorders>
              <w:top w:val="single" w:color="000000" w:sz="8" w:space="0"/>
              <w:left w:val="nil"/>
              <w:bottom w:val="single" w:color="000000" w:sz="8" w:space="0"/>
              <w:right w:val="single" w:color="000000" w:sz="8" w:space="0"/>
            </w:tcBorders>
            <w:noWrap/>
            <w:vAlign w:val="center"/>
          </w:tcPr>
          <w:p w14:paraId="3599DB76">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198</w:t>
            </w:r>
          </w:p>
        </w:tc>
        <w:tc>
          <w:tcPr>
            <w:tcW w:w="2178" w:type="pct"/>
            <w:tcBorders>
              <w:top w:val="single" w:color="000000" w:sz="8" w:space="0"/>
              <w:left w:val="nil"/>
              <w:bottom w:val="single" w:color="000000" w:sz="8" w:space="0"/>
              <w:right w:val="single" w:color="000000" w:sz="8" w:space="0"/>
            </w:tcBorders>
            <w:noWrap/>
            <w:vAlign w:val="center"/>
          </w:tcPr>
          <w:p w14:paraId="321A1B5D">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营建仿野生黄精基地，种植密度2000株/亩。</w:t>
            </w:r>
          </w:p>
        </w:tc>
      </w:tr>
      <w:tr w14:paraId="5A0D513C">
        <w:tblPrEx>
          <w:tblCellMar>
            <w:top w:w="0" w:type="dxa"/>
            <w:left w:w="108" w:type="dxa"/>
            <w:bottom w:w="0" w:type="dxa"/>
            <w:right w:w="108" w:type="dxa"/>
          </w:tblCellMar>
        </w:tblPrEx>
        <w:trPr>
          <w:trHeight w:val="329"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2DE2B5BE">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p>
        </w:tc>
        <w:tc>
          <w:tcPr>
            <w:tcW w:w="357" w:type="pct"/>
            <w:tcBorders>
              <w:top w:val="nil"/>
              <w:left w:val="nil"/>
              <w:bottom w:val="single" w:color="000000" w:sz="8" w:space="0"/>
              <w:right w:val="single" w:color="000000" w:sz="8" w:space="0"/>
            </w:tcBorders>
            <w:noWrap/>
            <w:vAlign w:val="center"/>
          </w:tcPr>
          <w:p w14:paraId="2E89144C">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6</w:t>
            </w:r>
          </w:p>
        </w:tc>
        <w:tc>
          <w:tcPr>
            <w:tcW w:w="517" w:type="pct"/>
            <w:tcBorders>
              <w:top w:val="nil"/>
              <w:left w:val="nil"/>
              <w:bottom w:val="single" w:color="000000" w:sz="8" w:space="0"/>
              <w:right w:val="single" w:color="000000" w:sz="8" w:space="0"/>
            </w:tcBorders>
            <w:noWrap/>
            <w:vAlign w:val="center"/>
          </w:tcPr>
          <w:p w14:paraId="01A2DC60">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nil"/>
              <w:left w:val="nil"/>
              <w:bottom w:val="single" w:color="000000" w:sz="8" w:space="0"/>
              <w:right w:val="single" w:color="000000" w:sz="8" w:space="0"/>
            </w:tcBorders>
            <w:noWrap/>
            <w:vAlign w:val="center"/>
          </w:tcPr>
          <w:p w14:paraId="2F951F69">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琉盘村</w:t>
            </w:r>
          </w:p>
        </w:tc>
        <w:tc>
          <w:tcPr>
            <w:tcW w:w="509" w:type="pct"/>
            <w:tcBorders>
              <w:top w:val="nil"/>
              <w:left w:val="nil"/>
              <w:bottom w:val="single" w:color="000000" w:sz="8" w:space="0"/>
              <w:right w:val="single" w:color="000000" w:sz="8" w:space="0"/>
            </w:tcBorders>
            <w:noWrap/>
            <w:vAlign w:val="center"/>
          </w:tcPr>
          <w:p w14:paraId="7AFFE016">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琉华山</w:t>
            </w:r>
          </w:p>
        </w:tc>
        <w:tc>
          <w:tcPr>
            <w:tcW w:w="509" w:type="pct"/>
            <w:tcBorders>
              <w:top w:val="single" w:color="000000" w:sz="8" w:space="0"/>
              <w:left w:val="nil"/>
              <w:bottom w:val="single" w:color="000000" w:sz="8" w:space="0"/>
              <w:right w:val="single" w:color="000000" w:sz="8" w:space="0"/>
            </w:tcBorders>
            <w:noWrap/>
            <w:vAlign w:val="center"/>
          </w:tcPr>
          <w:p w14:paraId="3A3745FA">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90</w:t>
            </w:r>
          </w:p>
        </w:tc>
        <w:tc>
          <w:tcPr>
            <w:tcW w:w="2178" w:type="pct"/>
            <w:tcBorders>
              <w:top w:val="single" w:color="000000" w:sz="8" w:space="0"/>
              <w:left w:val="nil"/>
              <w:bottom w:val="single" w:color="000000" w:sz="8" w:space="0"/>
              <w:right w:val="single" w:color="000000" w:sz="8" w:space="0"/>
            </w:tcBorders>
            <w:noWrap/>
            <w:vAlign w:val="center"/>
          </w:tcPr>
          <w:p w14:paraId="71493247">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林下套种黄精，种植密度2000株/亩。</w:t>
            </w:r>
          </w:p>
        </w:tc>
      </w:tr>
      <w:tr w14:paraId="4A888C2C">
        <w:tblPrEx>
          <w:tblCellMar>
            <w:top w:w="0" w:type="dxa"/>
            <w:left w:w="108" w:type="dxa"/>
            <w:bottom w:w="0" w:type="dxa"/>
            <w:right w:w="108" w:type="dxa"/>
          </w:tblCellMar>
        </w:tblPrEx>
        <w:trPr>
          <w:trHeight w:val="329"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73941B2F">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p>
        </w:tc>
        <w:tc>
          <w:tcPr>
            <w:tcW w:w="357" w:type="pct"/>
            <w:tcBorders>
              <w:top w:val="nil"/>
              <w:left w:val="nil"/>
              <w:bottom w:val="single" w:color="000000" w:sz="8" w:space="0"/>
              <w:right w:val="single" w:color="000000" w:sz="8" w:space="0"/>
            </w:tcBorders>
            <w:noWrap/>
            <w:vAlign w:val="center"/>
          </w:tcPr>
          <w:p w14:paraId="0DC81306">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7</w:t>
            </w:r>
          </w:p>
        </w:tc>
        <w:tc>
          <w:tcPr>
            <w:tcW w:w="517" w:type="pct"/>
            <w:tcBorders>
              <w:top w:val="nil"/>
              <w:left w:val="nil"/>
              <w:bottom w:val="single" w:color="000000" w:sz="8" w:space="0"/>
              <w:right w:val="single" w:color="000000" w:sz="8" w:space="0"/>
            </w:tcBorders>
            <w:noWrap/>
            <w:vAlign w:val="center"/>
          </w:tcPr>
          <w:p w14:paraId="7F7CBDAD">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nil"/>
              <w:left w:val="nil"/>
              <w:bottom w:val="single" w:color="000000" w:sz="8" w:space="0"/>
              <w:right w:val="single" w:color="000000" w:sz="8" w:space="0"/>
            </w:tcBorders>
            <w:noWrap/>
            <w:vAlign w:val="center"/>
          </w:tcPr>
          <w:p w14:paraId="58135634">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琉盘村</w:t>
            </w:r>
          </w:p>
        </w:tc>
        <w:tc>
          <w:tcPr>
            <w:tcW w:w="509" w:type="pct"/>
            <w:tcBorders>
              <w:top w:val="nil"/>
              <w:left w:val="nil"/>
              <w:bottom w:val="single" w:color="000000" w:sz="8" w:space="0"/>
              <w:right w:val="single" w:color="000000" w:sz="8" w:space="0"/>
            </w:tcBorders>
            <w:noWrap/>
            <w:vAlign w:val="center"/>
          </w:tcPr>
          <w:p w14:paraId="36AE06A0">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峡谷线</w:t>
            </w:r>
          </w:p>
        </w:tc>
        <w:tc>
          <w:tcPr>
            <w:tcW w:w="509" w:type="pct"/>
            <w:tcBorders>
              <w:top w:val="single" w:color="000000" w:sz="8" w:space="0"/>
              <w:left w:val="nil"/>
              <w:bottom w:val="single" w:color="000000" w:sz="8" w:space="0"/>
              <w:right w:val="single" w:color="000000" w:sz="8" w:space="0"/>
            </w:tcBorders>
            <w:noWrap/>
            <w:vAlign w:val="center"/>
          </w:tcPr>
          <w:p w14:paraId="75094DF1">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30</w:t>
            </w:r>
          </w:p>
        </w:tc>
        <w:tc>
          <w:tcPr>
            <w:tcW w:w="2178" w:type="pct"/>
            <w:tcBorders>
              <w:top w:val="single" w:color="000000" w:sz="8" w:space="0"/>
              <w:left w:val="nil"/>
              <w:bottom w:val="single" w:color="000000" w:sz="8" w:space="0"/>
              <w:right w:val="single" w:color="000000" w:sz="8" w:space="0"/>
            </w:tcBorders>
            <w:noWrap/>
            <w:vAlign w:val="center"/>
          </w:tcPr>
          <w:p w14:paraId="282F1293">
            <w:pPr>
              <w:pStyle w:val="9"/>
              <w:widowControl w:val="0"/>
              <w:spacing w:beforeLines="0" w:afterLines="0" w:line="400" w:lineRule="exact"/>
              <w:ind w:firstLine="0" w:firstLineChars="0"/>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营建仿野生森林食品基地，灵芝椴</w:t>
            </w:r>
            <w:r>
              <w:rPr>
                <w:rFonts w:hint="eastAsia" w:ascii="仿宋_GB2312" w:hAnsi="仿宋_GB2312" w:eastAsia="仿宋_GB2312" w:cs="仿宋_GB2312"/>
                <w:color w:val="000000"/>
                <w:spacing w:val="-11"/>
                <w:sz w:val="24"/>
              </w:rPr>
              <w:t>木2000段</w:t>
            </w:r>
            <w:r>
              <w:rPr>
                <w:rFonts w:hint="eastAsia" w:ascii="仿宋_GB2312" w:hAnsi="仿宋_GB2312" w:eastAsia="仿宋_GB2312" w:cs="仿宋_GB2312"/>
                <w:color w:val="000000"/>
                <w:sz w:val="24"/>
              </w:rPr>
              <w:t>。</w:t>
            </w:r>
          </w:p>
        </w:tc>
      </w:tr>
      <w:tr w14:paraId="0F58700E">
        <w:tblPrEx>
          <w:tblCellMar>
            <w:top w:w="0" w:type="dxa"/>
            <w:left w:w="108" w:type="dxa"/>
            <w:bottom w:w="0" w:type="dxa"/>
            <w:right w:w="108" w:type="dxa"/>
          </w:tblCellMar>
        </w:tblPrEx>
        <w:trPr>
          <w:trHeight w:val="329"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6B00AC80">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p>
        </w:tc>
        <w:tc>
          <w:tcPr>
            <w:tcW w:w="1948" w:type="pct"/>
            <w:gridSpan w:val="4"/>
            <w:tcBorders>
              <w:top w:val="nil"/>
              <w:left w:val="nil"/>
              <w:bottom w:val="single" w:color="000000" w:sz="8" w:space="0"/>
              <w:right w:val="single" w:color="000000" w:sz="8" w:space="0"/>
            </w:tcBorders>
            <w:noWrap/>
            <w:vAlign w:val="center"/>
          </w:tcPr>
          <w:p w14:paraId="19C60D9C">
            <w:pPr>
              <w:pStyle w:val="9"/>
              <w:widowControl w:val="0"/>
              <w:spacing w:beforeLines="0" w:afterLines="0" w:line="400" w:lineRule="exact"/>
              <w:ind w:firstLine="0" w:firstLineChars="0"/>
              <w:jc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小计</w:t>
            </w:r>
          </w:p>
        </w:tc>
        <w:tc>
          <w:tcPr>
            <w:tcW w:w="509" w:type="pct"/>
            <w:tcBorders>
              <w:top w:val="single" w:color="000000" w:sz="8" w:space="0"/>
              <w:left w:val="nil"/>
              <w:bottom w:val="single" w:color="000000" w:sz="8" w:space="0"/>
              <w:right w:val="single" w:color="000000" w:sz="8" w:space="0"/>
            </w:tcBorders>
            <w:noWrap/>
            <w:vAlign w:val="center"/>
          </w:tcPr>
          <w:p w14:paraId="2C15A9F8">
            <w:pPr>
              <w:widowControl/>
              <w:jc w:val="center"/>
              <w:textAlignment w:val="center"/>
              <w:rPr>
                <w:rFonts w:hint="eastAsia" w:ascii="仿宋_GB2312" w:hAnsi="仿宋_GB2312" w:eastAsia="仿宋_GB2312" w:cs="仿宋_GB2312"/>
                <w:b/>
                <w:bCs/>
                <w:color w:val="000000"/>
                <w:sz w:val="24"/>
                <w:lang w:eastAsia="en-US"/>
              </w:rPr>
            </w:pPr>
            <w:r>
              <w:rPr>
                <w:rFonts w:hint="eastAsia" w:ascii="仿宋_GB2312" w:hAnsi="仿宋_GB2312" w:eastAsia="仿宋_GB2312" w:cs="仿宋_GB2312"/>
                <w:b/>
                <w:bCs/>
                <w:color w:val="000000"/>
                <w:kern w:val="0"/>
                <w:sz w:val="24"/>
                <w:lang w:bidi="ar"/>
              </w:rPr>
              <w:t>1199</w:t>
            </w:r>
          </w:p>
        </w:tc>
        <w:tc>
          <w:tcPr>
            <w:tcW w:w="2178" w:type="pct"/>
            <w:tcBorders>
              <w:top w:val="single" w:color="000000" w:sz="8" w:space="0"/>
              <w:left w:val="nil"/>
              <w:bottom w:val="single" w:color="000000" w:sz="8" w:space="0"/>
              <w:right w:val="single" w:color="000000" w:sz="8" w:space="0"/>
            </w:tcBorders>
            <w:noWrap/>
            <w:vAlign w:val="center"/>
          </w:tcPr>
          <w:p w14:paraId="37A9E2F4">
            <w:pPr>
              <w:pStyle w:val="9"/>
              <w:widowControl w:val="0"/>
              <w:spacing w:beforeLines="0" w:afterLines="0" w:line="400" w:lineRule="exact"/>
              <w:ind w:firstLine="0" w:firstLineChars="0"/>
              <w:rPr>
                <w:rFonts w:hint="eastAsia" w:ascii="仿宋_GB2312" w:hAnsi="仿宋_GB2312" w:eastAsia="仿宋_GB2312" w:cs="仿宋_GB2312"/>
                <w:color w:val="000000"/>
                <w:sz w:val="24"/>
              </w:rPr>
            </w:pPr>
          </w:p>
        </w:tc>
      </w:tr>
      <w:tr w14:paraId="4B4582F0">
        <w:tblPrEx>
          <w:tblCellMar>
            <w:top w:w="0" w:type="dxa"/>
            <w:left w:w="108" w:type="dxa"/>
            <w:bottom w:w="0" w:type="dxa"/>
            <w:right w:w="108" w:type="dxa"/>
          </w:tblCellMar>
        </w:tblPrEx>
        <w:trPr>
          <w:trHeight w:val="329" w:hRule="atLeast"/>
          <w:jc w:val="center"/>
        </w:trPr>
        <w:tc>
          <w:tcPr>
            <w:tcW w:w="363" w:type="pct"/>
            <w:vMerge w:val="restart"/>
            <w:tcBorders>
              <w:top w:val="nil"/>
              <w:left w:val="single" w:color="000000" w:sz="8" w:space="0"/>
              <w:bottom w:val="single" w:color="000000" w:sz="8" w:space="0"/>
              <w:right w:val="single" w:color="000000" w:sz="8" w:space="0"/>
            </w:tcBorders>
            <w:noWrap/>
            <w:vAlign w:val="center"/>
          </w:tcPr>
          <w:p w14:paraId="54154DFF">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lang w:eastAsia="zh-CN"/>
              </w:rPr>
            </w:pPr>
            <w:r>
              <w:rPr>
                <w:rFonts w:hint="eastAsia" w:ascii="方正仿宋_GB2312" w:hAnsi="方正仿宋_GB2312" w:eastAsia="方正仿宋_GB2312" w:cs="方正仿宋_GB2312"/>
                <w:b/>
                <w:bCs/>
                <w:color w:val="000000"/>
                <w:sz w:val="24"/>
                <w:lang w:eastAsia="zh-CN"/>
              </w:rPr>
              <w:t>改造红花油茶基地</w:t>
            </w:r>
          </w:p>
        </w:tc>
        <w:tc>
          <w:tcPr>
            <w:tcW w:w="357" w:type="pct"/>
            <w:tcBorders>
              <w:top w:val="nil"/>
              <w:left w:val="nil"/>
              <w:bottom w:val="single" w:color="000000" w:sz="8" w:space="0"/>
              <w:right w:val="single" w:color="000000" w:sz="8" w:space="0"/>
            </w:tcBorders>
            <w:noWrap/>
            <w:vAlign w:val="center"/>
          </w:tcPr>
          <w:p w14:paraId="12A0E743">
            <w:pPr>
              <w:widowControl/>
              <w:jc w:val="center"/>
              <w:textAlignment w:val="center"/>
              <w:rPr>
                <w:rFonts w:hint="eastAsia"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lang w:bidi="ar"/>
              </w:rPr>
              <w:t>8</w:t>
            </w:r>
          </w:p>
        </w:tc>
        <w:tc>
          <w:tcPr>
            <w:tcW w:w="517" w:type="pct"/>
            <w:tcBorders>
              <w:top w:val="nil"/>
              <w:left w:val="nil"/>
              <w:bottom w:val="single" w:color="000000" w:sz="8" w:space="0"/>
              <w:right w:val="single" w:color="000000" w:sz="8" w:space="0"/>
            </w:tcBorders>
            <w:noWrap/>
            <w:vAlign w:val="center"/>
          </w:tcPr>
          <w:p w14:paraId="712EFCBF">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single" w:color="000000" w:sz="8" w:space="0"/>
              <w:left w:val="nil"/>
              <w:bottom w:val="single" w:color="000000" w:sz="8" w:space="0"/>
              <w:right w:val="single" w:color="000000" w:sz="8" w:space="0"/>
            </w:tcBorders>
            <w:noWrap/>
            <w:vAlign w:val="center"/>
          </w:tcPr>
          <w:p w14:paraId="2CD8ABAA">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琉盘村</w:t>
            </w:r>
          </w:p>
        </w:tc>
        <w:tc>
          <w:tcPr>
            <w:tcW w:w="509" w:type="pct"/>
            <w:tcBorders>
              <w:top w:val="single" w:color="000000" w:sz="8" w:space="0"/>
              <w:left w:val="nil"/>
              <w:bottom w:val="single" w:color="000000" w:sz="8" w:space="0"/>
              <w:right w:val="single" w:color="000000" w:sz="8" w:space="0"/>
            </w:tcBorders>
            <w:noWrap/>
            <w:vAlign w:val="center"/>
          </w:tcPr>
          <w:p w14:paraId="05D95F06">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琉华山</w:t>
            </w:r>
          </w:p>
        </w:tc>
        <w:tc>
          <w:tcPr>
            <w:tcW w:w="509" w:type="pct"/>
            <w:tcBorders>
              <w:top w:val="single" w:color="000000" w:sz="8" w:space="0"/>
              <w:left w:val="nil"/>
              <w:bottom w:val="single" w:color="000000" w:sz="8" w:space="0"/>
              <w:right w:val="single" w:color="000000" w:sz="8" w:space="0"/>
            </w:tcBorders>
            <w:noWrap/>
            <w:vAlign w:val="center"/>
          </w:tcPr>
          <w:p w14:paraId="59218D0A">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500</w:t>
            </w:r>
          </w:p>
        </w:tc>
        <w:tc>
          <w:tcPr>
            <w:tcW w:w="2178" w:type="pct"/>
            <w:tcBorders>
              <w:top w:val="single" w:color="000000" w:sz="8" w:space="0"/>
              <w:left w:val="nil"/>
              <w:bottom w:val="single" w:color="000000" w:sz="8" w:space="0"/>
              <w:right w:val="single" w:color="000000" w:sz="8" w:space="0"/>
            </w:tcBorders>
            <w:noWrap/>
            <w:vAlign w:val="center"/>
          </w:tcPr>
          <w:p w14:paraId="752D7234">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补植红花油茶4000株，建设地下蓄水池、单轨运输车和喷灌设施。</w:t>
            </w:r>
          </w:p>
        </w:tc>
      </w:tr>
      <w:tr w14:paraId="6CADBD66">
        <w:tblPrEx>
          <w:tblCellMar>
            <w:top w:w="0" w:type="dxa"/>
            <w:left w:w="108" w:type="dxa"/>
            <w:bottom w:w="0" w:type="dxa"/>
            <w:right w:w="108" w:type="dxa"/>
          </w:tblCellMar>
        </w:tblPrEx>
        <w:trPr>
          <w:trHeight w:val="405"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1739547A">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p>
        </w:tc>
        <w:tc>
          <w:tcPr>
            <w:tcW w:w="1948" w:type="pct"/>
            <w:gridSpan w:val="4"/>
            <w:tcBorders>
              <w:top w:val="nil"/>
              <w:left w:val="nil"/>
              <w:bottom w:val="single" w:color="000000" w:sz="8" w:space="0"/>
              <w:right w:val="single" w:color="000000" w:sz="8" w:space="0"/>
            </w:tcBorders>
            <w:noWrap/>
            <w:vAlign w:val="center"/>
          </w:tcPr>
          <w:p w14:paraId="2F7C8A39">
            <w:pPr>
              <w:pStyle w:val="9"/>
              <w:widowControl w:val="0"/>
              <w:spacing w:beforeLines="0" w:afterLines="0" w:line="400" w:lineRule="exact"/>
              <w:ind w:firstLine="0" w:firstLineChars="0"/>
              <w:jc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小计</w:t>
            </w:r>
          </w:p>
        </w:tc>
        <w:tc>
          <w:tcPr>
            <w:tcW w:w="509" w:type="pct"/>
            <w:tcBorders>
              <w:top w:val="single" w:color="000000" w:sz="8" w:space="0"/>
              <w:left w:val="nil"/>
              <w:bottom w:val="single" w:color="000000" w:sz="8" w:space="0"/>
              <w:right w:val="single" w:color="000000" w:sz="8" w:space="0"/>
            </w:tcBorders>
            <w:noWrap/>
            <w:vAlign w:val="center"/>
          </w:tcPr>
          <w:p w14:paraId="590CD771">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500</w:t>
            </w:r>
          </w:p>
        </w:tc>
        <w:tc>
          <w:tcPr>
            <w:tcW w:w="2178" w:type="pct"/>
            <w:tcBorders>
              <w:top w:val="single" w:color="000000" w:sz="8" w:space="0"/>
              <w:left w:val="nil"/>
              <w:bottom w:val="single" w:color="000000" w:sz="8" w:space="0"/>
              <w:right w:val="single" w:color="000000" w:sz="8" w:space="0"/>
            </w:tcBorders>
            <w:noWrap/>
            <w:vAlign w:val="center"/>
          </w:tcPr>
          <w:p w14:paraId="6120A219">
            <w:pPr>
              <w:widowControl/>
              <w:jc w:val="center"/>
              <w:textAlignment w:val="center"/>
              <w:rPr>
                <w:rFonts w:hint="eastAsia" w:ascii="仿宋_GB2312" w:hAnsi="仿宋_GB2312" w:eastAsia="仿宋_GB2312" w:cs="仿宋_GB2312"/>
                <w:snapToGrid w:val="0"/>
                <w:color w:val="000000"/>
                <w:kern w:val="0"/>
                <w:sz w:val="24"/>
              </w:rPr>
            </w:pPr>
          </w:p>
        </w:tc>
      </w:tr>
      <w:tr w14:paraId="3CF7AE41">
        <w:tblPrEx>
          <w:tblCellMar>
            <w:top w:w="0" w:type="dxa"/>
            <w:left w:w="108" w:type="dxa"/>
            <w:bottom w:w="0" w:type="dxa"/>
            <w:right w:w="108" w:type="dxa"/>
          </w:tblCellMar>
        </w:tblPrEx>
        <w:trPr>
          <w:trHeight w:val="329" w:hRule="atLeast"/>
          <w:jc w:val="center"/>
        </w:trPr>
        <w:tc>
          <w:tcPr>
            <w:tcW w:w="363" w:type="pct"/>
            <w:vMerge w:val="restart"/>
            <w:tcBorders>
              <w:top w:val="nil"/>
              <w:left w:val="single" w:color="000000" w:sz="8" w:space="0"/>
              <w:bottom w:val="single" w:color="000000" w:sz="8" w:space="0"/>
              <w:right w:val="single" w:color="000000" w:sz="8" w:space="0"/>
            </w:tcBorders>
            <w:noWrap/>
            <w:vAlign w:val="center"/>
          </w:tcPr>
          <w:p w14:paraId="183873E1">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b/>
                <w:bCs/>
                <w:color w:val="000000"/>
                <w:sz w:val="24"/>
              </w:rPr>
            </w:pPr>
            <w:r>
              <w:rPr>
                <w:rFonts w:hint="eastAsia" w:ascii="方正仿宋_GB2312" w:hAnsi="方正仿宋_GB2312" w:eastAsia="方正仿宋_GB2312" w:cs="方正仿宋_GB2312"/>
                <w:b/>
                <w:bCs/>
                <w:color w:val="000000"/>
                <w:sz w:val="24"/>
              </w:rPr>
              <w:t>打造彩色健康森林</w:t>
            </w:r>
          </w:p>
        </w:tc>
        <w:tc>
          <w:tcPr>
            <w:tcW w:w="357" w:type="pct"/>
            <w:tcBorders>
              <w:top w:val="nil"/>
              <w:left w:val="nil"/>
              <w:bottom w:val="single" w:color="000000" w:sz="8" w:space="0"/>
              <w:right w:val="single" w:color="000000" w:sz="8" w:space="0"/>
            </w:tcBorders>
            <w:noWrap/>
            <w:vAlign w:val="center"/>
          </w:tcPr>
          <w:p w14:paraId="46CBE137">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snapToGrid w:val="0"/>
                <w:color w:val="000000"/>
                <w:kern w:val="0"/>
                <w:sz w:val="24"/>
                <w:lang w:bidi="ar"/>
              </w:rPr>
              <w:t>9</w:t>
            </w:r>
          </w:p>
        </w:tc>
        <w:tc>
          <w:tcPr>
            <w:tcW w:w="517" w:type="pct"/>
            <w:tcBorders>
              <w:top w:val="nil"/>
              <w:left w:val="nil"/>
              <w:bottom w:val="single" w:color="000000" w:sz="8" w:space="0"/>
              <w:right w:val="single" w:color="000000" w:sz="8" w:space="0"/>
            </w:tcBorders>
            <w:noWrap/>
            <w:vAlign w:val="center"/>
          </w:tcPr>
          <w:p w14:paraId="0C9E593E">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nil"/>
              <w:left w:val="nil"/>
              <w:bottom w:val="single" w:color="000000" w:sz="8" w:space="0"/>
              <w:right w:val="single" w:color="000000" w:sz="8" w:space="0"/>
            </w:tcBorders>
            <w:noWrap/>
            <w:vAlign w:val="center"/>
          </w:tcPr>
          <w:p w14:paraId="28331EBA">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琉盘村</w:t>
            </w:r>
          </w:p>
        </w:tc>
        <w:tc>
          <w:tcPr>
            <w:tcW w:w="509" w:type="pct"/>
            <w:tcBorders>
              <w:top w:val="nil"/>
              <w:left w:val="nil"/>
              <w:bottom w:val="single" w:color="000000" w:sz="8" w:space="0"/>
              <w:right w:val="single" w:color="000000" w:sz="8" w:space="0"/>
            </w:tcBorders>
            <w:noWrap/>
            <w:vAlign w:val="center"/>
          </w:tcPr>
          <w:p w14:paraId="4A90B16C">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对面山</w:t>
            </w:r>
          </w:p>
        </w:tc>
        <w:tc>
          <w:tcPr>
            <w:tcW w:w="509" w:type="pct"/>
            <w:tcBorders>
              <w:top w:val="single" w:color="000000" w:sz="8" w:space="0"/>
              <w:left w:val="nil"/>
              <w:bottom w:val="single" w:color="000000" w:sz="8" w:space="0"/>
              <w:right w:val="single" w:color="000000" w:sz="8" w:space="0"/>
            </w:tcBorders>
            <w:noWrap/>
            <w:vAlign w:val="center"/>
          </w:tcPr>
          <w:p w14:paraId="56D9752A">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60</w:t>
            </w:r>
          </w:p>
        </w:tc>
        <w:tc>
          <w:tcPr>
            <w:tcW w:w="2178" w:type="pct"/>
            <w:tcBorders>
              <w:top w:val="single" w:color="000000" w:sz="8" w:space="0"/>
              <w:left w:val="nil"/>
              <w:bottom w:val="single" w:color="000000" w:sz="8" w:space="0"/>
              <w:right w:val="single" w:color="000000" w:sz="8" w:space="0"/>
            </w:tcBorders>
            <w:noWrap/>
            <w:vAlign w:val="center"/>
          </w:tcPr>
          <w:p w14:paraId="440B43D0">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砍伐部分毛竹后补植2000株彩色树种</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规划块状彩色健康森林。</w:t>
            </w:r>
          </w:p>
        </w:tc>
      </w:tr>
      <w:tr w14:paraId="6467ECAD">
        <w:tblPrEx>
          <w:tblCellMar>
            <w:top w:w="0" w:type="dxa"/>
            <w:left w:w="108" w:type="dxa"/>
            <w:bottom w:w="0" w:type="dxa"/>
            <w:right w:w="108" w:type="dxa"/>
          </w:tblCellMar>
        </w:tblPrEx>
        <w:trPr>
          <w:trHeight w:val="329"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47D371F1">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color w:val="000000"/>
                <w:sz w:val="24"/>
              </w:rPr>
            </w:pPr>
          </w:p>
        </w:tc>
        <w:tc>
          <w:tcPr>
            <w:tcW w:w="357" w:type="pct"/>
            <w:tcBorders>
              <w:top w:val="nil"/>
              <w:left w:val="nil"/>
              <w:bottom w:val="single" w:color="000000" w:sz="8" w:space="0"/>
              <w:right w:val="single" w:color="000000" w:sz="8" w:space="0"/>
            </w:tcBorders>
            <w:noWrap/>
            <w:vAlign w:val="center"/>
          </w:tcPr>
          <w:p w14:paraId="341726BC">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snapToGrid w:val="0"/>
                <w:color w:val="000000"/>
                <w:kern w:val="0"/>
                <w:sz w:val="24"/>
                <w:lang w:bidi="ar"/>
              </w:rPr>
              <w:t>10</w:t>
            </w:r>
          </w:p>
        </w:tc>
        <w:tc>
          <w:tcPr>
            <w:tcW w:w="517" w:type="pct"/>
            <w:tcBorders>
              <w:top w:val="nil"/>
              <w:left w:val="nil"/>
              <w:bottom w:val="single" w:color="000000" w:sz="8" w:space="0"/>
              <w:right w:val="single" w:color="000000" w:sz="8" w:space="0"/>
            </w:tcBorders>
            <w:noWrap/>
            <w:vAlign w:val="center"/>
          </w:tcPr>
          <w:p w14:paraId="23E96CF0">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nil"/>
              <w:left w:val="nil"/>
              <w:bottom w:val="single" w:color="000000" w:sz="8" w:space="0"/>
              <w:right w:val="single" w:color="000000" w:sz="8" w:space="0"/>
            </w:tcBorders>
            <w:noWrap/>
            <w:vAlign w:val="center"/>
          </w:tcPr>
          <w:p w14:paraId="4922F9C5">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坪田村</w:t>
            </w:r>
          </w:p>
        </w:tc>
        <w:tc>
          <w:tcPr>
            <w:tcW w:w="509" w:type="pct"/>
            <w:tcBorders>
              <w:top w:val="nil"/>
              <w:left w:val="nil"/>
              <w:bottom w:val="single" w:color="000000" w:sz="8" w:space="0"/>
              <w:right w:val="single" w:color="000000" w:sz="8" w:space="0"/>
            </w:tcBorders>
            <w:noWrap/>
            <w:vAlign w:val="center"/>
          </w:tcPr>
          <w:p w14:paraId="7A7C1EF5">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上书</w:t>
            </w:r>
          </w:p>
        </w:tc>
        <w:tc>
          <w:tcPr>
            <w:tcW w:w="509" w:type="pct"/>
            <w:tcBorders>
              <w:top w:val="single" w:color="000000" w:sz="8" w:space="0"/>
              <w:left w:val="nil"/>
              <w:bottom w:val="single" w:color="000000" w:sz="8" w:space="0"/>
              <w:right w:val="single" w:color="000000" w:sz="8" w:space="0"/>
            </w:tcBorders>
            <w:noWrap/>
            <w:vAlign w:val="center"/>
          </w:tcPr>
          <w:p w14:paraId="2B59FF66">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22</w:t>
            </w:r>
          </w:p>
        </w:tc>
        <w:tc>
          <w:tcPr>
            <w:tcW w:w="2178" w:type="pct"/>
            <w:tcBorders>
              <w:top w:val="single" w:color="000000" w:sz="8" w:space="0"/>
              <w:left w:val="nil"/>
              <w:bottom w:val="single" w:color="000000" w:sz="8" w:space="0"/>
              <w:right w:val="single" w:color="000000" w:sz="8" w:space="0"/>
            </w:tcBorders>
            <w:noWrap/>
            <w:vAlign w:val="center"/>
          </w:tcPr>
          <w:p w14:paraId="1C153D08">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清理长2929米的山场林缘，范围限于林缘线中心5米内。补植1300株彩色树种和300株猕猴桃</w:t>
            </w:r>
            <w:r>
              <w:rPr>
                <w:rFonts w:hint="eastAsia" w:ascii="仿宋_GB2312" w:hAnsi="仿宋_GB2312" w:eastAsia="仿宋_GB2312" w:cs="仿宋_GB2312"/>
                <w:color w:val="000000"/>
                <w:sz w:val="24"/>
                <w:lang w:eastAsia="zh-CN"/>
              </w:rPr>
              <w:t>。</w:t>
            </w:r>
          </w:p>
        </w:tc>
      </w:tr>
      <w:tr w14:paraId="08953FD2">
        <w:tblPrEx>
          <w:tblCellMar>
            <w:top w:w="0" w:type="dxa"/>
            <w:left w:w="108" w:type="dxa"/>
            <w:bottom w:w="0" w:type="dxa"/>
            <w:right w:w="108" w:type="dxa"/>
          </w:tblCellMar>
        </w:tblPrEx>
        <w:trPr>
          <w:trHeight w:val="329"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7686AD9C">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color w:val="000000"/>
                <w:sz w:val="24"/>
              </w:rPr>
            </w:pPr>
          </w:p>
        </w:tc>
        <w:tc>
          <w:tcPr>
            <w:tcW w:w="357" w:type="pct"/>
            <w:tcBorders>
              <w:top w:val="nil"/>
              <w:left w:val="nil"/>
              <w:bottom w:val="single" w:color="000000" w:sz="8" w:space="0"/>
              <w:right w:val="single" w:color="000000" w:sz="8" w:space="0"/>
            </w:tcBorders>
            <w:noWrap/>
            <w:vAlign w:val="center"/>
          </w:tcPr>
          <w:p w14:paraId="35A068B9">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snapToGrid w:val="0"/>
                <w:color w:val="000000"/>
                <w:kern w:val="0"/>
                <w:sz w:val="24"/>
                <w:lang w:bidi="ar"/>
              </w:rPr>
              <w:t>11</w:t>
            </w:r>
          </w:p>
        </w:tc>
        <w:tc>
          <w:tcPr>
            <w:tcW w:w="517" w:type="pct"/>
            <w:tcBorders>
              <w:top w:val="nil"/>
              <w:left w:val="nil"/>
              <w:bottom w:val="single" w:color="000000" w:sz="8" w:space="0"/>
              <w:right w:val="single" w:color="000000" w:sz="8" w:space="0"/>
            </w:tcBorders>
            <w:noWrap/>
            <w:vAlign w:val="center"/>
          </w:tcPr>
          <w:p w14:paraId="69F55320">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nil"/>
              <w:left w:val="nil"/>
              <w:bottom w:val="single" w:color="000000" w:sz="8" w:space="0"/>
              <w:right w:val="single" w:color="000000" w:sz="8" w:space="0"/>
            </w:tcBorders>
            <w:noWrap/>
            <w:vAlign w:val="center"/>
          </w:tcPr>
          <w:p w14:paraId="0CB76183">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坪田村、周铺垟村</w:t>
            </w:r>
          </w:p>
        </w:tc>
        <w:tc>
          <w:tcPr>
            <w:tcW w:w="509" w:type="pct"/>
            <w:tcBorders>
              <w:top w:val="nil"/>
              <w:left w:val="nil"/>
              <w:bottom w:val="single" w:color="000000" w:sz="8" w:space="0"/>
              <w:right w:val="single" w:color="000000" w:sz="8" w:space="0"/>
            </w:tcBorders>
            <w:noWrap/>
            <w:vAlign w:val="center"/>
          </w:tcPr>
          <w:p w14:paraId="4B9C716F">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古道</w:t>
            </w:r>
          </w:p>
        </w:tc>
        <w:tc>
          <w:tcPr>
            <w:tcW w:w="509" w:type="pct"/>
            <w:tcBorders>
              <w:top w:val="single" w:color="000000" w:sz="8" w:space="0"/>
              <w:left w:val="nil"/>
              <w:bottom w:val="single" w:color="000000" w:sz="8" w:space="0"/>
              <w:right w:val="single" w:color="000000" w:sz="8" w:space="0"/>
            </w:tcBorders>
            <w:noWrap/>
            <w:vAlign w:val="center"/>
          </w:tcPr>
          <w:p w14:paraId="5806DE4A">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8</w:t>
            </w:r>
          </w:p>
        </w:tc>
        <w:tc>
          <w:tcPr>
            <w:tcW w:w="2178" w:type="pct"/>
            <w:tcBorders>
              <w:top w:val="single" w:color="000000" w:sz="8" w:space="0"/>
              <w:left w:val="nil"/>
              <w:bottom w:val="single" w:color="000000" w:sz="8" w:space="0"/>
              <w:right w:val="single" w:color="000000" w:sz="8" w:space="0"/>
            </w:tcBorders>
            <w:noWrap/>
            <w:vAlign w:val="center"/>
          </w:tcPr>
          <w:p w14:paraId="1CB940D9">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清理长1106米的山场林缘，范围限于林缘线单侧3米内。补植220株彩色树种。</w:t>
            </w:r>
          </w:p>
        </w:tc>
      </w:tr>
      <w:tr w14:paraId="15107CC4">
        <w:tblPrEx>
          <w:tblCellMar>
            <w:top w:w="0" w:type="dxa"/>
            <w:left w:w="108" w:type="dxa"/>
            <w:bottom w:w="0" w:type="dxa"/>
            <w:right w:w="108" w:type="dxa"/>
          </w:tblCellMar>
        </w:tblPrEx>
        <w:trPr>
          <w:trHeight w:val="329"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7B1F4BD4">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color w:val="000000"/>
                <w:sz w:val="24"/>
              </w:rPr>
            </w:pPr>
          </w:p>
        </w:tc>
        <w:tc>
          <w:tcPr>
            <w:tcW w:w="357" w:type="pct"/>
            <w:tcBorders>
              <w:top w:val="nil"/>
              <w:left w:val="nil"/>
              <w:bottom w:val="single" w:color="000000" w:sz="8" w:space="0"/>
              <w:right w:val="single" w:color="000000" w:sz="8" w:space="0"/>
            </w:tcBorders>
            <w:noWrap/>
            <w:vAlign w:val="center"/>
          </w:tcPr>
          <w:p w14:paraId="542225EA">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snapToGrid w:val="0"/>
                <w:color w:val="000000"/>
                <w:kern w:val="0"/>
                <w:sz w:val="24"/>
                <w:lang w:bidi="ar"/>
              </w:rPr>
              <w:t>12</w:t>
            </w:r>
          </w:p>
        </w:tc>
        <w:tc>
          <w:tcPr>
            <w:tcW w:w="517" w:type="pct"/>
            <w:tcBorders>
              <w:top w:val="nil"/>
              <w:left w:val="nil"/>
              <w:bottom w:val="single" w:color="000000" w:sz="8" w:space="0"/>
              <w:right w:val="single" w:color="000000" w:sz="8" w:space="0"/>
            </w:tcBorders>
            <w:noWrap/>
            <w:vAlign w:val="center"/>
          </w:tcPr>
          <w:p w14:paraId="4FBC1BDD">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nil"/>
              <w:left w:val="nil"/>
              <w:bottom w:val="single" w:color="000000" w:sz="8" w:space="0"/>
              <w:right w:val="single" w:color="000000" w:sz="8" w:space="0"/>
            </w:tcBorders>
            <w:noWrap/>
            <w:vAlign w:val="center"/>
          </w:tcPr>
          <w:p w14:paraId="3DD51870">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坪田村、周铺垟村</w:t>
            </w:r>
          </w:p>
        </w:tc>
        <w:tc>
          <w:tcPr>
            <w:tcW w:w="509" w:type="pct"/>
            <w:tcBorders>
              <w:top w:val="nil"/>
              <w:left w:val="nil"/>
              <w:bottom w:val="single" w:color="000000" w:sz="8" w:space="0"/>
              <w:right w:val="single" w:color="000000" w:sz="8" w:space="0"/>
            </w:tcBorders>
            <w:noWrap/>
            <w:vAlign w:val="center"/>
          </w:tcPr>
          <w:p w14:paraId="087AFB19">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越野道</w:t>
            </w:r>
          </w:p>
        </w:tc>
        <w:tc>
          <w:tcPr>
            <w:tcW w:w="509" w:type="pct"/>
            <w:tcBorders>
              <w:top w:val="single" w:color="000000" w:sz="8" w:space="0"/>
              <w:left w:val="nil"/>
              <w:bottom w:val="single" w:color="000000" w:sz="8" w:space="0"/>
              <w:right w:val="single" w:color="000000" w:sz="8" w:space="0"/>
            </w:tcBorders>
            <w:noWrap/>
            <w:vAlign w:val="center"/>
          </w:tcPr>
          <w:p w14:paraId="5B7C1223">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52</w:t>
            </w:r>
          </w:p>
        </w:tc>
        <w:tc>
          <w:tcPr>
            <w:tcW w:w="2178" w:type="pct"/>
            <w:tcBorders>
              <w:top w:val="single" w:color="000000" w:sz="8" w:space="0"/>
              <w:left w:val="nil"/>
              <w:bottom w:val="single" w:color="000000" w:sz="8" w:space="0"/>
              <w:right w:val="single" w:color="000000" w:sz="8" w:space="0"/>
            </w:tcBorders>
            <w:noWrap/>
            <w:vAlign w:val="center"/>
          </w:tcPr>
          <w:p w14:paraId="1AA9D8CB">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清理长11500米的山场林缘，范围限于林缘线单侧3米内。补植</w:t>
            </w:r>
            <w:r>
              <w:rPr>
                <w:rFonts w:hint="eastAsia" w:ascii="仿宋_GB2312" w:hAnsi="仿宋_GB2312" w:eastAsia="仿宋_GB2312" w:cs="仿宋_GB2312"/>
                <w:snapToGrid w:val="0"/>
                <w:color w:val="000000"/>
                <w:sz w:val="24"/>
                <w:lang w:bidi="ar"/>
              </w:rPr>
              <w:t>2300余</w:t>
            </w:r>
            <w:r>
              <w:rPr>
                <w:rFonts w:hint="eastAsia" w:ascii="仿宋_GB2312" w:hAnsi="仿宋_GB2312" w:eastAsia="仿宋_GB2312" w:cs="仿宋_GB2312"/>
                <w:color w:val="000000"/>
                <w:sz w:val="24"/>
              </w:rPr>
              <w:t>株彩色树种。</w:t>
            </w:r>
          </w:p>
        </w:tc>
      </w:tr>
      <w:tr w14:paraId="0CC56F18">
        <w:tblPrEx>
          <w:tblCellMar>
            <w:top w:w="0" w:type="dxa"/>
            <w:left w:w="108" w:type="dxa"/>
            <w:bottom w:w="0" w:type="dxa"/>
            <w:right w:w="108" w:type="dxa"/>
          </w:tblCellMar>
        </w:tblPrEx>
        <w:trPr>
          <w:trHeight w:val="329"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2D426126">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color w:val="000000"/>
                <w:sz w:val="24"/>
              </w:rPr>
            </w:pPr>
          </w:p>
        </w:tc>
        <w:tc>
          <w:tcPr>
            <w:tcW w:w="357" w:type="pct"/>
            <w:tcBorders>
              <w:top w:val="nil"/>
              <w:left w:val="nil"/>
              <w:bottom w:val="single" w:color="000000" w:sz="8" w:space="0"/>
              <w:right w:val="single" w:color="000000" w:sz="8" w:space="0"/>
            </w:tcBorders>
            <w:noWrap/>
            <w:vAlign w:val="center"/>
          </w:tcPr>
          <w:p w14:paraId="52249161">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snapToGrid w:val="0"/>
                <w:color w:val="000000"/>
                <w:kern w:val="0"/>
                <w:sz w:val="24"/>
                <w:lang w:bidi="ar"/>
              </w:rPr>
              <w:t>13</w:t>
            </w:r>
          </w:p>
        </w:tc>
        <w:tc>
          <w:tcPr>
            <w:tcW w:w="517" w:type="pct"/>
            <w:tcBorders>
              <w:top w:val="nil"/>
              <w:left w:val="nil"/>
              <w:bottom w:val="single" w:color="000000" w:sz="8" w:space="0"/>
              <w:right w:val="single" w:color="000000" w:sz="8" w:space="0"/>
            </w:tcBorders>
            <w:noWrap/>
            <w:vAlign w:val="center"/>
          </w:tcPr>
          <w:p w14:paraId="1C1E9466">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nil"/>
              <w:left w:val="nil"/>
              <w:bottom w:val="single" w:color="000000" w:sz="8" w:space="0"/>
              <w:right w:val="single" w:color="000000" w:sz="8" w:space="0"/>
            </w:tcBorders>
            <w:noWrap/>
            <w:vAlign w:val="center"/>
          </w:tcPr>
          <w:p w14:paraId="63AEAF2A">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琉盘村</w:t>
            </w:r>
          </w:p>
        </w:tc>
        <w:tc>
          <w:tcPr>
            <w:tcW w:w="509" w:type="pct"/>
            <w:tcBorders>
              <w:top w:val="nil"/>
              <w:left w:val="nil"/>
              <w:bottom w:val="single" w:color="000000" w:sz="8" w:space="0"/>
              <w:right w:val="single" w:color="000000" w:sz="8" w:space="0"/>
            </w:tcBorders>
            <w:noWrap/>
            <w:vAlign w:val="center"/>
          </w:tcPr>
          <w:p w14:paraId="06139D30">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峡谷线</w:t>
            </w:r>
          </w:p>
        </w:tc>
        <w:tc>
          <w:tcPr>
            <w:tcW w:w="509" w:type="pct"/>
            <w:tcBorders>
              <w:top w:val="single" w:color="000000" w:sz="8" w:space="0"/>
              <w:left w:val="nil"/>
              <w:bottom w:val="single" w:color="000000" w:sz="8" w:space="0"/>
              <w:right w:val="single" w:color="000000" w:sz="8" w:space="0"/>
            </w:tcBorders>
            <w:noWrap/>
            <w:vAlign w:val="center"/>
          </w:tcPr>
          <w:p w14:paraId="742AEDAE">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30</w:t>
            </w:r>
          </w:p>
        </w:tc>
        <w:tc>
          <w:tcPr>
            <w:tcW w:w="2178" w:type="pct"/>
            <w:tcBorders>
              <w:top w:val="single" w:color="000000" w:sz="8" w:space="0"/>
              <w:left w:val="nil"/>
              <w:bottom w:val="single" w:color="000000" w:sz="8" w:space="0"/>
              <w:right w:val="single" w:color="000000" w:sz="8" w:space="0"/>
            </w:tcBorders>
            <w:noWrap/>
            <w:vAlign w:val="center"/>
          </w:tcPr>
          <w:p w14:paraId="5FE95284">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开展全面的环境清理工作，设置方向指示牌。</w:t>
            </w:r>
          </w:p>
        </w:tc>
      </w:tr>
      <w:tr w14:paraId="32AD2DD7">
        <w:tblPrEx>
          <w:tblCellMar>
            <w:top w:w="0" w:type="dxa"/>
            <w:left w:w="108" w:type="dxa"/>
            <w:bottom w:w="0" w:type="dxa"/>
            <w:right w:w="108" w:type="dxa"/>
          </w:tblCellMar>
        </w:tblPrEx>
        <w:trPr>
          <w:trHeight w:val="316"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6A56046E">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color w:val="000000"/>
                <w:sz w:val="24"/>
              </w:rPr>
            </w:pPr>
          </w:p>
        </w:tc>
        <w:tc>
          <w:tcPr>
            <w:tcW w:w="357" w:type="pct"/>
            <w:tcBorders>
              <w:top w:val="nil"/>
              <w:left w:val="nil"/>
              <w:bottom w:val="single" w:color="000000" w:sz="8" w:space="0"/>
              <w:right w:val="single" w:color="000000" w:sz="8" w:space="0"/>
            </w:tcBorders>
            <w:noWrap/>
            <w:vAlign w:val="center"/>
          </w:tcPr>
          <w:p w14:paraId="75A36576">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snapToGrid w:val="0"/>
                <w:color w:val="000000"/>
                <w:kern w:val="0"/>
                <w:sz w:val="24"/>
                <w:lang w:bidi="ar"/>
              </w:rPr>
              <w:t>14</w:t>
            </w:r>
          </w:p>
        </w:tc>
        <w:tc>
          <w:tcPr>
            <w:tcW w:w="517" w:type="pct"/>
            <w:tcBorders>
              <w:top w:val="nil"/>
              <w:left w:val="nil"/>
              <w:bottom w:val="single" w:color="000000" w:sz="8" w:space="0"/>
              <w:right w:val="single" w:color="000000" w:sz="8" w:space="0"/>
            </w:tcBorders>
            <w:noWrap/>
            <w:vAlign w:val="center"/>
          </w:tcPr>
          <w:p w14:paraId="3CC0BF84">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nil"/>
              <w:left w:val="nil"/>
              <w:bottom w:val="single" w:color="000000" w:sz="8" w:space="0"/>
              <w:right w:val="single" w:color="000000" w:sz="8" w:space="0"/>
            </w:tcBorders>
            <w:noWrap/>
            <w:vAlign w:val="center"/>
          </w:tcPr>
          <w:p w14:paraId="77F26B5E">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琉盘村</w:t>
            </w:r>
          </w:p>
        </w:tc>
        <w:tc>
          <w:tcPr>
            <w:tcW w:w="509" w:type="pct"/>
            <w:tcBorders>
              <w:top w:val="nil"/>
              <w:left w:val="nil"/>
              <w:bottom w:val="single" w:color="000000" w:sz="8" w:space="0"/>
              <w:right w:val="single" w:color="000000" w:sz="8" w:space="0"/>
            </w:tcBorders>
            <w:noWrap/>
            <w:vAlign w:val="center"/>
          </w:tcPr>
          <w:p w14:paraId="5A9E6C68">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横波栏</w:t>
            </w:r>
          </w:p>
        </w:tc>
        <w:tc>
          <w:tcPr>
            <w:tcW w:w="509" w:type="pct"/>
            <w:tcBorders>
              <w:top w:val="single" w:color="000000" w:sz="8" w:space="0"/>
              <w:left w:val="nil"/>
              <w:bottom w:val="single" w:color="000000" w:sz="8" w:space="0"/>
              <w:right w:val="single" w:color="000000" w:sz="8" w:space="0"/>
            </w:tcBorders>
            <w:noWrap/>
            <w:vAlign w:val="center"/>
          </w:tcPr>
          <w:p w14:paraId="52F4DD47">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89</w:t>
            </w:r>
          </w:p>
        </w:tc>
        <w:tc>
          <w:tcPr>
            <w:tcW w:w="2178" w:type="pct"/>
            <w:tcBorders>
              <w:top w:val="single" w:color="000000" w:sz="8" w:space="0"/>
              <w:left w:val="nil"/>
              <w:bottom w:val="single" w:color="000000" w:sz="8" w:space="0"/>
              <w:right w:val="single" w:color="000000" w:sz="8" w:space="0"/>
            </w:tcBorders>
            <w:noWrap/>
            <w:vAlign w:val="center"/>
          </w:tcPr>
          <w:p w14:paraId="2EBD736C">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种植杜鹃，种植密度1000株/亩。</w:t>
            </w:r>
          </w:p>
        </w:tc>
      </w:tr>
      <w:tr w14:paraId="6089B3E4">
        <w:tblPrEx>
          <w:tblCellMar>
            <w:top w:w="0" w:type="dxa"/>
            <w:left w:w="108" w:type="dxa"/>
            <w:bottom w:w="0" w:type="dxa"/>
            <w:right w:w="108" w:type="dxa"/>
          </w:tblCellMar>
        </w:tblPrEx>
        <w:trPr>
          <w:trHeight w:val="329"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2AE9D72D">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color w:val="000000"/>
                <w:sz w:val="24"/>
              </w:rPr>
            </w:pPr>
          </w:p>
        </w:tc>
        <w:tc>
          <w:tcPr>
            <w:tcW w:w="357" w:type="pct"/>
            <w:tcBorders>
              <w:top w:val="nil"/>
              <w:left w:val="nil"/>
              <w:bottom w:val="single" w:color="000000" w:sz="8" w:space="0"/>
              <w:right w:val="single" w:color="000000" w:sz="8" w:space="0"/>
            </w:tcBorders>
            <w:noWrap/>
            <w:vAlign w:val="center"/>
          </w:tcPr>
          <w:p w14:paraId="3261F7F3">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snapToGrid w:val="0"/>
                <w:color w:val="000000"/>
                <w:kern w:val="0"/>
                <w:sz w:val="24"/>
                <w:lang w:bidi="ar"/>
              </w:rPr>
              <w:t>15</w:t>
            </w:r>
          </w:p>
        </w:tc>
        <w:tc>
          <w:tcPr>
            <w:tcW w:w="517" w:type="pct"/>
            <w:tcBorders>
              <w:top w:val="nil"/>
              <w:left w:val="nil"/>
              <w:bottom w:val="single" w:color="000000" w:sz="8" w:space="0"/>
              <w:right w:val="single" w:color="000000" w:sz="8" w:space="0"/>
            </w:tcBorders>
            <w:noWrap/>
            <w:vAlign w:val="center"/>
          </w:tcPr>
          <w:p w14:paraId="54917D49">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屏南镇</w:t>
            </w:r>
          </w:p>
        </w:tc>
        <w:tc>
          <w:tcPr>
            <w:tcW w:w="562" w:type="pct"/>
            <w:tcBorders>
              <w:top w:val="nil"/>
              <w:left w:val="nil"/>
              <w:bottom w:val="single" w:color="000000" w:sz="8" w:space="0"/>
              <w:right w:val="single" w:color="000000" w:sz="8" w:space="0"/>
            </w:tcBorders>
            <w:noWrap/>
            <w:vAlign w:val="center"/>
          </w:tcPr>
          <w:p w14:paraId="301AEAFD">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琉盘村</w:t>
            </w:r>
          </w:p>
        </w:tc>
        <w:tc>
          <w:tcPr>
            <w:tcW w:w="509" w:type="pct"/>
            <w:tcBorders>
              <w:top w:val="nil"/>
              <w:left w:val="nil"/>
              <w:bottom w:val="single" w:color="000000" w:sz="8" w:space="0"/>
              <w:right w:val="single" w:color="000000" w:sz="8" w:space="0"/>
            </w:tcBorders>
            <w:noWrap/>
            <w:vAlign w:val="center"/>
          </w:tcPr>
          <w:p w14:paraId="2AFB52C2">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琉华山</w:t>
            </w:r>
          </w:p>
        </w:tc>
        <w:tc>
          <w:tcPr>
            <w:tcW w:w="509" w:type="pct"/>
            <w:tcBorders>
              <w:top w:val="single" w:color="000000" w:sz="8" w:space="0"/>
              <w:left w:val="nil"/>
              <w:bottom w:val="single" w:color="000000" w:sz="8" w:space="0"/>
              <w:right w:val="single" w:color="000000" w:sz="8" w:space="0"/>
            </w:tcBorders>
            <w:noWrap/>
            <w:vAlign w:val="center"/>
          </w:tcPr>
          <w:p w14:paraId="311C956C">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27</w:t>
            </w:r>
          </w:p>
        </w:tc>
        <w:tc>
          <w:tcPr>
            <w:tcW w:w="2178" w:type="pct"/>
            <w:tcBorders>
              <w:top w:val="single" w:color="000000" w:sz="8" w:space="0"/>
              <w:left w:val="nil"/>
              <w:bottom w:val="single" w:color="000000" w:sz="8" w:space="0"/>
              <w:right w:val="single" w:color="000000" w:sz="8" w:space="0"/>
            </w:tcBorders>
            <w:noWrap/>
            <w:vAlign w:val="center"/>
          </w:tcPr>
          <w:p w14:paraId="2D211A2B">
            <w:pPr>
              <w:pStyle w:val="9"/>
              <w:widowControl w:val="0"/>
              <w:spacing w:beforeLines="0" w:afterLines="0" w:line="400" w:lineRule="exact"/>
              <w:ind w:firstLine="0" w:firstLineChars="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种植杜鹃，种植密度667株/亩。</w:t>
            </w:r>
          </w:p>
        </w:tc>
      </w:tr>
      <w:tr w14:paraId="6DD38AC6">
        <w:tblPrEx>
          <w:tblCellMar>
            <w:top w:w="0" w:type="dxa"/>
            <w:left w:w="108" w:type="dxa"/>
            <w:bottom w:w="0" w:type="dxa"/>
            <w:right w:w="108" w:type="dxa"/>
          </w:tblCellMar>
        </w:tblPrEx>
        <w:trPr>
          <w:trHeight w:val="329" w:hRule="atLeast"/>
          <w:jc w:val="center"/>
        </w:trPr>
        <w:tc>
          <w:tcPr>
            <w:tcW w:w="363" w:type="pct"/>
            <w:vMerge w:val="continue"/>
            <w:tcBorders>
              <w:top w:val="nil"/>
              <w:left w:val="single" w:color="000000" w:sz="8" w:space="0"/>
              <w:bottom w:val="single" w:color="000000" w:sz="8" w:space="0"/>
              <w:right w:val="single" w:color="000000" w:sz="8" w:space="0"/>
            </w:tcBorders>
            <w:noWrap/>
            <w:vAlign w:val="center"/>
          </w:tcPr>
          <w:p w14:paraId="22740933">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color w:val="000000"/>
                <w:sz w:val="24"/>
              </w:rPr>
            </w:pPr>
          </w:p>
        </w:tc>
        <w:tc>
          <w:tcPr>
            <w:tcW w:w="1948" w:type="pct"/>
            <w:gridSpan w:val="4"/>
            <w:tcBorders>
              <w:top w:val="nil"/>
              <w:left w:val="nil"/>
              <w:bottom w:val="single" w:color="000000" w:sz="8" w:space="0"/>
              <w:right w:val="single" w:color="000000" w:sz="8" w:space="0"/>
            </w:tcBorders>
            <w:noWrap/>
            <w:vAlign w:val="center"/>
          </w:tcPr>
          <w:p w14:paraId="4C7AC70D">
            <w:pPr>
              <w:pStyle w:val="9"/>
              <w:widowControl w:val="0"/>
              <w:spacing w:beforeLines="0" w:afterLines="0" w:line="400" w:lineRule="exact"/>
              <w:ind w:firstLine="0" w:firstLineChars="0"/>
              <w:jc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小计</w:t>
            </w:r>
          </w:p>
        </w:tc>
        <w:tc>
          <w:tcPr>
            <w:tcW w:w="509" w:type="pct"/>
            <w:tcBorders>
              <w:top w:val="single" w:color="000000" w:sz="8" w:space="0"/>
              <w:left w:val="nil"/>
              <w:bottom w:val="single" w:color="000000" w:sz="8" w:space="0"/>
              <w:right w:val="single" w:color="000000" w:sz="8" w:space="0"/>
            </w:tcBorders>
            <w:noWrap/>
            <w:vAlign w:val="center"/>
          </w:tcPr>
          <w:p w14:paraId="1B8B46E6">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288</w:t>
            </w:r>
          </w:p>
        </w:tc>
        <w:tc>
          <w:tcPr>
            <w:tcW w:w="2178" w:type="pct"/>
            <w:tcBorders>
              <w:top w:val="single" w:color="000000" w:sz="8" w:space="0"/>
              <w:left w:val="nil"/>
              <w:bottom w:val="single" w:color="000000" w:sz="8" w:space="0"/>
              <w:right w:val="single" w:color="000000" w:sz="8" w:space="0"/>
            </w:tcBorders>
            <w:noWrap/>
            <w:vAlign w:val="center"/>
          </w:tcPr>
          <w:p w14:paraId="78125B6C">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color w:val="000000"/>
                <w:sz w:val="24"/>
              </w:rPr>
            </w:pPr>
          </w:p>
        </w:tc>
      </w:tr>
      <w:tr w14:paraId="50D23E34">
        <w:tblPrEx>
          <w:tblCellMar>
            <w:top w:w="0" w:type="dxa"/>
            <w:left w:w="108" w:type="dxa"/>
            <w:bottom w:w="0" w:type="dxa"/>
            <w:right w:w="108" w:type="dxa"/>
          </w:tblCellMar>
        </w:tblPrEx>
        <w:trPr>
          <w:trHeight w:val="329" w:hRule="atLeast"/>
          <w:jc w:val="center"/>
        </w:trPr>
        <w:tc>
          <w:tcPr>
            <w:tcW w:w="2311" w:type="pct"/>
            <w:gridSpan w:val="5"/>
            <w:tcBorders>
              <w:top w:val="nil"/>
              <w:left w:val="single" w:color="000000" w:sz="8" w:space="0"/>
              <w:bottom w:val="single" w:color="000000" w:sz="8" w:space="0"/>
              <w:right w:val="single" w:color="000000" w:sz="8" w:space="0"/>
            </w:tcBorders>
            <w:noWrap/>
            <w:vAlign w:val="center"/>
          </w:tcPr>
          <w:p w14:paraId="23481F64">
            <w:pPr>
              <w:pStyle w:val="9"/>
              <w:widowControl w:val="0"/>
              <w:spacing w:beforeLines="0" w:afterLines="0" w:line="400" w:lineRule="exact"/>
              <w:ind w:firstLine="0" w:firstLineChars="0"/>
              <w:jc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合计</w:t>
            </w:r>
          </w:p>
        </w:tc>
        <w:tc>
          <w:tcPr>
            <w:tcW w:w="509" w:type="pct"/>
            <w:tcBorders>
              <w:top w:val="single" w:color="000000" w:sz="8" w:space="0"/>
              <w:left w:val="nil"/>
              <w:bottom w:val="single" w:color="000000" w:sz="8" w:space="0"/>
              <w:right w:val="single" w:color="000000" w:sz="8" w:space="0"/>
            </w:tcBorders>
            <w:noWrap/>
            <w:vAlign w:val="center"/>
          </w:tcPr>
          <w:p w14:paraId="35AC3AA9">
            <w:pPr>
              <w:widowControl/>
              <w:jc w:val="center"/>
              <w:textAlignment w:val="center"/>
              <w:rPr>
                <w:rFonts w:hint="eastAsia" w:ascii="仿宋_GB2312" w:hAnsi="仿宋_GB2312" w:eastAsia="仿宋_GB2312" w:cs="仿宋_GB2312"/>
                <w:b/>
                <w:bCs/>
                <w:snapToGrid w:val="0"/>
                <w:color w:val="000000"/>
                <w:kern w:val="0"/>
                <w:sz w:val="24"/>
              </w:rPr>
            </w:pPr>
            <w:r>
              <w:rPr>
                <w:rFonts w:hint="eastAsia" w:ascii="仿宋_GB2312" w:hAnsi="仿宋_GB2312" w:eastAsia="仿宋_GB2312" w:cs="仿宋_GB2312"/>
                <w:b/>
                <w:bCs/>
                <w:color w:val="000000"/>
                <w:kern w:val="0"/>
                <w:sz w:val="24"/>
                <w:lang w:bidi="ar"/>
              </w:rPr>
              <w:t>1987</w:t>
            </w:r>
          </w:p>
        </w:tc>
        <w:tc>
          <w:tcPr>
            <w:tcW w:w="2178" w:type="pct"/>
            <w:tcBorders>
              <w:top w:val="single" w:color="000000" w:sz="8" w:space="0"/>
              <w:left w:val="nil"/>
              <w:bottom w:val="single" w:color="000000" w:sz="8" w:space="0"/>
              <w:right w:val="single" w:color="000000" w:sz="8" w:space="0"/>
            </w:tcBorders>
            <w:noWrap/>
            <w:vAlign w:val="center"/>
          </w:tcPr>
          <w:p w14:paraId="5DC6CF73">
            <w:pPr>
              <w:pStyle w:val="9"/>
              <w:widowControl w:val="0"/>
              <w:spacing w:beforeLines="0" w:afterLines="0" w:line="400" w:lineRule="exact"/>
              <w:ind w:firstLine="0" w:firstLineChars="0"/>
              <w:jc w:val="center"/>
              <w:rPr>
                <w:rFonts w:hint="eastAsia" w:ascii="方正仿宋_GB2312" w:hAnsi="方正仿宋_GB2312" w:eastAsia="方正仿宋_GB2312" w:cs="方正仿宋_GB2312"/>
                <w:color w:val="000000"/>
                <w:sz w:val="24"/>
              </w:rPr>
            </w:pPr>
          </w:p>
        </w:tc>
      </w:tr>
    </w:tbl>
    <w:p w14:paraId="6BE912E1">
      <w:pPr>
        <w:pStyle w:val="2"/>
        <w:ind w:left="0" w:leftChars="0" w:firstLine="0" w:firstLineChars="0"/>
        <w:rPr>
          <w:rFonts w:hint="eastAsia"/>
          <w:color w:val="000000"/>
        </w:rPr>
        <w:sectPr>
          <w:footerReference r:id="rId3" w:type="default"/>
          <w:pgSz w:w="11906" w:h="16838"/>
          <w:pgMar w:top="1587" w:right="1587" w:bottom="1587" w:left="1587" w:header="851" w:footer="1474" w:gutter="0"/>
          <w:pgNumType w:fmt="decimal" w:start="1"/>
          <w:cols w:space="720" w:num="1"/>
          <w:rtlGutter w:val="0"/>
          <w:docGrid w:type="lines" w:linePitch="318" w:charSpace="0"/>
        </w:sectPr>
      </w:pPr>
    </w:p>
    <w:p w14:paraId="6E201F0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E6D70">
    <w:pPr>
      <w:pStyle w:val="6"/>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07473C">
                          <w:pPr>
                            <w:pStyle w:val="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path/>
              <v:fill on="f" focussize="0,0"/>
              <v:stroke on="f"/>
              <v:imagedata o:title=""/>
              <o:lock v:ext="edit" aspectratio="f"/>
              <v:textbox inset="0mm,0mm,0mm,0mm" style="mso-fit-shape-to-text:t;">
                <w:txbxContent>
                  <w:p w14:paraId="3207473C">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7A4B8D"/>
    <w:rsid w:val="477A4B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3"/>
    <w:basedOn w:val="1"/>
    <w:next w:val="1"/>
    <w:qFormat/>
    <w:uiPriority w:val="9"/>
    <w:pPr>
      <w:keepNext/>
      <w:keepLines/>
      <w:spacing w:before="200" w:after="0"/>
      <w:outlineLvl w:val="2"/>
    </w:pPr>
    <w:rPr>
      <w:rFonts w:ascii="Cambria" w:hAnsi="Cambria" w:eastAsia="宋体" w:cs="Times New Roman"/>
      <w:b/>
      <w:bCs/>
      <w:color w:val="4F81BD"/>
      <w:sz w:val="28"/>
      <w:szCs w:val="28"/>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Normal Indent"/>
    <w:basedOn w:val="1"/>
    <w:qFormat/>
    <w:uiPriority w:val="99"/>
    <w:pPr>
      <w:autoSpaceDE w:val="0"/>
      <w:autoSpaceDN w:val="0"/>
      <w:adjustRightInd w:val="0"/>
      <w:ind w:firstLine="488"/>
      <w:textAlignment w:val="baseline"/>
    </w:pPr>
    <w:rPr>
      <w:kern w:val="0"/>
      <w:sz w:val="24"/>
      <w:szCs w:val="20"/>
    </w:rPr>
  </w:style>
  <w:style w:type="paragraph" w:styleId="4">
    <w:name w:val="Body Text"/>
    <w:basedOn w:val="1"/>
    <w:next w:val="5"/>
    <w:qFormat/>
    <w:uiPriority w:val="0"/>
    <w:pPr>
      <w:spacing w:after="120" w:afterLines="0" w:afterAutospacing="0"/>
    </w:pPr>
  </w:style>
  <w:style w:type="paragraph" w:styleId="5">
    <w:name w:val="Body Text First Indent"/>
    <w:basedOn w:val="4"/>
    <w:qFormat/>
    <w:uiPriority w:val="0"/>
    <w:pPr>
      <w:tabs>
        <w:tab w:val="left" w:pos="1365"/>
      </w:tabs>
      <w:spacing w:after="120"/>
      <w:ind w:firstLine="420" w:firstLineChars="100"/>
    </w:pPr>
    <w:rPr>
      <w:rFonts w:ascii="Times New Roman" w:hAnsi="Times New Roman"/>
      <w:sz w:val="21"/>
    </w:rPr>
  </w:style>
  <w:style w:type="paragraph" w:styleId="6">
    <w:name w:val="footer"/>
    <w:basedOn w:val="1"/>
    <w:uiPriority w:val="0"/>
    <w:pPr>
      <w:tabs>
        <w:tab w:val="center" w:pos="4153"/>
        <w:tab w:val="right" w:pos="8306"/>
      </w:tabs>
      <w:snapToGrid w:val="0"/>
      <w:jc w:val="left"/>
    </w:pPr>
    <w:rPr>
      <w:sz w:val="18"/>
    </w:rPr>
  </w:style>
  <w:style w:type="paragraph" w:customStyle="1" w:styleId="9">
    <w:name w:val="Char"/>
    <w:basedOn w:val="10"/>
    <w:qFormat/>
    <w:uiPriority w:val="99"/>
    <w:pPr>
      <w:adjustRightInd w:val="0"/>
      <w:snapToGrid w:val="0"/>
      <w:spacing w:beforeLines="150" w:afterLines="100" w:line="360" w:lineRule="auto"/>
      <w:ind w:firstLine="192" w:firstLineChars="192"/>
    </w:pPr>
  </w:style>
  <w:style w:type="paragraph" w:customStyle="1" w:styleId="10">
    <w:name w:val="正文1"/>
    <w:basedOn w:val="1"/>
    <w:next w:val="9"/>
    <w:qFormat/>
    <w:uiPriority w:val="99"/>
    <w:pPr>
      <w:widowControl/>
      <w:snapToGrid w:val="0"/>
      <w:spacing w:line="500" w:lineRule="exact"/>
      <w:ind w:firstLine="567"/>
    </w:pPr>
    <w:rPr>
      <w:rFonts w:ascii="楷体_GB2312" w:eastAsia="楷体_GB2312"/>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2025-04-14T11:22:00Z</dcterms:created>
  <dc:creator>WPS_1665362332</dc:creator>
  <cp:lastModifiedBy>WPS_1665362332</cp:lastModifiedBy>
  <dcterms:modified xsi:type="dcterms:W3CDTF">2025-04-14T11:23:48Z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E4825511A8674B63ACA1317598AD052B_11</vt:lpwstr>
  </property>
  <property fmtid="{D5CDD505-2E9C-101B-9397-08002B2CF9AE}" pid="4" name="KSOTemplateDocerSaveRecord">
    <vt:lpwstr>eyJoZGlkIjoiMTgxYjgzMjQ3NWI1MzkwMzExNjJiMjc1NTE0ZDdlY2MiLCJ1c2VySWQiOiIxNDE4MDcwNDQ3In0=</vt:lpwstr>
  </property>
</Properties>
</file>