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4779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龙泉市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招商引资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中介奖励实施办法</w:t>
      </w:r>
    </w:p>
    <w:p w14:paraId="4D80D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征求意见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）</w:t>
      </w:r>
    </w:p>
    <w:p w14:paraId="7D6C3D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1EB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为深入推进招商引资工作，进一步拓展招引渠道，充分调动社会各界参与招商引资工作的积极性，创新招商方式，为我市引进具有引领性、支撑性的重大项目，促进龙泉经济高质量发展，特制定本办法。</w:t>
      </w:r>
    </w:p>
    <w:p w14:paraId="6F43A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奖励对象</w:t>
      </w:r>
    </w:p>
    <w:p w14:paraId="15B1D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（一）招商引资中介是指与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市投资促进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中心签订招商引资服务合作协议的境内外各类咨询机构、行业协会、商会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、企业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或其他组织等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2DF77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（二）项目投资方不列入中介机构奖励对象。</w:t>
      </w:r>
    </w:p>
    <w:p w14:paraId="48AE2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二、奖励条件</w:t>
      </w:r>
    </w:p>
    <w:p w14:paraId="7BCB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（一）申请奖励的招商引资项目需满足项目资金系引入龙泉市外、境外投资，且必须满足下列条件之一：</w:t>
      </w:r>
    </w:p>
    <w:p w14:paraId="1870D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1.内资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①符合浙江省、丽水市、龙泉市产业发展导向的鼓励和允许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的生态工业项目；②注册资金1000万元以上（含1000万元）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投资额达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1亿元以上（含1亿元），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投资额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根据投资合同签订总投资额确定，分期建设项目，按每期约定投资额为准；④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投资合同约定亩均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投资强度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亩均税收、产值等相关指标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不低于浙江省及龙泉市新增工业项目“标准地”相关标准的要求。</w:t>
      </w:r>
    </w:p>
    <w:p w14:paraId="1DEC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外资项目：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不区分产业，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实际投入到项目的资金100万美元以上，包括已落户龙泉项目新增扩股到位资金100万美元以上的项目。</w:t>
      </w:r>
      <w:bookmarkStart w:id="0" w:name="OLE_LINK10"/>
    </w:p>
    <w:bookmarkEnd w:id="0"/>
    <w:p w14:paraId="4C19A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服务业项目（批发业、零售业、其他营利性服务业）：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需符合相关部门上规上限要求的企业，零售业项目可含个体户。</w:t>
      </w:r>
    </w:p>
    <w:p w14:paraId="5F90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（二）有下列情况的，不属于奖励范围</w:t>
      </w:r>
    </w:p>
    <w:p w14:paraId="3260E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城市基础设施，房地产、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矿山资源采选和粗加工，光伏、风电、水电以及上级文件明确不列入招商引资考核的项目。</w:t>
      </w:r>
    </w:p>
    <w:p w14:paraId="16EB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三、奖励标准</w:t>
      </w:r>
    </w:p>
    <w:p w14:paraId="6EBF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内资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工业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项目</w:t>
      </w:r>
    </w:p>
    <w:p w14:paraId="21EC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1.投资方通过“标准地”方式取得的项目用地且土地挂牌价不低于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万元/亩的，每亩按1万元奖励。低于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万元/亩的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每亩按上述奖励标准按比例进行折算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</w:p>
    <w:p w14:paraId="2D986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2.以非“供地”方式落地的，并经市级主管部门认定为大项目的，给予中介10万元奖励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设置项目投资额奖励系数，对5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-10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（不含）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、10亿元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项目，分别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1.5、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倍系数奖励;</w:t>
      </w:r>
    </w:p>
    <w:p w14:paraId="40CC6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（二）</w:t>
      </w:r>
      <w:bookmarkStart w:id="1" w:name="OLE_LINK23"/>
      <w:bookmarkStart w:id="2" w:name="OLE_LINK22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外资项目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每实际投入到项目的资金100万美元以上，奖励5万元人民币。</w:t>
      </w:r>
      <w:bookmarkEnd w:id="1"/>
      <w:bookmarkEnd w:id="2"/>
    </w:p>
    <w:p w14:paraId="75DA738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（三）</w:t>
      </w:r>
      <w:bookmarkStart w:id="3" w:name="OLE_LINK27"/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服务业项目：</w:t>
      </w:r>
      <w:bookmarkEnd w:id="3"/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①批发业。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引进年销售额5-10亿元（不含）的批发企业，给予2万元奖励；年销售额10-20亿元（不含）的批发企业，给予5万元奖励；年销售额20-30亿元（不含）的批发企业，给予10万元奖励；年销售额30亿元以上的批发企业，给予20万元奖励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②零售业。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引进年销售额0.2-0.5亿元（不含）的零售企业，给予2万元奖励；引进年销售额0.5-1亿元（不含）的零售企业，给予5万元奖励；引进年销售额1-2亿元（不含）的零售企业，给予10万元奖励；引进年销售额2-3亿元（不含）的零售企业，给予15万元奖励；引进年销售额3亿元以上的零售企业，给予20万元奖励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eastAsia="zh-CN"/>
        </w:rPr>
        <w:t>③其他营利性服务业。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引进年营业收入0.2-0.5亿元（不含）的新开业上规服务业企业，给予3万元奖励；引进年营业收入0.5-1亿元（不含）的新开业上规服务业企业，给予5万元奖励；引进年营业收入1-2亿元（不含）的新开业上规服务业企业，给予10万元奖励；引进年营业收入2亿元以上的新开业上规服务业企业，给予20万元奖励。</w:t>
      </w:r>
    </w:p>
    <w:p w14:paraId="1F646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（四）主体质量奖励系数。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内外资工业项目投资方符合以下要求的，将计算出的奖励金额分别乘上相应的系数进行奖励。</w:t>
      </w:r>
    </w:p>
    <w:tbl>
      <w:tblPr>
        <w:tblStyle w:val="10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577"/>
        <w:gridCol w:w="1374"/>
      </w:tblGrid>
      <w:tr w14:paraId="2896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5" w:type="dxa"/>
            <w:vAlign w:val="center"/>
          </w:tcPr>
          <w:p w14:paraId="5DE2B97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577" w:type="dxa"/>
            <w:vAlign w:val="center"/>
          </w:tcPr>
          <w:p w14:paraId="184CA97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主体质量要求</w:t>
            </w:r>
          </w:p>
        </w:tc>
        <w:tc>
          <w:tcPr>
            <w:tcW w:w="1374" w:type="dxa"/>
            <w:vAlign w:val="center"/>
          </w:tcPr>
          <w:p w14:paraId="4AA9D7B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奖励系数</w:t>
            </w:r>
          </w:p>
        </w:tc>
      </w:tr>
      <w:tr w14:paraId="0AE9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95" w:type="dxa"/>
            <w:vAlign w:val="center"/>
          </w:tcPr>
          <w:p w14:paraId="5437C8C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77" w:type="dxa"/>
            <w:vAlign w:val="center"/>
          </w:tcPr>
          <w:p w14:paraId="5056E23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整体引进至我市的国家高新技术企业、省级“专精特新”中小企业、独角兽企业、隐形冠军企业</w:t>
            </w:r>
          </w:p>
        </w:tc>
        <w:tc>
          <w:tcPr>
            <w:tcW w:w="1374" w:type="dxa"/>
            <w:vAlign w:val="center"/>
          </w:tcPr>
          <w:p w14:paraId="7D1F859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</w:tr>
      <w:tr w14:paraId="0758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E52B4A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577" w:type="dxa"/>
            <w:vAlign w:val="center"/>
          </w:tcPr>
          <w:p w14:paraId="01344DC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公司上市地在境内除新三板以外的上市公司控股企业、国家级“专精特新”小巨人企业、独角兽企业、制造业单项冠军企业投资项目，国家重点实验室项目、入选国家火炬计划项目、具有国家级人才（团队）、人才科技平台的项目，央企一级子公司、省属国企</w:t>
            </w:r>
          </w:p>
        </w:tc>
        <w:tc>
          <w:tcPr>
            <w:tcW w:w="1374" w:type="dxa"/>
            <w:vAlign w:val="center"/>
          </w:tcPr>
          <w:p w14:paraId="514476D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</w:tr>
      <w:tr w14:paraId="3555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571C0E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77" w:type="dxa"/>
            <w:vAlign w:val="center"/>
          </w:tcPr>
          <w:p w14:paraId="05D007A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中国民营企业500强企业</w:t>
            </w:r>
          </w:p>
        </w:tc>
        <w:tc>
          <w:tcPr>
            <w:tcW w:w="1374" w:type="dxa"/>
            <w:vAlign w:val="center"/>
          </w:tcPr>
          <w:p w14:paraId="2CCE3A0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</w:tr>
      <w:tr w14:paraId="01DD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52B2E1B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577" w:type="dxa"/>
            <w:vAlign w:val="center"/>
          </w:tcPr>
          <w:p w14:paraId="71BD5DD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500强企业、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世界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500强企业</w:t>
            </w:r>
          </w:p>
        </w:tc>
        <w:tc>
          <w:tcPr>
            <w:tcW w:w="1374" w:type="dxa"/>
            <w:vAlign w:val="center"/>
          </w:tcPr>
          <w:p w14:paraId="1EBD071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</w:tr>
    </w:tbl>
    <w:p w14:paraId="036C5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trike/>
          <w:dstrike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单个项目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采取就高原则，不重复奖励，最高奖励不超过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100万元人民币。</w:t>
      </w:r>
    </w:p>
    <w:p w14:paraId="1317AC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奖励兑付</w:t>
      </w:r>
    </w:p>
    <w:p w14:paraId="460DB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（一）“标准地”方式落地内资工业项目奖励兑付流程:分两个阶段兑现:</w:t>
      </w:r>
    </w:p>
    <w:p w14:paraId="3092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第一阶段，项目取得施工许可证且自土建工程正式开工之日起一个月内，根据实际土地出让面积计算奖励金额的40%给予奖励;</w:t>
      </w:r>
    </w:p>
    <w:p w14:paraId="2B0A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第二阶段，项目整体根据合同（我市与投资方签订的入园协议）约定如期完成竣工验收之日起一个月内，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“双招双引”领导小组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领导小组办公室组织相关成员部门，根据中介提供的项目竣工验收资料进行审核后，给予剩余部分资金奖励。</w:t>
      </w:r>
    </w:p>
    <w:p w14:paraId="38E16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（二）非“供地”方式落地的内资工业项目奖励兑付流程：经市级主管部门认定为大项目且项目完成投产纳统上规后，奖励由中介方申请后一次性发放。</w:t>
      </w:r>
    </w:p>
    <w:p w14:paraId="4D810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（三）</w:t>
      </w:r>
      <w:bookmarkStart w:id="4" w:name="OLE_LINK24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外资项目以实际到位资金计算奖励，经经商局认定的外资实际到位后，奖励由中介方申请后一次性发放。</w:t>
      </w:r>
      <w:bookmarkEnd w:id="4"/>
    </w:p>
    <w:p w14:paraId="4E2EE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服务业项目以上规纳统为前提，并根据引进当年或次年的营业收入为认定依据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奖励由中介方申请后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性发放。</w:t>
      </w:r>
    </w:p>
    <w:p w14:paraId="0FB7B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（五）奖励资金由市财政局拨付到市投促中心，由市投促中心完成发放。</w:t>
      </w:r>
    </w:p>
    <w:p w14:paraId="28601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五、奖励程序</w:t>
      </w:r>
    </w:p>
    <w:p w14:paraId="0CAA0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  <w:lang w:eastAsia="zh-CN"/>
        </w:rPr>
        <w:t>组织机构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“双招双引”领导小组负责招商引资中介奖励的最终审核，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“双招双引”领导小组办公室负责日常事务。</w:t>
      </w:r>
    </w:p>
    <w:p w14:paraId="3758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（二）认定。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申请奖励的中介方需由领导小组办公室和投资方共同认定。中介方需提供投资方真实合法的资信证明材料，引荐投资方来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龙泉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进行考察，并全程参与项目洽谈至项目落地生效，为争取项目签约落地起到重要推动作用。</w:t>
      </w:r>
    </w:p>
    <w:p w14:paraId="0C8EC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（三）申报。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符合奖励申报条件的中介机构，在项目引进签订正式合同之日起一个月内到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“双招双引”领导小组办公室提出奖励申请，并提交以下材料：</w:t>
      </w:r>
    </w:p>
    <w:p w14:paraId="3BABE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中介方营业执照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eastAsia="zh-CN"/>
        </w:rPr>
        <w:t>（登记证书）、法定代表人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身份证复印件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；</w:t>
      </w:r>
    </w:p>
    <w:p w14:paraId="2D5A0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2.《龙泉市招商引资中介机构认定表》；</w:t>
      </w:r>
    </w:p>
    <w:p w14:paraId="4C13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3.《招商引资服务合作协议》；</w:t>
      </w:r>
    </w:p>
    <w:p w14:paraId="5D04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4.投资方及项目公司的营业执照复印件；</w:t>
      </w:r>
    </w:p>
    <w:p w14:paraId="444A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5.项目的招商引资合同复印件；</w:t>
      </w:r>
    </w:p>
    <w:p w14:paraId="29F61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6.中介机构若是两个及以上的，提供一份经各方签字盖章确认奖金分配比例的说明材料；</w:t>
      </w:r>
    </w:p>
    <w:p w14:paraId="35CC7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7.材料真实性申明；</w:t>
      </w:r>
    </w:p>
    <w:p w14:paraId="6A1F8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8.其他辅证材料。</w:t>
      </w:r>
    </w:p>
    <w:p w14:paraId="5785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auto"/>
          <w:kern w:val="0"/>
          <w:sz w:val="32"/>
          <w:szCs w:val="32"/>
        </w:rPr>
        <w:t>（四）审核。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由市“双招双引”领导小组办公室和行业主管部门共同负责对申报资料进行初审，初审意见提交领导小组审核。审核结果在龙泉市政府门户网站进行公示，公示时间为7个工作日。公示期满无异议领导小组报市政府同意后，市财政局予以拨付。</w:t>
      </w:r>
    </w:p>
    <w:p w14:paraId="42EE2F91">
      <w:pPr>
        <w:pStyle w:val="2"/>
        <w:tabs>
          <w:tab w:val="left" w:pos="35"/>
          <w:tab w:val="left" w:pos="8321"/>
        </w:tabs>
        <w:rPr>
          <w:rFonts w:hint="eastAsia"/>
          <w:lang w:val="en-US" w:eastAsia="zh-CN"/>
        </w:rPr>
      </w:pPr>
    </w:p>
    <w:p w14:paraId="6054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六、本办法自2025年*月*日起施行，原招商中介奖励政策《龙泉市生态工业项目招商中介机构奖励实施办法（试行）》(龙政办发〔2022〕49号)同时废止。</w:t>
      </w:r>
    </w:p>
    <w:p w14:paraId="1D59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napToGrid w:val="0"/>
          <w:color w:val="auto"/>
          <w:kern w:val="0"/>
          <w:sz w:val="32"/>
          <w:szCs w:val="32"/>
        </w:rPr>
      </w:pPr>
    </w:p>
    <w:p w14:paraId="1C753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587" w:right="1587" w:bottom="1474" w:left="158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附件：龙泉市招商引资中介机构认定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表</w:t>
      </w:r>
    </w:p>
    <w:p w14:paraId="6D7F95C2">
      <w:pPr>
        <w:spacing w:before="104" w:line="187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16"/>
          <w:sz w:val="32"/>
          <w:szCs w:val="32"/>
        </w:rPr>
        <w:t>附件</w:t>
      </w:r>
    </w:p>
    <w:p w14:paraId="2C8CD63F">
      <w:pPr>
        <w:spacing w:before="135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  <w:lang w:eastAsia="zh-CN"/>
        </w:rPr>
        <w:t>龙泉市招商引资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5"/>
          <w:sz w:val="44"/>
          <w:szCs w:val="44"/>
        </w:rPr>
        <w:t>中介机构认定表</w:t>
      </w:r>
    </w:p>
    <w:p w14:paraId="4815F22F">
      <w:p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填报时间：</w:t>
      </w:r>
    </w:p>
    <w:tbl>
      <w:tblPr>
        <w:tblStyle w:val="12"/>
        <w:tblW w:w="85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15"/>
        <w:gridCol w:w="466"/>
        <w:gridCol w:w="1758"/>
        <w:gridCol w:w="1113"/>
        <w:gridCol w:w="2724"/>
      </w:tblGrid>
      <w:tr w14:paraId="5917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31" w:type="dxa"/>
            <w:vMerge w:val="restart"/>
            <w:vAlign w:val="center"/>
          </w:tcPr>
          <w:p w14:paraId="20252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中介机构</w:t>
            </w:r>
          </w:p>
          <w:p w14:paraId="3E12A3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基本信息</w:t>
            </w:r>
          </w:p>
        </w:tc>
        <w:tc>
          <w:tcPr>
            <w:tcW w:w="1315" w:type="dxa"/>
            <w:vAlign w:val="center"/>
          </w:tcPr>
          <w:p w14:paraId="55149C37">
            <w:pPr>
              <w:spacing w:before="91"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  <w:t>称</w:t>
            </w:r>
          </w:p>
        </w:tc>
        <w:tc>
          <w:tcPr>
            <w:tcW w:w="2224" w:type="dxa"/>
            <w:gridSpan w:val="2"/>
            <w:vAlign w:val="center"/>
          </w:tcPr>
          <w:p w14:paraId="2479A3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2CB93D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24" w:type="dxa"/>
            <w:vAlign w:val="center"/>
          </w:tcPr>
          <w:p w14:paraId="5D3964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3D3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31" w:type="dxa"/>
            <w:vMerge w:val="continue"/>
            <w:vAlign w:val="center"/>
          </w:tcPr>
          <w:p w14:paraId="15BBFB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ind w:firstLine="278"/>
              <w:jc w:val="center"/>
              <w:rPr>
                <w:color w:val="auto"/>
              </w:rPr>
            </w:pPr>
          </w:p>
        </w:tc>
        <w:tc>
          <w:tcPr>
            <w:tcW w:w="1315" w:type="dxa"/>
            <w:vAlign w:val="center"/>
          </w:tcPr>
          <w:p w14:paraId="43628752">
            <w:pPr>
              <w:spacing w:before="244" w:line="581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position w:val="22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2224" w:type="dxa"/>
            <w:gridSpan w:val="2"/>
            <w:vAlign w:val="center"/>
          </w:tcPr>
          <w:p w14:paraId="6D30A2B6">
            <w:pPr>
              <w:spacing w:before="91" w:line="186" w:lineRule="auto"/>
              <w:ind w:firstLine="27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6A3D48E7">
            <w:pPr>
              <w:spacing w:before="91"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724" w:type="dxa"/>
            <w:vAlign w:val="center"/>
          </w:tcPr>
          <w:p w14:paraId="2486EEEF">
            <w:pPr>
              <w:spacing w:before="91" w:line="186" w:lineRule="auto"/>
              <w:ind w:firstLine="27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7"/>
                <w:sz w:val="24"/>
                <w:szCs w:val="24"/>
              </w:rPr>
            </w:pPr>
          </w:p>
        </w:tc>
      </w:tr>
      <w:tr w14:paraId="426C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1" w:type="dxa"/>
            <w:vAlign w:val="center"/>
          </w:tcPr>
          <w:p w14:paraId="097650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  <w:vAlign w:val="center"/>
          </w:tcPr>
          <w:p w14:paraId="2BDC0A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947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131" w:type="dxa"/>
            <w:vAlign w:val="center"/>
          </w:tcPr>
          <w:p w14:paraId="330F39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项目地址</w:t>
            </w:r>
          </w:p>
        </w:tc>
        <w:tc>
          <w:tcPr>
            <w:tcW w:w="7376" w:type="dxa"/>
            <w:gridSpan w:val="5"/>
            <w:vAlign w:val="center"/>
          </w:tcPr>
          <w:p w14:paraId="79F196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4AF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131" w:type="dxa"/>
            <w:vAlign w:val="center"/>
          </w:tcPr>
          <w:p w14:paraId="52F71B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  <w:p w14:paraId="7C9FDE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  <w:p w14:paraId="12E736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项目简介</w:t>
            </w:r>
          </w:p>
          <w:p w14:paraId="3796C1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30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0FA1F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04" w:lineRule="auto"/>
              <w:ind w:firstLine="38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5"/>
            <w:vAlign w:val="top"/>
          </w:tcPr>
          <w:p w14:paraId="1A4006EE">
            <w:pPr>
              <w:spacing w:before="224" w:line="18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（包括投资总额、用地规模、固定资产投资额、预计税收等）</w:t>
            </w:r>
          </w:p>
        </w:tc>
      </w:tr>
      <w:tr w14:paraId="2389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2912" w:type="dxa"/>
            <w:gridSpan w:val="3"/>
            <w:tcBorders>
              <w:bottom w:val="nil"/>
            </w:tcBorders>
            <w:vAlign w:val="top"/>
          </w:tcPr>
          <w:p w14:paraId="7B6DFED8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投资方意见：</w:t>
            </w:r>
          </w:p>
          <w:p w14:paraId="5C690110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此项目确系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引荐至</w:t>
            </w:r>
          </w:p>
          <w:p w14:paraId="399644CA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龙泉市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落户。</w:t>
            </w:r>
          </w:p>
          <w:p w14:paraId="1BA45629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</w:p>
          <w:p w14:paraId="2B1D32D5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210" w:firstLineChars="5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（签字盖章）</w:t>
            </w:r>
          </w:p>
        </w:tc>
        <w:tc>
          <w:tcPr>
            <w:tcW w:w="2871" w:type="dxa"/>
            <w:gridSpan w:val="2"/>
            <w:vAlign w:val="top"/>
          </w:tcPr>
          <w:p w14:paraId="65681B06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招引责任单位意见：</w:t>
            </w:r>
          </w:p>
          <w:p w14:paraId="49A7D821">
            <w:pPr>
              <w:widowControl/>
              <w:tabs>
                <w:tab w:val="right" w:pos="3564"/>
              </w:tabs>
              <w:kinsoku w:val="0"/>
              <w:autoSpaceDE w:val="0"/>
              <w:autoSpaceDN w:val="0"/>
              <w:adjustRightInd w:val="0"/>
              <w:snapToGrid w:val="0"/>
              <w:spacing w:before="1" w:line="460" w:lineRule="exact"/>
              <w:ind w:firstLine="15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</w:p>
          <w:p w14:paraId="5112E5B7">
            <w:pPr>
              <w:widowControl/>
              <w:tabs>
                <w:tab w:val="right" w:pos="3564"/>
              </w:tabs>
              <w:kinsoku w:val="0"/>
              <w:autoSpaceDE w:val="0"/>
              <w:autoSpaceDN w:val="0"/>
              <w:adjustRightInd w:val="0"/>
              <w:snapToGrid w:val="0"/>
              <w:spacing w:before="1" w:line="460" w:lineRule="exact"/>
              <w:ind w:firstLine="15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</w:p>
          <w:p w14:paraId="3DAF4E51">
            <w:pPr>
              <w:pStyle w:val="2"/>
              <w:tabs>
                <w:tab w:val="left" w:pos="35"/>
                <w:tab w:val="left" w:pos="8321"/>
              </w:tabs>
              <w:rPr>
                <w:rFonts w:hint="default" w:ascii="Times New Roman" w:hAnsi="Times New Roman" w:eastAsia="宋体" w:cs="Times New Roman"/>
                <w:color w:val="auto"/>
                <w:spacing w:val="0"/>
                <w:sz w:val="21"/>
                <w:szCs w:val="24"/>
                <w:lang w:eastAsia="zh-CN"/>
              </w:rPr>
            </w:pPr>
          </w:p>
          <w:p w14:paraId="2A2CC5AB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222" w:firstLineChars="50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（签字盖章）</w:t>
            </w:r>
          </w:p>
        </w:tc>
        <w:tc>
          <w:tcPr>
            <w:tcW w:w="2724" w:type="dxa"/>
            <w:vAlign w:val="top"/>
          </w:tcPr>
          <w:p w14:paraId="0ECEDCB9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eastAsia="zh-CN"/>
              </w:rPr>
              <w:t>行业主管部门意见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：</w:t>
            </w:r>
          </w:p>
          <w:p w14:paraId="79636526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</w:p>
          <w:p w14:paraId="3C746D07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</w:p>
          <w:p w14:paraId="5745549A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</w:p>
          <w:p w14:paraId="27FE5A44">
            <w:pPr>
              <w:keepNext w:val="0"/>
              <w:keepLines w:val="0"/>
              <w:pageBreakBefore w:val="0"/>
              <w:widowControl/>
              <w:tabs>
                <w:tab w:val="right" w:pos="356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60" w:lineRule="exact"/>
              <w:ind w:firstLine="1222" w:firstLineChars="505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（签字盖章）</w:t>
            </w:r>
          </w:p>
        </w:tc>
      </w:tr>
      <w:tr w14:paraId="476F8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8507" w:type="dxa"/>
            <w:gridSpan w:val="6"/>
            <w:vAlign w:val="top"/>
          </w:tcPr>
          <w:p w14:paraId="2E97EC49">
            <w:pPr>
              <w:spacing w:before="228" w:line="186" w:lineRule="auto"/>
              <w:ind w:firstLine="35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市“双招双引”领导小组办公室意见：</w:t>
            </w:r>
          </w:p>
          <w:p w14:paraId="069C8ABB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128305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（签字盖章）</w:t>
            </w:r>
          </w:p>
          <w:p w14:paraId="0FCB2B70">
            <w:pPr>
              <w:spacing w:before="91" w:line="186" w:lineRule="auto"/>
              <w:ind w:firstLine="6380" w:firstLineChars="29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日</w:t>
            </w:r>
          </w:p>
        </w:tc>
      </w:tr>
      <w:tr w14:paraId="1493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8507" w:type="dxa"/>
            <w:gridSpan w:val="6"/>
            <w:vAlign w:val="top"/>
          </w:tcPr>
          <w:p w14:paraId="07BF8A87">
            <w:pPr>
              <w:spacing w:before="228" w:line="186" w:lineRule="auto"/>
              <w:ind w:firstLine="35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市“双招双引”领导小组审核意见：</w:t>
            </w:r>
          </w:p>
          <w:p w14:paraId="4B88F95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AD16894">
            <w:pPr>
              <w:rPr>
                <w:color w:val="auto"/>
              </w:rPr>
            </w:pPr>
          </w:p>
          <w:p w14:paraId="5817406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</w:rPr>
              <w:t>（签字盖章）</w:t>
            </w:r>
          </w:p>
          <w:p w14:paraId="33BC5CC1">
            <w:pPr>
              <w:spacing w:before="91" w:line="186" w:lineRule="auto"/>
              <w:ind w:firstLine="6380" w:firstLineChars="2900"/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日</w:t>
            </w:r>
          </w:p>
        </w:tc>
      </w:tr>
    </w:tbl>
    <w:p w14:paraId="0D475F33">
      <w:pPr>
        <w:pStyle w:val="4"/>
        <w:rPr>
          <w:rFonts w:hint="default" w:ascii="仿宋_GB2312" w:eastAsia="仿宋_GB2312"/>
          <w:b w:val="0"/>
          <w:bCs/>
          <w:color w:val="auto"/>
          <w:spacing w:val="-2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50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9D6B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9D6B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10F3F"/>
    <w:rsid w:val="00F73133"/>
    <w:rsid w:val="02571C51"/>
    <w:rsid w:val="05A95EF0"/>
    <w:rsid w:val="0B745622"/>
    <w:rsid w:val="19257F5C"/>
    <w:rsid w:val="22B16A59"/>
    <w:rsid w:val="299F265E"/>
    <w:rsid w:val="2E310F3F"/>
    <w:rsid w:val="3E650C7F"/>
    <w:rsid w:val="40ED0AAF"/>
    <w:rsid w:val="5DDE3097"/>
    <w:rsid w:val="60867FEA"/>
    <w:rsid w:val="664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00" w:lineRule="exact"/>
      <w:ind w:firstLine="420"/>
    </w:pPr>
    <w:rPr>
      <w:rFonts w:ascii="Times New Roman" w:hAnsi="Times New Roman"/>
      <w:kern w:val="0"/>
      <w:sz w:val="28"/>
      <w:szCs w:val="28"/>
    </w:rPr>
  </w:style>
  <w:style w:type="paragraph" w:styleId="3">
    <w:name w:val="Body Text"/>
    <w:basedOn w:val="1"/>
    <w:next w:val="2"/>
    <w:unhideWhenUsed/>
    <w:qFormat/>
    <w:uiPriority w:val="99"/>
    <w:pPr>
      <w:spacing w:line="560" w:lineRule="exact"/>
    </w:pPr>
    <w:rPr>
      <w:rFonts w:ascii="宋体" w:hAnsi="宋体"/>
      <w:sz w:val="32"/>
      <w:szCs w:val="24"/>
    </w:rPr>
  </w:style>
  <w:style w:type="paragraph" w:styleId="4">
    <w:name w:val="Body Text First Indent 2"/>
    <w:basedOn w:val="5"/>
    <w:qFormat/>
    <w:uiPriority w:val="99"/>
    <w:pPr>
      <w:ind w:firstLine="420"/>
    </w:pPr>
    <w:rPr>
      <w:color w:val="000000"/>
      <w:lang w:eastAsia="en-US" w:bidi="en-US"/>
    </w:rPr>
  </w:style>
  <w:style w:type="paragraph" w:styleId="5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2906</Words>
  <Characters>3047</Characters>
  <Lines>0</Lines>
  <Paragraphs>0</Paragraphs>
  <TotalTime>14</TotalTime>
  <ScaleCrop>false</ScaleCrop>
  <LinksUpToDate>false</LinksUpToDate>
  <CharactersWithSpaces>3308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2025-04-25T03:47:00Z</dcterms:created>
  <dc:creator>LLF</dc:creator>
  <cp:lastModifiedBy>LLF</cp:lastModifiedBy>
  <dcterms:modified xsi:type="dcterms:W3CDTF">2025-04-30T08:54:32Z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FCFD52349DE94623A617B74B9B0DA3B7_11</vt:lpwstr>
  </property>
  <property fmtid="{D5CDD505-2E9C-101B-9397-08002B2CF9AE}" pid="4" name="KSOTemplateDocerSaveRecord">
    <vt:lpwstr>eyJoZGlkIjoiMjJiZTI5NTI4ZTMyYmRmYTVhNjZlNmVlNjk5MGU2NDgiLCJ1c2VySWQiOiI1ODAwNzczNDgifQ==</vt:lpwstr>
  </property>
</Properties>
</file>