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D5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关于加快大企业培育的实施意见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</w:t>
      </w:r>
    </w:p>
    <w:p w14:paraId="7637D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起草说明</w:t>
      </w:r>
    </w:p>
    <w:bookmarkEnd w:id="0"/>
    <w:p w14:paraId="4ED6B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53758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起草背景</w:t>
      </w:r>
    </w:p>
    <w:p w14:paraId="3CCDAEE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18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  <w:t>培育一批</w:t>
      </w:r>
      <w:r>
        <w:rPr>
          <w:rFonts w:hint="eastAsia" w:ascii="Times New Roman" w:hAnsi="Times New Roman" w:eastAsia="仿宋_GB2312"/>
          <w:color w:val="000000" w:themeColor="text1"/>
          <w:sz w:val="32"/>
          <w:szCs w:val="18"/>
          <w:lang w:eastAsia="zh-CN"/>
          <w14:textFill>
            <w14:solidFill>
              <w14:schemeClr w14:val="tx1"/>
            </w14:solidFill>
          </w14:textFill>
        </w:rPr>
        <w:t>龙泉</w:t>
      </w:r>
      <w:r>
        <w:rPr>
          <w:rFonts w:hint="eastAsia" w:ascii="Times New Roman" w:hAnsi="Times New Roman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  <w:t>特色标志性产业链、壮大一批具有核心竞争力的企业集团，推动制造业质量变革、效率变革和动力变革，努力构建</w:t>
      </w:r>
      <w:r>
        <w:rPr>
          <w:rFonts w:hint="eastAsia" w:ascii="Times New Roman" w:hAnsi="Times New Roman" w:eastAsia="仿宋_GB2312"/>
          <w:color w:val="000000" w:themeColor="text1"/>
          <w:sz w:val="32"/>
          <w:szCs w:val="18"/>
          <w:lang w:eastAsia="zh-CN"/>
          <w14:textFill>
            <w14:solidFill>
              <w14:schemeClr w14:val="tx1"/>
            </w14:solidFill>
          </w14:textFill>
        </w:rPr>
        <w:t>现代化生态工业体系</w:t>
      </w:r>
      <w:r>
        <w:rPr>
          <w:rFonts w:hint="eastAsia" w:ascii="Times New Roman" w:hAnsi="Times New Roman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加快实现</w:t>
      </w:r>
      <w:r>
        <w:rPr>
          <w:rFonts w:hint="eastAsia" w:ascii="仿宋_GB2312" w:hAnsi="仿宋_GB2312" w:eastAsia="仿宋_GB2312" w:cs="仿宋_GB2312"/>
          <w:sz w:val="32"/>
          <w:szCs w:val="40"/>
        </w:rPr>
        <w:t>“全面复兴剑瓷之都，奋力打造品质龙泉”战略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目标，</w:t>
      </w:r>
      <w:r>
        <w:rPr>
          <w:rFonts w:hint="eastAsia" w:ascii="仿宋_GB2312" w:hAnsi="仿宋_GB2312" w:eastAsia="仿宋_GB2312" w:cs="仿宋_GB2312"/>
          <w:sz w:val="32"/>
          <w:szCs w:val="40"/>
        </w:rPr>
        <w:t>结合我市生态工业发展实际，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40"/>
        </w:rPr>
        <w:t>制订本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实施意见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45143A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框架内容</w:t>
      </w:r>
    </w:p>
    <w:p w14:paraId="4A55A90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 《意见》总共分为6个部分：指导思想、基本原则、培育目标、培育对象、扶持政策保障措施。</w:t>
      </w:r>
    </w:p>
    <w:p w14:paraId="00352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（一）指导思想：</w:t>
      </w:r>
      <w:r>
        <w:rPr>
          <w:rFonts w:hint="eastAsia" w:ascii="仿宋_GB2312" w:hAnsi="仿宋_GB2312" w:eastAsia="仿宋_GB2312" w:cs="仿宋_GB2312"/>
          <w:sz w:val="32"/>
          <w:szCs w:val="40"/>
        </w:rPr>
        <w:t>坚持以习近平新时代中国特色社会主义思想理论和“两山”理念为指导，聚焦“全面复兴剑瓷之都，奋力打造品质龙泉”战略定位，抢抓长三角一体化发展、省委“一县一策”支持山区 26 县跨越式高质量发展等政策机遇，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集中资源要素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加快企业梯度培育，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实现生态工业高质量绿色发展。</w:t>
      </w:r>
    </w:p>
    <w:p w14:paraId="10A57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（二）基本原则：</w:t>
      </w:r>
      <w:r>
        <w:rPr>
          <w:rFonts w:hint="eastAsia" w:ascii="仿宋_GB2312" w:hAnsi="仿宋_GB2312" w:eastAsia="仿宋_GB2312" w:cs="仿宋_GB2312"/>
          <w:sz w:val="32"/>
          <w:szCs w:val="40"/>
        </w:rPr>
        <w:t>市场主导与政府引导相结合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提升规模与优化结构相结合；重点培育与动态调整相结合。</w:t>
      </w:r>
    </w:p>
    <w:p w14:paraId="38A2A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（三）培育目标：</w:t>
      </w:r>
      <w:r>
        <w:rPr>
          <w:rFonts w:hint="eastAsia" w:ascii="仿宋_GB2312" w:hAnsi="仿宋_GB2312" w:eastAsia="仿宋_GB2312" w:cs="仿宋_GB2312"/>
          <w:sz w:val="32"/>
          <w:szCs w:val="40"/>
        </w:rPr>
        <w:t>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2028</w:t>
      </w:r>
      <w:r>
        <w:rPr>
          <w:rFonts w:hint="eastAsia" w:ascii="仿宋_GB2312" w:hAnsi="仿宋_GB2312" w:eastAsia="仿宋_GB2312" w:cs="仿宋_GB2312"/>
          <w:sz w:val="32"/>
          <w:szCs w:val="40"/>
        </w:rPr>
        <w:t>年，培育一批主业突出、创新能力强、拥有自主知识产权和知名品牌、核心竞争力强、带动作用明显的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龙头</w:t>
      </w:r>
      <w:r>
        <w:rPr>
          <w:rFonts w:hint="eastAsia" w:ascii="仿宋_GB2312" w:hAnsi="仿宋_GB2312" w:eastAsia="仿宋_GB2312" w:cs="仿宋_GB2312"/>
          <w:sz w:val="32"/>
          <w:szCs w:val="40"/>
        </w:rPr>
        <w:t>企业，对我市工业经济的贡献率进一步提升。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力争列入培育计划的企业产值年均增长15%以上，新增10亿元</w:t>
      </w:r>
      <w:r>
        <w:rPr>
          <w:rFonts w:hint="eastAsia" w:ascii="仿宋_GB2312" w:hAnsi="仿宋_GB2312" w:eastAsia="仿宋_GB2312" w:cs="仿宋_GB2312"/>
          <w:sz w:val="32"/>
          <w:szCs w:val="40"/>
        </w:rPr>
        <w:t>企业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家以上，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5亿元企业10家。</w:t>
      </w:r>
    </w:p>
    <w:p w14:paraId="3B104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（四）培育对象：</w:t>
      </w:r>
    </w:p>
    <w:p w14:paraId="7F800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1.企业规模达到以下要求之一：上年度产值3亿元以上；上年度产值1亿元以上且近三年产值年均增速10%以上；上年度产值列“1+3”产业链前3位。</w:t>
      </w:r>
    </w:p>
    <w:p w14:paraId="3DF18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2.发展基础扎实，具有较完备的发展战略和规划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。培育企业需要与政府签订承诺书，明确未来三年的产值、税收、投资等目标。</w:t>
      </w:r>
    </w:p>
    <w:p w14:paraId="0B6E4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3.创新能力较强，研发投入占主营业务收入比重高于行业平均水平，</w:t>
      </w:r>
      <w:r>
        <w:rPr>
          <w:rFonts w:hint="eastAsia" w:ascii="仿宋_GB2312" w:hAnsi="仿宋_GB2312" w:eastAsia="仿宋_GB2312" w:cs="仿宋_GB2312"/>
          <w:sz w:val="32"/>
          <w:szCs w:val="40"/>
        </w:rPr>
        <w:t>拥有省级以上企业技术中心（研发中心、研究院、设计中心）等机构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优先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583E0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.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近三年</w:t>
      </w:r>
      <w:r>
        <w:rPr>
          <w:rFonts w:hint="eastAsia" w:ascii="仿宋_GB2312" w:hAnsi="仿宋_GB2312" w:eastAsia="仿宋_GB2312" w:cs="仿宋_GB2312"/>
          <w:sz w:val="32"/>
          <w:szCs w:val="40"/>
        </w:rPr>
        <w:t>未发生重大环保、安全生产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质量</w:t>
      </w:r>
      <w:r>
        <w:rPr>
          <w:rFonts w:hint="eastAsia" w:ascii="仿宋_GB2312" w:hAnsi="仿宋_GB2312" w:eastAsia="仿宋_GB2312" w:cs="仿宋_GB2312"/>
          <w:sz w:val="32"/>
          <w:szCs w:val="40"/>
        </w:rPr>
        <w:t>事故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和严重失信行为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288E8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（五）扶持政策：</w:t>
      </w:r>
    </w:p>
    <w:p w14:paraId="51B1C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1.强化财政资金扶持。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对三年内实现产值及营业收入翻番目标的企业（以2025年数据为基准，下同），且产值达10亿元、7亿元、5亿元、3亿元以上的给予奖励600万元、400万元、200万、120万元。（该政策与《龙泉市关于加快推进生态工业高质量绿色发展的若干政策》（龙政发【2024】13号）文件序号2“鼓励做大规模”不重复享受。企业产值以单个企业计算，不含集团。）</w:t>
      </w:r>
    </w:p>
    <w:p w14:paraId="79244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2.支持企业创新能力提升。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强化企业创新主体作用，促进创新资源合理配置和高效利用，加速科技创新成果转化。鼓励企业加大科研经费投入，加强关键环节科研攻关。支持企业建设国家级、省级企业技术中心（研发中心）、重点实验室、工程中心、研究院等创新主体。鼓励企业与高校、科研院所通过智力投入、技术转移、团队合作等多种形式开展合作，促进优质科技资源互利共享。</w:t>
      </w:r>
    </w:p>
    <w:p w14:paraId="161D6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3.支持企业数字化智能化绿色化改造。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鼓励企业加大智能制造投入，提高智能制造水平，开发智能化新产品。引导企业应用智能化、网络化新技术新装备，提升企业装备水平，发展联网协同、智能管控、大数据服务等新型制造模式。大力推进新一代信息技术与制造业深度融合，培育工业互联网平台，实施“5G+工业互联网”等融合发展工程，实现设计研发、内部管理、生产过程、品牌营销、安全生产等环节的信息技术应用。推进企业绿色发展，支持开展绿色低碳工厂、绿色产品、节水型企业、清洁生产、无废工厂等建设。</w:t>
      </w:r>
    </w:p>
    <w:p w14:paraId="76AF5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4.支持企业品牌建设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推进企业导入卓越绩效管理、精细化管理等先进质量管理方法，支持争创各级政府质量奖。指导企业加强知识产权管理，加大专利、商标、品牌培育。鼓励和支持企业将技术创新成果转化为技术标准，进一步转化为团体标准，实现“区域品牌、支柱产业、产业链、龙头企业”联动提升发展，指导企业积极开展绿色产品、“品字标”、丽水山耕等各项认证。支持企业加大品牌宣传推广投入，做优品质、做大品牌，实现品牌产品系列化。强化工业产品生产许可证和强制性认证产品管理，引导有条件的企业建设通过国家实验室认可的企业实验室。</w:t>
      </w:r>
    </w:p>
    <w:p w14:paraId="0670F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5.支持企业兼并重组。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围绕产业链重点环节，鼓励企业开展兼并重组和投资合作，重点支持细分领域延链、补链的并购项目。加大对兼并重组的金融支持，鼓励金融机构在依法合规和风险可控的前提下提供发放并购贷款。引导企业利用资本市场和多种金融工具进行兼并重组，采取收购、参股、联合等多种形式，推动企业规模扩张、转型发展。</w:t>
      </w:r>
    </w:p>
    <w:p w14:paraId="406D5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6.支持企业拓展市场。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支持企业参加境内外各类国际性展会。支持引进和培育外贸综合服务企业。支持企业建设海外仓，引导企业开展跨境电商业务。鼓励企业开展国际认证、出口品牌认定、文化出口重点企业认定。引导企业积极防范和应对贸易风险。鼓励企业开展境外投资，拓展海外市场。</w:t>
      </w:r>
    </w:p>
    <w:p w14:paraId="61F69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7.支持企业人才队伍建设。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加强企业家队伍建设，不断提升企业家的战略眼光、管理水平、创新能力、创业魄力。支持企业积极与国内外大中专院校建立人才培引战略合作关系，开展联合办学（班）、定向委培学历班。开通技能人才评价“绿色通道”，鼓励用人主体结合生产一线开展职业技能等级自主认定工作。为企业人才提供教育、医疗、住房等便利化政策。</w:t>
      </w:r>
    </w:p>
    <w:p w14:paraId="4BD93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8.拓宽企业融资渠道。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发挥金融顾问专业优势，为企业合理运用金融工具、优化融资结构、防范金融风险提供咨询服务；鼓励企业通过债务融资、股权融资、并购重组等多样化的融资方式获取资金。</w:t>
      </w:r>
    </w:p>
    <w:p w14:paraId="6C1E5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9.强化企业要素保障。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优化配置土地、能源、能耗、排放等要素资源。支持企业提高入地利用率和产出率，在符合规划、不改变用途的情况下，允许培育企业提高开发建设强度，简化审批程序。优先推荐培育企业向上争取国家、省各类扶持政策。</w:t>
      </w:r>
    </w:p>
    <w:p w14:paraId="10BB0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10.支持产业龙头带动。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按照“强龙头、补链条、聚集群”产业发展思路，突出龙头企业带动作用，补齐短板，通过强链补链延链，壮大优势产业集群。鼓励龙头企业通过外部、采购、协作等方式带动中小企业实现产业协同发展。</w:t>
      </w:r>
    </w:p>
    <w:p w14:paraId="47D32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（六）保障措施：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加强组织领导；强化精准服务；加强宣传引导。</w:t>
      </w:r>
    </w:p>
    <w:p w14:paraId="44B1CC33">
      <w:pPr>
        <w:pStyle w:val="6"/>
        <w:adjustRightInd w:val="0"/>
        <w:snapToGrid w:val="0"/>
        <w:spacing w:before="0" w:beforeAutospacing="0" w:after="0" w:afterAutospacing="0" w:line="600" w:lineRule="exact"/>
        <w:ind w:firstLine="675" w:firstLineChars="210"/>
        <w:jc w:val="both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发文形式说明</w:t>
      </w:r>
    </w:p>
    <w:p w14:paraId="5023CFD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72" w:firstLineChars="21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《关于加快大企业培育的实施意见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》经市政府常务会审议通过后，以市政府名义发文实施。</w:t>
      </w:r>
    </w:p>
    <w:p w14:paraId="0B4B4AD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58976">
    <w:pPr>
      <w:pStyle w:val="5"/>
      <w:jc w:val="center"/>
      <w:rPr>
        <w:rFonts w:ascii="宋体" w:hAnsi="宋体" w:eastAsia="宋体" w:cs="宋体"/>
        <w:b/>
        <w:bCs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36BBD73">
                          <w:pPr>
                            <w:pStyle w:val="5"/>
                            <w:jc w:val="center"/>
                            <w:rPr>
                              <w:rFonts w:ascii="宋体" w:hAnsi="宋体" w:eastAsia="宋体" w:cs="宋体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1"/>
                              <w:szCs w:val="21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1"/>
                              <w:szCs w:val="21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  <w:p w14:paraId="31FC94D1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6BBD73">
                    <w:pPr>
                      <w:pStyle w:val="5"/>
                      <w:jc w:val="center"/>
                      <w:rPr>
                        <w:rFonts w:ascii="宋体" w:hAnsi="宋体" w:eastAsia="宋体" w:cs="宋体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1"/>
                        <w:szCs w:val="21"/>
                      </w:rPr>
                      <w:instrText xml:space="preserve">PAGE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z w:val="21"/>
                        <w:szCs w:val="21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1"/>
                        <w:szCs w:val="21"/>
                      </w:rPr>
                      <w:fldChar w:fldCharType="end"/>
                    </w:r>
                  </w:p>
                  <w:p w14:paraId="31FC94D1">
                    <w:pPr>
                      <w:pStyle w:val="3"/>
                    </w:pPr>
                  </w:p>
                </w:txbxContent>
              </v:textbox>
            </v:rect>
          </w:pict>
        </mc:Fallback>
      </mc:AlternateContent>
    </w:r>
  </w:p>
  <w:p w14:paraId="5BCC1ECA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98EB4"/>
    <w:multiLevelType w:val="singleLevel"/>
    <w:tmpl w:val="A0E98E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27925"/>
    <w:rsid w:val="2552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420" w:firstLineChars="200"/>
      <w:jc w:val="both"/>
    </w:pPr>
    <w:rPr>
      <w:rFonts w:hint="eastAsia" w:ascii="Times New Roman" w:hAnsi="Times New Roman" w:eastAsia="Times New Roman" w:cs="Times New Roman"/>
      <w:kern w:val="2"/>
      <w:sz w:val="32"/>
      <w:lang w:val="en-US" w:eastAsia="zh-CN" w:bidi="ar-SA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99"/>
    <w:pPr>
      <w:spacing w:line="500" w:lineRule="exact"/>
      <w:ind w:firstLine="420" w:firstLineChars="200"/>
    </w:pPr>
    <w:rPr>
      <w:sz w:val="28"/>
      <w:szCs w:val="2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2025-09-17T02:16:00Z</dcterms:created>
  <dc:creator>张旭</dc:creator>
  <cp:lastModifiedBy>张旭</cp:lastModifiedBy>
  <dcterms:modified xsi:type="dcterms:W3CDTF">2025-09-17T02:35:49Z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CB98EA0271434E00878407DDE20E5E5D_11</vt:lpwstr>
  </property>
  <property fmtid="{D5CDD505-2E9C-101B-9397-08002B2CF9AE}" pid="4" name="KSOTemplateDocerSaveRecord">
    <vt:lpwstr>eyJoZGlkIjoiMDg1ZGEwNDE4M2FhZjhjMjFjMzk3NWJiNGJhODJiYWQiLCJ1c2VySWQiOiIyMjg1NDM4MjMifQ==</vt:lpwstr>
  </property>
</Properties>
</file>