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《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龙泉市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生产安全事故应急预案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（征求意见稿）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龙泉市应急管理局</w:t>
      </w:r>
    </w:p>
    <w:p>
      <w:pPr>
        <w:pStyle w:val="2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现就龙泉市应急管理局起草的《龙泉市生产安全事故应急预案（征求意见稿）》有关情况说明如下：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一、制定本文件的必要性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以习近平新时代中国特色社会主义思想为指导，贯彻落实习近平总书记关于安全生产和应急管理的重要论述精神，健全全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生产安全事故应对工作体制机制，依法、科学、高效、有序处置生产安全事故，最大程度减少各类生产安全事故带来的人员伤亡和财产损失，维护人民群众的生命财产安全和社会安全稳定。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《意见》起草工作于2025年3月正式启动。我局牵头组织专家对《意见》制定的必要性、可行性进行了调研论证；经局属各科室讨论和领导审批，并根据省、市及周边各县（市）相关文件，结合龙泉实际，起草了《意见》（征求意见稿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2025年3月24日至4月24日，在龙泉市政府门户网站“调查征集”栏目公开征求社会公众意见。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/>
        </w:rPr>
        <w:t>三、拟规定的主要制度和拟采取的主要措施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《意见》分为八大部分。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第一部分总则。包括编制目的、编制依据、适用范围和工作原则。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第二部分为生产安全事故分级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。根据生产安全事故造成的人员伤亡或者直接经济损失，事故分为特别重大、重大、较大和一般4个级别。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第三部分应急组织指挥体系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应急指挥机构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市专项指挥机构、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现场指挥部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其他基层生产安全事故应急组织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应急救援专家组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生产经营单位应急组织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第四部分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预防与预警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包括了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预警行动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部分应急处置</w:t>
      </w:r>
      <w:r>
        <w:rPr>
          <w:rFonts w:hint="eastAsia" w:cs="仿宋_GB2312"/>
          <w:sz w:val="32"/>
          <w:szCs w:val="32"/>
          <w:lang w:val="en-US" w:eastAsia="zh-CN"/>
        </w:rPr>
        <w:t>。包括信息报告、先期处置、应急响应、现场指挥、现场处置、信息发布、响应终止。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后期处置。包括善后处置、社会救助、调查评估、恢复重建、奖励与责任追究。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cs="仿宋_GB2312"/>
          <w:sz w:val="32"/>
          <w:szCs w:val="32"/>
          <w:lang w:val="en-US" w:eastAsia="zh-CN"/>
        </w:rPr>
      </w:pPr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保障措施</w:t>
      </w:r>
      <w:r>
        <w:rPr>
          <w:rFonts w:hint="eastAsia" w:cs="仿宋_GB2312"/>
          <w:sz w:val="32"/>
          <w:szCs w:val="32"/>
          <w:lang w:val="en-US" w:eastAsia="zh-CN"/>
        </w:rPr>
        <w:t>。包括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应急队伍保障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物资装备保障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资金保障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医疗卫生保障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交通运输保障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通信与信息保障</w:t>
      </w:r>
      <w:bookmarkStart w:id="4" w:name="_GoBack"/>
      <w:bookmarkEnd w:id="4"/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治安维护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科技支撑</w:t>
      </w:r>
      <w:r>
        <w:rPr>
          <w:rFonts w:hint="eastAsia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部分预案管理。包括预案修订、宣传和培训、应急演练、名词术语解释、预案实施。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、其他需要说明的情况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cs="仿宋_GB2312"/>
          <w:sz w:val="32"/>
          <w:szCs w:val="32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班子会集体讨论后，由</w:t>
      </w:r>
      <w:r>
        <w:rPr>
          <w:rFonts w:hint="eastAsia" w:cs="仿宋_GB2312"/>
          <w:sz w:val="32"/>
          <w:szCs w:val="32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发文。在印发之日起7个工作日内在政府网站上公开发布。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070E"/>
    <w:rsid w:val="17F5070E"/>
    <w:rsid w:val="61162187"/>
    <w:rsid w:val="6FA46082"/>
    <w:rsid w:val="70692BD1"/>
    <w:rsid w:val="76863F6A"/>
    <w:rsid w:val="7EA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 w:line="500" w:lineRule="exact"/>
      <w:ind w:firstLine="420"/>
    </w:pPr>
    <w:rPr>
      <w:rFonts w:ascii="仿宋_GB2312" w:hAnsi="仿宋_GB2312" w:eastAsia="仿宋_GB2312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cs="Times New Roman"/>
      <w:sz w:val="24"/>
      <w:szCs w:val="24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Body Text First Indent 2"/>
    <w:basedOn w:val="4"/>
    <w:qFormat/>
    <w:uiPriority w:val="99"/>
    <w:pPr>
      <w:ind w:firstLine="420"/>
    </w:pPr>
    <w:rPr>
      <w:color w:val="00000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2023-12-05T08:29:00Z</dcterms:created>
  <dc:creator>Zly</dc:creator>
  <cp:lastModifiedBy>一个亿</cp:lastModifiedBy>
  <dcterms:modified xsi:type="dcterms:W3CDTF">2025-03-24T08:58:02Z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