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5EF7">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hAnsi="方正小标宋_GBK" w:eastAsia="方正小标宋_GBK" w:cs="方正小标宋_GBK"/>
          <w:spacing w:val="-6"/>
          <w:sz w:val="36"/>
          <w:szCs w:val="36"/>
        </w:rPr>
      </w:pPr>
      <w:bookmarkStart w:id="0" w:name="_GoBack"/>
      <w:r>
        <w:rPr>
          <w:rFonts w:hint="eastAsia" w:ascii="方正小标宋_GBK" w:hAnsi="方正小标宋_GBK" w:eastAsia="方正小标宋_GBK" w:cs="方正小标宋_GBK"/>
          <w:b w:val="0"/>
          <w:bCs w:val="0"/>
          <w:spacing w:val="-6"/>
          <w:sz w:val="36"/>
          <w:szCs w:val="36"/>
        </w:rPr>
        <w:t>关于《</w:t>
      </w:r>
      <w:r>
        <w:rPr>
          <w:rFonts w:hint="eastAsia" w:ascii="方正小标宋_GBK" w:hAnsi="方正小标宋_GBK" w:eastAsia="方正小标宋_GBK" w:cs="方正小标宋_GBK"/>
          <w:b w:val="0"/>
          <w:bCs w:val="0"/>
          <w:spacing w:val="-6"/>
          <w:sz w:val="36"/>
          <w:szCs w:val="36"/>
          <w:lang w:val="en-US" w:eastAsia="zh-CN"/>
        </w:rPr>
        <w:t>关于</w:t>
      </w:r>
      <w:r>
        <w:rPr>
          <w:rFonts w:hint="eastAsia" w:ascii="方正小标宋_GBK" w:hAnsi="方正小标宋_GBK" w:eastAsia="方正小标宋_GBK" w:cs="方正小标宋_GBK"/>
          <w:b w:val="0"/>
          <w:bCs w:val="0"/>
          <w:spacing w:val="-6"/>
          <w:sz w:val="36"/>
          <w:szCs w:val="36"/>
        </w:rPr>
        <w:t>龙泉安泽园公墓建设项目公益性墓穴使用收费标准的通知》</w:t>
      </w:r>
      <w:r>
        <w:rPr>
          <w:rFonts w:hint="eastAsia" w:ascii="方正小标宋_GBK" w:hAnsi="方正小标宋_GBK" w:eastAsia="方正小标宋_GBK" w:cs="方正小标宋_GBK"/>
          <w:b w:val="0"/>
          <w:bCs w:val="0"/>
          <w:sz w:val="36"/>
          <w:szCs w:val="36"/>
          <w:lang w:eastAsia="zh-CN"/>
        </w:rPr>
        <w:t>（</w:t>
      </w:r>
      <w:r>
        <w:rPr>
          <w:rFonts w:hint="eastAsia" w:ascii="方正小标宋_GBK" w:hAnsi="方正小标宋_GBK" w:eastAsia="方正小标宋_GBK" w:cs="方正小标宋_GBK"/>
          <w:b w:val="0"/>
          <w:bCs w:val="0"/>
          <w:sz w:val="36"/>
          <w:szCs w:val="36"/>
          <w:lang w:val="en" w:eastAsia="zh-CN"/>
        </w:rPr>
        <w:t>征求意见稿）</w:t>
      </w:r>
      <w:r>
        <w:rPr>
          <w:rFonts w:hint="eastAsia" w:ascii="方正小标宋_GBK" w:hAnsi="方正小标宋_GBK" w:eastAsia="方正小标宋_GBK" w:cs="方正小标宋_GBK"/>
          <w:b w:val="0"/>
          <w:bCs w:val="0"/>
          <w:spacing w:val="-6"/>
          <w:sz w:val="36"/>
          <w:szCs w:val="36"/>
        </w:rPr>
        <w:t>的起草说明</w:t>
      </w:r>
    </w:p>
    <w:bookmarkEnd w:id="0"/>
    <w:p w14:paraId="08F13A8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spacing w:val="-6"/>
        </w:rPr>
      </w:pPr>
    </w:p>
    <w:p w14:paraId="7929F0FA">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eastAsia="zh-CN"/>
        </w:rPr>
        <w:t>龙泉市发展和改革局体制改革和价格科</w:t>
      </w:r>
      <w:r>
        <w:rPr>
          <w:rFonts w:hint="eastAsia" w:ascii="仿宋_GB2312" w:hAnsi="仿宋_GB2312" w:eastAsia="仿宋_GB2312" w:cs="仿宋_GB2312"/>
          <w:sz w:val="32"/>
          <w:szCs w:val="32"/>
        </w:rPr>
        <w:t>起草的《</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龙泉安泽园公墓建设项目公益性墓穴使用收费标准的通知》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 w:eastAsia="zh-CN"/>
        </w:rPr>
        <w:t>征求意见稿）</w:t>
      </w:r>
      <w:r>
        <w:rPr>
          <w:rFonts w:hint="eastAsia" w:ascii="仿宋_GB2312" w:hAnsi="仿宋_GB2312" w:eastAsia="仿宋_GB2312" w:cs="仿宋_GB2312"/>
          <w:sz w:val="32"/>
          <w:szCs w:val="32"/>
        </w:rPr>
        <w:t xml:space="preserve">有关情况说明如下： </w:t>
      </w:r>
    </w:p>
    <w:p w14:paraId="63D2C018">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16" w:firstLineChars="200"/>
        <w:jc w:val="both"/>
        <w:textAlignment w:val="auto"/>
        <w:rPr>
          <w:rFonts w:hint="default" w:ascii="黑体" w:hAnsi="黑体" w:eastAsia="黑体" w:cs="黑体"/>
          <w:spacing w:val="-6"/>
          <w:sz w:val="32"/>
          <w:szCs w:val="40"/>
          <w:lang w:val="en-US" w:eastAsia="zh-CN"/>
        </w:rPr>
      </w:pPr>
      <w:r>
        <w:rPr>
          <w:rFonts w:hint="eastAsia" w:ascii="黑体" w:hAnsi="黑体" w:eastAsia="黑体" w:cs="黑体"/>
          <w:spacing w:val="-6"/>
          <w:sz w:val="32"/>
          <w:szCs w:val="40"/>
          <w:lang w:val="en-US" w:eastAsia="zh-CN"/>
        </w:rPr>
        <w:t xml:space="preserve">一、起草背景及依据    </w:t>
      </w:r>
    </w:p>
    <w:p w14:paraId="1A2162AA">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龙泉安泽园公墓建设项目位于龙泉市北面的后垟1号地块，公墓建设项目规划总用地面积36547.32平方米，（其中：公共面积22,634.80平方米，配套设施面积1,806.62平方米，墓穴占地面积12,105.90平方米），规划墓穴数4342座，骨灰存放格位17000个，截至2024年12月已建成2035座，其中公益性墓穴需占公墓墓穴总数的25%以上。</w:t>
      </w:r>
    </w:p>
    <w:p w14:paraId="74BB4621">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根据《中华人民共和国价格法》《浙江省价格条例》《政府制定价格成本监审办法》《浙江省政府制定价格成本监审实施细则（试行）》《</w:t>
      </w:r>
      <w:r>
        <w:rPr>
          <w:rFonts w:hint="eastAsia" w:ascii="仿宋_GB2312" w:hAnsi="仿宋_GB2312" w:eastAsia="仿宋_GB2312" w:cs="仿宋_GB2312"/>
          <w:sz w:val="32"/>
          <w:szCs w:val="32"/>
          <w:lang w:val="en-US" w:eastAsia="zh-CN"/>
        </w:rPr>
        <w:t>浙江省公墓管理办法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浙江省发展改革委关于规范浙江省公墓成本调查工作的指导意见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规定，为加强和规范我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公益性墓穴</w:t>
      </w:r>
      <w:r>
        <w:rPr>
          <w:rFonts w:hint="eastAsia" w:ascii="仿宋_GB2312" w:hAnsi="仿宋_GB2312" w:eastAsia="仿宋_GB2312" w:cs="仿宋_GB2312"/>
          <w:sz w:val="32"/>
          <w:szCs w:val="32"/>
        </w:rPr>
        <w:t>收费管理，促进殡葬事业健康发展，根据龙泉弘泰陵园开发有限公司</w:t>
      </w:r>
      <w:r>
        <w:rPr>
          <w:rFonts w:hint="eastAsia" w:ascii="仿宋_GB2312" w:hAnsi="仿宋_GB2312" w:eastAsia="仿宋_GB2312" w:cs="仿宋_GB2312"/>
          <w:sz w:val="32"/>
          <w:szCs w:val="32"/>
          <w:lang w:val="en-US" w:eastAsia="zh-CN"/>
        </w:rPr>
        <w:t>提供的相关材料，并经市</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符合相关规定且手续完备，符合定价程序。</w:t>
      </w:r>
    </w:p>
    <w:p w14:paraId="32BB35B7">
      <w:pPr>
        <w:keepNext w:val="0"/>
        <w:keepLines w:val="0"/>
        <w:pageBreakBefore w:val="0"/>
        <w:widowControl w:val="0"/>
        <w:kinsoku/>
        <w:wordWrap/>
        <w:overflowPunct/>
        <w:topLinePunct w:val="0"/>
        <w:autoSpaceDE/>
        <w:autoSpaceDN/>
        <w:bidi w:val="0"/>
        <w:adjustRightInd/>
        <w:snapToGrid w:val="0"/>
        <w:spacing w:line="312" w:lineRule="auto"/>
        <w:ind w:firstLine="616" w:firstLineChars="200"/>
        <w:textAlignment w:val="auto"/>
        <w:rPr>
          <w:rFonts w:hint="eastAsia" w:ascii="黑体" w:hAnsi="黑体" w:eastAsia="黑体" w:cs="黑体"/>
          <w:color w:val="auto"/>
          <w:spacing w:val="-6"/>
          <w:sz w:val="32"/>
          <w:szCs w:val="40"/>
        </w:rPr>
      </w:pPr>
      <w:r>
        <w:rPr>
          <w:rFonts w:hint="eastAsia" w:ascii="黑体" w:hAnsi="黑体" w:eastAsia="黑体" w:cs="黑体"/>
          <w:color w:val="auto"/>
          <w:spacing w:val="-6"/>
          <w:sz w:val="32"/>
          <w:szCs w:val="40"/>
        </w:rPr>
        <w:t>二、起草情况</w:t>
      </w:r>
    </w:p>
    <w:p w14:paraId="168A68C2">
      <w:pPr>
        <w:keepNext w:val="0"/>
        <w:keepLines w:val="0"/>
        <w:pageBreakBefore w:val="0"/>
        <w:widowControl w:val="0"/>
        <w:kinsoku/>
        <w:wordWrap/>
        <w:overflowPunct/>
        <w:topLinePunct w:val="0"/>
        <w:autoSpaceDE/>
        <w:autoSpaceDN/>
        <w:bidi w:val="0"/>
        <w:adjustRightInd/>
        <w:snapToGrid w:val="0"/>
        <w:spacing w:line="312" w:lineRule="auto"/>
        <w:ind w:firstLine="640" w:firstLineChars="200"/>
        <w:textAlignment w:val="auto"/>
        <w:rPr>
          <w:rFonts w:hint="eastAsia" w:ascii="仿宋" w:hAnsi="仿宋" w:eastAsia="仿宋" w:cs="仿宋"/>
          <w:color w:val="0000FF"/>
          <w:spacing w:val="-6"/>
          <w:sz w:val="32"/>
          <w:szCs w:val="40"/>
          <w:lang w:eastAsia="zh-CN"/>
        </w:rPr>
      </w:pPr>
      <w:r>
        <w:rPr>
          <w:rFonts w:hint="eastAsia" w:ascii="仿宋_GB2312" w:hAnsi="宋体" w:eastAsia="仿宋_GB2312"/>
          <w:sz w:val="32"/>
          <w:szCs w:val="32"/>
          <w:lang w:val="en-US" w:eastAsia="zh-CN"/>
        </w:rPr>
        <w:t>2024年12月中下旬开始，根据龙泉弘泰陵园开发有限公司提交的《关于要求确定龙泉安泽园公墓建设项目公益性墓穴使用收费标准的请示》及相关附件，经市民政局审核后，第一时间对龙泉弘泰陵园开发有限公司提供的相关成本资料进行了初审和委托第三方成本监审，并广泛收集周边县（市、区）公益性墓穴的收费标准情况，经资料审核、实地考察、成本监审等前期工作，形成了成本调查报告。</w:t>
      </w:r>
    </w:p>
    <w:p w14:paraId="76D1AAF4">
      <w:pPr>
        <w:keepNext w:val="0"/>
        <w:keepLines w:val="0"/>
        <w:pageBreakBefore w:val="0"/>
        <w:widowControl w:val="0"/>
        <w:kinsoku/>
        <w:wordWrap/>
        <w:overflowPunct/>
        <w:topLinePunct w:val="0"/>
        <w:autoSpaceDE/>
        <w:autoSpaceDN/>
        <w:bidi w:val="0"/>
        <w:adjustRightInd/>
        <w:snapToGrid w:val="0"/>
        <w:spacing w:line="312" w:lineRule="auto"/>
        <w:ind w:firstLine="616" w:firstLineChars="200"/>
        <w:textAlignment w:val="auto"/>
        <w:rPr>
          <w:rFonts w:hint="eastAsia" w:ascii="仿宋_GB2312" w:hAnsi="仿宋_GB2312" w:eastAsia="仿宋_GB2312" w:cs="仿宋_GB2312"/>
          <w:color w:val="auto"/>
          <w:spacing w:val="-6"/>
          <w:sz w:val="32"/>
          <w:szCs w:val="40"/>
        </w:rPr>
      </w:pPr>
      <w:r>
        <w:rPr>
          <w:rFonts w:hint="eastAsia" w:ascii="仿宋_GB2312" w:hAnsi="仿宋_GB2312" w:eastAsia="仿宋_GB2312" w:cs="仿宋_GB2312"/>
          <w:color w:val="auto"/>
          <w:spacing w:val="-6"/>
          <w:sz w:val="32"/>
          <w:szCs w:val="40"/>
          <w:lang w:val="en-US" w:eastAsia="zh-CN"/>
        </w:rPr>
        <w:t>2025年1</w:t>
      </w:r>
      <w:r>
        <w:rPr>
          <w:rFonts w:hint="eastAsia" w:ascii="仿宋_GB2312" w:hAnsi="仿宋_GB2312" w:eastAsia="仿宋_GB2312" w:cs="仿宋_GB2312"/>
          <w:color w:val="auto"/>
          <w:spacing w:val="-6"/>
          <w:sz w:val="32"/>
          <w:szCs w:val="40"/>
        </w:rPr>
        <w:t>月</w:t>
      </w:r>
      <w:r>
        <w:rPr>
          <w:rFonts w:hint="eastAsia" w:ascii="仿宋_GB2312" w:hAnsi="仿宋_GB2312" w:eastAsia="仿宋_GB2312" w:cs="仿宋_GB2312"/>
          <w:color w:val="auto"/>
          <w:spacing w:val="-6"/>
          <w:sz w:val="32"/>
          <w:szCs w:val="40"/>
          <w:lang w:val="en-US" w:eastAsia="zh-CN"/>
        </w:rPr>
        <w:t>17</w:t>
      </w:r>
      <w:r>
        <w:rPr>
          <w:rFonts w:hint="eastAsia" w:ascii="仿宋_GB2312" w:hAnsi="仿宋_GB2312" w:eastAsia="仿宋_GB2312" w:cs="仿宋_GB2312"/>
          <w:color w:val="auto"/>
          <w:spacing w:val="-6"/>
          <w:sz w:val="32"/>
          <w:szCs w:val="40"/>
          <w:lang w:eastAsia="zh-CN"/>
        </w:rPr>
        <w:t>日，市发改局组织</w:t>
      </w:r>
      <w:r>
        <w:rPr>
          <w:rFonts w:hint="eastAsia" w:ascii="仿宋_GB2312" w:hAnsi="仿宋_GB2312" w:eastAsia="仿宋_GB2312" w:cs="仿宋_GB2312"/>
          <w:color w:val="auto"/>
          <w:spacing w:val="-6"/>
          <w:sz w:val="32"/>
          <w:szCs w:val="40"/>
          <w:lang w:val="en-US" w:eastAsia="zh-CN"/>
        </w:rPr>
        <w:t>民政局</w:t>
      </w:r>
      <w:r>
        <w:rPr>
          <w:rFonts w:hint="eastAsia" w:ascii="仿宋_GB2312" w:hAnsi="仿宋_GB2312" w:eastAsia="仿宋_GB2312" w:cs="仿宋_GB2312"/>
          <w:color w:val="auto"/>
          <w:spacing w:val="-6"/>
          <w:sz w:val="32"/>
          <w:szCs w:val="40"/>
          <w:lang w:eastAsia="zh-CN"/>
        </w:rPr>
        <w:t>、财政局、司法局、市场监管局等相关部门及经营者代表、</w:t>
      </w:r>
      <w:r>
        <w:rPr>
          <w:rFonts w:hint="eastAsia" w:ascii="仿宋_GB2312" w:hAnsi="仿宋_GB2312" w:eastAsia="仿宋_GB2312" w:cs="仿宋_GB2312"/>
          <w:color w:val="auto"/>
          <w:spacing w:val="-6"/>
          <w:sz w:val="32"/>
          <w:szCs w:val="40"/>
          <w:lang w:val="en-US" w:eastAsia="zh-CN"/>
        </w:rPr>
        <w:t>部分</w:t>
      </w:r>
      <w:r>
        <w:rPr>
          <w:rFonts w:hint="eastAsia" w:ascii="仿宋_GB2312" w:hAnsi="仿宋_GB2312" w:eastAsia="仿宋_GB2312" w:cs="仿宋_GB2312"/>
          <w:color w:val="auto"/>
          <w:spacing w:val="-6"/>
          <w:sz w:val="32"/>
          <w:szCs w:val="40"/>
          <w:lang w:eastAsia="zh-CN"/>
        </w:rPr>
        <w:t>人大代表、政协委员，召开龙泉安泽园公墓建设项目公益性墓穴使用收费标准意见征求座谈会。</w:t>
      </w:r>
    </w:p>
    <w:p w14:paraId="7FE4A4CA">
      <w:pPr>
        <w:keepNext w:val="0"/>
        <w:keepLines w:val="0"/>
        <w:pageBreakBefore w:val="0"/>
        <w:widowControl w:val="0"/>
        <w:kinsoku/>
        <w:wordWrap/>
        <w:overflowPunct/>
        <w:topLinePunct w:val="0"/>
        <w:autoSpaceDE/>
        <w:autoSpaceDN/>
        <w:bidi w:val="0"/>
        <w:adjustRightInd/>
        <w:snapToGrid w:val="0"/>
        <w:spacing w:line="312" w:lineRule="auto"/>
        <w:ind w:firstLine="616" w:firstLineChars="200"/>
        <w:textAlignment w:val="auto"/>
        <w:rPr>
          <w:rFonts w:hint="eastAsia" w:ascii="黑体" w:hAnsi="黑体" w:eastAsia="黑体" w:cs="黑体"/>
          <w:b w:val="0"/>
          <w:bCs w:val="0"/>
          <w:color w:val="auto"/>
          <w:spacing w:val="-6"/>
          <w:sz w:val="32"/>
          <w:szCs w:val="40"/>
        </w:rPr>
      </w:pPr>
      <w:r>
        <w:rPr>
          <w:rFonts w:hint="eastAsia" w:ascii="黑体" w:hAnsi="黑体" w:eastAsia="黑体" w:cs="黑体"/>
          <w:b w:val="0"/>
          <w:bCs w:val="0"/>
          <w:color w:val="auto"/>
          <w:spacing w:val="-6"/>
          <w:sz w:val="32"/>
          <w:szCs w:val="40"/>
        </w:rPr>
        <w:t>三、需要解决的主要问题</w:t>
      </w:r>
    </w:p>
    <w:p w14:paraId="6AA7FD11">
      <w:pPr>
        <w:keepNext w:val="0"/>
        <w:keepLines w:val="0"/>
        <w:pageBreakBefore w:val="0"/>
        <w:widowControl w:val="0"/>
        <w:kinsoku/>
        <w:wordWrap/>
        <w:overflowPunct/>
        <w:topLinePunct w:val="0"/>
        <w:autoSpaceDE/>
        <w:autoSpaceDN/>
        <w:bidi w:val="0"/>
        <w:adjustRightInd/>
        <w:snapToGrid w:val="0"/>
        <w:spacing w:line="312" w:lineRule="auto"/>
        <w:ind w:firstLine="616" w:firstLineChars="200"/>
        <w:textAlignment w:val="auto"/>
        <w:rPr>
          <w:rFonts w:hint="eastAsia" w:ascii="仿宋_GB2312" w:hAnsi="仿宋_GB2312" w:eastAsia="仿宋_GB2312" w:cs="仿宋_GB2312"/>
          <w:color w:val="auto"/>
          <w:spacing w:val="-6"/>
          <w:sz w:val="32"/>
          <w:szCs w:val="40"/>
          <w:lang w:eastAsia="zh-CN"/>
        </w:rPr>
      </w:pPr>
      <w:r>
        <w:rPr>
          <w:rFonts w:hint="eastAsia" w:ascii="仿宋_GB2312" w:hAnsi="仿宋_GB2312" w:eastAsia="仿宋_GB2312" w:cs="仿宋_GB2312"/>
          <w:color w:val="auto"/>
          <w:spacing w:val="-6"/>
          <w:sz w:val="32"/>
          <w:szCs w:val="40"/>
          <w:lang w:val="en-US" w:eastAsia="zh-CN"/>
        </w:rPr>
        <w:t>经成本调查测算后，</w:t>
      </w:r>
      <w:r>
        <w:rPr>
          <w:rFonts w:hint="eastAsia" w:ascii="仿宋_GB2312" w:hAnsi="仿宋_GB2312" w:eastAsia="仿宋_GB2312" w:cs="仿宋_GB2312"/>
          <w:color w:val="auto"/>
          <w:spacing w:val="-6"/>
          <w:sz w:val="32"/>
          <w:szCs w:val="40"/>
          <w:lang w:eastAsia="zh-CN"/>
        </w:rPr>
        <w:t>结合当地公益性墓地建设成本、群众承受能力等实际</w:t>
      </w:r>
      <w:r>
        <w:rPr>
          <w:rFonts w:hint="eastAsia" w:ascii="仿宋_GB2312" w:hAnsi="仿宋_GB2312" w:eastAsia="仿宋_GB2312" w:cs="仿宋_GB2312"/>
          <w:color w:val="auto"/>
          <w:spacing w:val="-6"/>
          <w:sz w:val="32"/>
          <w:szCs w:val="40"/>
          <w:lang w:val="en-US" w:eastAsia="zh-CN"/>
        </w:rPr>
        <w:t>情况</w:t>
      </w:r>
      <w:r>
        <w:rPr>
          <w:rFonts w:hint="eastAsia" w:ascii="仿宋_GB2312" w:hAnsi="仿宋_GB2312" w:eastAsia="仿宋_GB2312" w:cs="仿宋_GB2312"/>
          <w:color w:val="auto"/>
          <w:spacing w:val="-6"/>
          <w:sz w:val="32"/>
          <w:szCs w:val="40"/>
          <w:lang w:eastAsia="zh-CN"/>
        </w:rPr>
        <w:t>，</w:t>
      </w:r>
      <w:r>
        <w:rPr>
          <w:rFonts w:hint="eastAsia" w:ascii="仿宋_GB2312" w:hAnsi="仿宋_GB2312" w:eastAsia="仿宋_GB2312" w:cs="仿宋_GB2312"/>
          <w:color w:val="auto"/>
          <w:spacing w:val="-6"/>
          <w:sz w:val="32"/>
          <w:szCs w:val="40"/>
          <w:lang w:val="en-US" w:eastAsia="zh-CN"/>
        </w:rPr>
        <w:t>对</w:t>
      </w:r>
      <w:r>
        <w:rPr>
          <w:rFonts w:hint="eastAsia" w:ascii="仿宋_GB2312" w:hAnsi="仿宋_GB2312" w:eastAsia="仿宋_GB2312" w:cs="仿宋_GB2312"/>
          <w:color w:val="auto"/>
          <w:spacing w:val="-6"/>
          <w:sz w:val="32"/>
          <w:szCs w:val="40"/>
          <w:lang w:eastAsia="zh-CN"/>
        </w:rPr>
        <w:t>龙泉安泽园公墓建设项目公益性墓穴使用收费标准有关事项</w:t>
      </w:r>
      <w:r>
        <w:rPr>
          <w:rFonts w:hint="eastAsia" w:ascii="仿宋_GB2312" w:hAnsi="仿宋_GB2312" w:eastAsia="仿宋_GB2312" w:cs="仿宋_GB2312"/>
          <w:color w:val="auto"/>
          <w:spacing w:val="-6"/>
          <w:sz w:val="32"/>
          <w:szCs w:val="40"/>
          <w:lang w:val="en-US" w:eastAsia="zh-CN"/>
        </w:rPr>
        <w:t>进行</w:t>
      </w:r>
      <w:r>
        <w:rPr>
          <w:rFonts w:hint="eastAsia" w:ascii="仿宋_GB2312" w:hAnsi="仿宋_GB2312" w:eastAsia="仿宋_GB2312" w:cs="仿宋_GB2312"/>
          <w:color w:val="auto"/>
          <w:spacing w:val="-6"/>
          <w:sz w:val="32"/>
          <w:szCs w:val="40"/>
          <w:lang w:eastAsia="zh-CN"/>
        </w:rPr>
        <w:t>批复。</w:t>
      </w:r>
    </w:p>
    <w:p w14:paraId="55D11346">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16"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spacing w:val="-6"/>
          <w:sz w:val="32"/>
          <w:szCs w:val="40"/>
          <w:lang w:val="en-US" w:eastAsia="zh-CN"/>
        </w:rPr>
        <w:t>四、</w:t>
      </w:r>
      <w:r>
        <w:rPr>
          <w:rFonts w:hint="eastAsia" w:ascii="黑体" w:hAnsi="黑体" w:eastAsia="黑体" w:cs="黑体"/>
          <w:color w:val="auto"/>
          <w:spacing w:val="-6"/>
          <w:sz w:val="32"/>
          <w:szCs w:val="40"/>
        </w:rPr>
        <w:t>拟规定的主要制度和</w:t>
      </w:r>
      <w:r>
        <w:rPr>
          <w:rFonts w:hint="eastAsia" w:ascii="黑体" w:hAnsi="黑体" w:eastAsia="黑体" w:cs="黑体"/>
          <w:b w:val="0"/>
          <w:bCs w:val="0"/>
          <w:color w:val="auto"/>
          <w:spacing w:val="-6"/>
          <w:sz w:val="32"/>
          <w:szCs w:val="40"/>
        </w:rPr>
        <w:t>拟采</w:t>
      </w:r>
      <w:r>
        <w:rPr>
          <w:rFonts w:hint="eastAsia" w:ascii="黑体" w:hAnsi="黑体" w:eastAsia="黑体" w:cs="黑体"/>
          <w:color w:val="auto"/>
          <w:spacing w:val="-6"/>
          <w:sz w:val="32"/>
          <w:szCs w:val="40"/>
        </w:rPr>
        <w:t>取的主要措施</w:t>
      </w:r>
    </w:p>
    <w:p w14:paraId="2D4E6D39">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6"/>
          <w:sz w:val="32"/>
          <w:szCs w:val="40"/>
          <w:lang w:eastAsia="zh-CN"/>
        </w:rPr>
        <w:t>龙泉</w:t>
      </w:r>
      <w:r>
        <w:rPr>
          <w:rFonts w:hint="eastAsia" w:ascii="仿宋_GB2312" w:hAnsi="仿宋_GB2312" w:eastAsia="仿宋_GB2312" w:cs="仿宋_GB2312"/>
          <w:sz w:val="32"/>
          <w:szCs w:val="32"/>
          <w:lang w:eastAsia="zh-CN"/>
        </w:rPr>
        <w:t>安泽园公墓建设项目公益性墓穴</w:t>
      </w:r>
      <w:r>
        <w:rPr>
          <w:rFonts w:hint="eastAsia" w:ascii="仿宋_GB2312" w:hAnsi="仿宋_GB2312" w:eastAsia="仿宋_GB2312" w:cs="仿宋_GB2312"/>
          <w:color w:val="auto"/>
          <w:spacing w:val="-6"/>
          <w:sz w:val="32"/>
          <w:szCs w:val="40"/>
          <w:lang w:eastAsia="zh-CN"/>
        </w:rPr>
        <w:t>使用收费</w:t>
      </w:r>
      <w:r>
        <w:rPr>
          <w:rFonts w:hint="eastAsia" w:ascii="仿宋_GB2312" w:hAnsi="仿宋_GB2312" w:eastAsia="仿宋_GB2312" w:cs="仿宋_GB2312"/>
          <w:sz w:val="32"/>
          <w:szCs w:val="32"/>
        </w:rPr>
        <w:t>以基准价为基础在10%浮动幅度内上浮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下浮不限</w:t>
      </w:r>
      <w:r>
        <w:rPr>
          <w:rFonts w:hint="eastAsia" w:ascii="仿宋_GB2312" w:hAnsi="仿宋_GB2312" w:eastAsia="仿宋_GB2312" w:cs="仿宋_GB2312"/>
          <w:sz w:val="32"/>
          <w:szCs w:val="32"/>
        </w:rPr>
        <w:t>，具体基准价为：</w:t>
      </w:r>
    </w:p>
    <w:p w14:paraId="3538F1E2">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（一）A款：单穴</w:t>
      </w:r>
      <w:r>
        <w:rPr>
          <w:rFonts w:hint="eastAsia" w:ascii="仿宋_GB2312" w:hAnsi="仿宋_GB2312" w:eastAsia="仿宋_GB2312" w:cs="仿宋_GB2312"/>
          <w:b/>
          <w:sz w:val="32"/>
          <w:szCs w:val="32"/>
        </w:rPr>
        <w:t>8100</w:t>
      </w:r>
      <w:r>
        <w:rPr>
          <w:rFonts w:hint="eastAsia" w:ascii="仿宋_GB2312" w:hAnsi="仿宋_GB2312" w:eastAsia="仿宋_GB2312" w:cs="仿宋_GB2312"/>
          <w:sz w:val="32"/>
          <w:szCs w:val="32"/>
        </w:rPr>
        <w:t>元/座，双穴</w:t>
      </w:r>
      <w:r>
        <w:rPr>
          <w:rFonts w:hint="eastAsia" w:ascii="仿宋_GB2312" w:hAnsi="仿宋_GB2312" w:eastAsia="仿宋_GB2312" w:cs="仿宋_GB2312"/>
          <w:b/>
          <w:sz w:val="32"/>
          <w:szCs w:val="32"/>
        </w:rPr>
        <w:t>11500</w:t>
      </w:r>
      <w:r>
        <w:rPr>
          <w:rFonts w:hint="eastAsia" w:ascii="仿宋_GB2312" w:hAnsi="仿宋_GB2312" w:eastAsia="仿宋_GB2312" w:cs="仿宋_GB2312"/>
          <w:sz w:val="32"/>
          <w:szCs w:val="32"/>
        </w:rPr>
        <w:t>元/座；</w:t>
      </w:r>
    </w:p>
    <w:p w14:paraId="44EAF725">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（二）B款：单穴</w:t>
      </w:r>
      <w:r>
        <w:rPr>
          <w:rFonts w:hint="eastAsia" w:ascii="仿宋_GB2312" w:hAnsi="仿宋_GB2312" w:eastAsia="仿宋_GB2312" w:cs="仿宋_GB2312"/>
          <w:b/>
          <w:sz w:val="32"/>
          <w:szCs w:val="32"/>
        </w:rPr>
        <w:t>7400</w:t>
      </w:r>
      <w:r>
        <w:rPr>
          <w:rFonts w:hint="eastAsia" w:ascii="仿宋_GB2312" w:hAnsi="仿宋_GB2312" w:eastAsia="仿宋_GB2312" w:cs="仿宋_GB2312"/>
          <w:sz w:val="32"/>
          <w:szCs w:val="32"/>
        </w:rPr>
        <w:t>元/座，双穴</w:t>
      </w:r>
      <w:r>
        <w:rPr>
          <w:rFonts w:hint="eastAsia" w:ascii="仿宋_GB2312" w:hAnsi="仿宋_GB2312" w:eastAsia="仿宋_GB2312" w:cs="仿宋_GB2312"/>
          <w:b/>
          <w:sz w:val="32"/>
          <w:szCs w:val="32"/>
        </w:rPr>
        <w:t>10500</w:t>
      </w:r>
      <w:r>
        <w:rPr>
          <w:rFonts w:hint="eastAsia" w:ascii="仿宋_GB2312" w:hAnsi="仿宋_GB2312" w:eastAsia="仿宋_GB2312" w:cs="仿宋_GB2312"/>
          <w:sz w:val="32"/>
          <w:szCs w:val="32"/>
        </w:rPr>
        <w:t>元/座；</w:t>
      </w:r>
    </w:p>
    <w:p w14:paraId="15436AEA">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（三）C款：单穴</w:t>
      </w:r>
      <w:r>
        <w:rPr>
          <w:rFonts w:hint="eastAsia" w:ascii="仿宋_GB2312" w:hAnsi="仿宋_GB2312" w:eastAsia="仿宋_GB2312" w:cs="仿宋_GB2312"/>
          <w:b/>
          <w:sz w:val="32"/>
          <w:szCs w:val="32"/>
        </w:rPr>
        <w:t>7000</w:t>
      </w:r>
      <w:r>
        <w:rPr>
          <w:rFonts w:hint="eastAsia" w:ascii="仿宋_GB2312" w:hAnsi="仿宋_GB2312" w:eastAsia="仿宋_GB2312" w:cs="仿宋_GB2312"/>
          <w:sz w:val="32"/>
          <w:szCs w:val="32"/>
        </w:rPr>
        <w:t>元/座，双穴</w:t>
      </w:r>
      <w:r>
        <w:rPr>
          <w:rFonts w:hint="eastAsia" w:ascii="仿宋_GB2312" w:hAnsi="仿宋_GB2312" w:eastAsia="仿宋_GB2312" w:cs="仿宋_GB2312"/>
          <w:b/>
          <w:sz w:val="32"/>
          <w:szCs w:val="32"/>
        </w:rPr>
        <w:t>10000</w:t>
      </w:r>
      <w:r>
        <w:rPr>
          <w:rFonts w:hint="eastAsia" w:ascii="仿宋_GB2312" w:hAnsi="仿宋_GB2312" w:eastAsia="仿宋_GB2312" w:cs="仿宋_GB2312"/>
          <w:sz w:val="32"/>
          <w:szCs w:val="32"/>
        </w:rPr>
        <w:t>元/座。</w:t>
      </w:r>
    </w:p>
    <w:p w14:paraId="44FEDAA0">
      <w:pPr>
        <w:keepNext w:val="0"/>
        <w:keepLines w:val="0"/>
        <w:pageBreakBefore w:val="0"/>
        <w:widowControl w:val="0"/>
        <w:kinsoku/>
        <w:wordWrap/>
        <w:overflowPunct/>
        <w:topLinePunct w:val="0"/>
        <w:autoSpaceDE/>
        <w:autoSpaceDN/>
        <w:bidi w:val="0"/>
        <w:adjustRightIn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墓穴</w:t>
      </w:r>
      <w:r>
        <w:rPr>
          <w:rFonts w:hint="eastAsia" w:ascii="仿宋_GB2312" w:hAnsi="仿宋_GB2312" w:eastAsia="仿宋_GB2312" w:cs="仿宋_GB2312"/>
          <w:sz w:val="32"/>
          <w:szCs w:val="32"/>
          <w:lang w:val="en-US" w:eastAsia="zh-CN"/>
        </w:rPr>
        <w:t>基本服务收费</w:t>
      </w:r>
      <w:r>
        <w:rPr>
          <w:rFonts w:hint="eastAsia" w:ascii="仿宋_GB2312" w:hAnsi="仿宋_GB2312" w:eastAsia="仿宋_GB2312" w:cs="仿宋_GB2312"/>
          <w:sz w:val="32"/>
          <w:szCs w:val="32"/>
        </w:rPr>
        <w:t>标准中包括了土地费用、墓穴建设费用、墓区基础设施配套费用、墓碑费用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公墓管理费用和</w:t>
      </w:r>
      <w:r>
        <w:rPr>
          <w:rFonts w:hint="eastAsia" w:ascii="仿宋_GB2312" w:hAnsi="仿宋_GB2312" w:eastAsia="仿宋_GB2312" w:cs="仿宋_GB2312"/>
          <w:sz w:val="32"/>
          <w:szCs w:val="32"/>
        </w:rPr>
        <w:t>预留维护经费。</w:t>
      </w:r>
    </w:p>
    <w:p w14:paraId="558128A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color w:val="0000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87212C-8D92-4228-867F-1EC8E71970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F1B55F9-DDA7-4C9A-964E-883BA62EC4CA}"/>
  </w:font>
  <w:font w:name="仿宋_GB2312">
    <w:panose1 w:val="02010609030101010101"/>
    <w:charset w:val="86"/>
    <w:family w:val="auto"/>
    <w:pitch w:val="default"/>
    <w:sig w:usb0="00000001" w:usb1="080E0000" w:usb2="00000000" w:usb3="00000000" w:csb0="00040000" w:csb1="00000000"/>
    <w:embedRegular r:id="rId3" w:fontKey="{973A34D1-11D8-4ABF-B4C5-8536B0B3FA7F}"/>
  </w:font>
  <w:font w:name="仿宋">
    <w:panose1 w:val="02010609060101010101"/>
    <w:charset w:val="86"/>
    <w:family w:val="auto"/>
    <w:pitch w:val="default"/>
    <w:sig w:usb0="800002BF" w:usb1="38CF7CFA" w:usb2="00000016" w:usb3="00000000" w:csb0="00040001" w:csb1="00000000"/>
    <w:embedRegular r:id="rId4" w:fontKey="{BFF57DD7-407F-4E95-A700-174A914D3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2203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6846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66846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M4NGFhYTE3MzgxNDg4NTI3NGY2Y2ZlNDE5MTQifQ=="/>
  </w:docVars>
  <w:rsids>
    <w:rsidRoot w:val="6201180C"/>
    <w:rsid w:val="03A5079A"/>
    <w:rsid w:val="052568CE"/>
    <w:rsid w:val="05B922DB"/>
    <w:rsid w:val="0DE93979"/>
    <w:rsid w:val="16557DFE"/>
    <w:rsid w:val="1A3A7A37"/>
    <w:rsid w:val="1CA97497"/>
    <w:rsid w:val="1F9E45C4"/>
    <w:rsid w:val="28940C5A"/>
    <w:rsid w:val="2CBE44F7"/>
    <w:rsid w:val="2EBE3F1C"/>
    <w:rsid w:val="302E70B5"/>
    <w:rsid w:val="37092C93"/>
    <w:rsid w:val="3A4956B9"/>
    <w:rsid w:val="3DA6772D"/>
    <w:rsid w:val="400C31D9"/>
    <w:rsid w:val="426E5C20"/>
    <w:rsid w:val="50004E4F"/>
    <w:rsid w:val="546B1FBF"/>
    <w:rsid w:val="56C87B9D"/>
    <w:rsid w:val="5798756F"/>
    <w:rsid w:val="5B2A6650"/>
    <w:rsid w:val="5F3804CF"/>
    <w:rsid w:val="6201180C"/>
    <w:rsid w:val="65624D19"/>
    <w:rsid w:val="70EF2BB4"/>
    <w:rsid w:val="73D56FFD"/>
    <w:rsid w:val="74A72748"/>
    <w:rsid w:val="7EAE4DEA"/>
    <w:rsid w:val="F4F6A4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hAnsi="Times New Roman" w:eastAsia="黑体" w:cs="Times New Roman"/>
      <w:b/>
      <w:bCs/>
      <w:sz w:val="28"/>
    </w:rPr>
  </w:style>
  <w:style w:type="paragraph" w:styleId="3">
    <w:name w:val="Body Text First Indent"/>
    <w:basedOn w:val="2"/>
    <w:next w:val="4"/>
    <w:qFormat/>
    <w:uiPriority w:val="0"/>
    <w:pPr>
      <w:ind w:firstLine="420" w:firstLineChars="100"/>
    </w:pPr>
    <w:rPr>
      <w:color w:val="000000"/>
      <w:szCs w:val="24"/>
      <w:lang w:eastAsia="en-US" w:bidi="en-US"/>
    </w:rPr>
  </w:style>
  <w:style w:type="paragraph" w:styleId="4">
    <w:name w:val="Body Text First Indent 2"/>
    <w:basedOn w:val="5"/>
    <w:qFormat/>
    <w:uiPriority w:val="99"/>
    <w:pPr>
      <w:ind w:firstLine="420"/>
    </w:pPr>
    <w:rPr>
      <w:color w:val="000000"/>
      <w:lang w:eastAsia="en-US" w:bidi="en-US"/>
    </w:rPr>
  </w:style>
  <w:style w:type="paragraph" w:styleId="5">
    <w:name w:val="Body Text Indent"/>
    <w:basedOn w:val="1"/>
    <w:qFormat/>
    <w:uiPriority w:val="0"/>
    <w:pPr>
      <w:ind w:firstLine="600" w:firstLineChars="200"/>
    </w:pPr>
    <w:rPr>
      <w:sz w:val="3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1152</Words>
  <Characters>1286</Characters>
  <Lines>0</Lines>
  <Paragraphs>0</Paragraphs>
  <TotalTime>1</TotalTime>
  <ScaleCrop>false</ScaleCrop>
  <LinksUpToDate>false</LinksUpToDate>
  <CharactersWithSpaces>1291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2024-07-12T01:36:00Z</dcterms:created>
  <dc:creator>lyla</dc:creator>
  <cp:lastModifiedBy>天天月月</cp:lastModifiedBy>
  <dcterms:modified xsi:type="dcterms:W3CDTF">2025-01-17T14:09:39Z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8655AD9A3DC946B185F614BC99422048_11</vt:lpwstr>
  </property>
  <property fmtid="{D5CDD505-2E9C-101B-9397-08002B2CF9AE}" pid="4" name="KSOTemplateDocerSaveRecord">
    <vt:lpwstr>eyJoZGlkIjoiOGM0YzdmOWIxMTExZDk2NmNkY2MwZDQ4ZTI2NzRjMDkiLCJ1c2VySWQiOiI1MDYzMjY4MzMifQ==</vt:lpwstr>
  </property>
</Properties>
</file>