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kinsoku/>
        <w:wordWrap/>
        <w:overflowPunct/>
        <w:topLinePunct w:val="0"/>
        <w:autoSpaceDE/>
        <w:autoSpaceDN/>
        <w:bidi w:val="0"/>
        <w:adjustRightInd/>
        <w:snapToGrid/>
        <w:spacing w:line="560" w:lineRule="exact"/>
        <w:ind w:left="0" w:leftChars="0" w:firstLine="440" w:firstLineChars="10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青田县202</w:t>
      </w:r>
      <w:r>
        <w:rPr>
          <w:rFonts w:hint="eastAsia" w:ascii="方正小标宋_GBK" w:hAnsi="方正小标宋_GBK" w:eastAsia="方正小标宋_GBK" w:cs="方正小标宋_GBK"/>
          <w:sz w:val="44"/>
          <w:szCs w:val="44"/>
          <w:lang w:val="en"/>
        </w:rPr>
        <w:t>4</w:t>
      </w:r>
      <w:r>
        <w:rPr>
          <w:rFonts w:hint="eastAsia" w:ascii="方正小标宋_GBK" w:hAnsi="方正小标宋_GBK" w:eastAsia="方正小标宋_GBK" w:cs="方正小标宋_GBK"/>
          <w:sz w:val="44"/>
          <w:szCs w:val="44"/>
        </w:rPr>
        <w:t>年公共租赁住房保障标准</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公共租赁住房管理办法》（住建部令第11号）、《公租房保障基本公共服务导则》（浙建保发〔2023〕69号）、《青田县公共租赁住房管理办法》（青政办发〔2018〕83号）等有关文件精神，结合我县住房保障规划、经济发展等实际情况，经县政府同意，现将我县202</w:t>
      </w:r>
      <w:r>
        <w:rPr>
          <w:rFonts w:hint="eastAsia" w:ascii="仿宋_GB2312" w:hAnsi="仿宋_GB2312" w:eastAsia="仿宋_GB2312" w:cs="仿宋_GB2312"/>
          <w:sz w:val="32"/>
          <w:szCs w:val="32"/>
          <w:lang w:val="en"/>
        </w:rPr>
        <w:t>4</w:t>
      </w:r>
      <w:r>
        <w:rPr>
          <w:rFonts w:hint="eastAsia" w:ascii="仿宋_GB2312" w:hAnsi="仿宋_GB2312" w:eastAsia="仿宋_GB2312" w:cs="仿宋_GB2312"/>
          <w:sz w:val="32"/>
          <w:szCs w:val="32"/>
        </w:rPr>
        <w:t>年公共租赁住房（以下简称“公租房”）保障标准公布如下：</w:t>
      </w:r>
    </w:p>
    <w:p>
      <w:pPr>
        <w:keepNext w:val="0"/>
        <w:keepLines w:val="0"/>
        <w:pageBreakBefore w:val="0"/>
        <w:widowControl w:val="0"/>
        <w:kinsoku/>
        <w:wordWrap/>
        <w:overflowPunct/>
        <w:topLinePunct w:val="0"/>
        <w:bidi w:val="0"/>
        <w:snapToGrid w:val="0"/>
        <w:spacing w:line="560" w:lineRule="exact"/>
        <w:ind w:firstLine="643" w:firstLineChars="200"/>
        <w:textAlignment w:val="auto"/>
        <w:rPr>
          <w:rFonts w:hint="eastAsia" w:ascii="黑体" w:hAnsi="黑体" w:eastAsia="黑体" w:cs="黑体"/>
          <w:b/>
          <w:sz w:val="32"/>
          <w:szCs w:val="32"/>
        </w:rPr>
      </w:pPr>
      <w:r>
        <w:rPr>
          <w:rFonts w:hint="eastAsia" w:ascii="黑体" w:hAnsi="黑体" w:eastAsia="黑体" w:cs="黑体"/>
          <w:b/>
          <w:sz w:val="32"/>
          <w:szCs w:val="32"/>
        </w:rPr>
        <w:t>一、公租房准入标准</w:t>
      </w:r>
    </w:p>
    <w:p>
      <w:pPr>
        <w:keepNext w:val="0"/>
        <w:keepLines w:val="0"/>
        <w:pageBreakBefore w:val="0"/>
        <w:widowControl w:val="0"/>
        <w:kinsoku/>
        <w:wordWrap/>
        <w:overflowPunct/>
        <w:topLinePunct w:val="0"/>
        <w:bidi w:val="0"/>
        <w:snapToGrid w:val="0"/>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(一)城镇最低生活保障家庭、最低生活保障边缘家庭、分散供养的特困家庭等住房救助家庭(以下简称“城镇居民低保等住房救助家庭”)申请公租房保障的，应当同时符合以下条件：</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1、申请人为民政部门认定的城镇居民最低生活保障家庭、最低生活保障边缘家庭、分散供养的特困家庭等住房救助家庭。</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2、主申请人具有县城建成区范围户籍（具体范围详见附件）。</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3、家庭成员在县城建成区范围内无自有住房、未承租直管公房，或现有的住房面积未超过公租房保障面积标准。</w:t>
      </w:r>
    </w:p>
    <w:p>
      <w:pPr>
        <w:keepNext w:val="0"/>
        <w:keepLines w:val="0"/>
        <w:pageBreakBefore w:val="0"/>
        <w:widowControl w:val="0"/>
        <w:kinsoku/>
        <w:wordWrap/>
        <w:overflowPunct/>
        <w:topLinePunct w:val="0"/>
        <w:bidi w:val="0"/>
        <w:snapToGrid w:val="0"/>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sz w:val="32"/>
          <w:szCs w:val="32"/>
        </w:rPr>
        <w:t>（二）城镇低收</w:t>
      </w:r>
      <w:r>
        <w:rPr>
          <w:rFonts w:hint="eastAsia" w:ascii="仿宋_GB2312" w:hAnsi="仿宋_GB2312" w:eastAsia="仿宋_GB2312" w:cs="仿宋_GB2312"/>
          <w:b/>
          <w:bCs/>
          <w:sz w:val="32"/>
          <w:szCs w:val="32"/>
        </w:rPr>
        <w:t>入或中等偏下收入住房困难家庭申请公租房保障，应当同时符合以下条件：</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1、主申请人具有县城建成区范围户籍。</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2、家庭成员在县城建成区范围内无自有住房、未承租直管公房，或现有的住房面积未超过公租房保障面积标准。</w:t>
      </w:r>
    </w:p>
    <w:p>
      <w:pPr>
        <w:pStyle w:val="6"/>
        <w:keepNext w:val="0"/>
        <w:keepLines w:val="0"/>
        <w:pageBreakBefore w:val="0"/>
        <w:widowControl w:val="0"/>
        <w:kinsoku/>
        <w:wordWrap/>
        <w:overflowPunct/>
        <w:topLinePunct w:val="0"/>
        <w:bidi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3、申请家庭财产收入额度限制：</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（1）申请低收入家庭保障的，家庭年人均可支配收入低于上年度我县城镇居民人均可支配收入的60%；申请中等偏下收入家庭保障的，家庭年人均可支配收入为上年度我县城镇居民人均可支配收入的60%-100%；</w:t>
      </w:r>
    </w:p>
    <w:p>
      <w:pPr>
        <w:pStyle w:val="6"/>
        <w:keepNext w:val="0"/>
        <w:keepLines w:val="0"/>
        <w:pageBreakBefore w:val="0"/>
        <w:widowControl w:val="0"/>
        <w:kinsoku/>
        <w:wordWrap/>
        <w:overflowPunct/>
        <w:topLinePunct w:val="0"/>
        <w:bidi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（2）申请家庭人均货币财产低于我县人均公租房保障面积乘以我县上年度商品房均价的总额；</w:t>
      </w:r>
    </w:p>
    <w:p>
      <w:pPr>
        <w:pStyle w:val="6"/>
        <w:keepNext w:val="0"/>
        <w:keepLines w:val="0"/>
        <w:pageBreakBefore w:val="0"/>
        <w:widowControl w:val="0"/>
        <w:kinsoku/>
        <w:wordWrap/>
        <w:overflowPunct/>
        <w:topLinePunct w:val="0"/>
        <w:bidi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（3）家庭成员名下无生活用机动车辆，或仅有1辆非营运机动车辆且机动车辆价格低于15万（价格以车辆购置税发票上计税金额为准，不含普通二轮摩托车、电动摩托车、残疾人代步车）；</w:t>
      </w:r>
    </w:p>
    <w:p>
      <w:pPr>
        <w:pStyle w:val="6"/>
        <w:keepNext w:val="0"/>
        <w:keepLines w:val="0"/>
        <w:pageBreakBefore w:val="0"/>
        <w:widowControl w:val="0"/>
        <w:kinsoku/>
        <w:wordWrap/>
        <w:overflowPunct/>
        <w:topLinePunct w:val="0"/>
        <w:bidi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（4）家庭成员在市场主体中的累计出资额（含认缴）不超过30万元（含）。</w:t>
      </w:r>
    </w:p>
    <w:p>
      <w:pPr>
        <w:pStyle w:val="6"/>
        <w:keepNext w:val="0"/>
        <w:keepLines w:val="0"/>
        <w:pageBreakBefore w:val="0"/>
        <w:widowControl w:val="0"/>
        <w:kinsoku/>
        <w:wordWrap/>
        <w:overflowPunct/>
        <w:topLinePunct w:val="0"/>
        <w:bidi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4、县人民政府规定的其他条件。</w:t>
      </w:r>
    </w:p>
    <w:p>
      <w:pPr>
        <w:pStyle w:val="6"/>
        <w:keepNext w:val="0"/>
        <w:keepLines w:val="0"/>
        <w:pageBreakBefore w:val="0"/>
        <w:widowControl w:val="0"/>
        <w:kinsoku/>
        <w:wordWrap/>
        <w:overflowPunct/>
        <w:topLinePunct w:val="0"/>
        <w:bidi w:val="0"/>
        <w:snapToGrid w:val="0"/>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（三）新就业无房职工申请公租房保障的，应当同时符合以下条件</w:t>
      </w:r>
      <w:r>
        <w:rPr>
          <w:rFonts w:hint="eastAsia" w:ascii="仿宋_GB2312" w:hAnsi="仿宋_GB2312" w:eastAsia="仿宋_GB2312" w:cs="仿宋_GB2312"/>
          <w:sz w:val="32"/>
          <w:szCs w:val="32"/>
        </w:rPr>
        <w:t>： </w:t>
      </w:r>
    </w:p>
    <w:p>
      <w:pPr>
        <w:pStyle w:val="6"/>
        <w:keepNext w:val="0"/>
        <w:keepLines w:val="0"/>
        <w:pageBreakBefore w:val="0"/>
        <w:widowControl w:val="0"/>
        <w:kinsoku/>
        <w:wordWrap/>
        <w:overflowPunct/>
        <w:topLinePunct w:val="0"/>
        <w:bidi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1、主申请人具有本县户籍，或持有青田县《浙江省居住证》。</w:t>
      </w:r>
    </w:p>
    <w:p>
      <w:pPr>
        <w:pStyle w:val="6"/>
        <w:keepNext w:val="0"/>
        <w:keepLines w:val="0"/>
        <w:pageBreakBefore w:val="0"/>
        <w:widowControl w:val="0"/>
        <w:kinsoku/>
        <w:wordWrap/>
        <w:overflowPunct/>
        <w:topLinePunct w:val="0"/>
        <w:bidi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2、主申请人具有全日制大中专或本科及以上毕业证书，从毕业当月计算起未满7年。</w:t>
      </w:r>
    </w:p>
    <w:p>
      <w:pPr>
        <w:pStyle w:val="6"/>
        <w:keepNext w:val="0"/>
        <w:keepLines w:val="0"/>
        <w:pageBreakBefore w:val="0"/>
        <w:widowControl w:val="0"/>
        <w:kinsoku/>
        <w:wordWrap/>
        <w:overflowPunct/>
        <w:topLinePunct w:val="0"/>
        <w:bidi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3、主申请人在县城建成区范围内的用人单位工作，劳动关系稳定，并签订1年以上手续完备的劳动合同或聘用合同，且在本县连续缴纳6个月（含）以上社会保险或住房公积金。 </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4、家庭成员在县城建成区范围内无自有住房、未承租直管公房，或现有的住房面积未超过公租房保障面积标准。</w:t>
      </w:r>
    </w:p>
    <w:p>
      <w:pPr>
        <w:pStyle w:val="6"/>
        <w:keepNext w:val="0"/>
        <w:keepLines w:val="0"/>
        <w:pageBreakBefore w:val="0"/>
        <w:widowControl w:val="0"/>
        <w:kinsoku/>
        <w:wordWrap/>
        <w:overflowPunct/>
        <w:topLinePunct w:val="0"/>
        <w:bidi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5、申请家庭财产收入额度限制：</w:t>
      </w:r>
    </w:p>
    <w:p>
      <w:pPr>
        <w:pStyle w:val="6"/>
        <w:keepNext w:val="0"/>
        <w:keepLines w:val="0"/>
        <w:pageBreakBefore w:val="0"/>
        <w:widowControl w:val="0"/>
        <w:kinsoku/>
        <w:wordWrap/>
        <w:overflowPunct/>
        <w:topLinePunct w:val="0"/>
        <w:bidi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（1）家庭年人均可支配收入低于上年度我县城镇居民人均可支配收入的100%；</w:t>
      </w:r>
    </w:p>
    <w:p>
      <w:pPr>
        <w:pStyle w:val="6"/>
        <w:keepNext w:val="0"/>
        <w:keepLines w:val="0"/>
        <w:pageBreakBefore w:val="0"/>
        <w:widowControl w:val="0"/>
        <w:kinsoku/>
        <w:wordWrap/>
        <w:overflowPunct/>
        <w:topLinePunct w:val="0"/>
        <w:bidi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（2）申请家庭人均货币财产低于我县人均公租房保障面积乘以我县上年度商品房均价的总额；</w:t>
      </w:r>
    </w:p>
    <w:p>
      <w:pPr>
        <w:pStyle w:val="6"/>
        <w:keepNext w:val="0"/>
        <w:keepLines w:val="0"/>
        <w:pageBreakBefore w:val="0"/>
        <w:widowControl w:val="0"/>
        <w:kinsoku/>
        <w:wordWrap/>
        <w:overflowPunct/>
        <w:topLinePunct w:val="0"/>
        <w:bidi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（3）家庭成员名下无生活用机动车辆，或仅有1辆非营运机动车辆且机动车辆价格低于15万（价格以车辆购置税发票上计税金额为准，不含普通二轮摩托车、电动摩托车、残疾人代步车）；</w:t>
      </w:r>
    </w:p>
    <w:p>
      <w:pPr>
        <w:pStyle w:val="6"/>
        <w:keepNext w:val="0"/>
        <w:keepLines w:val="0"/>
        <w:pageBreakBefore w:val="0"/>
        <w:widowControl w:val="0"/>
        <w:tabs>
          <w:tab w:val="left" w:pos="840"/>
        </w:tabs>
        <w:kinsoku/>
        <w:wordWrap/>
        <w:overflowPunct/>
        <w:topLinePunct w:val="0"/>
        <w:bidi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（4）家庭成员在市场主体中的累计出资额（含认缴）不超过30万元（含）。</w:t>
      </w:r>
    </w:p>
    <w:p>
      <w:pPr>
        <w:pStyle w:val="6"/>
        <w:keepNext w:val="0"/>
        <w:keepLines w:val="0"/>
        <w:pageBreakBefore w:val="0"/>
        <w:widowControl w:val="0"/>
        <w:kinsoku/>
        <w:wordWrap/>
        <w:overflowPunct/>
        <w:topLinePunct w:val="0"/>
        <w:bidi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6、县人民政府规定的其他条件。 </w:t>
      </w:r>
    </w:p>
    <w:p>
      <w:pPr>
        <w:pStyle w:val="6"/>
        <w:keepNext w:val="0"/>
        <w:keepLines w:val="0"/>
        <w:pageBreakBefore w:val="0"/>
        <w:widowControl w:val="0"/>
        <w:kinsoku/>
        <w:wordWrap/>
        <w:overflowPunct/>
        <w:topLinePunct w:val="0"/>
        <w:bidi w:val="0"/>
        <w:snapToGrid w:val="0"/>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（四）稳定就业的外来务工人员申请公租房保障，应当同时符合以下条件</w:t>
      </w:r>
      <w:r>
        <w:rPr>
          <w:rFonts w:hint="eastAsia" w:ascii="仿宋_GB2312" w:hAnsi="仿宋_GB2312" w:eastAsia="仿宋_GB2312" w:cs="仿宋_GB2312"/>
          <w:sz w:val="32"/>
          <w:szCs w:val="32"/>
        </w:rPr>
        <w:t>： </w:t>
      </w:r>
    </w:p>
    <w:p>
      <w:pPr>
        <w:pStyle w:val="6"/>
        <w:keepNext w:val="0"/>
        <w:keepLines w:val="0"/>
        <w:pageBreakBefore w:val="0"/>
        <w:widowControl w:val="0"/>
        <w:kinsoku/>
        <w:wordWrap/>
        <w:overflowPunct/>
        <w:topLinePunct w:val="0"/>
        <w:bidi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1、主申请人具有青田县（不含县城建成区范围）户籍，或持有青田县《浙江省居住证》。</w:t>
      </w:r>
    </w:p>
    <w:p>
      <w:pPr>
        <w:pStyle w:val="6"/>
        <w:keepNext w:val="0"/>
        <w:keepLines w:val="0"/>
        <w:pageBreakBefore w:val="0"/>
        <w:widowControl w:val="0"/>
        <w:kinsoku/>
        <w:wordWrap/>
        <w:overflowPunct/>
        <w:topLinePunct w:val="0"/>
        <w:bidi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2、主申请人在县城建成区范围内的用人单位工作，劳动关系稳定，并签订1年以上手续完备的劳动合同或聘用合同，且在本县连续缴纳6个月（含）以上社会保险或住房公积金。 </w:t>
      </w:r>
    </w:p>
    <w:p>
      <w:pPr>
        <w:pStyle w:val="6"/>
        <w:keepNext w:val="0"/>
        <w:keepLines w:val="0"/>
        <w:pageBreakBefore w:val="0"/>
        <w:widowControl w:val="0"/>
        <w:kinsoku/>
        <w:wordWrap/>
        <w:overflowPunct/>
        <w:topLinePunct w:val="0"/>
        <w:bidi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3、主申请人持有中级及以上专业技术职称，或三级（高级）及以上职业资格(技能等级)证书。</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4、家庭成员在县城建成区范围内无自有住房、未承租直管公房，或现有的住房面积未超过公租房保障面积标准。</w:t>
      </w:r>
    </w:p>
    <w:p>
      <w:pPr>
        <w:pStyle w:val="6"/>
        <w:keepNext w:val="0"/>
        <w:keepLines w:val="0"/>
        <w:pageBreakBefore w:val="0"/>
        <w:widowControl w:val="0"/>
        <w:kinsoku/>
        <w:wordWrap/>
        <w:overflowPunct/>
        <w:topLinePunct w:val="0"/>
        <w:bidi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5、申请家庭财产收入额度限制：</w:t>
      </w:r>
    </w:p>
    <w:p>
      <w:pPr>
        <w:pStyle w:val="6"/>
        <w:keepNext w:val="0"/>
        <w:keepLines w:val="0"/>
        <w:pageBreakBefore w:val="0"/>
        <w:widowControl w:val="0"/>
        <w:kinsoku/>
        <w:wordWrap/>
        <w:overflowPunct/>
        <w:topLinePunct w:val="0"/>
        <w:bidi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（1）家庭年人均可支配收入低于上年度我县城镇居民人均可支配收入的100%；</w:t>
      </w:r>
    </w:p>
    <w:p>
      <w:pPr>
        <w:pStyle w:val="6"/>
        <w:keepNext w:val="0"/>
        <w:keepLines w:val="0"/>
        <w:pageBreakBefore w:val="0"/>
        <w:widowControl w:val="0"/>
        <w:kinsoku/>
        <w:wordWrap/>
        <w:overflowPunct/>
        <w:topLinePunct w:val="0"/>
        <w:bidi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（2）申请家庭人均货币财产低于我县人均公租房保障面积乘以我县上年度商品房均价的总额；</w:t>
      </w:r>
    </w:p>
    <w:p>
      <w:pPr>
        <w:pStyle w:val="6"/>
        <w:keepNext w:val="0"/>
        <w:keepLines w:val="0"/>
        <w:pageBreakBefore w:val="0"/>
        <w:widowControl w:val="0"/>
        <w:kinsoku/>
        <w:wordWrap/>
        <w:overflowPunct/>
        <w:topLinePunct w:val="0"/>
        <w:bidi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（3）家庭成员名下无生活用机动车辆，或仅有1辆非营运机动车辆且机动车辆价格低于15万（价格以车辆购置税发票上计税金额为准，不含普通二轮摩托车、电动摩托车、残疾人代步车）；</w:t>
      </w:r>
    </w:p>
    <w:p>
      <w:pPr>
        <w:pStyle w:val="6"/>
        <w:keepNext w:val="0"/>
        <w:keepLines w:val="0"/>
        <w:pageBreakBefore w:val="0"/>
        <w:widowControl w:val="0"/>
        <w:kinsoku/>
        <w:wordWrap/>
        <w:overflowPunct/>
        <w:topLinePunct w:val="0"/>
        <w:bidi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（4）家庭成员在市场主体中的累计出资额（含认缴）不超过30万元（含）。</w:t>
      </w:r>
    </w:p>
    <w:p>
      <w:pPr>
        <w:pStyle w:val="6"/>
        <w:keepNext w:val="0"/>
        <w:keepLines w:val="0"/>
        <w:pageBreakBefore w:val="0"/>
        <w:widowControl w:val="0"/>
        <w:kinsoku/>
        <w:wordWrap/>
        <w:overflowPunct/>
        <w:topLinePunct w:val="0"/>
        <w:bidi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6、主申请人在县城建成区范围内连续从事一线清扫清运工作满3年且所在单位为青田县环境卫生管理处或由其确定的服务单位的环卫工人，不受第1、2、3点条件限制（仅限货币补贴申请家庭）。</w:t>
      </w:r>
    </w:p>
    <w:p>
      <w:pPr>
        <w:pStyle w:val="6"/>
        <w:keepNext w:val="0"/>
        <w:keepLines w:val="0"/>
        <w:pageBreakBefore w:val="0"/>
        <w:widowControl w:val="0"/>
        <w:kinsoku/>
        <w:wordWrap/>
        <w:overflowPunct/>
        <w:topLinePunct w:val="0"/>
        <w:bidi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7、主申请人在本县范围内连续从事一线公交工作满3年且所在单位为青田县公共交通有限公司或由其确定的服务单位的公交司机，不受第1、2、3点条件限制（</w:t>
      </w:r>
      <w:r>
        <w:rPr>
          <w:rFonts w:hint="eastAsia" w:ascii="仿宋_GB2312" w:hAnsi="仿宋_GB2312" w:eastAsia="仿宋_GB2312" w:cs="仿宋_GB2312"/>
          <w:sz w:val="32"/>
          <w:szCs w:val="32"/>
        </w:rPr>
        <w:t>仅限货币补贴申请家庭）</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8、县人民政府规定的其他条件。</w:t>
      </w:r>
    </w:p>
    <w:p>
      <w:pPr>
        <w:keepNext w:val="0"/>
        <w:keepLines w:val="0"/>
        <w:pageBreakBefore w:val="0"/>
        <w:widowControl w:val="0"/>
        <w:kinsoku/>
        <w:wordWrap/>
        <w:overflowPunct/>
        <w:topLinePunct w:val="0"/>
        <w:bidi w:val="0"/>
        <w:snapToGrid w:val="0"/>
        <w:spacing w:line="560" w:lineRule="exact"/>
        <w:ind w:firstLine="643" w:firstLineChars="200"/>
        <w:textAlignment w:val="auto"/>
        <w:rPr>
          <w:rFonts w:hint="eastAsia" w:ascii="黑体" w:hAnsi="黑体" w:eastAsia="黑体" w:cs="黑体"/>
          <w:b/>
          <w:sz w:val="32"/>
          <w:szCs w:val="32"/>
        </w:rPr>
      </w:pPr>
    </w:p>
    <w:p>
      <w:pPr>
        <w:keepNext w:val="0"/>
        <w:keepLines w:val="0"/>
        <w:pageBreakBefore w:val="0"/>
        <w:widowControl w:val="0"/>
        <w:kinsoku/>
        <w:wordWrap/>
        <w:overflowPunct/>
        <w:topLinePunct w:val="0"/>
        <w:bidi w:val="0"/>
        <w:snapToGrid w:val="0"/>
        <w:spacing w:line="560" w:lineRule="exact"/>
        <w:ind w:firstLine="643" w:firstLineChars="200"/>
        <w:textAlignment w:val="auto"/>
        <w:rPr>
          <w:rFonts w:hint="eastAsia" w:ascii="黑体" w:hAnsi="黑体" w:eastAsia="黑体" w:cs="黑体"/>
          <w:b/>
          <w:sz w:val="32"/>
          <w:szCs w:val="32"/>
        </w:rPr>
      </w:pPr>
      <w:r>
        <w:rPr>
          <w:rFonts w:hint="eastAsia" w:ascii="黑体" w:hAnsi="黑体" w:eastAsia="黑体" w:cs="黑体"/>
          <w:b/>
          <w:sz w:val="32"/>
          <w:szCs w:val="32"/>
        </w:rPr>
        <w:t>二、公租房保障面积标准</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公租房保障家庭的面积标准，按人均住房建筑面积18平方米保障，同时按每户家庭住房建筑面积最低36平方米,最高60平方米保障。</w:t>
      </w:r>
    </w:p>
    <w:p>
      <w:pPr>
        <w:keepNext w:val="0"/>
        <w:keepLines w:val="0"/>
        <w:pageBreakBefore w:val="0"/>
        <w:widowControl w:val="0"/>
        <w:kinsoku/>
        <w:wordWrap/>
        <w:overflowPunct/>
        <w:topLinePunct w:val="0"/>
        <w:bidi w:val="0"/>
        <w:snapToGrid w:val="0"/>
        <w:spacing w:line="560" w:lineRule="exact"/>
        <w:ind w:firstLine="643" w:firstLineChars="200"/>
        <w:textAlignment w:val="auto"/>
        <w:rPr>
          <w:rFonts w:hint="eastAsia" w:ascii="黑体" w:hAnsi="黑体" w:eastAsia="黑体" w:cs="黑体"/>
          <w:b/>
          <w:sz w:val="32"/>
          <w:szCs w:val="32"/>
        </w:rPr>
      </w:pPr>
      <w:r>
        <w:rPr>
          <w:rFonts w:hint="eastAsia" w:ascii="黑体" w:hAnsi="黑体" w:eastAsia="黑体" w:cs="黑体"/>
          <w:b/>
          <w:sz w:val="32"/>
          <w:szCs w:val="32"/>
        </w:rPr>
        <w:t>三、公租房保障实物配租租金标准</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公租房租金以市场价格为基准，市场价格以评估中介的评估价为准。保障对象按照下列类别确定相应租金费率标准：</w:t>
      </w:r>
    </w:p>
    <w:tbl>
      <w:tblPr>
        <w:tblStyle w:val="7"/>
        <w:tblpPr w:leftFromText="180" w:rightFromText="180" w:vertAnchor="text" w:horzAnchor="page" w:tblpX="1982" w:tblpY="85"/>
        <w:tblOverlap w:val="never"/>
        <w:tblW w:w="8158" w:type="dxa"/>
        <w:tblInd w:w="0" w:type="dxa"/>
        <w:tblLayout w:type="fixed"/>
        <w:tblCellMar>
          <w:top w:w="0" w:type="dxa"/>
          <w:left w:w="108" w:type="dxa"/>
          <w:bottom w:w="0" w:type="dxa"/>
          <w:right w:w="108" w:type="dxa"/>
        </w:tblCellMar>
      </w:tblPr>
      <w:tblGrid>
        <w:gridCol w:w="2235"/>
        <w:gridCol w:w="3402"/>
        <w:gridCol w:w="2521"/>
      </w:tblGrid>
      <w:tr>
        <w:tblPrEx>
          <w:tblCellMar>
            <w:top w:w="0" w:type="dxa"/>
            <w:left w:w="108" w:type="dxa"/>
            <w:bottom w:w="0" w:type="dxa"/>
            <w:right w:w="108" w:type="dxa"/>
          </w:tblCellMar>
        </w:tblPrEx>
        <w:trPr>
          <w:trHeight w:val="841" w:hRule="atLeast"/>
        </w:trPr>
        <w:tc>
          <w:tcPr>
            <w:tcW w:w="2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napToGrid w:val="0"/>
              <w:spacing w:after="0" w:line="56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房源</w:t>
            </w:r>
          </w:p>
        </w:tc>
        <w:tc>
          <w:tcPr>
            <w:tcW w:w="3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napToGrid w:val="0"/>
              <w:spacing w:after="0" w:line="56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人员类别</w:t>
            </w:r>
          </w:p>
        </w:tc>
        <w:tc>
          <w:tcPr>
            <w:tcW w:w="25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napToGrid w:val="0"/>
              <w:spacing w:after="0" w:line="56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租金费率百分比</w:t>
            </w:r>
          </w:p>
        </w:tc>
      </w:tr>
      <w:tr>
        <w:tblPrEx>
          <w:tblCellMar>
            <w:top w:w="0" w:type="dxa"/>
            <w:left w:w="108" w:type="dxa"/>
            <w:bottom w:w="0" w:type="dxa"/>
            <w:right w:w="108" w:type="dxa"/>
          </w:tblCellMar>
        </w:tblPrEx>
        <w:trPr>
          <w:trHeight w:val="778" w:hRule="atLeast"/>
        </w:trPr>
        <w:tc>
          <w:tcPr>
            <w:tcW w:w="2235"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bidi w:val="0"/>
              <w:snapToGrid w:val="0"/>
              <w:spacing w:after="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高湾小区一期12幢、高湾小区二期一层、高湾绿园一层</w:t>
            </w:r>
          </w:p>
        </w:tc>
        <w:tc>
          <w:tcPr>
            <w:tcW w:w="3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napToGrid w:val="0"/>
              <w:spacing w:after="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城镇居民低保等住房救助家庭</w:t>
            </w:r>
          </w:p>
        </w:tc>
        <w:tc>
          <w:tcPr>
            <w:tcW w:w="25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snapToGrid w:val="0"/>
              <w:spacing w:after="0"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p>
        </w:tc>
      </w:tr>
      <w:tr>
        <w:tblPrEx>
          <w:tblCellMar>
            <w:top w:w="0" w:type="dxa"/>
            <w:left w:w="108" w:type="dxa"/>
            <w:bottom w:w="0" w:type="dxa"/>
            <w:right w:w="108" w:type="dxa"/>
          </w:tblCellMar>
        </w:tblPrEx>
        <w:trPr>
          <w:trHeight w:val="734" w:hRule="atLeast"/>
        </w:trPr>
        <w:tc>
          <w:tcPr>
            <w:tcW w:w="2235"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bidi w:val="0"/>
              <w:snapToGrid w:val="0"/>
              <w:spacing w:after="0" w:line="560" w:lineRule="exact"/>
              <w:ind w:firstLine="640" w:firstLineChars="200"/>
              <w:textAlignment w:val="auto"/>
              <w:rPr>
                <w:rFonts w:hint="eastAsia" w:ascii="仿宋_GB2312" w:hAnsi="仿宋_GB2312" w:eastAsia="仿宋_GB2312" w:cs="仿宋_GB2312"/>
                <w:sz w:val="32"/>
                <w:szCs w:val="32"/>
              </w:rPr>
            </w:pPr>
          </w:p>
        </w:tc>
        <w:tc>
          <w:tcPr>
            <w:tcW w:w="3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napToGrid w:val="0"/>
              <w:spacing w:after="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城镇居民低收入住房困难家庭</w:t>
            </w:r>
          </w:p>
        </w:tc>
        <w:tc>
          <w:tcPr>
            <w:tcW w:w="25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snapToGrid w:val="0"/>
              <w:spacing w:after="0"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p>
        </w:tc>
      </w:tr>
      <w:tr>
        <w:tblPrEx>
          <w:tblCellMar>
            <w:top w:w="0" w:type="dxa"/>
            <w:left w:w="108" w:type="dxa"/>
            <w:bottom w:w="0" w:type="dxa"/>
            <w:right w:w="108" w:type="dxa"/>
          </w:tblCellMar>
        </w:tblPrEx>
        <w:trPr>
          <w:trHeight w:val="803" w:hRule="atLeast"/>
        </w:trPr>
        <w:tc>
          <w:tcPr>
            <w:tcW w:w="2235"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bidi w:val="0"/>
              <w:snapToGrid w:val="0"/>
              <w:spacing w:after="0" w:line="560" w:lineRule="exact"/>
              <w:ind w:firstLine="640" w:firstLineChars="200"/>
              <w:textAlignment w:val="auto"/>
              <w:rPr>
                <w:rFonts w:hint="eastAsia" w:ascii="仿宋_GB2312" w:hAnsi="仿宋_GB2312" w:eastAsia="仿宋_GB2312" w:cs="仿宋_GB2312"/>
                <w:sz w:val="32"/>
                <w:szCs w:val="32"/>
              </w:rPr>
            </w:pPr>
          </w:p>
        </w:tc>
        <w:tc>
          <w:tcPr>
            <w:tcW w:w="3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napToGrid w:val="0"/>
              <w:spacing w:after="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城镇居民中等偏下收入住房困难家庭</w:t>
            </w:r>
          </w:p>
        </w:tc>
        <w:tc>
          <w:tcPr>
            <w:tcW w:w="25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snapToGrid w:val="0"/>
              <w:spacing w:after="0"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50%</w:t>
            </w:r>
          </w:p>
        </w:tc>
      </w:tr>
      <w:tr>
        <w:tblPrEx>
          <w:tblCellMar>
            <w:top w:w="0" w:type="dxa"/>
            <w:left w:w="108" w:type="dxa"/>
            <w:bottom w:w="0" w:type="dxa"/>
            <w:right w:w="108" w:type="dxa"/>
          </w:tblCellMar>
        </w:tblPrEx>
        <w:trPr>
          <w:trHeight w:val="803" w:hRule="atLeast"/>
        </w:trPr>
        <w:tc>
          <w:tcPr>
            <w:tcW w:w="2235"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napToGrid w:val="0"/>
              <w:spacing w:after="0" w:line="560" w:lineRule="exact"/>
              <w:ind w:firstLine="640" w:firstLineChars="200"/>
              <w:textAlignment w:val="auto"/>
              <w:rPr>
                <w:rFonts w:hint="eastAsia" w:ascii="仿宋_GB2312" w:hAnsi="仿宋_GB2312" w:eastAsia="仿宋_GB2312" w:cs="仿宋_GB2312"/>
                <w:sz w:val="32"/>
                <w:szCs w:val="32"/>
              </w:rPr>
            </w:pPr>
          </w:p>
        </w:tc>
        <w:tc>
          <w:tcPr>
            <w:tcW w:w="3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napToGrid w:val="0"/>
              <w:spacing w:after="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新就业无房职工、稳定就业的外来务工人员</w:t>
            </w:r>
          </w:p>
        </w:tc>
        <w:tc>
          <w:tcPr>
            <w:tcW w:w="25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snapToGrid w:val="0"/>
              <w:spacing w:after="0"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50%</w:t>
            </w:r>
          </w:p>
        </w:tc>
      </w:tr>
      <w:tr>
        <w:tblPrEx>
          <w:tblCellMar>
            <w:top w:w="0" w:type="dxa"/>
            <w:left w:w="108" w:type="dxa"/>
            <w:bottom w:w="0" w:type="dxa"/>
            <w:right w:w="108" w:type="dxa"/>
          </w:tblCellMar>
        </w:tblPrEx>
        <w:trPr>
          <w:trHeight w:val="803" w:hRule="atLeast"/>
        </w:trPr>
        <w:tc>
          <w:tcPr>
            <w:tcW w:w="2235" w:type="dxa"/>
            <w:vMerge w:val="restart"/>
            <w:tcBorders>
              <w:top w:val="single" w:color="000000" w:sz="4" w:space="0"/>
              <w:left w:val="single" w:color="000000" w:sz="4" w:space="0"/>
              <w:bottom w:val="single" w:color="000000" w:sz="4" w:space="0"/>
              <w:right w:val="single" w:color="000000" w:sz="4" w:space="0"/>
            </w:tcBorders>
            <w:vAlign w:val="center"/>
          </w:tcPr>
          <w:p>
            <w:pPr>
              <w:pStyle w:val="2"/>
              <w:rPr>
                <w:rFonts w:hint="eastAsia"/>
              </w:rPr>
            </w:pPr>
          </w:p>
          <w:p>
            <w:pPr>
              <w:rPr>
                <w:rFonts w:hint="eastAsia"/>
              </w:rPr>
            </w:pPr>
          </w:p>
          <w:p>
            <w:pPr>
              <w:keepNext w:val="0"/>
              <w:keepLines w:val="0"/>
              <w:pageBreakBefore w:val="0"/>
              <w:widowControl w:val="0"/>
              <w:kinsoku/>
              <w:wordWrap/>
              <w:overflowPunct/>
              <w:topLinePunct w:val="0"/>
              <w:bidi w:val="0"/>
              <w:snapToGrid w:val="0"/>
              <w:spacing w:after="0"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高湾小区二期（除一层）、高湾绿园小区（除一层）、望湖家园、其他</w:t>
            </w:r>
          </w:p>
        </w:tc>
        <w:tc>
          <w:tcPr>
            <w:tcW w:w="3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napToGrid w:val="0"/>
              <w:spacing w:after="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城镇居民低保等住房救助家庭</w:t>
            </w:r>
          </w:p>
        </w:tc>
        <w:tc>
          <w:tcPr>
            <w:tcW w:w="25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snapToGrid w:val="0"/>
              <w:spacing w:after="0"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p>
        </w:tc>
      </w:tr>
      <w:tr>
        <w:tblPrEx>
          <w:tblCellMar>
            <w:top w:w="0" w:type="dxa"/>
            <w:left w:w="108" w:type="dxa"/>
            <w:bottom w:w="0" w:type="dxa"/>
            <w:right w:w="108" w:type="dxa"/>
          </w:tblCellMar>
        </w:tblPrEx>
        <w:trPr>
          <w:trHeight w:val="803" w:hRule="atLeast"/>
        </w:trPr>
        <w:tc>
          <w:tcPr>
            <w:tcW w:w="223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napToGrid w:val="0"/>
              <w:spacing w:after="0" w:line="560" w:lineRule="exact"/>
              <w:ind w:firstLine="640" w:firstLineChars="200"/>
              <w:jc w:val="center"/>
              <w:textAlignment w:val="auto"/>
              <w:rPr>
                <w:rFonts w:hint="eastAsia" w:ascii="仿宋_GB2312" w:hAnsi="仿宋_GB2312" w:eastAsia="仿宋_GB2312" w:cs="仿宋_GB2312"/>
                <w:sz w:val="32"/>
                <w:szCs w:val="32"/>
              </w:rPr>
            </w:pPr>
          </w:p>
        </w:tc>
        <w:tc>
          <w:tcPr>
            <w:tcW w:w="3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napToGrid w:val="0"/>
              <w:spacing w:after="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城镇居民低收入住房困难家庭</w:t>
            </w:r>
          </w:p>
        </w:tc>
        <w:tc>
          <w:tcPr>
            <w:tcW w:w="25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snapToGrid w:val="0"/>
              <w:spacing w:after="0"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45%</w:t>
            </w:r>
          </w:p>
        </w:tc>
      </w:tr>
      <w:tr>
        <w:tblPrEx>
          <w:tblCellMar>
            <w:top w:w="0" w:type="dxa"/>
            <w:left w:w="108" w:type="dxa"/>
            <w:bottom w:w="0" w:type="dxa"/>
            <w:right w:w="108" w:type="dxa"/>
          </w:tblCellMar>
        </w:tblPrEx>
        <w:trPr>
          <w:trHeight w:val="782" w:hRule="atLeast"/>
        </w:trPr>
        <w:tc>
          <w:tcPr>
            <w:tcW w:w="223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napToGrid w:val="0"/>
              <w:spacing w:after="0" w:line="560" w:lineRule="exact"/>
              <w:ind w:firstLine="640" w:firstLineChars="200"/>
              <w:jc w:val="center"/>
              <w:textAlignment w:val="auto"/>
              <w:rPr>
                <w:rFonts w:hint="eastAsia" w:ascii="仿宋_GB2312" w:hAnsi="仿宋_GB2312" w:eastAsia="仿宋_GB2312" w:cs="仿宋_GB2312"/>
                <w:sz w:val="32"/>
                <w:szCs w:val="32"/>
              </w:rPr>
            </w:pPr>
          </w:p>
        </w:tc>
        <w:tc>
          <w:tcPr>
            <w:tcW w:w="3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napToGrid w:val="0"/>
              <w:spacing w:after="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城镇居民中等偏下收入住房困难家庭</w:t>
            </w:r>
          </w:p>
        </w:tc>
        <w:tc>
          <w:tcPr>
            <w:tcW w:w="25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snapToGrid w:val="0"/>
              <w:spacing w:after="0"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50%</w:t>
            </w:r>
          </w:p>
        </w:tc>
      </w:tr>
      <w:tr>
        <w:tblPrEx>
          <w:tblCellMar>
            <w:top w:w="0" w:type="dxa"/>
            <w:left w:w="108" w:type="dxa"/>
            <w:bottom w:w="0" w:type="dxa"/>
            <w:right w:w="108" w:type="dxa"/>
          </w:tblCellMar>
        </w:tblPrEx>
        <w:trPr>
          <w:trHeight w:val="813" w:hRule="atLeast"/>
        </w:trPr>
        <w:tc>
          <w:tcPr>
            <w:tcW w:w="223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napToGrid w:val="0"/>
              <w:spacing w:after="0" w:line="560" w:lineRule="exact"/>
              <w:ind w:firstLine="640" w:firstLineChars="200"/>
              <w:jc w:val="center"/>
              <w:textAlignment w:val="auto"/>
              <w:rPr>
                <w:rFonts w:hint="eastAsia" w:ascii="仿宋_GB2312" w:hAnsi="仿宋_GB2312" w:eastAsia="仿宋_GB2312" w:cs="仿宋_GB2312"/>
                <w:sz w:val="32"/>
                <w:szCs w:val="32"/>
              </w:rPr>
            </w:pPr>
          </w:p>
        </w:tc>
        <w:tc>
          <w:tcPr>
            <w:tcW w:w="3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napToGrid w:val="0"/>
              <w:spacing w:after="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新就业无房职工、稳定就业的外来务工人员</w:t>
            </w:r>
          </w:p>
        </w:tc>
        <w:tc>
          <w:tcPr>
            <w:tcW w:w="25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snapToGrid w:val="0"/>
              <w:spacing w:after="0"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50%</w:t>
            </w:r>
          </w:p>
        </w:tc>
      </w:tr>
    </w:tbl>
    <w:p>
      <w:pPr>
        <w:keepNext w:val="0"/>
        <w:keepLines w:val="0"/>
        <w:pageBreakBefore w:val="0"/>
        <w:widowControl w:val="0"/>
        <w:kinsoku/>
        <w:wordWrap/>
        <w:overflowPunct/>
        <w:topLinePunct w:val="0"/>
        <w:autoSpaceDE/>
        <w:autoSpaceDN/>
        <w:bidi w:val="0"/>
        <w:adjustRightInd/>
        <w:snapToGrid w:val="0"/>
        <w:spacing w:line="400" w:lineRule="exact"/>
        <w:ind w:left="0" w:hanging="640" w:hanging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b/>
          <w:sz w:val="32"/>
          <w:szCs w:val="32"/>
        </w:rPr>
        <w:t>四、公租房保障租赁补贴标准</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公租房租赁补贴以市场价格为基准，市场价格以评估中介的评估价为准，有多个区块评估价的采用就高原则。保障对象按照下列类别确定相应租赁补贴费率标准：</w:t>
      </w:r>
    </w:p>
    <w:tbl>
      <w:tblPr>
        <w:tblStyle w:val="7"/>
        <w:tblpPr w:leftFromText="180" w:rightFromText="180" w:vertAnchor="text" w:horzAnchor="page" w:tblpX="1693" w:tblpY="427"/>
        <w:tblOverlap w:val="never"/>
        <w:tblW w:w="8615" w:type="dxa"/>
        <w:tblInd w:w="0" w:type="dxa"/>
        <w:tblLayout w:type="fixed"/>
        <w:tblCellMar>
          <w:top w:w="0" w:type="dxa"/>
          <w:left w:w="108" w:type="dxa"/>
          <w:bottom w:w="0" w:type="dxa"/>
          <w:right w:w="108" w:type="dxa"/>
        </w:tblCellMar>
      </w:tblPr>
      <w:tblGrid>
        <w:gridCol w:w="6379"/>
        <w:gridCol w:w="2236"/>
      </w:tblGrid>
      <w:tr>
        <w:tblPrEx>
          <w:tblCellMar>
            <w:top w:w="0" w:type="dxa"/>
            <w:left w:w="108" w:type="dxa"/>
            <w:bottom w:w="0" w:type="dxa"/>
            <w:right w:w="108" w:type="dxa"/>
          </w:tblCellMar>
        </w:tblPrEx>
        <w:trPr>
          <w:trHeight w:val="312" w:hRule="atLeast"/>
        </w:trPr>
        <w:tc>
          <w:tcPr>
            <w:tcW w:w="63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napToGrid w:val="0"/>
              <w:spacing w:after="0" w:line="560" w:lineRule="exact"/>
              <w:jc w:val="center"/>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人员类别</w:t>
            </w:r>
          </w:p>
        </w:tc>
        <w:tc>
          <w:tcPr>
            <w:tcW w:w="22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napToGrid w:val="0"/>
              <w:spacing w:after="0" w:line="560" w:lineRule="exact"/>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租赁补贴费率</w:t>
            </w:r>
          </w:p>
        </w:tc>
      </w:tr>
      <w:tr>
        <w:tblPrEx>
          <w:tblCellMar>
            <w:top w:w="0" w:type="dxa"/>
            <w:left w:w="108" w:type="dxa"/>
            <w:bottom w:w="0" w:type="dxa"/>
            <w:right w:w="108" w:type="dxa"/>
          </w:tblCellMar>
        </w:tblPrEx>
        <w:trPr>
          <w:trHeight w:val="614" w:hRule="atLeast"/>
        </w:trPr>
        <w:tc>
          <w:tcPr>
            <w:tcW w:w="63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napToGrid w:val="0"/>
              <w:spacing w:after="0" w:line="560" w:lineRule="exac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城镇居民低保等住房救助家庭</w:t>
            </w:r>
          </w:p>
        </w:tc>
        <w:tc>
          <w:tcPr>
            <w:tcW w:w="22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snapToGrid w:val="0"/>
              <w:spacing w:after="0"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100%</w:t>
            </w:r>
          </w:p>
        </w:tc>
      </w:tr>
      <w:tr>
        <w:tblPrEx>
          <w:tblCellMar>
            <w:top w:w="0" w:type="dxa"/>
            <w:left w:w="108" w:type="dxa"/>
            <w:bottom w:w="0" w:type="dxa"/>
            <w:right w:w="108" w:type="dxa"/>
          </w:tblCellMar>
        </w:tblPrEx>
        <w:trPr>
          <w:trHeight w:val="312" w:hRule="atLeast"/>
        </w:trPr>
        <w:tc>
          <w:tcPr>
            <w:tcW w:w="63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napToGrid w:val="0"/>
              <w:spacing w:after="0" w:line="560" w:lineRule="exac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城镇居民低收入住房困难家庭</w:t>
            </w:r>
          </w:p>
        </w:tc>
        <w:tc>
          <w:tcPr>
            <w:tcW w:w="22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snapToGrid w:val="0"/>
              <w:spacing w:after="0"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70%</w:t>
            </w:r>
          </w:p>
        </w:tc>
      </w:tr>
      <w:tr>
        <w:tblPrEx>
          <w:tblCellMar>
            <w:top w:w="0" w:type="dxa"/>
            <w:left w:w="108" w:type="dxa"/>
            <w:bottom w:w="0" w:type="dxa"/>
            <w:right w:w="108" w:type="dxa"/>
          </w:tblCellMar>
        </w:tblPrEx>
        <w:trPr>
          <w:trHeight w:val="576" w:hRule="atLeast"/>
        </w:trPr>
        <w:tc>
          <w:tcPr>
            <w:tcW w:w="63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napToGrid w:val="0"/>
              <w:spacing w:after="0" w:line="560" w:lineRule="exac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城镇居民中等偏下收入住房困难家庭</w:t>
            </w:r>
          </w:p>
        </w:tc>
        <w:tc>
          <w:tcPr>
            <w:tcW w:w="22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snapToGrid w:val="0"/>
              <w:spacing w:after="0"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50%</w:t>
            </w:r>
          </w:p>
        </w:tc>
      </w:tr>
      <w:tr>
        <w:tblPrEx>
          <w:tblCellMar>
            <w:top w:w="0" w:type="dxa"/>
            <w:left w:w="108" w:type="dxa"/>
            <w:bottom w:w="0" w:type="dxa"/>
            <w:right w:w="108" w:type="dxa"/>
          </w:tblCellMar>
        </w:tblPrEx>
        <w:trPr>
          <w:trHeight w:val="624" w:hRule="atLeast"/>
        </w:trPr>
        <w:tc>
          <w:tcPr>
            <w:tcW w:w="63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napToGrid w:val="0"/>
              <w:spacing w:after="0" w:line="560" w:lineRule="exac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新就业无房职工、稳定就业的外来务工人员</w:t>
            </w:r>
          </w:p>
        </w:tc>
        <w:tc>
          <w:tcPr>
            <w:tcW w:w="22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snapToGrid w:val="0"/>
              <w:spacing w:after="0"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50%</w:t>
            </w:r>
          </w:p>
        </w:tc>
      </w:tr>
    </w:tbl>
    <w:p>
      <w:pPr>
        <w:pStyle w:val="6"/>
        <w:keepNext w:val="0"/>
        <w:keepLines w:val="0"/>
        <w:pageBreakBefore w:val="0"/>
        <w:widowControl w:val="0"/>
        <w:kinsoku/>
        <w:wordWrap/>
        <w:overflowPunct/>
        <w:topLinePunct w:val="0"/>
        <w:bidi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保障家庭有自有住房但住房建筑面积未超过公租房保障面积标准的，保障面积为其自有住房建筑面积与公租房保障面积标准的差额。</w:t>
      </w:r>
    </w:p>
    <w:p>
      <w:pPr>
        <w:pStyle w:val="6"/>
        <w:keepNext w:val="0"/>
        <w:keepLines w:val="0"/>
        <w:pageBreakBefore w:val="0"/>
        <w:widowControl w:val="0"/>
        <w:kinsoku/>
        <w:wordWrap/>
        <w:overflowPunct/>
        <w:topLinePunct w:val="0"/>
        <w:bidi w:val="0"/>
        <w:snapToGrid w:val="0"/>
        <w:spacing w:before="0" w:beforeAutospacing="0" w:after="0" w:afterAutospacing="0" w:line="560" w:lineRule="exact"/>
        <w:ind w:firstLine="643" w:firstLineChars="200"/>
        <w:jc w:val="both"/>
        <w:textAlignment w:val="auto"/>
        <w:rPr>
          <w:rFonts w:hint="eastAsia" w:ascii="黑体" w:hAnsi="黑体" w:eastAsia="黑体" w:cs="黑体"/>
          <w:b/>
          <w:sz w:val="32"/>
          <w:szCs w:val="32"/>
        </w:rPr>
      </w:pPr>
      <w:r>
        <w:rPr>
          <w:rFonts w:hint="eastAsia" w:ascii="黑体" w:hAnsi="黑体" w:eastAsia="黑体" w:cs="黑体"/>
          <w:b/>
          <w:sz w:val="32"/>
          <w:szCs w:val="32"/>
        </w:rPr>
        <w:t>五、其他事项</w:t>
      </w:r>
    </w:p>
    <w:p>
      <w:pPr>
        <w:pStyle w:val="6"/>
        <w:keepNext w:val="0"/>
        <w:keepLines w:val="0"/>
        <w:pageBreakBefore w:val="0"/>
        <w:widowControl w:val="0"/>
        <w:kinsoku/>
        <w:wordWrap/>
        <w:overflowPunct/>
        <w:topLinePunct w:val="0"/>
        <w:bidi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（一）每个申请家庭原则上应当推举1名具有完全民事行为能力的家庭成员作为主申请人。特殊情况下，主申请人不具备完全民事行为能力的，由监护人代为申请。</w:t>
      </w:r>
    </w:p>
    <w:p>
      <w:pPr>
        <w:pStyle w:val="6"/>
        <w:keepNext w:val="0"/>
        <w:keepLines w:val="0"/>
        <w:pageBreakBefore w:val="0"/>
        <w:widowControl w:val="0"/>
        <w:kinsoku/>
        <w:wordWrap/>
        <w:overflowPunct/>
        <w:topLinePunct w:val="0"/>
        <w:bidi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（二）申请家庭的全年可支配收入，是指申请当月前12月的家庭可支配收入总和。</w:t>
      </w:r>
    </w:p>
    <w:p>
      <w:pPr>
        <w:pStyle w:val="6"/>
        <w:keepNext w:val="0"/>
        <w:keepLines w:val="0"/>
        <w:pageBreakBefore w:val="0"/>
        <w:widowControl w:val="0"/>
        <w:kinsoku/>
        <w:wordWrap/>
        <w:overflowPunct/>
        <w:topLinePunct w:val="0"/>
        <w:bidi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三</w:t>
      </w:r>
      <w:r>
        <w:rPr>
          <w:rFonts w:hint="eastAsia" w:ascii="仿宋_GB2312" w:hAnsi="仿宋_GB2312" w:eastAsia="仿宋_GB2312" w:cs="仿宋_GB2312"/>
          <w:bCs/>
          <w:sz w:val="32"/>
          <w:szCs w:val="32"/>
        </w:rPr>
        <w:t>）自有住房情况包括：</w:t>
      </w:r>
    </w:p>
    <w:p>
      <w:pPr>
        <w:pStyle w:val="6"/>
        <w:keepNext w:val="0"/>
        <w:keepLines w:val="0"/>
        <w:pageBreakBefore w:val="0"/>
        <w:widowControl w:val="0"/>
        <w:kinsoku/>
        <w:wordWrap/>
        <w:overflowPunct/>
        <w:topLinePunct w:val="0"/>
        <w:bidi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（1）名下登记有现房或购买期房（包括住宅和商业用房）；</w:t>
      </w:r>
    </w:p>
    <w:p>
      <w:pPr>
        <w:keepNext w:val="0"/>
        <w:keepLines w:val="0"/>
        <w:pageBreakBefore w:val="0"/>
        <w:widowControl w:val="0"/>
        <w:kinsoku/>
        <w:wordWrap/>
        <w:overflowPunct/>
        <w:topLinePunct w:val="0"/>
        <w:bidi w:val="0"/>
        <w:snapToGrid w:val="0"/>
        <w:spacing w:after="0"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（2）不包括：车库、贮藏室（地下室）；</w:t>
      </w:r>
    </w:p>
    <w:p>
      <w:pPr>
        <w:keepNext w:val="0"/>
        <w:keepLines w:val="0"/>
        <w:pageBreakBefore w:val="0"/>
        <w:widowControl w:val="0"/>
        <w:kinsoku/>
        <w:wordWrap/>
        <w:overflowPunct/>
        <w:topLinePunct w:val="0"/>
        <w:bidi w:val="0"/>
        <w:snapToGrid w:val="0"/>
        <w:spacing w:after="0"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（3）其他法定情形。</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四）本保障标准施行后，对于尚在租赁合同期限内的实物配租保障对象，合同期限内仍按照租赁合同签订时的保障标准进行审核；但原保障标准列为保障条件，本保障标准未列为保障条件的条款，不再审核。租赁合同期限届满后，如续租的，则按照续租时的保障标准进行审核。</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color w:val="000000"/>
          <w:sz w:val="32"/>
          <w:szCs w:val="32"/>
        </w:rPr>
        <w:t>（五）本保障标准施行后，</w:t>
      </w:r>
      <w:r>
        <w:rPr>
          <w:rFonts w:hint="eastAsia" w:ascii="仿宋_GB2312" w:hAnsi="仿宋_GB2312" w:eastAsia="仿宋_GB2312" w:cs="仿宋_GB2312"/>
          <w:bCs/>
          <w:sz w:val="32"/>
          <w:szCs w:val="32"/>
        </w:rPr>
        <w:t>对于发放货币补贴的保障对象（含选择货币补贴人员和选择实物配租在轮候期内人员），按照本保障标准进行审核。</w:t>
      </w:r>
    </w:p>
    <w:p>
      <w:pPr>
        <w:pStyle w:val="6"/>
        <w:keepNext w:val="0"/>
        <w:keepLines w:val="0"/>
        <w:pageBreakBefore w:val="0"/>
        <w:widowControl w:val="0"/>
        <w:kinsoku/>
        <w:wordWrap/>
        <w:overflowPunct/>
        <w:topLinePunct w:val="0"/>
        <w:bidi w:val="0"/>
        <w:snapToGrid w:val="0"/>
        <w:spacing w:before="0" w:beforeAutospacing="0" w:after="0" w:afterAutospacing="0" w:line="560" w:lineRule="exact"/>
        <w:ind w:firstLine="672"/>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本文件自2024年</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rPr>
        <w:t>日起施行。《青田县2023年公共租赁住房保障标准》（青建〔2023〕16 号）文件同时废止。</w:t>
      </w:r>
    </w:p>
    <w:p>
      <w:pPr>
        <w:pStyle w:val="6"/>
        <w:keepNext w:val="0"/>
        <w:keepLines w:val="0"/>
        <w:pageBreakBefore w:val="0"/>
        <w:widowControl w:val="0"/>
        <w:kinsoku/>
        <w:wordWrap/>
        <w:overflowPunct/>
        <w:topLinePunct w:val="0"/>
        <w:bidi w:val="0"/>
        <w:snapToGrid w:val="0"/>
        <w:spacing w:before="0" w:beforeAutospacing="0" w:after="0" w:afterAutospacing="0" w:line="560" w:lineRule="exact"/>
        <w:ind w:firstLine="672"/>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附件：青田县县城（鹤城、瓯南、油竹、三溪口街道）建成区范围</w:t>
      </w:r>
    </w:p>
    <w:p>
      <w:pPr>
        <w:pStyle w:val="6"/>
        <w:keepNext w:val="0"/>
        <w:keepLines w:val="0"/>
        <w:pageBreakBefore w:val="0"/>
        <w:widowControl w:val="0"/>
        <w:kinsoku/>
        <w:wordWrap/>
        <w:overflowPunct/>
        <w:topLinePunct w:val="0"/>
        <w:bidi w:val="0"/>
        <w:snapToGrid w:val="0"/>
        <w:spacing w:before="0" w:beforeAutospacing="0" w:after="0" w:afterAutospacing="0" w:line="560" w:lineRule="exact"/>
        <w:jc w:val="both"/>
        <w:textAlignment w:val="auto"/>
        <w:rPr>
          <w:rFonts w:hint="eastAsia" w:ascii="仿宋_GB2312" w:hAnsi="仿宋_GB2312" w:eastAsia="仿宋_GB2312" w:cs="仿宋_GB2312"/>
          <w:b/>
          <w:sz w:val="32"/>
          <w:szCs w:val="32"/>
        </w:rPr>
      </w:pPr>
    </w:p>
    <w:p>
      <w:pPr>
        <w:pStyle w:val="6"/>
        <w:spacing w:before="0" w:beforeAutospacing="0" w:after="0" w:afterAutospacing="0"/>
        <w:jc w:val="both"/>
        <w:rPr>
          <w:rFonts w:hint="eastAsia" w:ascii="黑体" w:hAnsi="黑体" w:eastAsia="黑体"/>
          <w:b/>
          <w:sz w:val="36"/>
          <w:szCs w:val="36"/>
        </w:rPr>
      </w:pPr>
    </w:p>
    <w:p>
      <w:pPr>
        <w:pStyle w:val="6"/>
        <w:spacing w:before="0" w:beforeAutospacing="0" w:after="0" w:afterAutospacing="0"/>
        <w:jc w:val="both"/>
        <w:rPr>
          <w:rFonts w:hint="eastAsia" w:ascii="黑体" w:hAnsi="黑体" w:eastAsia="黑体"/>
          <w:b/>
          <w:sz w:val="36"/>
          <w:szCs w:val="36"/>
        </w:rPr>
      </w:pPr>
    </w:p>
    <w:p>
      <w:pPr>
        <w:pStyle w:val="6"/>
        <w:spacing w:before="0" w:beforeAutospacing="0" w:after="0" w:afterAutospacing="0"/>
        <w:jc w:val="both"/>
        <w:rPr>
          <w:rFonts w:hint="eastAsia" w:ascii="黑体" w:hAnsi="黑体" w:eastAsia="黑体"/>
          <w:b/>
          <w:sz w:val="36"/>
          <w:szCs w:val="36"/>
        </w:rPr>
      </w:pPr>
    </w:p>
    <w:p>
      <w:pPr>
        <w:pStyle w:val="6"/>
        <w:spacing w:before="0" w:beforeAutospacing="0" w:after="0" w:afterAutospacing="0"/>
        <w:jc w:val="both"/>
        <w:rPr>
          <w:rFonts w:hint="eastAsia" w:ascii="黑体" w:hAnsi="黑体" w:eastAsia="黑体"/>
          <w:b/>
          <w:sz w:val="36"/>
          <w:szCs w:val="36"/>
        </w:rPr>
      </w:pPr>
    </w:p>
    <w:p>
      <w:pPr>
        <w:pStyle w:val="6"/>
        <w:spacing w:before="0" w:beforeAutospacing="0" w:after="0" w:afterAutospacing="0"/>
        <w:jc w:val="both"/>
        <w:rPr>
          <w:rFonts w:hint="eastAsia" w:ascii="黑体" w:hAnsi="黑体" w:eastAsia="黑体"/>
          <w:b/>
          <w:sz w:val="36"/>
          <w:szCs w:val="36"/>
        </w:rPr>
      </w:pPr>
    </w:p>
    <w:p>
      <w:pPr>
        <w:pStyle w:val="6"/>
        <w:spacing w:before="0" w:beforeAutospacing="0" w:after="0" w:afterAutospacing="0"/>
        <w:jc w:val="both"/>
        <w:rPr>
          <w:rFonts w:hint="eastAsia" w:ascii="黑体" w:hAnsi="黑体" w:eastAsia="黑体"/>
          <w:b/>
          <w:sz w:val="36"/>
          <w:szCs w:val="36"/>
        </w:rPr>
      </w:pPr>
    </w:p>
    <w:p>
      <w:pPr>
        <w:pStyle w:val="6"/>
        <w:spacing w:before="0" w:beforeAutospacing="0" w:after="0" w:afterAutospacing="0"/>
        <w:jc w:val="both"/>
        <w:rPr>
          <w:rFonts w:hint="eastAsia" w:ascii="黑体" w:hAnsi="黑体" w:eastAsia="黑体"/>
          <w:b/>
          <w:sz w:val="36"/>
          <w:szCs w:val="36"/>
        </w:rPr>
      </w:pPr>
    </w:p>
    <w:p>
      <w:pPr>
        <w:pStyle w:val="6"/>
        <w:spacing w:before="0" w:beforeAutospacing="0" w:after="0" w:afterAutospacing="0"/>
        <w:jc w:val="both"/>
        <w:rPr>
          <w:rFonts w:hint="eastAsia" w:ascii="黑体" w:hAnsi="黑体" w:eastAsia="黑体"/>
          <w:b/>
          <w:sz w:val="36"/>
          <w:szCs w:val="36"/>
        </w:rPr>
      </w:pPr>
    </w:p>
    <w:p>
      <w:pPr>
        <w:pStyle w:val="6"/>
        <w:spacing w:before="0" w:beforeAutospacing="0" w:after="0" w:afterAutospacing="0"/>
        <w:jc w:val="both"/>
        <w:rPr>
          <w:rFonts w:hint="eastAsia" w:ascii="黑体" w:hAnsi="黑体" w:eastAsia="黑体"/>
          <w:b/>
          <w:sz w:val="36"/>
          <w:szCs w:val="36"/>
        </w:rPr>
      </w:pPr>
    </w:p>
    <w:p>
      <w:pPr>
        <w:pStyle w:val="6"/>
        <w:spacing w:before="0" w:beforeAutospacing="0" w:after="0" w:afterAutospacing="0"/>
        <w:jc w:val="both"/>
        <w:rPr>
          <w:rFonts w:hint="eastAsia" w:ascii="黑体" w:hAnsi="黑体" w:eastAsia="黑体" w:cs="黑体"/>
          <w:b/>
          <w:sz w:val="32"/>
          <w:szCs w:val="32"/>
        </w:rPr>
      </w:pPr>
      <w:r>
        <w:rPr>
          <w:rFonts w:hint="eastAsia" w:ascii="黑体" w:hAnsi="黑体" w:eastAsia="黑体" w:cs="黑体"/>
          <w:b/>
          <w:sz w:val="32"/>
          <w:szCs w:val="32"/>
        </w:rPr>
        <w:t>附件</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方正小标宋_GBK" w:hAnsi="方正小标宋_GBK" w:eastAsia="方正小标宋_GBK" w:cs="方正小标宋_GBK"/>
          <w:b/>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b/>
          <w:sz w:val="44"/>
          <w:szCs w:val="44"/>
        </w:rPr>
      </w:pPr>
      <w:r>
        <w:rPr>
          <w:rFonts w:hint="eastAsia" w:ascii="方正小标宋_GBK" w:hAnsi="方正小标宋_GBK" w:eastAsia="方正小标宋_GBK" w:cs="方正小标宋_GBK"/>
          <w:b/>
          <w:sz w:val="44"/>
          <w:szCs w:val="44"/>
        </w:rPr>
        <w:t>青田县县城（鹤城、瓯南、油竹、三溪口街道）建成区范围</w:t>
      </w:r>
    </w:p>
    <w:p>
      <w:pPr>
        <w:pStyle w:val="2"/>
        <w:rPr>
          <w:rFonts w:hint="eastAsia"/>
        </w:rPr>
      </w:pPr>
    </w:p>
    <w:p>
      <w:pPr>
        <w:pStyle w:val="6"/>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鹤城街道建成区范围：</w:t>
      </w:r>
      <w:r>
        <w:rPr>
          <w:rFonts w:hint="eastAsia" w:ascii="仿宋_GB2312" w:hAnsi="仿宋_GB2312" w:eastAsia="仿宋_GB2312" w:cs="仿宋_GB2312"/>
          <w:sz w:val="32"/>
          <w:szCs w:val="32"/>
        </w:rPr>
        <w:t xml:space="preserve">属地所有社区加6个行政村（一村村、二村村、平演村、圩仁村、北岸村、坦下村） </w:t>
      </w:r>
      <w:bookmarkStart w:id="0" w:name="_GoBack"/>
      <w:bookmarkEnd w:id="0"/>
    </w:p>
    <w:p>
      <w:pPr>
        <w:pStyle w:val="6"/>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瓯南街道建成区范围：</w:t>
      </w:r>
      <w:r>
        <w:rPr>
          <w:rFonts w:hint="eastAsia" w:ascii="仿宋_GB2312" w:hAnsi="仿宋_GB2312" w:eastAsia="仿宋_GB2312" w:cs="仿宋_GB2312"/>
          <w:sz w:val="32"/>
          <w:szCs w:val="32"/>
        </w:rPr>
        <w:t>属地所有社区加9个行政村（水南村、泥湾村、石郭上村、石郭下村、湖口村、湖边村、前仓村、魁市村、南湾村）</w:t>
      </w:r>
    </w:p>
    <w:p>
      <w:pPr>
        <w:pStyle w:val="6"/>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油竹街道建成区范围：</w:t>
      </w:r>
      <w:r>
        <w:rPr>
          <w:rFonts w:hint="eastAsia" w:ascii="仿宋_GB2312" w:hAnsi="仿宋_GB2312" w:eastAsia="仿宋_GB2312" w:cs="仿宋_GB2312"/>
          <w:sz w:val="32"/>
          <w:szCs w:val="32"/>
        </w:rPr>
        <w:t>属地所有社区加6个行政村（油竹上村、油竹下村、小口村、雅岙村、东赤村、彭括村）</w:t>
      </w:r>
    </w:p>
    <w:p>
      <w:pPr>
        <w:pStyle w:val="6"/>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三溪口街道建成区范围：</w:t>
      </w:r>
      <w:r>
        <w:rPr>
          <w:rFonts w:hint="eastAsia" w:ascii="仿宋_GB2312" w:hAnsi="仿宋_GB2312" w:eastAsia="仿宋_GB2312" w:cs="仿宋_GB2312"/>
          <w:sz w:val="32"/>
          <w:szCs w:val="32"/>
        </w:rPr>
        <w:t>4个行政村（溪口村、下坦村、石溪村、上岸村）</w:t>
      </w:r>
    </w:p>
    <w:p>
      <w:pPr>
        <w:pStyle w:val="6"/>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 xml:space="preserve">不在建成区范围的行政村： </w:t>
      </w:r>
    </w:p>
    <w:p>
      <w:pPr>
        <w:pStyle w:val="6"/>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鹤城街道：</w:t>
      </w:r>
      <w:r>
        <w:rPr>
          <w:rFonts w:hint="eastAsia" w:ascii="仿宋_GB2312" w:hAnsi="仿宋_GB2312" w:eastAsia="仿宋_GB2312" w:cs="仿宋_GB2312"/>
          <w:sz w:val="32"/>
          <w:szCs w:val="32"/>
        </w:rPr>
        <w:t>黄降村、城北村、金田村、石臼村、陈山村、鹤东村、仁塘湾村（7个村）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瓯南街道：</w:t>
      </w:r>
      <w:r>
        <w:rPr>
          <w:rFonts w:hint="eastAsia" w:ascii="仿宋_GB2312" w:hAnsi="仿宋_GB2312" w:eastAsia="仿宋_GB2312" w:cs="仿宋_GB2312"/>
          <w:sz w:val="32"/>
          <w:szCs w:val="32"/>
        </w:rPr>
        <w:t>平风寨村、朱金村、郑坑下村、崇福村、大李村、外旦村（6个村）</w:t>
      </w:r>
    </w:p>
    <w:p>
      <w:pPr>
        <w:pStyle w:val="6"/>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油竹街道：</w:t>
      </w:r>
      <w:r>
        <w:rPr>
          <w:rFonts w:hint="eastAsia" w:ascii="仿宋_GB2312" w:hAnsi="仿宋_GB2312" w:eastAsia="仿宋_GB2312" w:cs="仿宋_GB2312"/>
          <w:sz w:val="32"/>
          <w:szCs w:val="32"/>
        </w:rPr>
        <w:t>麻宅村（1个村）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三溪口街道：</w:t>
      </w:r>
      <w:r>
        <w:rPr>
          <w:rFonts w:hint="eastAsia" w:ascii="仿宋_GB2312" w:hAnsi="仿宋_GB2312" w:eastAsia="仿宋_GB2312" w:cs="仿宋_GB2312"/>
          <w:sz w:val="32"/>
          <w:szCs w:val="32"/>
        </w:rPr>
        <w:t>黄山砻村、金泉村、张山村、雷石村、西村村、吴山村、国垟村、仁川村、白浦村（9个村）</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72"/>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headerReference r:id="rId3" w:type="default"/>
      <w:footerReference r:id="rId4" w:type="default"/>
      <w:pgSz w:w="11906" w:h="16838"/>
      <w:pgMar w:top="1440" w:right="1797" w:bottom="1440" w:left="179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565D43"/>
    <w:rsid w:val="01565D43"/>
    <w:rsid w:val="02537E94"/>
    <w:rsid w:val="1ACC3991"/>
    <w:rsid w:val="224F0513"/>
    <w:rsid w:val="25FE7AE6"/>
    <w:rsid w:val="41810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a heading"/>
    <w:basedOn w:val="1"/>
    <w:next w:val="1"/>
    <w:unhideWhenUsed/>
    <w:qFormat/>
    <w:uiPriority w:val="99"/>
    <w:pPr>
      <w:spacing w:before="120"/>
    </w:pPr>
    <w:rPr>
      <w:rFonts w:ascii="Cambria" w:hAnsi="Cambria" w:eastAsia="宋体" w:cs="Times New Roman"/>
      <w:sz w:val="24"/>
    </w:rPr>
  </w:style>
  <w:style w:type="paragraph" w:styleId="3">
    <w:name w:val="Normal Indent"/>
    <w:basedOn w:val="1"/>
    <w:qFormat/>
    <w:uiPriority w:val="0"/>
    <w:pPr>
      <w:widowControl w:val="0"/>
      <w:ind w:firstLine="200" w:firstLineChars="200"/>
      <w:jc w:val="both"/>
    </w:pPr>
    <w:rPr>
      <w:rFonts w:ascii="Calibri" w:hAnsi="Calibri" w:eastAsia="宋体" w:cs="Times New Roman"/>
      <w:kern w:val="2"/>
      <w:sz w:val="21"/>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99"/>
    <w:pPr>
      <w:spacing w:before="100" w:beforeAutospacing="1" w:after="100" w:afterAutospacing="1"/>
    </w:pPr>
    <w:rPr>
      <w:rFonts w:ascii="宋体" w:eastAsia="宋体"/>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2024-06-25T08:14:00Z</dcterms:created>
  <dc:creator>Administrator</dc:creator>
  <cp:lastModifiedBy>Administrator</cp:lastModifiedBy>
  <dcterms:modified xsi:type="dcterms:W3CDTF">2024-07-10T02:47:36Z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