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3982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jc w:val="center"/>
        <w:rPr>
          <w:rFonts w:hint="eastAsia" w:ascii="方正小标宋简体" w:hAnsi="方正小标宋简体" w:eastAsia="方正小标宋简体"/>
          <w:b w:val="0"/>
          <w:bCs w:val="0"/>
          <w:lang w:eastAsia="zh-CN"/>
        </w:rPr>
      </w:pPr>
      <w:bookmarkStart w:id="0" w:name="_Hlk68018007"/>
      <w:bookmarkEnd w:id="0"/>
      <w:r>
        <w:rPr>
          <w:rFonts w:hint="eastAsia" w:ascii="方正小标宋简体" w:hAnsi="方正小标宋简体" w:eastAsia="方正小标宋简体"/>
          <w:b w:val="0"/>
          <w:bCs w:val="0"/>
        </w:rPr>
        <w:t>《</w:t>
      </w:r>
      <w:r>
        <w:rPr>
          <w:rFonts w:hint="eastAsia" w:ascii="方正小标宋简体" w:hAnsi="方正小标宋简体" w:eastAsia="方正小标宋简体"/>
          <w:b w:val="0"/>
          <w:bCs w:val="0"/>
          <w:lang w:val="en-US" w:eastAsia="zh-CN"/>
        </w:rPr>
        <w:t>青田县</w:t>
      </w:r>
      <w:r>
        <w:rPr>
          <w:rFonts w:hint="eastAsia" w:ascii="方正小标宋简体" w:hAnsi="方正小标宋简体" w:eastAsia="方正小标宋简体"/>
          <w:b w:val="0"/>
          <w:bCs w:val="0"/>
          <w:lang w:eastAsia="zh-CN"/>
        </w:rPr>
        <w:t>土地储备管理实施细则（修订）</w:t>
      </w:r>
    </w:p>
    <w:p w14:paraId="2198E40D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jc w:val="center"/>
        <w:rPr>
          <w:rFonts w:hint="eastAsia" w:ascii="方正小标宋简体" w:hAnsi="方正小标宋简体" w:eastAsia="方正小标宋简体"/>
          <w:b w:val="0"/>
          <w:bCs w:val="0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</w:rPr>
        <w:t>起草说明</w:t>
      </w:r>
      <w:r>
        <w:rPr>
          <w:rFonts w:hint="eastAsia" w:ascii="方正小标宋简体" w:hAnsi="方正小标宋简体" w:eastAsia="方正小标宋简体"/>
          <w:b w:val="0"/>
          <w:bCs w:val="0"/>
          <w:lang w:eastAsia="zh-CN"/>
        </w:rPr>
        <w:t>》</w:t>
      </w:r>
    </w:p>
    <w:p w14:paraId="211B97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黑体" w:hAnsi="黑体" w:eastAsia="黑体"/>
          <w:b w:val="0"/>
          <w:bCs w:val="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lang w:val="en-US" w:eastAsia="zh-CN"/>
        </w:rPr>
        <w:t xml:space="preserve">                                   </w:t>
      </w:r>
    </w:p>
    <w:p w14:paraId="4E12222C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topLinePunct w:val="0"/>
        <w:autoSpaceDE w:val="0"/>
        <w:autoSpaceDN w:val="0"/>
        <w:bidi w:val="0"/>
        <w:snapToGrid w:val="0"/>
        <w:spacing w:line="600" w:lineRule="exact"/>
        <w:ind w:firstLine="482"/>
        <w:jc w:val="left"/>
        <w:outlineLvl w:val="2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一、起草的必要性</w:t>
      </w:r>
    </w:p>
    <w:p w14:paraId="351D21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auto"/>
        </w:rPr>
        <w:t>随着经济社会发展和土地管理制度改革推进，加强自然资源资产管理、规范土地储备管理成为必然要求。一方面，原有的土地储备管理规定在实践中暴露出一些问题，难以适应新形势下的工作需求；另一方面，国家和省级层面相继出台了《中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人民共和国土地管理法》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lang w:val="en-US" w:eastAsia="zh-CN" w:bidi="ar"/>
        </w:rPr>
        <w:t>《自然资源部 财政部 中国人民银行 国家金融监督管理总局关于印发〈土地储备管理办法〉的通知》</w:t>
      </w:r>
      <w:r>
        <w:rPr>
          <w:rFonts w:hint="eastAsia" w:ascii="仿宋" w:hAnsi="仿宋" w:eastAsia="仿宋" w:cs="仿宋"/>
          <w:color w:val="auto"/>
          <w:spacing w:val="-6"/>
          <w:sz w:val="31"/>
          <w:szCs w:val="31"/>
          <w:u w:val="none"/>
          <w:lang w:eastAsia="zh-CN"/>
        </w:rPr>
        <w:t>（自然资规</w:t>
      </w:r>
      <w:r>
        <w:rPr>
          <w:rFonts w:hint="eastAsia" w:ascii="仿宋_GB2312" w:hAnsi="仿宋_GB2312" w:eastAsia="仿宋_GB2312" w:cs="仿宋_GB2312"/>
          <w:color w:val="auto"/>
          <w:spacing w:val="-6"/>
          <w:sz w:val="31"/>
          <w:szCs w:val="31"/>
          <w:u w:val="none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-6"/>
          <w:sz w:val="31"/>
          <w:szCs w:val="31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-6"/>
          <w:sz w:val="31"/>
          <w:szCs w:val="31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-6"/>
          <w:sz w:val="31"/>
          <w:szCs w:val="31"/>
          <w:u w:val="none"/>
          <w:lang w:val="en-US" w:eastAsia="zh-CN"/>
        </w:rPr>
        <w:t>2号) 《浙江省自然资源厅关于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lang w:val="en-US" w:eastAsia="zh-CN" w:bidi="ar"/>
        </w:rPr>
        <w:t>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浙江省土地储备工作指引（试行）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lang w:val="en-US" w:eastAsia="zh-CN" w:bidi="ar"/>
        </w:rPr>
        <w:t>〉》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（浙自然资发〔2022〕10 号）等法律法规和政策文件，为进一步规范土地储备工作提供了指导和依据。为更好地贯彻上级要求，结合本县实际情况，特制定《青田县土地储备管理实施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细则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》（以下简称《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细则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》），以增强政府对建设用地市场的调控和保障能力，促进土地资源高效配置和合理利用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。</w:t>
      </w:r>
    </w:p>
    <w:p w14:paraId="064C7826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topLinePunct w:val="0"/>
        <w:autoSpaceDE w:val="0"/>
        <w:autoSpaceDN w:val="0"/>
        <w:bidi w:val="0"/>
        <w:snapToGrid w:val="0"/>
        <w:spacing w:line="600" w:lineRule="exact"/>
        <w:ind w:firstLine="640" w:firstLineChars="200"/>
        <w:jc w:val="left"/>
        <w:outlineLvl w:val="2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二、起草依据</w:t>
      </w:r>
    </w:p>
    <w:p w14:paraId="7BB862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（一）《中华人民共和国土地管理法》</w:t>
      </w:r>
    </w:p>
    <w:p w14:paraId="725D78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lang w:val="en-US" w:eastAsia="zh-CN" w:bidi="ar"/>
        </w:rPr>
        <w:t>《自然资源部 财政部 中国人民银行 国家金融监督管理总局关于印发〈土地储备管理办法〉的通知》</w:t>
      </w:r>
      <w:r>
        <w:rPr>
          <w:rFonts w:hint="eastAsia" w:ascii="仿宋" w:hAnsi="仿宋" w:eastAsia="仿宋" w:cs="仿宋"/>
          <w:color w:val="auto"/>
          <w:spacing w:val="-6"/>
          <w:sz w:val="31"/>
          <w:szCs w:val="31"/>
          <w:u w:val="none"/>
          <w:lang w:eastAsia="zh-CN"/>
        </w:rPr>
        <w:t>（自然资规</w:t>
      </w:r>
      <w:r>
        <w:rPr>
          <w:rFonts w:hint="eastAsia" w:ascii="仿宋_GB2312" w:hAnsi="仿宋_GB2312" w:eastAsia="仿宋_GB2312" w:cs="仿宋_GB2312"/>
          <w:color w:val="auto"/>
          <w:spacing w:val="-6"/>
          <w:sz w:val="31"/>
          <w:szCs w:val="31"/>
          <w:u w:val="none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-6"/>
          <w:sz w:val="31"/>
          <w:szCs w:val="31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-6"/>
          <w:sz w:val="31"/>
          <w:szCs w:val="31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-6"/>
          <w:sz w:val="31"/>
          <w:szCs w:val="31"/>
          <w:u w:val="none"/>
          <w:lang w:val="en-US" w:eastAsia="zh-CN"/>
        </w:rPr>
        <w:t>2号)</w:t>
      </w:r>
    </w:p>
    <w:p w14:paraId="30B87BBC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topLinePunct w:val="0"/>
        <w:autoSpaceDE w:val="0"/>
        <w:autoSpaceDN w:val="0"/>
        <w:bidi w:val="0"/>
        <w:snapToGrid w:val="0"/>
        <w:spacing w:line="600" w:lineRule="exact"/>
        <w:ind w:firstLine="640" w:firstLineChars="200"/>
        <w:jc w:val="left"/>
        <w:outlineLvl w:val="2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三、起草过程</w:t>
      </w:r>
    </w:p>
    <w:p w14:paraId="2B836B87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青田县土地储备修改工作于202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底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开始启动，并制定工作方案。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科室通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过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研究上级文件逐条分析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、形成初稿、征求意见、修改完善等多个环节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形成了征求意见稿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 w14:paraId="6598E998">
      <w:pPr>
        <w:pStyle w:val="47"/>
        <w:keepNext w:val="0"/>
        <w:keepLines w:val="0"/>
        <w:pageBreakBefore w:val="0"/>
        <w:widowControl w:val="0"/>
        <w:wordWrap/>
        <w:topLinePunct w:val="0"/>
        <w:bidi w:val="0"/>
        <w:spacing w:line="600" w:lineRule="exact"/>
        <w:ind w:firstLine="539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月2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日，组织讨论会，征求各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乡镇（街道）、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相关职能部门意见，</w:t>
      </w:r>
      <w:r>
        <w:rPr>
          <w:rFonts w:hint="eastAsia" w:ascii="仿宋" w:hAnsi="仿宋" w:eastAsia="仿宋"/>
          <w:color w:val="auto"/>
          <w:sz w:val="32"/>
          <w:u w:val="none"/>
          <w:lang w:val="en-US" w:eastAsia="zh-CN"/>
        </w:rPr>
        <w:t>并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进行了修改完善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 w14:paraId="6884FB83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topLinePunct w:val="0"/>
        <w:autoSpaceDE w:val="0"/>
        <w:autoSpaceDN w:val="0"/>
        <w:bidi w:val="0"/>
        <w:snapToGrid w:val="0"/>
        <w:spacing w:line="600" w:lineRule="exact"/>
        <w:ind w:firstLine="640" w:firstLineChars="200"/>
        <w:jc w:val="left"/>
        <w:outlineLvl w:val="2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四、起草原则和主要内容</w:t>
      </w:r>
    </w:p>
    <w:p w14:paraId="11615D66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起草原则</w:t>
      </w:r>
    </w:p>
    <w:p w14:paraId="3259FAE7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根据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部、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政策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要求并考虑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域实际，在整个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修改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过程中体现“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大方向不变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、小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范围修改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”工作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原则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，既要保持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土地储备管理政策合法性、合理性、规范性和保障性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，也要根据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当前土地制度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格局的发展进行适当微调优化。</w:t>
      </w:r>
    </w:p>
    <w:p w14:paraId="43F72251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600" w:lineRule="exact"/>
        <w:ind w:firstLine="643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（二）主要内容</w:t>
      </w:r>
    </w:p>
    <w:p w14:paraId="4D4285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1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土地储备计划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根据上级文件要求，科学编制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三年滚动计划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和年度土地储备计划。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年度土地储备计划涵盖上年度结转、年度新增、前期开发、供应、临时管护及资金需求等多方面内容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以及计划拟定、报批、备案和调整的程序。</w:t>
      </w:r>
    </w:p>
    <w:p w14:paraId="41F3DD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1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土地储备范围和入库标准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：明确可纳入土地储备库的土地类型，包括依法收回、收购、行使优先购买权取得、已办理转用征收手续并完成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征收的土地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及其他依法取得的国有建设用地。规定入库储备土地需符合国土空间规划、产权清晰且不存在污染等问题，非县土地储备中心直接取得的土地需按程序移交。</w:t>
      </w:r>
    </w:p>
    <w:p w14:paraId="01EDFAC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firstLine="643" w:firstLineChars="200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收回土地使用权的补偿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：针对因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公共利益、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政府规划用途调整等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原因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需要收回国有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建设用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地使用权的情况，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9FAFB"/>
        </w:rPr>
        <w:t>工业用地补偿区分已建设和未建设情形，细化回购商品房标准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9FAFB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详细规定不同类型土地（划拨、出让等）及地上建（构）筑物的补偿标准，考虑土地取得方式、使用年限、开发利用程度等因素，对未经批准但实际使用土地和未经批准建成的建（构）筑物也制定了相应补偿标准。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增加县政府指定的各类开发区（园区）管委会、乡镇（街道）国有企业或相关单位收购、收回的可参照本规定补偿。</w:t>
      </w:r>
    </w:p>
    <w:p w14:paraId="2B640D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1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土地收购的程序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：土地收购一般包括申请收购与请示上报、调查核实与意见征询、费用测算与方案报批、签订合同与支付费用、交付土地等程序。明确申请收购需提供的资料，同时对部分条款提出修改建议。</w:t>
      </w:r>
    </w:p>
    <w:p w14:paraId="5D55E2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1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前期开发、管护与利用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：储备土地需进行前期开发以满足“通平”要求，明确前期开发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按县政府有关规定执行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土地管护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由乡镇街道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属地管护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建立巡查制度。储备土地未供应前可通过出租、临时使用等方式利用，但需遵循相关规定，临时利用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不超过两年且不影响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土地供应。删除已发证储备土地供应前注销不动产权证书相关条款。</w:t>
      </w:r>
    </w:p>
    <w:p w14:paraId="25D08A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1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资金管理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：土地储备资金运作实行收支两条线，通过政府预算安排，专款专用。明确土地储备资金的使用范围，包括土地取得、前期开发及相关管理费用等。县土地储备中心需按规定编制资金收支项目预算、决算，经审核审定后执行。</w:t>
      </w:r>
    </w:p>
    <w:p w14:paraId="1ABC0BEA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                            2025年4月1日</w:t>
      </w:r>
    </w:p>
    <w:sectPr>
      <w:footerReference r:id="rId3" w:type="default"/>
      <w:pgSz w:w="11906" w:h="16838"/>
      <w:pgMar w:top="1417" w:right="1417" w:bottom="1417" w:left="1587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57E3DB-534D-40A0-A932-0643088AE6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CF6C060-5E42-48E4-8B83-191C55F782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DE64F4B-2FA9-40FE-85A3-EF90D867017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7E75BD4-7CCF-4296-99C3-412DF067136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188BD">
    <w:pPr>
      <w:pStyle w:val="14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A159459">
    <w:pPr>
      <w:pStyle w:val="1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YTQ0N2QzMmZhM2Q1MWVhNzAwNjk3Y2M3YmY5YmQ1NTIifQ=="/>
  </w:docVars>
  <w:rsids>
    <w:rsidRoot w:val="00000000"/>
    <w:rsid w:val="03C31E3F"/>
    <w:rsid w:val="0718453F"/>
    <w:rsid w:val="0D9009A2"/>
    <w:rsid w:val="0E1A4F7D"/>
    <w:rsid w:val="0E976B5D"/>
    <w:rsid w:val="120A0795"/>
    <w:rsid w:val="13C65216"/>
    <w:rsid w:val="15AF463A"/>
    <w:rsid w:val="29F56AF3"/>
    <w:rsid w:val="359C4390"/>
    <w:rsid w:val="396772B7"/>
    <w:rsid w:val="48860B72"/>
    <w:rsid w:val="4DDE6FC8"/>
    <w:rsid w:val="5DBF160B"/>
    <w:rsid w:val="5F3B244A"/>
    <w:rsid w:val="623960D6"/>
    <w:rsid w:val="63230BE4"/>
    <w:rsid w:val="652C178B"/>
    <w:rsid w:val="68E80790"/>
    <w:rsid w:val="6E5B792B"/>
    <w:rsid w:val="73692F58"/>
    <w:rsid w:val="7F546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标题 11"/>
    <w:basedOn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7">
    <w:name w:val="标题 21"/>
    <w:basedOn w:val="1"/>
    <w:qFormat/>
    <w:uiPriority w:val="0"/>
    <w:pPr>
      <w:keepNext/>
      <w:keepLines/>
      <w:spacing w:line="400" w:lineRule="exact"/>
      <w:outlineLvl w:val="1"/>
    </w:pPr>
    <w:rPr>
      <w:rFonts w:ascii="仿宋_GB2312" w:hAnsi="Cambria" w:eastAsia="仿宋_GB2312"/>
      <w:b/>
      <w:bCs/>
      <w:sz w:val="28"/>
      <w:szCs w:val="28"/>
    </w:rPr>
  </w:style>
  <w:style w:type="paragraph" w:customStyle="1" w:styleId="8">
    <w:name w:val="标题 31"/>
    <w:basedOn w:val="1"/>
    <w:link w:val="20"/>
    <w:qFormat/>
    <w:uiPriority w:val="0"/>
    <w:pPr>
      <w:widowControl/>
      <w:spacing w:before="200" w:line="271" w:lineRule="auto"/>
      <w:jc w:val="left"/>
      <w:outlineLvl w:val="2"/>
    </w:pPr>
    <w:rPr>
      <w:rFonts w:ascii="Cambria" w:hAnsi="Cambria"/>
      <w:b/>
      <w:bCs/>
      <w:kern w:val="0"/>
      <w:sz w:val="22"/>
      <w:szCs w:val="22"/>
      <w:lang w:bidi="en-US"/>
    </w:rPr>
  </w:style>
  <w:style w:type="character" w:customStyle="1" w:styleId="9">
    <w:name w:val="默认段落字体1"/>
    <w:link w:val="1"/>
    <w:semiHidden/>
    <w:qFormat/>
    <w:uiPriority w:val="0"/>
  </w:style>
  <w:style w:type="table" w:customStyle="1" w:styleId="10">
    <w:name w:val="普通表格1"/>
    <w:semiHidden/>
    <w:qFormat/>
    <w:uiPriority w:val="0"/>
  </w:style>
  <w:style w:type="character" w:customStyle="1" w:styleId="11">
    <w:name w:val="正文文本缩进 字符"/>
    <w:link w:val="12"/>
    <w:qFormat/>
    <w:uiPriority w:val="0"/>
    <w:rPr>
      <w:kern w:val="2"/>
      <w:sz w:val="21"/>
      <w:szCs w:val="24"/>
    </w:rPr>
  </w:style>
  <w:style w:type="paragraph" w:customStyle="1" w:styleId="12">
    <w:name w:val="正文文本缩进1"/>
    <w:basedOn w:val="1"/>
    <w:link w:val="11"/>
    <w:qFormat/>
    <w:uiPriority w:val="0"/>
    <w:pPr>
      <w:spacing w:after="120"/>
      <w:ind w:left="420" w:leftChars="200"/>
    </w:pPr>
  </w:style>
  <w:style w:type="character" w:customStyle="1" w:styleId="13">
    <w:name w:val="页脚 字符1"/>
    <w:link w:val="14"/>
    <w:qFormat/>
    <w:uiPriority w:val="0"/>
    <w:rPr>
      <w:kern w:val="2"/>
      <w:sz w:val="18"/>
      <w:szCs w:val="18"/>
    </w:rPr>
  </w:style>
  <w:style w:type="paragraph" w:customStyle="1" w:styleId="14">
    <w:name w:val="页脚1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批注引用1"/>
    <w:link w:val="1"/>
    <w:qFormat/>
    <w:uiPriority w:val="0"/>
    <w:rPr>
      <w:sz w:val="21"/>
      <w:szCs w:val="21"/>
    </w:rPr>
  </w:style>
  <w:style w:type="character" w:customStyle="1" w:styleId="16">
    <w:name w:val="超链接1"/>
    <w:link w:val="1"/>
    <w:qFormat/>
    <w:uiPriority w:val="0"/>
    <w:rPr>
      <w:color w:val="0000FF"/>
      <w:u w:val="single"/>
    </w:rPr>
  </w:style>
  <w:style w:type="character" w:customStyle="1" w:styleId="17">
    <w:name w:val="纯文本 Char"/>
    <w:link w:val="1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18">
    <w:name w:val="要点1"/>
    <w:link w:val="1"/>
    <w:qFormat/>
    <w:uiPriority w:val="0"/>
    <w:rPr>
      <w:b/>
    </w:rPr>
  </w:style>
  <w:style w:type="character" w:customStyle="1" w:styleId="19">
    <w:name w:val="标题 1 字符"/>
    <w:link w:val="6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3 字符"/>
    <w:link w:val="8"/>
    <w:qFormat/>
    <w:uiPriority w:val="0"/>
    <w:rPr>
      <w:rFonts w:ascii="Cambria" w:hAnsi="Cambria"/>
      <w:b/>
      <w:bCs/>
      <w:sz w:val="22"/>
      <w:szCs w:val="22"/>
      <w:lang w:bidi="en-US"/>
    </w:rPr>
  </w:style>
  <w:style w:type="character" w:customStyle="1" w:styleId="21">
    <w:name w:val="纯文本 Char3"/>
    <w:link w:val="1"/>
    <w:qFormat/>
    <w:uiPriority w:val="0"/>
    <w:rPr>
      <w:rFonts w:ascii="Century Gothic" w:hAnsi="楷体_GB2312" w:eastAsia="Century Gothic"/>
      <w:kern w:val="2"/>
      <w:sz w:val="21"/>
      <w:szCs w:val="21"/>
      <w:lang w:val="en-US" w:eastAsia="zh-CN" w:bidi="ar-SA"/>
    </w:rPr>
  </w:style>
  <w:style w:type="character" w:customStyle="1" w:styleId="22">
    <w:name w:val="HTML 预设格式 字符"/>
    <w:link w:val="1"/>
    <w:qFormat/>
    <w:uiPriority w:val="0"/>
    <w:rPr>
      <w:rFonts w:ascii="宋体" w:hAnsi="宋体" w:eastAsia="宋体"/>
      <w:kern w:val="0"/>
      <w:sz w:val="24"/>
      <w:szCs w:val="24"/>
    </w:rPr>
  </w:style>
  <w:style w:type="character" w:customStyle="1" w:styleId="23">
    <w:name w:val="批注框文本 字符"/>
    <w:link w:val="24"/>
    <w:qFormat/>
    <w:uiPriority w:val="0"/>
    <w:rPr>
      <w:kern w:val="2"/>
      <w:sz w:val="18"/>
      <w:szCs w:val="18"/>
    </w:rPr>
  </w:style>
  <w:style w:type="paragraph" w:customStyle="1" w:styleId="24">
    <w:name w:val="批注框文本1"/>
    <w:basedOn w:val="1"/>
    <w:link w:val="23"/>
    <w:qFormat/>
    <w:uiPriority w:val="0"/>
    <w:rPr>
      <w:sz w:val="18"/>
      <w:szCs w:val="18"/>
    </w:rPr>
  </w:style>
  <w:style w:type="character" w:customStyle="1" w:styleId="25">
    <w:name w:val="批注文字 字符"/>
    <w:link w:val="26"/>
    <w:qFormat/>
    <w:uiPriority w:val="0"/>
    <w:rPr>
      <w:kern w:val="2"/>
      <w:sz w:val="21"/>
      <w:szCs w:val="24"/>
    </w:rPr>
  </w:style>
  <w:style w:type="paragraph" w:customStyle="1" w:styleId="26">
    <w:name w:val="批注文字1"/>
    <w:basedOn w:val="1"/>
    <w:link w:val="25"/>
    <w:qFormat/>
    <w:uiPriority w:val="0"/>
    <w:pPr>
      <w:jc w:val="left"/>
    </w:pPr>
  </w:style>
  <w:style w:type="character" w:customStyle="1" w:styleId="27">
    <w:name w:val="正文文本缩进 2 字符"/>
    <w:link w:val="28"/>
    <w:qFormat/>
    <w:uiPriority w:val="0"/>
    <w:rPr>
      <w:rFonts w:ascii="Century Gothic" w:hAnsi="Century Gothic"/>
      <w:kern w:val="2"/>
      <w:sz w:val="24"/>
    </w:rPr>
  </w:style>
  <w:style w:type="paragraph" w:customStyle="1" w:styleId="28">
    <w:name w:val="正文文本缩进 21"/>
    <w:basedOn w:val="1"/>
    <w:link w:val="27"/>
    <w:qFormat/>
    <w:uiPriority w:val="0"/>
    <w:pPr>
      <w:spacing w:line="360" w:lineRule="auto"/>
      <w:ind w:firstLine="504" w:firstLineChars="210"/>
      <w:jc w:val="left"/>
    </w:pPr>
    <w:rPr>
      <w:rFonts w:hint="eastAsia" w:ascii="Century Gothic" w:hAnsi="Century Gothic"/>
      <w:sz w:val="24"/>
      <w:szCs w:val="20"/>
    </w:rPr>
  </w:style>
  <w:style w:type="character" w:customStyle="1" w:styleId="29">
    <w:name w:val="HTML 预设格式 字符1"/>
    <w:link w:val="30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30">
    <w:name w:val="HTML 预设格式1"/>
    <w:basedOn w:val="1"/>
    <w:link w:val="2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31">
    <w:name w:val="正文文本首行缩进 2 字符"/>
    <w:link w:val="32"/>
    <w:qFormat/>
    <w:uiPriority w:val="0"/>
  </w:style>
  <w:style w:type="paragraph" w:customStyle="1" w:styleId="32">
    <w:name w:val="正文首行缩进 21"/>
    <w:basedOn w:val="12"/>
    <w:link w:val="31"/>
    <w:qFormat/>
    <w:uiPriority w:val="0"/>
    <w:pPr>
      <w:ind w:firstLine="420" w:firstLineChars="200"/>
    </w:pPr>
  </w:style>
  <w:style w:type="character" w:customStyle="1" w:styleId="33">
    <w:name w:val="纯文本 字符1"/>
    <w:link w:val="34"/>
    <w:qFormat/>
    <w:uiPriority w:val="0"/>
    <w:rPr>
      <w:rFonts w:ascii="Century Gothic" w:hAnsi="楷体_GB2312" w:eastAsia="Century Gothic"/>
      <w:kern w:val="2"/>
      <w:sz w:val="21"/>
      <w:szCs w:val="21"/>
    </w:rPr>
  </w:style>
  <w:style w:type="paragraph" w:customStyle="1" w:styleId="34">
    <w:name w:val="纯文本1"/>
    <w:basedOn w:val="1"/>
    <w:link w:val="33"/>
    <w:qFormat/>
    <w:uiPriority w:val="0"/>
    <w:rPr>
      <w:rFonts w:ascii="Century Gothic" w:hAnsi="楷体_GB2312" w:eastAsia="Century Gothic"/>
      <w:szCs w:val="21"/>
    </w:rPr>
  </w:style>
  <w:style w:type="character" w:customStyle="1" w:styleId="35">
    <w:name w:val="日期 字符"/>
    <w:link w:val="36"/>
    <w:qFormat/>
    <w:uiPriority w:val="0"/>
    <w:rPr>
      <w:kern w:val="2"/>
      <w:sz w:val="21"/>
      <w:szCs w:val="24"/>
    </w:rPr>
  </w:style>
  <w:style w:type="paragraph" w:customStyle="1" w:styleId="36">
    <w:name w:val="日期1"/>
    <w:basedOn w:val="1"/>
    <w:link w:val="35"/>
    <w:qFormat/>
    <w:uiPriority w:val="0"/>
    <w:pPr>
      <w:ind w:left="100" w:leftChars="2500"/>
    </w:pPr>
  </w:style>
  <w:style w:type="character" w:customStyle="1" w:styleId="37">
    <w:name w:val="纯文本 字符"/>
    <w:link w:val="1"/>
    <w:qFormat/>
    <w:uiPriority w:val="0"/>
    <w:rPr>
      <w:rFonts w:ascii="Century Gothic" w:hAnsi="楷体_GB2312" w:eastAsia="Century Gothic"/>
      <w:szCs w:val="21"/>
    </w:rPr>
  </w:style>
  <w:style w:type="character" w:customStyle="1" w:styleId="38">
    <w:name w:val="标题 3 Char"/>
    <w:link w:val="1"/>
    <w:semiHidden/>
    <w:qFormat/>
    <w:uiPriority w:val="0"/>
    <w:rPr>
      <w:b/>
      <w:bCs/>
      <w:kern w:val="2"/>
      <w:sz w:val="32"/>
      <w:szCs w:val="32"/>
    </w:rPr>
  </w:style>
  <w:style w:type="character" w:customStyle="1" w:styleId="39">
    <w:name w:val="批注主题 字符"/>
    <w:link w:val="40"/>
    <w:qFormat/>
    <w:uiPriority w:val="0"/>
    <w:rPr>
      <w:b/>
      <w:bCs/>
      <w:kern w:val="2"/>
      <w:sz w:val="21"/>
      <w:szCs w:val="24"/>
    </w:rPr>
  </w:style>
  <w:style w:type="paragraph" w:customStyle="1" w:styleId="40">
    <w:name w:val="批注主题1"/>
    <w:basedOn w:val="26"/>
    <w:link w:val="39"/>
    <w:qFormat/>
    <w:uiPriority w:val="0"/>
    <w:rPr>
      <w:b/>
      <w:bCs/>
    </w:rPr>
  </w:style>
  <w:style w:type="character" w:customStyle="1" w:styleId="41">
    <w:name w:val="页眉 字符"/>
    <w:link w:val="42"/>
    <w:qFormat/>
    <w:uiPriority w:val="0"/>
    <w:rPr>
      <w:kern w:val="2"/>
      <w:sz w:val="18"/>
      <w:szCs w:val="18"/>
    </w:rPr>
  </w:style>
  <w:style w:type="paragraph" w:customStyle="1" w:styleId="42">
    <w:name w:val="页眉1"/>
    <w:basedOn w:val="1"/>
    <w:link w:val="4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3">
    <w:name w:val="页脚 字符"/>
    <w:link w:val="1"/>
    <w:qFormat/>
    <w:uiPriority w:val="0"/>
  </w:style>
  <w:style w:type="paragraph" w:customStyle="1" w:styleId="44">
    <w:name w:val="目录 71"/>
    <w:basedOn w:val="1"/>
    <w:qFormat/>
    <w:uiPriority w:val="0"/>
    <w:pPr>
      <w:ind w:left="2520" w:leftChars="1200"/>
    </w:pPr>
    <w:rPr>
      <w:rFonts w:ascii="Calibri" w:hAnsi="Calibri" w:eastAsia="宋体"/>
      <w:szCs w:val="22"/>
    </w:rPr>
  </w:style>
  <w:style w:type="paragraph" w:customStyle="1" w:styleId="45">
    <w:name w:val="正文首行缩进1"/>
    <w:basedOn w:val="46"/>
    <w:qFormat/>
    <w:uiPriority w:val="0"/>
    <w:pPr>
      <w:ind w:firstLine="420" w:firstLineChars="100"/>
    </w:pPr>
  </w:style>
  <w:style w:type="paragraph" w:customStyle="1" w:styleId="46">
    <w:name w:val="正文文本1"/>
    <w:basedOn w:val="1"/>
    <w:qFormat/>
    <w:uiPriority w:val="0"/>
    <w:pPr>
      <w:spacing w:after="120"/>
    </w:pPr>
  </w:style>
  <w:style w:type="paragraph" w:customStyle="1" w:styleId="47">
    <w:name w:val="正文一般"/>
    <w:basedOn w:val="1"/>
    <w:qFormat/>
    <w:uiPriority w:val="0"/>
    <w:pPr>
      <w:spacing w:line="480" w:lineRule="exact"/>
      <w:ind w:firstLine="540"/>
    </w:pPr>
    <w:rPr>
      <w:rFonts w:ascii="Times New Roman" w:hAnsi="Times New Roman" w:eastAsia="仿宋_GB2312"/>
      <w:sz w:val="24"/>
      <w:szCs w:val="24"/>
    </w:rPr>
  </w:style>
  <w:style w:type="paragraph" w:customStyle="1" w:styleId="48">
    <w:name w:val="目录 51"/>
    <w:basedOn w:val="1"/>
    <w:qFormat/>
    <w:uiPriority w:val="0"/>
    <w:pPr>
      <w:ind w:left="1680" w:leftChars="800"/>
    </w:pPr>
    <w:rPr>
      <w:rFonts w:ascii="Calibri" w:hAnsi="Calibri" w:eastAsia="宋体"/>
      <w:szCs w:val="22"/>
    </w:rPr>
  </w:style>
  <w:style w:type="paragraph" w:customStyle="1" w:styleId="49">
    <w:name w:val="TOC 标题"/>
    <w:basedOn w:val="6"/>
    <w:qFormat/>
    <w:uiPriority w:val="0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/>
      <w:b w:val="0"/>
      <w:bCs w:val="0"/>
      <w:color w:val="2E74B5"/>
      <w:kern w:val="0"/>
      <w:sz w:val="32"/>
      <w:szCs w:val="32"/>
    </w:rPr>
  </w:style>
  <w:style w:type="paragraph" w:customStyle="1" w:styleId="50">
    <w:name w:val="目录 21"/>
    <w:basedOn w:val="1"/>
    <w:qFormat/>
    <w:uiPriority w:val="0"/>
    <w:pPr>
      <w:ind w:left="420" w:leftChars="200"/>
    </w:pPr>
  </w:style>
  <w:style w:type="paragraph" w:customStyle="1" w:styleId="51">
    <w:name w:val="目录 31"/>
    <w:basedOn w:val="1"/>
    <w:qFormat/>
    <w:uiPriority w:val="0"/>
    <w:pPr>
      <w:tabs>
        <w:tab w:val="right" w:leader="dot" w:pos="8681"/>
      </w:tabs>
      <w:ind w:left="840" w:leftChars="400" w:firstLine="210" w:firstLineChars="100"/>
    </w:pPr>
  </w:style>
  <w:style w:type="paragraph" w:customStyle="1" w:styleId="52">
    <w:name w:val="目录 81"/>
    <w:basedOn w:val="1"/>
    <w:qFormat/>
    <w:uiPriority w:val="0"/>
    <w:pPr>
      <w:ind w:left="2940" w:leftChars="1400"/>
    </w:pPr>
    <w:rPr>
      <w:rFonts w:ascii="Calibri" w:hAnsi="Calibri" w:eastAsia="宋体"/>
      <w:szCs w:val="22"/>
    </w:rPr>
  </w:style>
  <w:style w:type="paragraph" w:customStyle="1" w:styleId="53">
    <w:name w:val="目录 91"/>
    <w:basedOn w:val="1"/>
    <w:qFormat/>
    <w:uiPriority w:val="0"/>
    <w:pPr>
      <w:ind w:left="3360" w:leftChars="1600"/>
    </w:pPr>
    <w:rPr>
      <w:rFonts w:ascii="Calibri" w:hAnsi="Calibri" w:eastAsia="宋体"/>
      <w:szCs w:val="22"/>
    </w:rPr>
  </w:style>
  <w:style w:type="paragraph" w:customStyle="1" w:styleId="54">
    <w:name w:val="目录 61"/>
    <w:basedOn w:val="1"/>
    <w:qFormat/>
    <w:uiPriority w:val="0"/>
    <w:pPr>
      <w:ind w:left="2100" w:leftChars="1000"/>
    </w:pPr>
    <w:rPr>
      <w:rFonts w:ascii="Calibri" w:hAnsi="Calibri" w:eastAsia="宋体"/>
      <w:szCs w:val="22"/>
    </w:rPr>
  </w:style>
  <w:style w:type="paragraph" w:customStyle="1" w:styleId="55">
    <w:name w:val="目录 41"/>
    <w:basedOn w:val="1"/>
    <w:qFormat/>
    <w:uiPriority w:val="0"/>
    <w:pPr>
      <w:tabs>
        <w:tab w:val="left" w:pos="1890"/>
        <w:tab w:val="right" w:leader="dot" w:pos="8681"/>
      </w:tabs>
      <w:ind w:left="1260" w:leftChars="600"/>
    </w:pPr>
    <w:rPr>
      <w:rFonts w:ascii="Calibri" w:hAnsi="Calibri" w:eastAsia="宋体"/>
      <w:szCs w:val="22"/>
    </w:rPr>
  </w:style>
  <w:style w:type="paragraph" w:customStyle="1" w:styleId="56">
    <w:name w:val="列表1"/>
    <w:basedOn w:val="1"/>
    <w:qFormat/>
    <w:uiPriority w:val="0"/>
    <w:pPr>
      <w:jc w:val="left"/>
    </w:pPr>
    <w:rPr>
      <w:sz w:val="18"/>
      <w:szCs w:val="20"/>
    </w:rPr>
  </w:style>
  <w:style w:type="paragraph" w:customStyle="1" w:styleId="57">
    <w:name w:val="目录 11"/>
    <w:basedOn w:val="1"/>
    <w:qFormat/>
    <w:uiPriority w:val="0"/>
  </w:style>
  <w:style w:type="paragraph" w:customStyle="1" w:styleId="5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9">
    <w:name w:val="char"/>
    <w:basedOn w:val="1"/>
    <w:qFormat/>
    <w:uiPriority w:val="0"/>
    <w:pPr>
      <w:widowControl/>
      <w:spacing w:after="16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paragraph" w:customStyle="1" w:styleId="60">
    <w:name w:val=" Char1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61">
    <w:name w:val=" Char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62">
    <w:name w:val="一级标题"/>
    <w:basedOn w:val="1"/>
    <w:qFormat/>
    <w:uiPriority w:val="0"/>
    <w:pPr>
      <w:spacing w:before="78" w:after="78" w:line="300" w:lineRule="auto"/>
      <w:ind w:firstLine="643" w:firstLineChars="200"/>
      <w:jc w:val="center"/>
    </w:pPr>
    <w:rPr>
      <w:rFonts w:ascii="黑体" w:hAnsi="黑体" w:eastAsia="黑体"/>
      <w:b/>
      <w:kern w:val="0"/>
      <w:sz w:val="28"/>
      <w:szCs w:val="32"/>
    </w:rPr>
  </w:style>
  <w:style w:type="paragraph" w:customStyle="1" w:styleId="63">
    <w:name w:val="框图"/>
    <w:basedOn w:val="1"/>
    <w:qFormat/>
    <w:uiPriority w:val="0"/>
    <w:pPr>
      <w:spacing w:line="300" w:lineRule="exact"/>
      <w:jc w:val="center"/>
    </w:pPr>
    <w:rPr>
      <w:rFonts w:eastAsia="楷体_GB2312"/>
      <w:spacing w:val="-8"/>
      <w:kern w:val="10"/>
      <w:position w:val="6"/>
      <w:szCs w:val="21"/>
    </w:rPr>
  </w:style>
  <w:style w:type="paragraph" w:customStyle="1" w:styleId="64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5">
    <w:name w:val="列表段落"/>
    <w:basedOn w:val="1"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 w:val="24"/>
    </w:rPr>
  </w:style>
  <w:style w:type="table" w:customStyle="1" w:styleId="66">
    <w:name w:val="网格型1"/>
    <w:basedOn w:val="10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1504</Words>
  <Characters>1531</Characters>
  <Lines>0</Lines>
  <Paragraphs>0</Paragraphs>
  <TotalTime>34</TotalTime>
  <ScaleCrop>false</ScaleCrop>
  <LinksUpToDate>false</LinksUpToDate>
  <CharactersWithSpaces>1603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2024-03-13T06:03:00Z</dcterms:created>
  <dc:creator>刘少博</dc:creator>
  <cp:lastModifiedBy>1.4个标准单位</cp:lastModifiedBy>
  <cp:lastPrinted>2024-03-13T06:34:00Z</cp:lastPrinted>
  <dcterms:modified xsi:type="dcterms:W3CDTF">2025-04-02T02:55:55Z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49A9D1103B114D6BB74849E53BF6EDD1_12</vt:lpwstr>
  </property>
  <property fmtid="{D5CDD505-2E9C-101B-9397-08002B2CF9AE}" pid="4" name="KSOTemplateDocerSaveRecord">
    <vt:lpwstr>eyJoZGlkIjoiYzIzMjRhZGQ3MDA4NWZjMWFjMzc0NWU5NTU5MDUwMzQiLCJ1c2VySWQiOiIzMTA4Mjk1OTQifQ==</vt:lpwstr>
  </property>
</Properties>
</file>