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B4B4B"/>
          <w:spacing w:val="0"/>
          <w:sz w:val="36"/>
          <w:szCs w:val="36"/>
          <w:shd w:val="clear" w:fill="FFFFFF"/>
        </w:rPr>
        <w:t>青田县人民政府关于公开征求《青田县太鹤公园扩建提升工程房屋征收与补偿安置方案》意见的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B4B4B"/>
          <w:spacing w:val="0"/>
          <w:sz w:val="36"/>
          <w:szCs w:val="36"/>
          <w:shd w:val="clear" w:fill="FFFFFF"/>
          <w:lang w:eastAsia="zh-CN"/>
        </w:rPr>
        <w:t>起草说明</w:t>
      </w:r>
    </w:p>
    <w:bookmarkEnd w:id="0"/>
    <w:p>
      <w:pPr>
        <w:numPr>
          <w:ilvl w:val="0"/>
          <w:numId w:val="1"/>
        </w:num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文件出台背景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为推进县城公益事业的发展，优化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道路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布局，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提升太鹤公园入口面貌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改善城市人居环境，保障房屋征收当事人的合法权益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文件依据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74747"/>
          <w:spacing w:val="0"/>
          <w:sz w:val="32"/>
          <w:szCs w:val="32"/>
          <w:shd w:val="clear" w:fill="FFFFFF"/>
        </w:rPr>
        <w:t>《国有土地上房屋征收与补偿条例》（国务院第590令）、《浙江省国有土地上房屋征收与补偿安置方案》（省人大常委会公告2014年第14号）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74747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适用对象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青田县国有土地上房屋被征收户。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政策的内容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:一：有几种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征收补偿安置方式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房屋征收采取货币补偿和产权调换两种安置方式。货币补偿安置方式是指征收人不向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被征收户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提供安置房而以货币结算补偿的安置方式；产权调换安置方式是指征收人为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被征收户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提供安置房，安置房与被征收房屋实行差价结算的安置方式。补偿安置方式由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被征收户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自行选择。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二：有哪几种安置户型？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安置房基本户型建筑面积分别为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70㎡、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90㎡、110㎡、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㎡左右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不另配杂间。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解读机关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青田县土地和房屋征收工作指导中心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四、文件要求的实施时间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B5121"/>
    <w:multiLevelType w:val="singleLevel"/>
    <w:tmpl w:val="31DB5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YTIwMjViZDUxYTFkMTgzNjRlMmRkNTA3NzE1ZTgifQ=="/>
  </w:docVars>
  <w:rsids>
    <w:rsidRoot w:val="00000000"/>
    <w:rsid w:val="038F6201"/>
    <w:rsid w:val="039E3426"/>
    <w:rsid w:val="07756A4A"/>
    <w:rsid w:val="0B2C66B6"/>
    <w:rsid w:val="181E03C2"/>
    <w:rsid w:val="18F66070"/>
    <w:rsid w:val="19784D0D"/>
    <w:rsid w:val="1ACB44E6"/>
    <w:rsid w:val="1CED34A5"/>
    <w:rsid w:val="208F2E16"/>
    <w:rsid w:val="22751ED8"/>
    <w:rsid w:val="286A259B"/>
    <w:rsid w:val="28E528FF"/>
    <w:rsid w:val="370D6D39"/>
    <w:rsid w:val="397D658A"/>
    <w:rsid w:val="3BD05CF1"/>
    <w:rsid w:val="3F605915"/>
    <w:rsid w:val="43337621"/>
    <w:rsid w:val="4AE479DA"/>
    <w:rsid w:val="50AE174B"/>
    <w:rsid w:val="512106CB"/>
    <w:rsid w:val="53E8236E"/>
    <w:rsid w:val="64516B8E"/>
    <w:rsid w:val="6AB7105E"/>
    <w:rsid w:val="6B121CA1"/>
    <w:rsid w:val="6BC01899"/>
    <w:rsid w:val="6DCC3C9B"/>
    <w:rsid w:val="6E8014FE"/>
    <w:rsid w:val="7093728F"/>
    <w:rsid w:val="735D2086"/>
    <w:rsid w:val="77A761EF"/>
    <w:rsid w:val="78CD2285"/>
    <w:rsid w:val="7AD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400</Characters>
  <Lines>0</Lines>
  <Paragraphs>0</Paragraphs>
  <TotalTime>2</TotalTime>
  <ScaleCrop>false</ScaleCrop>
  <LinksUpToDate>false</LinksUpToDate>
  <CharactersWithSpaces>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2022-11-18T07:43:00Z</dcterms:created>
  <dc:creator>Administrator</dc:creator>
  <cp:lastModifiedBy>青田县土地和房屋征收工作指导中心文书</cp:lastModifiedBy>
  <dcterms:modified xsi:type="dcterms:W3CDTF">2024-11-05T00:56:57Z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40B3BD36B06945BEB1CB79746641FAC1_12</vt:lpwstr>
  </property>
</Properties>
</file>