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关于《青田县基本公共服务标准（2023年版）（征求意见稿）》的起草说明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B0F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</w:rPr>
        <w:t>《青田县基本公共服务标准（2023年版）（征求意见稿）》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起草情况说明如下：</w:t>
      </w: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一、起草</w:t>
      </w: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背景和依据</w:t>
      </w: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2023年7月，国家发展改革委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等多</w:t>
      </w:r>
      <w:r>
        <w:rPr>
          <w:rFonts w:hint="eastAsia" w:ascii="Times New Roman" w:hAnsi="Times New Roman" w:eastAsia="仿宋_GB2312"/>
          <w:sz w:val="32"/>
          <w:szCs w:val="32"/>
        </w:rPr>
        <w:t>部门联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合印发《国家基本公共服务标准（2023年版）》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2024年1月，省发展改革委等多部门联合印发《浙江省基本公共服务标准（2023年版）》，并要求11个设区市实施标准要于2024年6月底前迭代印发实施，县（市、区）实施标准要于2024年12月底前印发实施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，并及时向社会公布</w:t>
      </w:r>
      <w:r>
        <w:rPr>
          <w:rFonts w:hint="eastAsia" w:ascii="Times New Roman" w:hAnsi="Times New Roman" w:eastAsia="仿宋_GB2312"/>
          <w:sz w:val="32"/>
          <w:szCs w:val="32"/>
        </w:rPr>
        <w:t>。2024年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发改委等多部门联合印发《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丽水市</w:t>
      </w:r>
      <w:r>
        <w:rPr>
          <w:rFonts w:hint="eastAsia" w:ascii="Times New Roman" w:hAnsi="Times New Roman" w:eastAsia="仿宋_GB2312"/>
          <w:sz w:val="32"/>
          <w:szCs w:val="32"/>
        </w:rPr>
        <w:t>基本公共服务标准（2023年版）》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2024年8月23日，</w:t>
      </w:r>
      <w:r>
        <w:rPr>
          <w:rFonts w:hint="eastAsia" w:ascii="Times New Roman" w:hAnsi="Times New Roman" w:eastAsia="仿宋_GB2312"/>
          <w:sz w:val="32"/>
          <w:szCs w:val="32"/>
        </w:rPr>
        <w:t>省委十五届五次全会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再次提出要“</w:t>
      </w:r>
      <w:r>
        <w:rPr>
          <w:rFonts w:hint="eastAsia" w:ascii="Times New Roman" w:hAnsi="Times New Roman" w:eastAsia="仿宋_GB2312"/>
          <w:sz w:val="32"/>
          <w:szCs w:val="32"/>
        </w:rPr>
        <w:t>建立覆盖省市县三级的基本公共服务标准体系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对此，县发改局参照省、市标准（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）充分研究，在前期调研阶段确定编制小组（含各业务部门分管领导和联络员各1名），通过表格梳理、资料收集、重点部门调研、比较分析等，编制形成了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青田县</w:t>
      </w:r>
      <w:r>
        <w:rPr>
          <w:rFonts w:ascii="Times New Roman" w:hAnsi="Times New Roman" w:eastAsia="仿宋_GB2312"/>
          <w:sz w:val="32"/>
          <w:szCs w:val="32"/>
        </w:rPr>
        <w:t>基本公共服务标准（2023年版）》（以下简称《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青田</w:t>
      </w:r>
      <w:r>
        <w:rPr>
          <w:rFonts w:ascii="Times New Roman" w:hAnsi="Times New Roman" w:eastAsia="仿宋_GB2312"/>
          <w:sz w:val="32"/>
          <w:szCs w:val="32"/>
        </w:rPr>
        <w:t>标准2023版》）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。目前，</w:t>
      </w:r>
      <w:r>
        <w:rPr>
          <w:rFonts w:ascii="Times New Roman" w:hAnsi="Times New Roman" w:eastAsia="仿宋_GB2312"/>
          <w:sz w:val="32"/>
          <w:szCs w:val="32"/>
        </w:rPr>
        <w:t>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通过公文平台二次</w:t>
      </w:r>
      <w:r>
        <w:rPr>
          <w:rFonts w:ascii="Times New Roman" w:hAnsi="Times New Roman" w:eastAsia="仿宋_GB2312"/>
          <w:sz w:val="32"/>
          <w:szCs w:val="32"/>
        </w:rPr>
        <w:t>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</w:rPr>
        <w:t>直</w:t>
      </w:r>
      <w:r>
        <w:rPr>
          <w:rFonts w:ascii="Times New Roman" w:hAnsi="Times New Roman" w:eastAsia="仿宋_GB2312"/>
          <w:sz w:val="32"/>
          <w:szCs w:val="32"/>
        </w:rPr>
        <w:t>部门意见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召开部门意见征求会，收到组织部、宣传部、社工部、政法委、团县委、社会治理中心、公安局、民政局、卫健局、医保局、教育局、建设局、司法局、气象局、文广旅体局、人力社保局、市场监管局、应急管理局、退役军人事务局、生态环境局青田分局、档案馆、残联等共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22家部门单位意见反馈，并作相应修改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二、总体框架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青田</w:t>
      </w:r>
      <w:r>
        <w:rPr>
          <w:rFonts w:ascii="Times New Roman" w:hAnsi="Times New Roman" w:eastAsia="仿宋_GB2312"/>
          <w:sz w:val="32"/>
          <w:szCs w:val="32"/>
        </w:rPr>
        <w:t>标准2023版》在确保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省、市标准</w:t>
      </w:r>
      <w:r>
        <w:rPr>
          <w:rFonts w:ascii="Times New Roman" w:hAnsi="Times New Roman" w:eastAsia="仿宋_GB2312"/>
          <w:sz w:val="32"/>
          <w:szCs w:val="32"/>
        </w:rPr>
        <w:t>落实服务事项不缺项、服务标准不降低的前提下，结合我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/>
          <w:sz w:val="32"/>
          <w:szCs w:val="32"/>
        </w:rPr>
        <w:t>实际，保持</w:t>
      </w:r>
      <w:r>
        <w:rPr>
          <w:rFonts w:hint="eastAsia" w:ascii="Times New Roman" w:hAnsi="Times New Roman" w:eastAsia="仿宋_GB2312"/>
          <w:sz w:val="32"/>
          <w:szCs w:val="32"/>
        </w:rPr>
        <w:t>文件框架、表述方式</w:t>
      </w:r>
      <w:r>
        <w:rPr>
          <w:rFonts w:ascii="Times New Roman" w:hAnsi="Times New Roman" w:eastAsia="仿宋_GB2312"/>
          <w:sz w:val="32"/>
          <w:szCs w:val="32"/>
        </w:rPr>
        <w:t>总体稳定，仅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服务对象、</w:t>
      </w:r>
      <w:r>
        <w:rPr>
          <w:rFonts w:hint="eastAsia" w:ascii="Times New Roman" w:hAnsi="Times New Roman" w:eastAsia="仿宋_GB2312"/>
          <w:sz w:val="32"/>
          <w:szCs w:val="32"/>
        </w:rPr>
        <w:t>服务标准、服务内容、牵头负责部门等</w:t>
      </w:r>
      <w:r>
        <w:rPr>
          <w:rFonts w:ascii="Times New Roman" w:hAnsi="Times New Roman" w:eastAsia="仿宋_GB2312"/>
          <w:sz w:val="32"/>
          <w:szCs w:val="32"/>
        </w:rPr>
        <w:t>作小调整。保</w:t>
      </w:r>
      <w:r>
        <w:rPr>
          <w:rFonts w:hint="eastAsia" w:ascii="Times New Roman" w:hAnsi="Times New Roman" w:eastAsia="仿宋_GB2312"/>
          <w:sz w:val="32"/>
          <w:szCs w:val="32"/>
        </w:rPr>
        <w:t>持“幼有所育、学有所教、劳有所得、病有所医、老有所养、住有所居、弱有所扶、军有所抚、文有所化、体有所健、事有所便”</w:t>
      </w:r>
      <w:r>
        <w:rPr>
          <w:rFonts w:ascii="Times New Roman" w:hAnsi="Times New Roman" w:eastAsia="仿宋_GB2312"/>
          <w:sz w:val="32"/>
          <w:szCs w:val="32"/>
        </w:rPr>
        <w:t>11大领域框架不变，具体基本公共服务事项10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项，并对每一个服务事项明确了服务对象、服务内容、服务标准、支出责任、牵头负责单位。</w:t>
      </w: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三、调整内容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省、市</w:t>
      </w:r>
      <w:r>
        <w:rPr>
          <w:rFonts w:hint="eastAsia" w:ascii="Times New Roman" w:hAnsi="Times New Roman" w:eastAsia="仿宋_GB2312"/>
          <w:sz w:val="32"/>
          <w:szCs w:val="32"/>
        </w:rPr>
        <w:t>标准</w:t>
      </w:r>
      <w:r>
        <w:rPr>
          <w:rFonts w:ascii="Times New Roman" w:hAnsi="Times New Roman" w:eastAsia="仿宋_GB2312"/>
          <w:sz w:val="32"/>
          <w:szCs w:val="32"/>
        </w:rPr>
        <w:t>相比，主要是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提高、完善</w:t>
      </w:r>
      <w:r>
        <w:rPr>
          <w:rFonts w:ascii="Times New Roman" w:hAnsi="Times New Roman" w:eastAsia="仿宋_GB2312"/>
          <w:sz w:val="32"/>
          <w:szCs w:val="32"/>
        </w:rPr>
        <w:t>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</w:rPr>
        <w:t>内容</w:t>
      </w:r>
      <w:r>
        <w:rPr>
          <w:rFonts w:ascii="Times New Roman" w:hAnsi="Times New Roman" w:eastAsia="仿宋_GB2312"/>
          <w:sz w:val="32"/>
          <w:szCs w:val="32"/>
        </w:rPr>
        <w:t>，每一项均有修改依据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after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是提高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/>
          <w:bCs/>
          <w:sz w:val="32"/>
          <w:szCs w:val="32"/>
        </w:rPr>
        <w:t>项服务标准</w:t>
      </w:r>
      <w:r>
        <w:rPr>
          <w:rFonts w:ascii="Times New Roman" w:hAnsi="Times New Roman" w:eastAsia="仿宋_GB2312"/>
          <w:sz w:val="32"/>
          <w:szCs w:val="32"/>
        </w:rPr>
        <w:t>，其中，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义务教育阶段免除学杂费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”、“（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）义务教育学生生活补助”、“（15）义务教育学生营养改善提升工程”、“（48）农村符合条件的计划生育家庭奖励扶助”、“（59）农村危房改造”、“（101）环境质量”、“（102）惠民殡葬”</w:t>
      </w:r>
      <w:r>
        <w:rPr>
          <w:rFonts w:ascii="Times New Roman" w:hAnsi="Times New Roman" w:eastAsia="仿宋_GB2312"/>
          <w:sz w:val="32"/>
          <w:szCs w:val="32"/>
        </w:rPr>
        <w:t>是</w:t>
      </w:r>
      <w:r>
        <w:rPr>
          <w:rFonts w:hint="eastAsia" w:ascii="Times New Roman" w:hAnsi="Times New Roman" w:eastAsia="仿宋_GB2312"/>
          <w:sz w:val="32"/>
          <w:szCs w:val="32"/>
        </w:rPr>
        <w:t>结合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省、市标准</w:t>
      </w:r>
      <w:r>
        <w:rPr>
          <w:rFonts w:hint="eastAsia" w:ascii="Times New Roman" w:hAnsi="Times New Roman" w:eastAsia="仿宋_GB2312"/>
          <w:sz w:val="32"/>
          <w:szCs w:val="32"/>
        </w:rPr>
        <w:t>及</w:t>
      </w:r>
      <w:r>
        <w:rPr>
          <w:rFonts w:ascii="Times New Roman" w:hAnsi="Times New Roman" w:eastAsia="仿宋_GB2312"/>
          <w:sz w:val="32"/>
          <w:szCs w:val="32"/>
        </w:rPr>
        <w:t>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/>
          <w:sz w:val="32"/>
          <w:szCs w:val="32"/>
        </w:rPr>
        <w:t>政策提高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所有提高事项均按照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尽力而为、量力而行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要求提高标准，并经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财政</w:t>
      </w:r>
      <w:r>
        <w:rPr>
          <w:rFonts w:hint="eastAsia" w:ascii="Times New Roman" w:hAnsi="Times New Roman" w:eastAsia="仿宋_GB2312"/>
          <w:sz w:val="32"/>
          <w:szCs w:val="32"/>
        </w:rPr>
        <w:t>局</w:t>
      </w:r>
      <w:r>
        <w:rPr>
          <w:rFonts w:ascii="Times New Roman" w:hAnsi="Times New Roman" w:eastAsia="仿宋_GB2312"/>
          <w:sz w:val="32"/>
          <w:szCs w:val="32"/>
        </w:rPr>
        <w:t>确认。</w:t>
      </w:r>
    </w:p>
    <w:p>
      <w:pPr>
        <w:spacing w:after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是完善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项服务表述</w:t>
      </w:r>
      <w:r>
        <w:rPr>
          <w:rFonts w:hint="eastAsia" w:ascii="Times New Roman" w:hAnsi="Times New Roman" w:eastAsia="仿宋_GB2312"/>
          <w:sz w:val="32"/>
          <w:szCs w:val="32"/>
        </w:rPr>
        <w:t>，其中，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）困境儿童保障”、“（10）留守儿童关爱保护”、“（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）学前教育幼儿资助”、“（16）普通高中国家助学金”、“（17）普通高中免学费”、“（26）职业技能培训、鉴定和生活费补贴”、“（27）人力资源和社会保障电话服务”、“（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劳动关系协调”、“（45）职工基本医疗保险”、“（46）城乡居民基本医疗保险”、“（47）疾病应急救助”、“（58）城镇棚户区住房改造”、“（62）医疗救助”、“（69）残疾人康复服务”、“（70）残疾儿童及青少年教育”、“（73）残疾人和老年人无障碍环境建设”、“（75）退役军人安置”、“（76）退役军人就业创业服务”、“（79）公共文化设施免费开放”、“（87）校外活动服务”、“（93）公共法律服务”、“（94）邮政快递服务”、“（97）社会治安”、“（99）自然灾害和事故灾难应急管理”</w:t>
      </w:r>
      <w:r>
        <w:rPr>
          <w:rFonts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sz w:val="32"/>
          <w:szCs w:val="32"/>
        </w:rPr>
        <w:t>项服务是根据我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/>
          <w:sz w:val="32"/>
          <w:szCs w:val="32"/>
        </w:rPr>
        <w:t>政策</w:t>
      </w:r>
      <w:r>
        <w:rPr>
          <w:rFonts w:hint="eastAsia" w:ascii="Times New Roman" w:hAnsi="Times New Roman" w:eastAsia="仿宋_GB2312"/>
          <w:sz w:val="32"/>
          <w:szCs w:val="32"/>
        </w:rPr>
        <w:t>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部门职能、</w:t>
      </w:r>
      <w:r>
        <w:rPr>
          <w:rFonts w:ascii="Times New Roman" w:hAnsi="Times New Roman" w:eastAsia="仿宋_GB2312"/>
          <w:sz w:val="32"/>
          <w:szCs w:val="32"/>
        </w:rPr>
        <w:t>实际工作需要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服务对象范围、</w:t>
      </w:r>
      <w:r>
        <w:rPr>
          <w:rFonts w:hint="eastAsia" w:ascii="Times New Roman" w:hAnsi="Times New Roman" w:eastAsia="仿宋_GB2312"/>
          <w:sz w:val="32"/>
          <w:szCs w:val="32"/>
        </w:rPr>
        <w:t>服务内容表述、责任单位等进行调整</w:t>
      </w:r>
      <w:r>
        <w:rPr>
          <w:rFonts w:ascii="Times New Roman" w:hAnsi="Times New Roman" w:eastAsia="仿宋_GB2312"/>
          <w:sz w:val="32"/>
          <w:szCs w:val="32"/>
        </w:rPr>
        <w:t>修改。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青田县发展和改革局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2024年11月14日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06DE2"/>
    <w:rsid w:val="6C4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2024-11-14T07:50:00Z</dcterms:created>
  <dc:creator>王维</dc:creator>
  <cp:lastModifiedBy>王维</cp:lastModifiedBy>
  <dcterms:modified xsi:type="dcterms:W3CDTF">2024-11-14T08:35:47Z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