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04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《青田县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养老服务“爱心卡”实施方案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政策解读</w:t>
      </w:r>
    </w:p>
    <w:p w14:paraId="5FA0D1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6AE2D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《青田县养老服务“爱心卡”实施方案》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将于近期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印发。现解读如下：</w:t>
      </w:r>
    </w:p>
    <w:p w14:paraId="2B72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宋体" w:hAnsi="宋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宋体" w:hAnsi="宋体" w:eastAsia="黑体" w:cs="Times New Roman"/>
          <w:color w:val="auto"/>
          <w:spacing w:val="0"/>
          <w:sz w:val="32"/>
          <w:szCs w:val="32"/>
        </w:rPr>
        <w:t>一、</w:t>
      </w:r>
      <w:r>
        <w:rPr>
          <w:rFonts w:hint="eastAsia" w:ascii="宋体" w:hAnsi="宋体" w:eastAsia="黑体" w:cs="Times New Roman"/>
          <w:color w:val="auto"/>
          <w:spacing w:val="0"/>
          <w:sz w:val="32"/>
          <w:szCs w:val="32"/>
          <w:lang w:eastAsia="zh-CN"/>
        </w:rPr>
        <w:t>制定</w:t>
      </w:r>
      <w:r>
        <w:rPr>
          <w:rFonts w:hint="default" w:ascii="宋体" w:hAnsi="宋体" w:eastAsia="黑体" w:cs="Times New Roman"/>
          <w:color w:val="auto"/>
          <w:spacing w:val="0"/>
          <w:sz w:val="32"/>
          <w:szCs w:val="32"/>
        </w:rPr>
        <w:t>背景</w:t>
      </w:r>
      <w:bookmarkStart w:id="0" w:name="_GoBack"/>
      <w:bookmarkEnd w:id="0"/>
    </w:p>
    <w:p w14:paraId="73820D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为认真落实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浙江省民政厅、中共浙江省委组织部、浙江省财政厅、浙江省人力资源和社会保障厅、浙江省农业农村厅联合印发的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养老服务“爱心卡”实施方案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》（浙民养〔2024〕87号）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《浙江省民政厅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浙江省财政厅关于健全困难老年人补贴制度的通知》（浙民养〔2024〕85号）等文件精神,进一步深化推进“浙里康养”工作，更好发挥党组织纽带作用，有效整合各方力量提升养老服务水平，结合我县实际，特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制定本方案。</w:t>
      </w:r>
    </w:p>
    <w:p w14:paraId="5CD2D4A6">
      <w:pPr>
        <w:pStyle w:val="8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二、主要内容</w:t>
      </w:r>
    </w:p>
    <w:p w14:paraId="207DD8C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《实施方案》包括总体要求、主要内容、组织实施三部分。</w:t>
      </w:r>
    </w:p>
    <w:p w14:paraId="3DDE752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cs="Times New Roman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第一部分：总体要求。</w:t>
      </w:r>
      <w:r>
        <w:rPr>
          <w:rFonts w:hint="eastAsia" w:cs="Times New Roman"/>
          <w:color w:val="auto"/>
          <w:lang w:eastAsia="zh-CN"/>
        </w:rPr>
        <w:t>坚持党委统筹、政府主导、社会参与、家庭赡养原则，充分发挥各级党组织在养老服务中的领导作用，统筹整合政府、集体、社会、市场、家庭各方资源力量，全面推行养老服务“爱心卡”,为老年人提供优质优价的助餐、助浴、助洁、助行、助医、助急等</w:t>
      </w:r>
      <w:r>
        <w:rPr>
          <w:rFonts w:hint="eastAsia" w:cs="Times New Roman"/>
          <w:color w:val="auto"/>
          <w:lang w:val="en-US" w:eastAsia="zh-CN"/>
        </w:rPr>
        <w:t>多元</w:t>
      </w:r>
      <w:r>
        <w:rPr>
          <w:rFonts w:hint="eastAsia" w:cs="Times New Roman"/>
          <w:color w:val="auto"/>
          <w:lang w:eastAsia="zh-CN"/>
        </w:rPr>
        <w:t>服务，并明确</w:t>
      </w:r>
      <w:r>
        <w:rPr>
          <w:rFonts w:hint="eastAsia" w:cs="Times New Roman"/>
          <w:color w:val="auto"/>
          <w:lang w:val="en-US" w:eastAsia="zh-CN"/>
        </w:rPr>
        <w:t>2024年近期目标和2027年远期目标。</w:t>
      </w:r>
    </w:p>
    <w:p w14:paraId="2B2C8B9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第二部分：主要内容。包括“爱心卡”</w:t>
      </w:r>
      <w:r>
        <w:rPr>
          <w:rFonts w:hint="eastAsia"/>
          <w:color w:val="auto"/>
          <w:lang w:val="en-US" w:eastAsia="zh-CN"/>
        </w:rPr>
        <w:t>使用</w:t>
      </w:r>
      <w:r>
        <w:rPr>
          <w:rFonts w:hint="eastAsia"/>
          <w:color w:val="auto"/>
          <w:lang w:eastAsia="zh-CN"/>
        </w:rPr>
        <w:t>对象、</w:t>
      </w:r>
      <w:r>
        <w:rPr>
          <w:rFonts w:hint="eastAsia"/>
          <w:color w:val="auto"/>
          <w:lang w:val="en-US" w:eastAsia="zh-CN"/>
        </w:rPr>
        <w:t>补贴原则</w:t>
      </w:r>
      <w:r>
        <w:rPr>
          <w:rFonts w:hint="eastAsia"/>
          <w:color w:val="auto"/>
          <w:lang w:eastAsia="zh-CN"/>
        </w:rPr>
        <w:t>、资金结算、服务内容、资源链接、</w:t>
      </w:r>
      <w:r>
        <w:rPr>
          <w:rFonts w:hint="eastAsia" w:cs="Times New Roman"/>
          <w:color w:val="auto"/>
          <w:lang w:val="en-US" w:eastAsia="zh-CN"/>
        </w:rPr>
        <w:t>市场培育</w:t>
      </w:r>
      <w:r>
        <w:rPr>
          <w:rFonts w:hint="eastAsia"/>
          <w:color w:val="auto"/>
          <w:lang w:eastAsia="zh-CN"/>
        </w:rPr>
        <w:t>等</w:t>
      </w:r>
      <w:r>
        <w:rPr>
          <w:rFonts w:hint="eastAsia"/>
          <w:color w:val="auto"/>
          <w:lang w:val="en-US" w:eastAsia="zh-CN"/>
        </w:rPr>
        <w:t>六</w:t>
      </w:r>
      <w:r>
        <w:rPr>
          <w:rFonts w:hint="eastAsia"/>
          <w:color w:val="auto"/>
          <w:lang w:eastAsia="zh-CN"/>
        </w:rPr>
        <w:t>部分内容。</w:t>
      </w:r>
    </w:p>
    <w:p w14:paraId="0135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1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一是使用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对象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，规定了“爱心卡”使用对象分为三类。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en-US" w:bidi="ar-SA"/>
        </w:rPr>
        <w:t>一类对象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为本县户籍最低生活保障家庭老年人、低保边缘家庭老年人、普通家庭90周岁及以上老年人。 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en-US" w:bidi="ar-SA"/>
        </w:rPr>
        <w:t>二类对象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为本县户籍的普通家庭60周岁以上失能失智老年人及高龄老年人。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en-US" w:bidi="ar-SA"/>
        </w:rPr>
        <w:t>三类对象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为其他老年人。</w:t>
      </w:r>
    </w:p>
    <w:p w14:paraId="7F1C9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1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二是补贴原则，规定了三类对象的补贴原则。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一类对象“爱心卡”开通后，该类对象的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en-US" w:bidi="ar-SA"/>
        </w:rPr>
        <w:t>养老服务补贴和养老护理补贴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电子积分自动转入“爱心分”。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en-US" w:bidi="ar-SA"/>
        </w:rPr>
        <w:t>二类对象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接受助餐服务对象按规定享受伙食补贴。有条件的村(社区)可以为“爱心卡”对象注入慈善、社会、集体等资金。三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en-US" w:bidi="ar-SA"/>
        </w:rPr>
        <w:t>类对象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凭“爱心卡”享受爱心商家优惠折扣服务,费用由个人自付。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一类对象可同时享受二类、三类对象的“爱心卡”待遇。</w:t>
      </w:r>
    </w:p>
    <w:p w14:paraId="7749583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1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三是资金结算，明确了“爱心分”的兑换、发放、使用及结算。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财政、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社会、集体用于“爱心卡”服务的资金，依托第三代社保卡生成虚拟“爱心分”，1个“爱心分”可兑换1元人民币等值养老服务。按照补贴标准，按月将“爱心分”发放至老年人本人“爱心卡”（社保卡）养老服务专用帐户中。老年人按服务消费支付给服务提供机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(企业)的电子积分，县民政局根据实际使用的积分数量按规定与服务提供机构(企业)进行清算。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养老服务补贴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养老护理补贴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电子积分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额度，死亡后结算清零，其余对象未使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用的财政、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、集体补贴“爱心分”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当年12月31日清零。</w:t>
      </w:r>
    </w:p>
    <w:p w14:paraId="476E2FF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1" w:firstLineChars="200"/>
        <w:jc w:val="both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四是服务内容，在省级“六助”服务基础上，拓展为助餐、助浴、助洁、助行、助医、助急等“十助”服务。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建立“爱心卡”服务提供机构（企业）白名单制度，扩大“爱心卡”服务供给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25C0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1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五是资源链接，强调党组织统合整合作用。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引导推动养老服务与医疗、文化、教育等多业态融合发展，强化区域养老服务资源整合利用。深化“党群连心、网格走亲”，对特殊困难老年人提供常态化探访关爱服务，帮助排忧解难。</w:t>
      </w:r>
    </w:p>
    <w:p w14:paraId="3A897D3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1" w:firstLineChars="200"/>
        <w:jc w:val="both"/>
        <w:textAlignment w:val="auto"/>
        <w:rPr>
          <w:rFonts w:hint="default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-SA"/>
        </w:rPr>
        <w:t>六是市场培育，鼓励、培育、引导服务机构和爱心企业，通过养老服务超市、爱心商城等汇聚更多服务产品和项目，为老年人提供便捷专业的养老服务。</w:t>
      </w:r>
    </w:p>
    <w:p w14:paraId="4465175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color w:val="auto"/>
          <w:lang w:eastAsia="zh-CN"/>
        </w:rPr>
        <w:t>第三部分：组织实施。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资金保障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强化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个方面</w:t>
      </w:r>
      <w:r>
        <w:rPr>
          <w:rFonts w:hint="eastAsia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积极推进“爱心卡”各项工作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4763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  <w:t>三、制定依据</w:t>
      </w:r>
    </w:p>
    <w:p w14:paraId="5476FC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养老服务“爱心卡”实施方案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》（浙民养〔2024〕87号）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A552D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2.《浙江省民政厅 浙江省财政厅关于健全困难老年人补贴制度的通知》（浙民养〔2024〕85号）。</w:t>
      </w:r>
    </w:p>
    <w:p w14:paraId="2A8388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3.《关于健全青田县困难老年人补贴制度的通知》（青民〔2024〕146号）。</w:t>
      </w:r>
    </w:p>
    <w:p w14:paraId="2B610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  <w:t>四、适用对象</w:t>
      </w:r>
    </w:p>
    <w:p w14:paraId="17722E43">
      <w:pPr>
        <w:spacing w:line="620" w:lineRule="exact"/>
        <w:ind w:firstLine="640" w:firstLineChars="200"/>
        <w:jc w:val="left"/>
        <w:rPr>
          <w:rFonts w:hint="default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  <w:t>全县老年人。</w:t>
      </w:r>
    </w:p>
    <w:p w14:paraId="56E6E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  <w:t>五、关键词解释</w:t>
      </w:r>
    </w:p>
    <w:p w14:paraId="246A26D5">
      <w:pPr>
        <w:spacing w:line="62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  <w:t>老年人是指年龄在60周岁及以上的老人。</w:t>
      </w:r>
    </w:p>
    <w:p w14:paraId="640C724F">
      <w:pPr>
        <w:spacing w:line="620" w:lineRule="exact"/>
        <w:ind w:firstLine="640" w:firstLineChars="200"/>
        <w:jc w:val="left"/>
        <w:rPr>
          <w:rFonts w:hint="default" w:ascii="黑体" w:hAnsi="黑体" w:eastAsia="仿宋" w:cs="黑体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机构（企业）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是指在工商部门登记注册或在民政部门登记的，并具有独立承担民事责任能力的法人组织。</w:t>
      </w:r>
    </w:p>
    <w:p w14:paraId="3470A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pacing w:val="5"/>
          <w:kern w:val="2"/>
          <w:sz w:val="31"/>
          <w:szCs w:val="31"/>
          <w:lang w:val="en-US" w:eastAsia="zh-CN" w:bidi="ar-SA"/>
        </w:rPr>
        <w:t>六、解读机关及联系人、联系方式</w:t>
      </w:r>
    </w:p>
    <w:p w14:paraId="7768ED01">
      <w:pPr>
        <w:ind w:firstLine="640" w:firstLineChars="200"/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  <w:t>解读机关：青田县民政局</w:t>
      </w:r>
    </w:p>
    <w:p w14:paraId="4BCFE463">
      <w:pPr>
        <w:ind w:firstLine="640" w:firstLineChars="200"/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  <w:t>联系人：陈媚</w:t>
      </w:r>
    </w:p>
    <w:p w14:paraId="02B4B7BE">
      <w:pPr>
        <w:ind w:firstLine="640" w:firstLineChars="200"/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pacing w:val="5"/>
          <w:kern w:val="2"/>
          <w:sz w:val="31"/>
          <w:szCs w:val="31"/>
          <w:lang w:val="en-US" w:eastAsia="zh-CN" w:bidi="ar-SA"/>
        </w:rPr>
        <w:t>联系方式：0578-6</w:t>
      </w:r>
      <w:r>
        <w:rPr>
          <w:rFonts w:hint="default" w:ascii="FangSong_GB2312" w:hAnsi="FangSong_GB2312" w:eastAsia="FangSong_GB2312" w:cs="FangSong_GB2312"/>
          <w:spacing w:val="5"/>
          <w:kern w:val="2"/>
          <w:sz w:val="31"/>
          <w:szCs w:val="31"/>
          <w:lang w:eastAsia="zh-CN" w:bidi="ar-SA"/>
          <w:woUserID w:val="1"/>
        </w:rPr>
        <w:t>022980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jQxYzQ0MDJhYWI5OTg5ZjAzMDMzMjY0M2JjN2YifQ=="/>
  </w:docVars>
  <w:rsids>
    <w:rsidRoot w:val="415011A2"/>
    <w:rsid w:val="026D637F"/>
    <w:rsid w:val="04B55C7A"/>
    <w:rsid w:val="05644E9E"/>
    <w:rsid w:val="07AC7975"/>
    <w:rsid w:val="09693EC2"/>
    <w:rsid w:val="10132FE9"/>
    <w:rsid w:val="14BA598A"/>
    <w:rsid w:val="1B2E7739"/>
    <w:rsid w:val="1BA333BA"/>
    <w:rsid w:val="1FC93034"/>
    <w:rsid w:val="22BE61CE"/>
    <w:rsid w:val="25D253AD"/>
    <w:rsid w:val="26401296"/>
    <w:rsid w:val="26473C30"/>
    <w:rsid w:val="26610355"/>
    <w:rsid w:val="2DF33972"/>
    <w:rsid w:val="2EC12B5D"/>
    <w:rsid w:val="30171EFF"/>
    <w:rsid w:val="415011A2"/>
    <w:rsid w:val="489111EA"/>
    <w:rsid w:val="48F17C5A"/>
    <w:rsid w:val="4B292E19"/>
    <w:rsid w:val="4FF832DA"/>
    <w:rsid w:val="52907101"/>
    <w:rsid w:val="56FF3C24"/>
    <w:rsid w:val="587A747E"/>
    <w:rsid w:val="5A9A4471"/>
    <w:rsid w:val="5F264A00"/>
    <w:rsid w:val="62CB1450"/>
    <w:rsid w:val="631F46C3"/>
    <w:rsid w:val="641161D7"/>
    <w:rsid w:val="657C203F"/>
    <w:rsid w:val="67300A48"/>
    <w:rsid w:val="68556C4F"/>
    <w:rsid w:val="68D02B43"/>
    <w:rsid w:val="6FD63DBC"/>
    <w:rsid w:val="71DB2D1B"/>
    <w:rsid w:val="73231C35"/>
    <w:rsid w:val="755E0B9A"/>
    <w:rsid w:val="7A43128E"/>
    <w:rsid w:val="7C810626"/>
    <w:rsid w:val="7DFB0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color w:val="FF0000"/>
      <w:sz w:val="24"/>
      <w:szCs w:val="20"/>
    </w:rPr>
  </w:style>
  <w:style w:type="paragraph" w:styleId="3">
    <w:name w:val="Note Heading"/>
    <w:basedOn w:val="1"/>
    <w:next w:val="1"/>
    <w:unhideWhenUsed/>
    <w:qFormat/>
    <w:uiPriority w:val="99"/>
    <w:pPr>
      <w:jc w:val="center"/>
    </w:pPr>
  </w:style>
  <w:style w:type="paragraph" w:styleId="4">
    <w:name w:val="Body Text"/>
    <w:basedOn w:val="1"/>
    <w:next w:val="5"/>
    <w:autoRedefine/>
    <w:unhideWhenUsed/>
    <w:qFormat/>
    <w:uiPriority w:val="1"/>
    <w:pPr>
      <w:spacing w:beforeLines="0" w:afterLines="0"/>
      <w:ind w:left="111"/>
    </w:pPr>
    <w:rPr>
      <w:rFonts w:hint="eastAsia" w:ascii="仿宋_GB2312" w:hAnsi="仿宋_GB2312" w:eastAsia="仿宋_GB2312"/>
      <w:sz w:val="32"/>
      <w:szCs w:val="24"/>
    </w:rPr>
  </w:style>
  <w:style w:type="paragraph" w:styleId="5">
    <w:name w:val="Body Text First Indent"/>
    <w:basedOn w:val="4"/>
    <w:next w:val="1"/>
    <w:qFormat/>
    <w:uiPriority w:val="99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line="620" w:lineRule="exact"/>
      <w:ind w:firstLine="640" w:firstLineChars="200"/>
    </w:pPr>
    <w:rPr>
      <w:rFonts w:ascii="仿宋_GB2312" w:hAnsi="仿宋" w:eastAsia="仿宋_GB2312"/>
      <w:sz w:val="32"/>
      <w:szCs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6"/>
    <w:qFormat/>
    <w:uiPriority w:val="0"/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eastAsia="楷体_GB2312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1579</Words>
  <Characters>1629</Characters>
  <Lines>0</Lines>
  <Paragraphs>0</Paragraphs>
  <TotalTime>9</TotalTime>
  <ScaleCrop>false</ScaleCrop>
  <LinksUpToDate>false</LinksUpToDate>
  <CharactersWithSpaces>1632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2023-07-18T11:25:00Z</dcterms:created>
  <dc:creator>阿克先生</dc:creator>
  <cp:lastModifiedBy>霈然Hawk</cp:lastModifiedBy>
  <dcterms:modified xsi:type="dcterms:W3CDTF">2024-11-04T01:23:13Z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0FF9CD2FBFD74B26A2A5CEDAF32D6866_11</vt:lpwstr>
  </property>
</Properties>
</file>