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6"/>
          <w:szCs w:val="36"/>
          <w:shd w:val="clear" w:fill="FFFFFF"/>
        </w:rPr>
        <w:t>恒风集团201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6"/>
          <w:szCs w:val="36"/>
          <w:shd w:val="clear" w:fill="FFFFFF"/>
        </w:rPr>
        <w:t>年度政府信息公开工作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6"/>
          <w:szCs w:val="36"/>
          <w:shd w:val="clear" w:fill="FFFFFF"/>
          <w:lang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2018年，在市委市政府的正确领导下，恒风集团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和《2018年义乌市政务公开工作要点》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坚持以公开为常态，不公开为例外，不断加强政府信息公开工作的组织领导，大力推进政府信息公开工作，强化公开平台建设，拓宽公开范围，全力推进本单位政府信息公开工作扎实有序开展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2018年工作情况及明年工作打算汇报如下：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重视政府信息公开工作。截至201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年底，政府信息公开咨询、申请以及答复工作顺利开展。在办公室配备1名工作人员，负责政府信息公开的日常工作。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二、主动公开政府信息情况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为了能够更好地贯彻《条例》以及《义乌市政府信息公开指南和目录编制规范（试行）》，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在政府信息公开工作中努力做到以下几点：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组织工作人员认真学习《条例》以及相关文件和要点，不断提高对推行信息公开重要意义的认识，充分认识到信息公开工作与人民群众的联系日益紧密，进一步突出在新形势下政府信息公开的重要性。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明确推行政府信息公开工作的时限，按照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保密工作的要求，公开政府信息。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三、主动回应社会关切的情况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，恒风集团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主动回应公众关注热点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四、依申请公开政府信息和不予公开政府信息情况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，恒风集团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共受理政府信息公开申请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起，当面申请0起、传真申请0起、电子邮件申请0起、网上申请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起、信函申请0起、其它形式申请为0起。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五、政府信息公开收费及减免情况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信息公开未收费。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六、政府信息公开复议、诉讼情况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未发生行政复议案件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行政复议处理机关确认违法和有瑕疵的案件以及针对本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有关政府信息公开事务的行政诉讼案件。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2018年集团无相关政策解读。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恒风集团认真落实《</w:t>
      </w:r>
      <w:r>
        <w:rPr>
          <w:rFonts w:hint="eastAsia" w:ascii="仿宋_GB2312" w:eastAsia="仿宋_GB2312"/>
          <w:spacing w:val="-6"/>
          <w:sz w:val="32"/>
          <w:szCs w:val="32"/>
        </w:rPr>
        <w:t>国务院办公厅关于印发政府网站发展指引的通知》（国办发〔2017〕47号）、《浙江省人民政府办公厅关于进一步加强政府网站管理的通知》（浙政办发〔2017〕115号），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不断提高网站管理服务水平，</w:t>
      </w:r>
      <w:r>
        <w:rPr>
          <w:rFonts w:hint="eastAsia" w:ascii="仿宋_GB2312" w:eastAsia="仿宋_GB2312"/>
          <w:spacing w:val="-6"/>
          <w:sz w:val="32"/>
          <w:szCs w:val="32"/>
        </w:rPr>
        <w:t>丰富信息资源，强化信息搜索、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公交线路查询</w:t>
      </w:r>
      <w:r>
        <w:rPr>
          <w:rFonts w:hint="eastAsia" w:ascii="仿宋_GB2312" w:eastAsia="仿宋_GB2312"/>
          <w:spacing w:val="-6"/>
          <w:sz w:val="32"/>
          <w:szCs w:val="32"/>
        </w:rPr>
        <w:t>等功能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。进一步落实主体责任，严格内容审查把关，认真做好信息发布和办事服务工作，进一步增强公开实效，提升服务水平。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集团努力建立健全政府信息公开监督保障体系，做好防攻击、防篡改、防病毒等工作，并积极上报网络安全工作报告表和政府信息公开情况季度统计表，确保政府信息公开工作有效实施。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十、工作完成情况及成效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条，其中通过市政府恒风集团信息公开专栏和恒风集团门户网站公开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条，通过恒风集团新浪官方微博、微信公众平台共公开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百姓</w:t>
      </w:r>
      <w:r>
        <w:rPr>
          <w:rFonts w:hint="eastAsia" w:ascii="仿宋_GB2312" w:hAnsi="仿宋_GB2312" w:eastAsia="仿宋_GB2312" w:cs="仿宋_GB2312"/>
          <w:sz w:val="32"/>
          <w:szCs w:val="32"/>
        </w:rPr>
        <w:t>、推动我市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方面发挥了重要的作用，取得了明显的成效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经过探索与实践，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年度政府信息公开工作取得了一定成绩，也存在一些问题，主要是信息公开及时性有待进一步加强，内容有待进一步完善。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十二、明年工作打算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的政府信息公开工作与别的部门相比还有一定差距。今后，我们将认真贯彻《条例》，进一步规范和加强政府信息公开工作，为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助推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我市实现“办公自动化、信息网络化、资源集成化、业务流程化、决策智能化”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1.统一认识。进一步梳理政务信息，及时提供，定期维护，确保政府信息公开工作能按照既定的工作流程有效运作，公众能够方便查询。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提高群众的认知度和认可度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尤其在主动公开信息上力争做到及时、准确公布各项信息，方便群众了解工作动态；主动学习机关部门在政府信息公开工作中的先进经验，结合我公司实际情况，不断提高工作水平。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3.规范流程。按照信息内容审核机制，严格落实信息报送流程，确保信息报送的及时性、可读性和准确性，统一思想认识，提高各部门、分（子）公司信息员报送信息工作效率，进一步加强信息工作。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4.渠道整合。不断整合信息公开渠道，加强在义乌市国资委、中国义乌网等其他市级层面的信息渠道上的信息公开工作，扩大公司信息覆盖面，进一步拓展信息工作。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本统计截至201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浙江恒风集团有限公司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2018年度政府信息公开情况统计表</w:t>
      </w:r>
    </w:p>
    <w:p>
      <w:pPr>
        <w:widowControl/>
        <w:spacing w:line="100" w:lineRule="exact"/>
        <w:ind w:firstLine="480" w:firstLineChars="200"/>
        <w:jc w:val="left"/>
        <w:rPr>
          <w:rFonts w:hint="eastAsia" w:ascii="方正仿宋_GBK" w:hAnsi="宋体" w:eastAsia="方正仿宋_GBK" w:cs="方正仿宋_GBK"/>
          <w:kern w:val="0"/>
          <w:sz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方正仿宋_GBK" w:hAnsi="宋体" w:eastAsia="方正仿宋_GBK"/>
          <w:kern w:val="0"/>
          <w:sz w:val="24"/>
        </w:rPr>
      </w:pPr>
      <w:r>
        <w:rPr>
          <w:rFonts w:hint="eastAsia" w:ascii="方正仿宋_GBK" w:hAnsi="宋体" w:eastAsia="方正仿宋_GBK" w:cs="方正仿宋_GBK"/>
          <w:kern w:val="0"/>
          <w:sz w:val="24"/>
        </w:rPr>
        <w:t xml:space="preserve">填报单位（盖章）：  </w:t>
      </w:r>
      <w:r>
        <w:rPr>
          <w:rFonts w:hint="eastAsia" w:ascii="方正仿宋_GBK" w:hAnsi="宋体" w:eastAsia="方正仿宋_GBK" w:cs="方正仿宋_GBK"/>
          <w:kern w:val="0"/>
          <w:sz w:val="24"/>
          <w:lang w:eastAsia="zh-CN"/>
        </w:rPr>
        <w:t>浙江恒风集团有限公司</w:t>
      </w:r>
      <w:r>
        <w:rPr>
          <w:rFonts w:hint="eastAsia" w:ascii="方正仿宋_GBK" w:hAnsi="宋体" w:eastAsia="方正仿宋_GBK" w:cs="方正仿宋_GBK"/>
          <w:kern w:val="0"/>
          <w:sz w:val="24"/>
        </w:rPr>
        <w:t xml:space="preserve">                                       </w:t>
      </w:r>
    </w:p>
    <w:tbl>
      <w:tblPr>
        <w:tblStyle w:val="3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8"/>
        <w:gridCol w:w="80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（一）主动公开政府信息数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（不同渠道和方式公开相同信息计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（一）回应公众关注热点或重大舆情数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（不同方式回应同一热点或舆情计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其中：主要负责同志参加新闻发布会次数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篇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（一）收到申请数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（二）申请办结数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按时办结数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延期办结数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（三）申请答复数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3.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4.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其中：涉及国家秘密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涉及商业秘密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涉及个人隐私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危及国家安全、公共安全、经济安全和社会稳定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不是《条例》所指政府信息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　　　　法律法规规定的其他情形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5.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6.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7.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告知作出更改补充数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　　　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8.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（一）维持具体行政行为数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（一）政府信息公开工作专门机构数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（二）设置政府信息公开查阅点数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（三）从事政府信息公开工作人员数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      1.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      2.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方正仿宋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（二）举办各类培训班数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45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　　（三）接受培训人员数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人次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jc w:val="left"/>
        <w:rPr>
          <w:rFonts w:ascii="方正仿宋_GBK" w:hAnsi="宋体" w:eastAsia="方正仿宋_GBK"/>
          <w:kern w:val="0"/>
          <w:sz w:val="20"/>
          <w:szCs w:val="20"/>
        </w:rPr>
      </w:pPr>
    </w:p>
    <w:p>
      <w:pPr>
        <w:rPr>
          <w:rFonts w:hint="eastAsia" w:eastAsia="方正仿宋_GBK"/>
          <w:lang w:val="en-US" w:eastAsia="zh-CN"/>
        </w:rPr>
      </w:pP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联系电话：</w:t>
      </w:r>
      <w:r>
        <w:rPr>
          <w:rFonts w:hint="eastAsia" w:ascii="方正仿宋_GBK" w:hAnsi="宋体" w:eastAsia="方正仿宋_GBK" w:cs="方正仿宋_GBK"/>
          <w:color w:val="000000"/>
          <w:kern w:val="0"/>
          <w:sz w:val="20"/>
          <w:szCs w:val="20"/>
          <w:lang w:val="en-US" w:eastAsia="zh-CN"/>
        </w:rPr>
        <w:t>0579-85234251</w:t>
      </w:r>
      <w:r>
        <w:rPr>
          <w:rFonts w:hint="eastAsia" w:ascii="方正仿宋_GBK" w:hAnsi="宋体" w:eastAsia="方正仿宋_GBK" w:cs="方正仿宋_GBK"/>
          <w:kern w:val="0"/>
          <w:sz w:val="24"/>
        </w:rPr>
        <w:t>　　　　　　　　　　　</w:t>
      </w:r>
      <w:r>
        <w:rPr>
          <w:rFonts w:ascii="方正仿宋_GBK" w:hAnsi="宋体" w:eastAsia="方正仿宋_GBK" w:cs="方正仿宋_GBK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20"/>
          <w:szCs w:val="20"/>
        </w:rPr>
        <w:t>填报日期：</w:t>
      </w:r>
      <w:r>
        <w:rPr>
          <w:rFonts w:hint="eastAsia" w:ascii="方正仿宋_GBK" w:hAnsi="宋体" w:eastAsia="方正仿宋_GBK" w:cs="方正仿宋_GBK"/>
          <w:kern w:val="0"/>
          <w:sz w:val="24"/>
          <w:lang w:val="en-US" w:eastAsia="zh-CN"/>
        </w:rPr>
        <w:t>2018年12月29日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EF898"/>
    <w:multiLevelType w:val="singleLevel"/>
    <w:tmpl w:val="D37EF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A617F2"/>
    <w:multiLevelType w:val="singleLevel"/>
    <w:tmpl w:val="13A61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FkYmU0NDRmYTVkNGJhYTZkNzIzYTc0NmEzOWQifQ=="/>
  </w:docVars>
  <w:rsids>
    <w:rsidRoot w:val="1A6C417F"/>
    <w:rsid w:val="03F63926"/>
    <w:rsid w:val="1A6C417F"/>
    <w:rsid w:val="34C07C98"/>
    <w:rsid w:val="370848FE"/>
    <w:rsid w:val="445D4D4B"/>
    <w:rsid w:val="5B9A7EFD"/>
    <w:rsid w:val="5C706D60"/>
    <w:rsid w:val="613D195B"/>
    <w:rsid w:val="7FC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2629</Words>
  <Characters>2745</Characters>
  <Lines>0</Lines>
  <Paragraphs>0</Paragraphs>
  <TotalTime>0</TotalTime>
  <ScaleCrop>false</ScaleCrop>
  <LinksUpToDate>false</LinksUpToDate>
  <CharactersWithSpaces>3094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2018-12-19T09:38:00Z</dcterms:created>
  <dc:creator>匿名用户</dc:creator>
  <cp:lastModifiedBy>龚秀娟</cp:lastModifiedBy>
  <cp:lastPrinted>2018-12-20T00:44:00Z</cp:lastPrinted>
  <dcterms:modified xsi:type="dcterms:W3CDTF">2023-05-12T07:24:27Z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72B67F55F60B477F946227C008C6D7AF_12</vt:lpwstr>
  </property>
</Properties>
</file>