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黑体" w:hAnsi="仿宋" w:eastAsia="黑体" w:cs="黑体"/>
          <w:spacing w:val="-6"/>
          <w:sz w:val="32"/>
          <w:szCs w:val="32"/>
        </w:rPr>
      </w:pPr>
      <w:bookmarkStart w:id="2" w:name="_GoBack"/>
      <w:bookmarkEnd w:id="2"/>
      <w:r>
        <w:rPr>
          <w:rFonts w:hint="eastAsia" w:ascii="黑体" w:hAnsi="仿宋" w:eastAsia="黑体" w:cs="黑体"/>
          <w:spacing w:val="-6"/>
          <w:sz w:val="32"/>
          <w:szCs w:val="32"/>
        </w:rPr>
        <w:t>附件</w:t>
      </w:r>
    </w:p>
    <w:p>
      <w:pPr>
        <w:spacing w:line="580" w:lineRule="exact"/>
        <w:jc w:val="left"/>
        <w:rPr>
          <w:rFonts w:ascii="黑体" w:hAnsi="仿宋" w:eastAsia="黑体" w:cs="黑体"/>
          <w:spacing w:val="-6"/>
          <w:sz w:val="32"/>
          <w:szCs w:val="32"/>
        </w:rPr>
      </w:pPr>
    </w:p>
    <w:p>
      <w:pPr>
        <w:spacing w:line="580" w:lineRule="exact"/>
        <w:jc w:val="center"/>
        <w:rPr>
          <w:rFonts w:ascii="方正小标宋简体" w:hAnsi="黑体" w:eastAsia="方正小标宋简体" w:cs="方正小标宋简体"/>
          <w:sz w:val="44"/>
          <w:szCs w:val="44"/>
        </w:rPr>
      </w:pPr>
      <w:r>
        <w:rPr>
          <w:rFonts w:hint="eastAsia" w:ascii="方正小标宋简体" w:hAnsi="黑体" w:eastAsia="方正小标宋简体" w:cs="方正小标宋简体"/>
          <w:sz w:val="44"/>
          <w:szCs w:val="44"/>
        </w:rPr>
        <w:t>秦塘区块旧城区改建项目</w:t>
      </w:r>
      <w:r>
        <w:rPr>
          <w:rFonts w:hint="eastAsia" w:ascii="方正小标宋简体" w:hAnsi="黑体" w:eastAsia="方正小标宋简体" w:cs="方正小标宋简体"/>
          <w:sz w:val="44"/>
          <w:szCs w:val="44"/>
        </w:rPr>
        <w:br w:type="textWrapping"/>
      </w:r>
      <w:r>
        <w:rPr>
          <w:rFonts w:hint="eastAsia" w:ascii="方正小标宋简体" w:hAnsi="黑体" w:eastAsia="方正小标宋简体" w:cs="方正小标宋简体"/>
          <w:sz w:val="44"/>
          <w:szCs w:val="44"/>
        </w:rPr>
        <w:t>国有土地上房屋征收补偿方案</w:t>
      </w:r>
    </w:p>
    <w:p>
      <w:pPr>
        <w:spacing w:line="580" w:lineRule="exact"/>
        <w:ind w:firstLine="616" w:firstLineChars="200"/>
        <w:rPr>
          <w:rFonts w:ascii="FangSong_GB2312" w:hAnsi="仿宋" w:eastAsia="FangSong_GB2312" w:cs="FangSong_GB2312"/>
          <w:spacing w:val="-6"/>
          <w:sz w:val="32"/>
          <w:szCs w:val="32"/>
        </w:rPr>
      </w:pPr>
    </w:p>
    <w:p>
      <w:pPr>
        <w:spacing w:line="590" w:lineRule="exact"/>
        <w:ind w:firstLine="616" w:firstLineChars="200"/>
        <w:rPr>
          <w:rFonts w:ascii="FangSong_GB2312" w:hAnsi="仿宋" w:eastAsia="FangSong_GB2312" w:cs="Times New Roman"/>
          <w:spacing w:val="-6"/>
          <w:sz w:val="32"/>
          <w:szCs w:val="32"/>
        </w:rPr>
      </w:pPr>
      <w:r>
        <w:rPr>
          <w:rFonts w:hint="eastAsia" w:ascii="FangSong_GB2312" w:hAnsi="仿宋" w:eastAsia="FangSong_GB2312" w:cs="FangSong_GB2312"/>
          <w:spacing w:val="-6"/>
          <w:sz w:val="32"/>
          <w:szCs w:val="32"/>
        </w:rPr>
        <w:t>根据国务院《国有土地上房屋征收与补偿条例》、《浙江省国有土地上房屋征收与补偿条例》和《义乌市国有土地上房屋征收与补偿办法》的相关规定，结合征收范围的实际情况，现制定秦塘区块旧城区改建项目国有土地上房屋征收补偿方案如下：</w:t>
      </w:r>
    </w:p>
    <w:p>
      <w:pPr>
        <w:spacing w:line="590" w:lineRule="exact"/>
        <w:ind w:firstLine="616" w:firstLineChars="200"/>
        <w:rPr>
          <w:rFonts w:ascii="黑体" w:hAnsi="仿宋" w:eastAsia="黑体" w:cs="Times New Roman"/>
          <w:spacing w:val="-6"/>
          <w:sz w:val="32"/>
          <w:szCs w:val="32"/>
        </w:rPr>
      </w:pPr>
      <w:r>
        <w:rPr>
          <w:rFonts w:hint="eastAsia" w:ascii="黑体" w:hAnsi="仿宋" w:eastAsia="黑体" w:cs="黑体"/>
          <w:spacing w:val="-6"/>
          <w:sz w:val="32"/>
          <w:szCs w:val="32"/>
        </w:rPr>
        <w:t>一、征收目的</w:t>
      </w:r>
    </w:p>
    <w:p>
      <w:pPr>
        <w:spacing w:line="590" w:lineRule="exact"/>
        <w:ind w:firstLine="616" w:firstLineChars="200"/>
        <w:rPr>
          <w:rFonts w:ascii="FangSong_GB2312" w:hAnsi="仿宋" w:eastAsia="FangSong_GB2312" w:cs="Times New Roman"/>
          <w:spacing w:val="-6"/>
          <w:sz w:val="32"/>
          <w:szCs w:val="32"/>
        </w:rPr>
      </w:pPr>
      <w:r>
        <w:rPr>
          <w:rFonts w:hint="eastAsia" w:ascii="FangSong_GB2312" w:hAnsi="仿宋" w:eastAsia="FangSong_GB2312" w:cs="FangSong_GB2312"/>
          <w:spacing w:val="-6"/>
          <w:sz w:val="32"/>
          <w:szCs w:val="32"/>
        </w:rPr>
        <w:t>为改善市民居住条件，推进城市有机更新，市人民政府决定对秦塘区块实施旧城区改建，对征收范围内的房屋予以征收，属公共利益范畴。</w:t>
      </w:r>
    </w:p>
    <w:p>
      <w:pPr>
        <w:spacing w:line="590" w:lineRule="exact"/>
        <w:ind w:firstLine="616" w:firstLineChars="200"/>
        <w:rPr>
          <w:rFonts w:ascii="黑体" w:hAnsi="仿宋" w:eastAsia="黑体" w:cs="Times New Roman"/>
          <w:spacing w:val="-6"/>
          <w:sz w:val="32"/>
          <w:szCs w:val="32"/>
        </w:rPr>
      </w:pPr>
      <w:r>
        <w:rPr>
          <w:rFonts w:hint="eastAsia" w:ascii="黑体" w:hAnsi="仿宋" w:eastAsia="黑体" w:cs="黑体"/>
          <w:spacing w:val="-6"/>
          <w:sz w:val="32"/>
          <w:szCs w:val="32"/>
        </w:rPr>
        <w:t>二、征收范围和基本情况</w:t>
      </w:r>
    </w:p>
    <w:p>
      <w:pPr>
        <w:spacing w:line="590" w:lineRule="exact"/>
        <w:ind w:firstLine="592"/>
        <w:rPr>
          <w:rFonts w:ascii="FangSong_GB2312" w:eastAsia="FangSong_GB2312" w:cs="FangSong_GB2312"/>
          <w:spacing w:val="-6"/>
          <w:sz w:val="32"/>
          <w:szCs w:val="32"/>
        </w:rPr>
      </w:pPr>
      <w:r>
        <w:rPr>
          <w:rFonts w:hint="eastAsia" w:ascii="楷体_GB2312" w:hAnsi="仿宋" w:eastAsia="楷体_GB2312" w:cs="楷体_GB2312"/>
          <w:spacing w:val="-6"/>
          <w:sz w:val="32"/>
          <w:szCs w:val="32"/>
        </w:rPr>
        <w:t>（一）征收范围：</w:t>
      </w:r>
      <w:r>
        <w:rPr>
          <w:rFonts w:hint="eastAsia" w:ascii="FangSong_GB2312" w:eastAsia="FangSong_GB2312"/>
          <w:sz w:val="32"/>
          <w:szCs w:val="32"/>
        </w:rPr>
        <w:t>东至工人北路，南至宾王路，西至国贸大道，北至宗泽路（详见征收范围图）</w:t>
      </w:r>
      <w:r>
        <w:rPr>
          <w:rFonts w:hint="eastAsia" w:ascii="FangSong_GB2312" w:eastAsia="FangSong_GB2312" w:cs="FangSong_GB2312"/>
          <w:spacing w:val="-6"/>
          <w:sz w:val="32"/>
          <w:szCs w:val="32"/>
        </w:rPr>
        <w:t>。</w:t>
      </w:r>
    </w:p>
    <w:p>
      <w:pPr>
        <w:ind w:right="-92" w:rightChars="-44" w:firstLine="540"/>
        <w:jc w:val="left"/>
        <w:rPr>
          <w:rFonts w:ascii="FangSong_GB2312" w:eastAsia="FangSong_GB2312" w:cs="FangSong_GB2312"/>
          <w:spacing w:val="-6"/>
          <w:sz w:val="32"/>
          <w:szCs w:val="32"/>
        </w:rPr>
      </w:pPr>
      <w:r>
        <w:rPr>
          <w:rFonts w:hint="eastAsia" w:ascii="楷体_GB2312" w:hAnsi="仿宋" w:eastAsia="楷体_GB2312" w:cs="楷体_GB2312"/>
          <w:spacing w:val="-6"/>
          <w:sz w:val="32"/>
          <w:szCs w:val="32"/>
        </w:rPr>
        <w:t>（二）被征收区块</w:t>
      </w:r>
      <w:r>
        <w:rPr>
          <w:rFonts w:hint="eastAsia" w:ascii="FangSong_GB2312" w:hAnsi="仿宋" w:eastAsia="FangSong_GB2312" w:cs="FangSong_GB2312"/>
          <w:spacing w:val="-6"/>
          <w:sz w:val="32"/>
          <w:szCs w:val="32"/>
        </w:rPr>
        <w:t>基本</w:t>
      </w:r>
      <w:r>
        <w:rPr>
          <w:rFonts w:hint="eastAsia" w:ascii="楷体_GB2312" w:hAnsi="仿宋" w:eastAsia="楷体_GB2312" w:cs="楷体_GB2312"/>
          <w:spacing w:val="-6"/>
          <w:sz w:val="32"/>
          <w:szCs w:val="32"/>
        </w:rPr>
        <w:t>情况：</w:t>
      </w:r>
      <w:r>
        <w:rPr>
          <w:rFonts w:hint="eastAsia" w:ascii="FangSong_GB2312" w:eastAsia="FangSong_GB2312" w:cs="FangSong_GB2312"/>
          <w:spacing w:val="-6"/>
          <w:sz w:val="32"/>
          <w:szCs w:val="32"/>
        </w:rPr>
        <w:t>红线范围面积约26万平方米，被征收房屋总建筑面积约15万平方米，涉及户数约696户。</w:t>
      </w:r>
    </w:p>
    <w:p>
      <w:pPr>
        <w:spacing w:line="590" w:lineRule="exact"/>
        <w:ind w:firstLine="616" w:firstLineChars="200"/>
        <w:rPr>
          <w:rFonts w:ascii="FangSong_GB2312" w:hAnsi="仿宋" w:eastAsia="FangSong_GB2312" w:cs="Times New Roman"/>
          <w:spacing w:val="-6"/>
          <w:sz w:val="32"/>
          <w:szCs w:val="32"/>
        </w:rPr>
      </w:pPr>
      <w:r>
        <w:rPr>
          <w:rFonts w:hint="eastAsia" w:ascii="楷体_GB2312" w:hAnsi="仿宋" w:eastAsia="楷体_GB2312" w:cs="楷体_GB2312"/>
          <w:spacing w:val="-6"/>
          <w:sz w:val="32"/>
          <w:szCs w:val="32"/>
        </w:rPr>
        <w:t>（三）被征收人：</w:t>
      </w:r>
      <w:r>
        <w:rPr>
          <w:rFonts w:hint="eastAsia" w:ascii="FangSong_GB2312" w:hAnsi="仿宋" w:eastAsia="FangSong_GB2312" w:cs="FangSong_GB2312"/>
          <w:spacing w:val="-6"/>
          <w:sz w:val="32"/>
          <w:szCs w:val="32"/>
        </w:rPr>
        <w:t>征收范围内国有土地上房屋所有权人。</w:t>
      </w:r>
    </w:p>
    <w:p>
      <w:pPr>
        <w:spacing w:line="590" w:lineRule="exact"/>
        <w:ind w:firstLine="616" w:firstLineChars="200"/>
        <w:rPr>
          <w:rFonts w:ascii="FangSong_GB2312" w:hAnsi="仿宋" w:eastAsia="FangSong_GB2312" w:cs="Times New Roman"/>
          <w:spacing w:val="-6"/>
          <w:sz w:val="32"/>
          <w:szCs w:val="32"/>
        </w:rPr>
      </w:pPr>
      <w:r>
        <w:rPr>
          <w:rFonts w:hint="eastAsia" w:ascii="楷体_GB2312" w:hAnsi="仿宋" w:eastAsia="楷体_GB2312" w:cs="楷体_GB2312"/>
          <w:spacing w:val="-6"/>
          <w:sz w:val="32"/>
          <w:szCs w:val="32"/>
        </w:rPr>
        <w:t>（四）房屋征收部门：</w:t>
      </w:r>
      <w:r>
        <w:rPr>
          <w:rFonts w:hint="eastAsia" w:ascii="FangSong_GB2312" w:hAnsi="仿宋" w:eastAsia="FangSong_GB2312" w:cs="FangSong_GB2312"/>
          <w:spacing w:val="-6"/>
          <w:sz w:val="32"/>
          <w:szCs w:val="32"/>
        </w:rPr>
        <w:t>义乌市国有土地上房屋征收中心</w:t>
      </w:r>
      <w:r>
        <w:rPr>
          <w:rFonts w:hint="eastAsia" w:ascii="FangSong_GB2312" w:hAnsi="仿宋" w:eastAsia="FangSong_GB2312" w:cs="Times New Roman"/>
          <w:spacing w:val="-6"/>
          <w:sz w:val="32"/>
          <w:szCs w:val="32"/>
        </w:rPr>
        <w:t>。</w:t>
      </w:r>
    </w:p>
    <w:p>
      <w:pPr>
        <w:spacing w:line="590" w:lineRule="exact"/>
        <w:ind w:firstLine="616" w:firstLineChars="200"/>
        <w:rPr>
          <w:rFonts w:ascii="FangSong_GB2312" w:hAnsi="仿宋" w:eastAsia="FangSong_GB2312" w:cs="Times New Roman"/>
          <w:spacing w:val="-6"/>
          <w:sz w:val="32"/>
          <w:szCs w:val="32"/>
        </w:rPr>
      </w:pPr>
      <w:r>
        <w:rPr>
          <w:rFonts w:hint="eastAsia" w:ascii="楷体_GB2312" w:hAnsi="仿宋" w:eastAsia="楷体_GB2312" w:cs="楷体_GB2312"/>
          <w:spacing w:val="-6"/>
          <w:sz w:val="32"/>
          <w:szCs w:val="32"/>
        </w:rPr>
        <w:t>（五）受委托的房屋征收实施单位：</w:t>
      </w:r>
      <w:r>
        <w:rPr>
          <w:rFonts w:hint="eastAsia" w:ascii="FangSong_GB2312" w:hAnsi="仿宋" w:eastAsia="FangSong_GB2312" w:cs="FangSong_GB2312"/>
          <w:spacing w:val="-6"/>
          <w:sz w:val="32"/>
          <w:szCs w:val="32"/>
        </w:rPr>
        <w:t>义乌市人民政府稠城街道办事处。</w:t>
      </w:r>
    </w:p>
    <w:p>
      <w:pPr>
        <w:spacing w:line="590" w:lineRule="exact"/>
        <w:ind w:firstLine="616" w:firstLineChars="200"/>
        <w:rPr>
          <w:rFonts w:ascii="黑体" w:hAnsi="仿宋" w:eastAsia="黑体" w:cs="Times New Roman"/>
          <w:spacing w:val="-6"/>
          <w:sz w:val="32"/>
          <w:szCs w:val="32"/>
        </w:rPr>
      </w:pPr>
      <w:r>
        <w:rPr>
          <w:rFonts w:hint="eastAsia" w:ascii="黑体" w:hAnsi="仿宋" w:eastAsia="黑体" w:cs="黑体"/>
          <w:spacing w:val="-6"/>
          <w:sz w:val="32"/>
          <w:szCs w:val="32"/>
        </w:rPr>
        <w:t>三、被征收人的确认</w:t>
      </w:r>
    </w:p>
    <w:p>
      <w:pPr>
        <w:spacing w:line="590" w:lineRule="exact"/>
        <w:ind w:firstLine="616" w:firstLineChars="200"/>
        <w:rPr>
          <w:rFonts w:ascii="FangSong_GB2312" w:hAnsi="仿宋" w:eastAsia="FangSong_GB2312" w:cs="Times New Roman"/>
          <w:spacing w:val="-6"/>
          <w:sz w:val="32"/>
          <w:szCs w:val="32"/>
        </w:rPr>
      </w:pPr>
      <w:r>
        <w:rPr>
          <w:rFonts w:hint="eastAsia" w:ascii="楷体_GB2312" w:hAnsi="仿宋" w:eastAsia="楷体_GB2312" w:cs="楷体_GB2312"/>
          <w:spacing w:val="-6"/>
          <w:sz w:val="32"/>
          <w:szCs w:val="32"/>
        </w:rPr>
        <w:t>（一）</w:t>
      </w:r>
      <w:r>
        <w:rPr>
          <w:rFonts w:hint="eastAsia" w:ascii="FangSong_GB2312" w:hAnsi="仿宋" w:eastAsia="FangSong_GB2312" w:cs="FangSong_GB2312"/>
          <w:spacing w:val="-6"/>
          <w:sz w:val="32"/>
          <w:szCs w:val="32"/>
        </w:rPr>
        <w:t>被征收房屋已登记的，按权属证书或登记簿记载的所有权人确认（权属证书与登记簿记载不一致的，原则上以登记簿记载为准）。</w:t>
      </w:r>
    </w:p>
    <w:p>
      <w:pPr>
        <w:spacing w:line="590" w:lineRule="exact"/>
        <w:ind w:firstLine="616" w:firstLineChars="200"/>
        <w:rPr>
          <w:rFonts w:ascii="FangSong_GB2312" w:hAnsi="仿宋" w:eastAsia="FangSong_GB2312" w:cs="Times New Roman"/>
          <w:spacing w:val="-10"/>
          <w:sz w:val="32"/>
          <w:szCs w:val="32"/>
        </w:rPr>
      </w:pPr>
      <w:r>
        <w:rPr>
          <w:rFonts w:hint="eastAsia" w:ascii="楷体_GB2312" w:hAnsi="仿宋" w:eastAsia="楷体_GB2312" w:cs="楷体_GB2312"/>
          <w:spacing w:val="-6"/>
          <w:sz w:val="32"/>
          <w:szCs w:val="32"/>
        </w:rPr>
        <w:t>（二）</w:t>
      </w:r>
      <w:r>
        <w:rPr>
          <w:rFonts w:hint="eastAsia" w:ascii="FangSong_GB2312" w:hAnsi="仿宋" w:eastAsia="FangSong_GB2312" w:cs="FangSong_GB2312"/>
          <w:spacing w:val="-10"/>
          <w:sz w:val="32"/>
          <w:szCs w:val="32"/>
        </w:rPr>
        <w:t>有人民法院判决、裁定，或者仲裁机构裁决的，按人民法院生效判决、裁定，或者仲裁机构裁决的房屋所有权人确认。</w:t>
      </w:r>
    </w:p>
    <w:p>
      <w:pPr>
        <w:spacing w:line="590" w:lineRule="exact"/>
        <w:ind w:firstLine="616" w:firstLineChars="200"/>
        <w:rPr>
          <w:rFonts w:ascii="FangSong_GB2312" w:hAnsi="仿宋" w:eastAsia="FangSong_GB2312" w:cs="Times New Roman"/>
          <w:spacing w:val="-6"/>
          <w:sz w:val="32"/>
          <w:szCs w:val="32"/>
        </w:rPr>
      </w:pPr>
      <w:r>
        <w:rPr>
          <w:rFonts w:hint="eastAsia" w:ascii="楷体_GB2312" w:hAnsi="仿宋" w:eastAsia="楷体_GB2312" w:cs="楷体_GB2312"/>
          <w:spacing w:val="-6"/>
          <w:sz w:val="32"/>
          <w:szCs w:val="32"/>
        </w:rPr>
        <w:t>（三）</w:t>
      </w:r>
      <w:r>
        <w:rPr>
          <w:rFonts w:hint="eastAsia" w:ascii="FangSong_GB2312" w:hAnsi="仿宋" w:eastAsia="FangSong_GB2312" w:cs="FangSong_GB2312"/>
          <w:spacing w:val="-6"/>
          <w:sz w:val="32"/>
          <w:szCs w:val="32"/>
        </w:rPr>
        <w:t>原房屋所有权人死亡，且公证部门出具过继承公证文书的，按公证部门出具的继承公证文书确认。</w:t>
      </w:r>
    </w:p>
    <w:p>
      <w:pPr>
        <w:spacing w:line="590" w:lineRule="exact"/>
        <w:ind w:firstLine="616" w:firstLineChars="200"/>
        <w:rPr>
          <w:rFonts w:ascii="FangSong_GB2312" w:hAnsi="仿宋" w:eastAsia="FangSong_GB2312" w:cs="Times New Roman"/>
          <w:spacing w:val="-6"/>
          <w:sz w:val="32"/>
          <w:szCs w:val="32"/>
        </w:rPr>
      </w:pPr>
      <w:r>
        <w:rPr>
          <w:rFonts w:hint="eastAsia" w:ascii="楷体_GB2312" w:hAnsi="仿宋" w:eastAsia="楷体_GB2312" w:cs="楷体_GB2312"/>
          <w:spacing w:val="-6"/>
          <w:sz w:val="32"/>
          <w:szCs w:val="32"/>
        </w:rPr>
        <w:t>（四）</w:t>
      </w:r>
      <w:r>
        <w:rPr>
          <w:rFonts w:hint="eastAsia" w:ascii="FangSong_GB2312" w:hAnsi="仿宋" w:eastAsia="FangSong_GB2312" w:cs="FangSong_GB2312"/>
          <w:spacing w:val="-6"/>
          <w:sz w:val="32"/>
          <w:szCs w:val="32"/>
        </w:rPr>
        <w:t>其他产权人不明确的，由房屋征收部门会同相关部门认定。</w:t>
      </w:r>
    </w:p>
    <w:p>
      <w:pPr>
        <w:spacing w:line="590" w:lineRule="exact"/>
        <w:ind w:firstLine="616" w:firstLineChars="200"/>
        <w:rPr>
          <w:rFonts w:ascii="黑体" w:hAnsi="仿宋" w:eastAsia="黑体" w:cs="Times New Roman"/>
          <w:spacing w:val="-6"/>
          <w:sz w:val="32"/>
          <w:szCs w:val="32"/>
        </w:rPr>
      </w:pPr>
      <w:r>
        <w:rPr>
          <w:rFonts w:hint="eastAsia" w:ascii="黑体" w:hAnsi="仿宋" w:eastAsia="黑体" w:cs="黑体"/>
          <w:spacing w:val="-6"/>
          <w:sz w:val="32"/>
          <w:szCs w:val="32"/>
        </w:rPr>
        <w:t>四、被征收房屋面积及用途认定</w:t>
      </w:r>
    </w:p>
    <w:p>
      <w:pPr>
        <w:spacing w:line="590" w:lineRule="exact"/>
        <w:ind w:firstLine="616" w:firstLineChars="200"/>
        <w:rPr>
          <w:rFonts w:ascii="FangSong_GB2312" w:hAnsi="仿宋" w:eastAsia="FangSong_GB2312" w:cs="Times New Roman"/>
          <w:spacing w:val="-6"/>
          <w:sz w:val="32"/>
          <w:szCs w:val="32"/>
        </w:rPr>
      </w:pPr>
      <w:r>
        <w:rPr>
          <w:rFonts w:hint="eastAsia" w:ascii="楷体_GB2312" w:hAnsi="仿宋" w:eastAsia="楷体_GB2312" w:cs="楷体_GB2312"/>
          <w:spacing w:val="-6"/>
          <w:sz w:val="32"/>
          <w:szCs w:val="32"/>
        </w:rPr>
        <w:t>（一）</w:t>
      </w:r>
      <w:r>
        <w:rPr>
          <w:rFonts w:hint="eastAsia" w:ascii="FangSong_GB2312" w:hAnsi="仿宋" w:eastAsia="FangSong_GB2312" w:cs="FangSong_GB2312"/>
          <w:spacing w:val="-6"/>
          <w:sz w:val="32"/>
          <w:szCs w:val="32"/>
        </w:rPr>
        <w:t>被征收房屋的建筑面积和用途原则上按权属证书或登记簿记载的为准（权属证书与登记簿记载不一致的，原则上以登记簿记载为准）。</w:t>
      </w:r>
    </w:p>
    <w:p>
      <w:pPr>
        <w:spacing w:line="590" w:lineRule="exact"/>
        <w:ind w:firstLine="616" w:firstLineChars="200"/>
        <w:rPr>
          <w:rFonts w:ascii="FangSong_GB2312" w:hAnsi="仿宋" w:eastAsia="FangSong_GB2312" w:cs="Times New Roman"/>
          <w:spacing w:val="-6"/>
          <w:sz w:val="32"/>
          <w:szCs w:val="32"/>
        </w:rPr>
      </w:pPr>
      <w:r>
        <w:rPr>
          <w:rFonts w:hint="eastAsia" w:ascii="楷体_GB2312" w:hAnsi="仿宋" w:eastAsia="楷体_GB2312" w:cs="楷体_GB2312"/>
          <w:spacing w:val="-6"/>
          <w:sz w:val="32"/>
          <w:szCs w:val="32"/>
        </w:rPr>
        <w:t>（二）</w:t>
      </w:r>
      <w:r>
        <w:rPr>
          <w:rFonts w:hint="eastAsia" w:ascii="FangSong_GB2312" w:hAnsi="仿宋" w:eastAsia="FangSong_GB2312" w:cs="FangSong_GB2312"/>
          <w:spacing w:val="-6"/>
          <w:sz w:val="32"/>
          <w:szCs w:val="32"/>
        </w:rPr>
        <w:t>征收范围内未经产权登记、用途不清或改变用途等房屋的认定和处理，按《义乌市国有土地上房屋征收与补偿办法》（义政发〔</w:t>
      </w:r>
      <w:r>
        <w:rPr>
          <w:rFonts w:ascii="FangSong_GB2312" w:hAnsi="仿宋" w:eastAsia="FangSong_GB2312" w:cs="FangSong_GB2312"/>
          <w:spacing w:val="-6"/>
          <w:sz w:val="32"/>
          <w:szCs w:val="32"/>
        </w:rPr>
        <w:t>2016</w:t>
      </w:r>
      <w:r>
        <w:rPr>
          <w:rFonts w:hint="eastAsia" w:ascii="FangSong_GB2312" w:hAnsi="仿宋" w:eastAsia="FangSong_GB2312" w:cs="FangSong_GB2312"/>
          <w:spacing w:val="-6"/>
          <w:sz w:val="32"/>
          <w:szCs w:val="32"/>
        </w:rPr>
        <w:t>〕</w:t>
      </w:r>
      <w:r>
        <w:rPr>
          <w:rFonts w:ascii="FangSong_GB2312" w:hAnsi="仿宋" w:eastAsia="FangSong_GB2312" w:cs="FangSong_GB2312"/>
          <w:spacing w:val="-6"/>
          <w:sz w:val="32"/>
          <w:szCs w:val="32"/>
        </w:rPr>
        <w:t>27</w:t>
      </w:r>
      <w:r>
        <w:rPr>
          <w:rFonts w:hint="eastAsia" w:ascii="FangSong_GB2312" w:hAnsi="仿宋" w:eastAsia="FangSong_GB2312" w:cs="FangSong_GB2312"/>
          <w:spacing w:val="-6"/>
          <w:sz w:val="32"/>
          <w:szCs w:val="32"/>
        </w:rPr>
        <w:t>号）的相关规定执行。具体认定程序如下：</w:t>
      </w:r>
    </w:p>
    <w:p>
      <w:pPr>
        <w:spacing w:line="590" w:lineRule="exact"/>
        <w:ind w:firstLine="616" w:firstLineChars="200"/>
        <w:rPr>
          <w:rFonts w:ascii="FangSong_GB2312" w:hAnsi="仿宋" w:eastAsia="FangSong_GB2312" w:cs="Times New Roman"/>
          <w:spacing w:val="-6"/>
          <w:sz w:val="32"/>
          <w:szCs w:val="32"/>
        </w:rPr>
      </w:pPr>
      <w:r>
        <w:rPr>
          <w:rFonts w:ascii="FangSong_GB2312" w:hAnsi="仿宋" w:eastAsia="FangSong_GB2312" w:cs="FangSong_GB2312"/>
          <w:spacing w:val="-6"/>
          <w:sz w:val="32"/>
          <w:szCs w:val="32"/>
        </w:rPr>
        <w:t>1.</w:t>
      </w:r>
      <w:r>
        <w:rPr>
          <w:rFonts w:hint="eastAsia" w:ascii="FangSong_GB2312" w:hAnsi="仿宋" w:eastAsia="FangSong_GB2312" w:cs="FangSong_GB2312"/>
          <w:spacing w:val="-6"/>
          <w:sz w:val="32"/>
          <w:szCs w:val="32"/>
        </w:rPr>
        <w:t>被征收人填写《申请认定处理表》，并提供房地权属</w:t>
      </w:r>
      <w:r>
        <w:rPr>
          <w:rFonts w:hint="eastAsia" w:ascii="FangSong_GB2312" w:eastAsia="FangSong_GB2312" w:cs="FangSong_GB2312"/>
          <w:spacing w:val="-6"/>
          <w:sz w:val="32"/>
          <w:szCs w:val="32"/>
        </w:rPr>
        <w:t>来源依据</w:t>
      </w:r>
      <w:r>
        <w:rPr>
          <w:rFonts w:hint="eastAsia" w:ascii="FangSong_GB2312" w:hAnsi="仿宋" w:eastAsia="FangSong_GB2312" w:cs="FangSong_GB2312"/>
          <w:spacing w:val="-6"/>
          <w:sz w:val="32"/>
          <w:szCs w:val="32"/>
        </w:rPr>
        <w:t>、产权变动、房屋使用、户籍资料、</w:t>
      </w:r>
      <w:r>
        <w:rPr>
          <w:rFonts w:hint="eastAsia" w:ascii="FangSong_GB2312" w:eastAsia="FangSong_GB2312" w:cs="FangSong_GB2312"/>
          <w:spacing w:val="-6"/>
          <w:sz w:val="32"/>
          <w:szCs w:val="32"/>
        </w:rPr>
        <w:t>权籍调查成果、</w:t>
      </w:r>
      <w:r>
        <w:rPr>
          <w:rFonts w:hint="eastAsia" w:ascii="FangSong_GB2312" w:hAnsi="仿宋" w:eastAsia="FangSong_GB2312" w:cs="FangSong_GB2312"/>
          <w:spacing w:val="-6"/>
          <w:sz w:val="32"/>
          <w:szCs w:val="32"/>
        </w:rPr>
        <w:t>影像图片和工商营业执照等相关证明材料。</w:t>
      </w:r>
    </w:p>
    <w:p>
      <w:pPr>
        <w:spacing w:line="590" w:lineRule="exact"/>
        <w:ind w:firstLine="616" w:firstLineChars="200"/>
        <w:rPr>
          <w:rFonts w:ascii="FangSong_GB2312" w:hAnsi="仿宋" w:eastAsia="FangSong_GB2312" w:cs="Times New Roman"/>
          <w:spacing w:val="-6"/>
          <w:sz w:val="32"/>
          <w:szCs w:val="32"/>
        </w:rPr>
      </w:pPr>
      <w:r>
        <w:rPr>
          <w:rFonts w:ascii="FangSong_GB2312" w:hAnsi="仿宋" w:eastAsia="FangSong_GB2312" w:cs="FangSong_GB2312"/>
          <w:spacing w:val="-6"/>
          <w:sz w:val="32"/>
          <w:szCs w:val="32"/>
        </w:rPr>
        <w:t>2.</w:t>
      </w:r>
      <w:r>
        <w:rPr>
          <w:rFonts w:hint="eastAsia" w:ascii="FangSong_GB2312" w:hAnsi="仿宋" w:eastAsia="FangSong_GB2312" w:cs="FangSong_GB2312"/>
          <w:spacing w:val="-6"/>
          <w:sz w:val="32"/>
          <w:szCs w:val="32"/>
        </w:rPr>
        <w:t>房屋征收部门根据相关材料，组织现场调查、勘验。</w:t>
      </w:r>
    </w:p>
    <w:p>
      <w:pPr>
        <w:spacing w:line="590" w:lineRule="exact"/>
        <w:ind w:firstLine="616" w:firstLineChars="200"/>
        <w:rPr>
          <w:rFonts w:ascii="FangSong_GB2312" w:eastAsia="FangSong_GB2312" w:cs="Times New Roman"/>
          <w:spacing w:val="-6"/>
          <w:sz w:val="32"/>
          <w:szCs w:val="32"/>
        </w:rPr>
      </w:pPr>
      <w:r>
        <w:rPr>
          <w:rFonts w:ascii="FangSong_GB2312" w:eastAsia="FangSong_GB2312" w:cs="FangSong_GB2312"/>
          <w:spacing w:val="-6"/>
          <w:sz w:val="32"/>
          <w:szCs w:val="32"/>
        </w:rPr>
        <w:t>3.</w:t>
      </w:r>
      <w:r>
        <w:rPr>
          <w:rFonts w:hint="eastAsia" w:ascii="FangSong_GB2312" w:hAnsi="仿宋" w:eastAsia="FangSong_GB2312" w:cs="FangSong_GB2312"/>
          <w:spacing w:val="-6"/>
          <w:sz w:val="32"/>
          <w:szCs w:val="32"/>
        </w:rPr>
        <w:t>市政府组织相关部门</w:t>
      </w:r>
      <w:r>
        <w:rPr>
          <w:rFonts w:hint="eastAsia" w:ascii="FangSong_GB2312" w:eastAsia="FangSong_GB2312" w:cs="FangSong_GB2312"/>
          <w:spacing w:val="-6"/>
          <w:sz w:val="32"/>
          <w:szCs w:val="32"/>
        </w:rPr>
        <w:t>进行</w:t>
      </w:r>
      <w:r>
        <w:rPr>
          <w:rFonts w:hint="eastAsia" w:ascii="FangSong_GB2312" w:hAnsi="仿宋" w:eastAsia="FangSong_GB2312" w:cs="FangSong_GB2312"/>
          <w:spacing w:val="-6"/>
          <w:sz w:val="32"/>
          <w:szCs w:val="32"/>
        </w:rPr>
        <w:t>认定。</w:t>
      </w:r>
    </w:p>
    <w:p>
      <w:pPr>
        <w:spacing w:line="590" w:lineRule="exact"/>
        <w:ind w:firstLine="616" w:firstLineChars="200"/>
        <w:rPr>
          <w:rFonts w:ascii="FangSong_GB2312" w:hAnsi="仿宋" w:eastAsia="FangSong_GB2312" w:cs="Times New Roman"/>
          <w:spacing w:val="-6"/>
          <w:sz w:val="32"/>
          <w:szCs w:val="32"/>
        </w:rPr>
      </w:pPr>
      <w:r>
        <w:rPr>
          <w:rFonts w:ascii="FangSong_GB2312" w:hAnsi="仿宋" w:eastAsia="FangSong_GB2312" w:cs="FangSong_GB2312"/>
          <w:spacing w:val="-6"/>
          <w:sz w:val="32"/>
          <w:szCs w:val="32"/>
        </w:rPr>
        <w:t>4.</w:t>
      </w:r>
      <w:r>
        <w:rPr>
          <w:rFonts w:hint="eastAsia" w:ascii="FangSong_GB2312" w:hAnsi="仿宋" w:eastAsia="FangSong_GB2312" w:cs="FangSong_GB2312"/>
          <w:spacing w:val="-6"/>
          <w:sz w:val="32"/>
          <w:szCs w:val="32"/>
        </w:rPr>
        <w:t>房屋征收部门将认定结果在征收范围内进行公示。被征收人对认定结果有异议的，应当提供相关证明材料并填写《复核认定申请表》，在</w:t>
      </w:r>
      <w:r>
        <w:rPr>
          <w:rFonts w:ascii="FangSong_GB2312" w:hAnsi="仿宋" w:eastAsia="FangSong_GB2312" w:cs="FangSong_GB2312"/>
          <w:spacing w:val="-6"/>
          <w:sz w:val="32"/>
          <w:szCs w:val="32"/>
        </w:rPr>
        <w:t>10</w:t>
      </w:r>
      <w:r>
        <w:rPr>
          <w:rFonts w:hint="eastAsia" w:ascii="FangSong_GB2312" w:hAnsi="仿宋" w:eastAsia="FangSong_GB2312" w:cs="FangSong_GB2312"/>
          <w:spacing w:val="-6"/>
          <w:sz w:val="32"/>
          <w:szCs w:val="32"/>
        </w:rPr>
        <w:t>日内向房屋征收部门提出复核申请。</w:t>
      </w:r>
    </w:p>
    <w:p>
      <w:pPr>
        <w:spacing w:line="590" w:lineRule="exact"/>
        <w:ind w:firstLine="616" w:firstLineChars="200"/>
        <w:rPr>
          <w:rFonts w:ascii="FangSong_GB2312" w:hAnsi="仿宋" w:eastAsia="FangSong_GB2312" w:cs="Times New Roman"/>
          <w:spacing w:val="-6"/>
          <w:sz w:val="32"/>
          <w:szCs w:val="32"/>
        </w:rPr>
      </w:pPr>
      <w:r>
        <w:rPr>
          <w:rFonts w:hint="eastAsia" w:ascii="楷体_GB2312" w:hAnsi="仿宋" w:eastAsia="楷体_GB2312" w:cs="楷体_GB2312"/>
          <w:spacing w:val="-6"/>
          <w:sz w:val="32"/>
          <w:szCs w:val="32"/>
        </w:rPr>
        <w:t>（三）</w:t>
      </w:r>
      <w:r>
        <w:rPr>
          <w:rFonts w:hint="eastAsia" w:ascii="FangSong_GB2312" w:hAnsi="仿宋" w:eastAsia="FangSong_GB2312" w:cs="FangSong_GB2312"/>
          <w:spacing w:val="-6"/>
          <w:sz w:val="32"/>
          <w:szCs w:val="32"/>
        </w:rPr>
        <w:t>对认定为合法建筑的给予补偿；对认定为违法建筑的不予补偿。</w:t>
      </w:r>
    </w:p>
    <w:p>
      <w:pPr>
        <w:spacing w:line="590" w:lineRule="exact"/>
        <w:ind w:firstLine="616" w:firstLineChars="200"/>
        <w:rPr>
          <w:rFonts w:ascii="黑体" w:hAnsi="仿宋" w:eastAsia="黑体" w:cs="Times New Roman"/>
          <w:spacing w:val="-6"/>
          <w:sz w:val="32"/>
          <w:szCs w:val="32"/>
        </w:rPr>
      </w:pPr>
      <w:r>
        <w:rPr>
          <w:rFonts w:hint="eastAsia" w:ascii="黑体" w:hAnsi="仿宋" w:eastAsia="黑体" w:cs="黑体"/>
          <w:spacing w:val="-6"/>
          <w:sz w:val="32"/>
          <w:szCs w:val="32"/>
        </w:rPr>
        <w:t>五、房屋评估</w:t>
      </w:r>
    </w:p>
    <w:p>
      <w:pPr>
        <w:spacing w:line="590" w:lineRule="exact"/>
        <w:ind w:firstLine="616" w:firstLineChars="200"/>
        <w:rPr>
          <w:rFonts w:ascii="FangSong_GB2312" w:hAnsi="仿宋" w:eastAsia="FangSong_GB2312" w:cs="Times New Roman"/>
          <w:spacing w:val="-6"/>
          <w:sz w:val="32"/>
          <w:szCs w:val="32"/>
        </w:rPr>
      </w:pPr>
      <w:r>
        <w:rPr>
          <w:rFonts w:hint="eastAsia" w:ascii="楷体_GB2312" w:hAnsi="仿宋" w:eastAsia="楷体_GB2312" w:cs="楷体_GB2312"/>
          <w:spacing w:val="-6"/>
          <w:sz w:val="32"/>
          <w:szCs w:val="32"/>
        </w:rPr>
        <w:t>（一）评估时点：</w:t>
      </w:r>
      <w:r>
        <w:rPr>
          <w:rFonts w:hint="eastAsia" w:ascii="FangSong_GB2312" w:hAnsi="仿宋" w:eastAsia="FangSong_GB2312" w:cs="FangSong_GB2312"/>
          <w:spacing w:val="-6"/>
          <w:sz w:val="32"/>
          <w:szCs w:val="32"/>
        </w:rPr>
        <w:t>被征收房屋价值评估时点为房屋征收决定公告之日。用于产权调换的房屋价值评估时点与被征收房屋价值评估时点一致。</w:t>
      </w:r>
    </w:p>
    <w:p>
      <w:pPr>
        <w:spacing w:line="590" w:lineRule="exact"/>
        <w:ind w:firstLine="616" w:firstLineChars="200"/>
        <w:rPr>
          <w:rFonts w:ascii="FangSong_GB2312" w:hAnsi="仿宋" w:eastAsia="FangSong_GB2312" w:cs="Times New Roman"/>
          <w:spacing w:val="-6"/>
          <w:sz w:val="32"/>
          <w:szCs w:val="32"/>
        </w:rPr>
      </w:pPr>
      <w:r>
        <w:rPr>
          <w:rFonts w:hint="eastAsia" w:ascii="楷体_GB2312" w:hAnsi="仿宋" w:eastAsia="楷体_GB2312" w:cs="楷体_GB2312"/>
          <w:spacing w:val="-6"/>
          <w:sz w:val="32"/>
          <w:szCs w:val="32"/>
        </w:rPr>
        <w:t>（二）评估方法：</w:t>
      </w:r>
      <w:r>
        <w:rPr>
          <w:rFonts w:hint="eastAsia" w:ascii="FangSong_GB2312" w:hAnsi="仿宋" w:eastAsia="FangSong_GB2312" w:cs="FangSong_GB2312"/>
          <w:spacing w:val="-6"/>
          <w:sz w:val="32"/>
          <w:szCs w:val="32"/>
        </w:rPr>
        <w:t>根据评估对象和本地房地产市场状况，采用比较法、收益法、成本法等评估方法，结合被征收房屋的具体区位、用途、权利性质、品质、建筑结构、新旧程度、层次、朝向、建筑面积等影响房屋价值的因素，评估被征收房屋和用于产权调换房屋的价值。</w:t>
      </w:r>
    </w:p>
    <w:p>
      <w:pPr>
        <w:spacing w:line="590" w:lineRule="exact"/>
        <w:ind w:firstLine="616" w:firstLineChars="200"/>
        <w:rPr>
          <w:rFonts w:ascii="FangSong_GB2312" w:hAnsi="仿宋" w:eastAsia="FangSong_GB2312" w:cs="Times New Roman"/>
          <w:spacing w:val="-6"/>
          <w:sz w:val="32"/>
          <w:szCs w:val="32"/>
        </w:rPr>
      </w:pPr>
      <w:r>
        <w:rPr>
          <w:rFonts w:hint="eastAsia" w:ascii="楷体_GB2312" w:hAnsi="仿宋" w:eastAsia="楷体_GB2312" w:cs="楷体_GB2312"/>
          <w:spacing w:val="-6"/>
          <w:sz w:val="32"/>
          <w:szCs w:val="32"/>
        </w:rPr>
        <w:t>（三）评估机构选定：</w:t>
      </w:r>
      <w:r>
        <w:rPr>
          <w:rFonts w:hint="eastAsia" w:ascii="FangSong_GB2312" w:hAnsi="仿宋" w:eastAsia="FangSong_GB2312" w:cs="FangSong_GB2312"/>
          <w:spacing w:val="-6"/>
          <w:sz w:val="32"/>
          <w:szCs w:val="32"/>
        </w:rPr>
        <w:t>房地产价格评估机构由被征收人协商选定。房屋征收决定公告后</w:t>
      </w:r>
      <w:r>
        <w:rPr>
          <w:rFonts w:ascii="FangSong_GB2312" w:hAnsi="仿宋" w:eastAsia="FangSong_GB2312" w:cs="FangSong_GB2312"/>
          <w:spacing w:val="-6"/>
          <w:sz w:val="32"/>
          <w:szCs w:val="32"/>
        </w:rPr>
        <w:t>10</w:t>
      </w:r>
      <w:r>
        <w:rPr>
          <w:rFonts w:hint="eastAsia" w:ascii="FangSong_GB2312" w:hAnsi="仿宋" w:eastAsia="FangSong_GB2312" w:cs="FangSong_GB2312"/>
          <w:spacing w:val="-6"/>
          <w:sz w:val="32"/>
          <w:szCs w:val="32"/>
        </w:rPr>
        <w:t>日内仍不能协商选定的，由房屋征收部门组织被征收人按照“少数服从多数”的原则投票确定，或者采取摇号、抽签等方式随机确定。</w:t>
      </w:r>
    </w:p>
    <w:p>
      <w:pPr>
        <w:spacing w:line="590" w:lineRule="exact"/>
        <w:ind w:firstLine="616" w:firstLineChars="200"/>
        <w:rPr>
          <w:rFonts w:ascii="FangSong_GB2312" w:hAnsi="仿宋" w:eastAsia="FangSong_GB2312" w:cs="Times New Roman"/>
          <w:spacing w:val="-10"/>
          <w:sz w:val="32"/>
          <w:szCs w:val="32"/>
        </w:rPr>
      </w:pPr>
      <w:r>
        <w:rPr>
          <w:rFonts w:hint="eastAsia" w:ascii="楷体_GB2312" w:hAnsi="仿宋" w:eastAsia="楷体_GB2312" w:cs="楷体_GB2312"/>
          <w:spacing w:val="-6"/>
          <w:sz w:val="32"/>
          <w:szCs w:val="32"/>
        </w:rPr>
        <w:t>（四）房屋评估价格：</w:t>
      </w:r>
      <w:r>
        <w:rPr>
          <w:rFonts w:hint="eastAsia" w:ascii="FangSong_GB2312" w:hAnsi="仿宋" w:eastAsia="FangSong_GB2312" w:cs="FangSong_GB2312"/>
          <w:spacing w:val="-6"/>
          <w:sz w:val="32"/>
          <w:szCs w:val="32"/>
        </w:rPr>
        <w:t>被征收房屋和产权调换房屋的实际价格由被征收人选定的评估机构以房屋征收决定公告之日为评估时点进行评估确定。</w:t>
      </w:r>
    </w:p>
    <w:p>
      <w:pPr>
        <w:spacing w:line="590" w:lineRule="exact"/>
        <w:ind w:firstLine="616" w:firstLineChars="200"/>
        <w:rPr>
          <w:rFonts w:ascii="FangSong_GB2312" w:hAnsi="仿宋" w:eastAsia="FangSong_GB2312" w:cs="Times New Roman"/>
          <w:spacing w:val="-6"/>
          <w:sz w:val="32"/>
          <w:szCs w:val="32"/>
        </w:rPr>
      </w:pPr>
      <w:r>
        <w:rPr>
          <w:rFonts w:hint="eastAsia" w:ascii="楷体_GB2312" w:hAnsi="仿宋" w:eastAsia="楷体_GB2312" w:cs="楷体_GB2312"/>
          <w:spacing w:val="-6"/>
          <w:sz w:val="32"/>
          <w:szCs w:val="32"/>
        </w:rPr>
        <w:t>（五）评估异议处理：</w:t>
      </w:r>
      <w:r>
        <w:rPr>
          <w:rFonts w:hint="eastAsia" w:ascii="FangSong_GB2312" w:hAnsi="仿宋" w:eastAsia="FangSong_GB2312" w:cs="FangSong_GB2312"/>
          <w:spacing w:val="-6"/>
          <w:sz w:val="32"/>
          <w:szCs w:val="32"/>
        </w:rPr>
        <w:t>被征收人或者房屋征收部门对评估结果有异议的，应当自收到评估报告之日起</w:t>
      </w:r>
      <w:r>
        <w:rPr>
          <w:rFonts w:ascii="FangSong_GB2312" w:hAnsi="仿宋" w:eastAsia="FangSong_GB2312" w:cs="FangSong_GB2312"/>
          <w:spacing w:val="-6"/>
          <w:sz w:val="32"/>
          <w:szCs w:val="32"/>
        </w:rPr>
        <w:t>10</w:t>
      </w:r>
      <w:r>
        <w:rPr>
          <w:rFonts w:hint="eastAsia" w:ascii="FangSong_GB2312" w:hAnsi="仿宋" w:eastAsia="FangSong_GB2312" w:cs="FangSong_GB2312"/>
          <w:spacing w:val="-6"/>
          <w:sz w:val="32"/>
          <w:szCs w:val="32"/>
        </w:rPr>
        <w:t>日内，向原房地产价格评估机构申请复核评估。被征收人或者房屋征收部门对原房地产价格评估机构的复核结果有异议的，应自收到复核结果之日起</w:t>
      </w:r>
      <w:r>
        <w:rPr>
          <w:rFonts w:ascii="FangSong_GB2312" w:hAnsi="仿宋" w:eastAsia="FangSong_GB2312" w:cs="FangSong_GB2312"/>
          <w:spacing w:val="-6"/>
          <w:sz w:val="32"/>
          <w:szCs w:val="32"/>
        </w:rPr>
        <w:t>10</w:t>
      </w:r>
      <w:r>
        <w:rPr>
          <w:rFonts w:hint="eastAsia" w:ascii="FangSong_GB2312" w:hAnsi="仿宋" w:eastAsia="FangSong_GB2312" w:cs="FangSong_GB2312"/>
          <w:spacing w:val="-6"/>
          <w:sz w:val="32"/>
          <w:szCs w:val="32"/>
        </w:rPr>
        <w:t>日内，向金华市国有土地上房屋征收评估专家委员会申请鉴定。</w:t>
      </w:r>
    </w:p>
    <w:p>
      <w:pPr>
        <w:spacing w:line="590" w:lineRule="exact"/>
        <w:ind w:firstLine="600" w:firstLineChars="200"/>
        <w:rPr>
          <w:rFonts w:ascii="FangSong_GB2312" w:hAnsi="仿宋" w:eastAsia="FangSong_GB2312" w:cs="FangSong_GB2312"/>
          <w:spacing w:val="-6"/>
          <w:sz w:val="32"/>
          <w:szCs w:val="32"/>
        </w:rPr>
      </w:pPr>
      <w:r>
        <w:rPr>
          <w:rFonts w:hint="eastAsia" w:ascii="楷体_GB2312" w:hAnsi="仿宋" w:eastAsia="楷体_GB2312" w:cs="楷体_GB2312"/>
          <w:spacing w:val="-10"/>
          <w:sz w:val="32"/>
          <w:szCs w:val="32"/>
        </w:rPr>
        <w:t>（六）</w:t>
      </w:r>
      <w:r>
        <w:rPr>
          <w:rFonts w:hint="eastAsia" w:ascii="FangSong_GB2312" w:hAnsi="仿宋" w:eastAsia="FangSong_GB2312" w:cs="FangSong_GB2312"/>
          <w:spacing w:val="-6"/>
          <w:sz w:val="32"/>
          <w:szCs w:val="32"/>
        </w:rPr>
        <w:t>暂由有资质的房地产价格评估机构以2019年11月30日为预评估时点，预测被征收房地产（不含车库、车位、储藏间等附属建筑）和产权调换房屋（不含车库或车位）的评估标准价（详见附件）。</w:t>
      </w:r>
    </w:p>
    <w:p>
      <w:pPr>
        <w:spacing w:line="590" w:lineRule="exact"/>
        <w:ind w:firstLine="616" w:firstLineChars="200"/>
        <w:rPr>
          <w:rFonts w:ascii="黑体" w:hAnsi="仿宋" w:eastAsia="黑体" w:cs="Times New Roman"/>
          <w:spacing w:val="-6"/>
          <w:sz w:val="32"/>
          <w:szCs w:val="32"/>
        </w:rPr>
      </w:pPr>
      <w:r>
        <w:rPr>
          <w:rFonts w:hint="eastAsia" w:ascii="黑体" w:hAnsi="仿宋" w:eastAsia="黑体" w:cs="黑体"/>
          <w:spacing w:val="-6"/>
          <w:sz w:val="32"/>
          <w:szCs w:val="32"/>
        </w:rPr>
        <w:t>六、补偿方式</w:t>
      </w:r>
    </w:p>
    <w:p>
      <w:pPr>
        <w:spacing w:line="590" w:lineRule="exact"/>
        <w:ind w:firstLine="616" w:firstLineChars="200"/>
        <w:rPr>
          <w:rFonts w:ascii="FangSong_GB2312" w:hAnsi="仿宋" w:eastAsia="FangSong_GB2312" w:cs="FangSong_GB2312"/>
          <w:spacing w:val="-6"/>
          <w:sz w:val="32"/>
          <w:szCs w:val="32"/>
        </w:rPr>
      </w:pPr>
      <w:r>
        <w:rPr>
          <w:rFonts w:hint="eastAsia" w:ascii="FangSong_GB2312" w:hAnsi="仿宋" w:eastAsia="FangSong_GB2312" w:cs="FangSong_GB2312"/>
          <w:spacing w:val="-6"/>
          <w:sz w:val="32"/>
          <w:szCs w:val="32"/>
        </w:rPr>
        <w:t>征收</w:t>
      </w:r>
      <w:r>
        <w:rPr>
          <w:rFonts w:hint="eastAsia" w:ascii="FangSong_GB2312" w:hAnsi="仿宋" w:eastAsia="FangSong_GB2312" w:cs="FangSong_GB2312"/>
          <w:b/>
          <w:bCs/>
          <w:spacing w:val="-6"/>
          <w:sz w:val="32"/>
          <w:szCs w:val="32"/>
        </w:rPr>
        <w:t>住宅、商业和办公</w:t>
      </w:r>
      <w:r>
        <w:rPr>
          <w:rFonts w:hint="eastAsia" w:ascii="FangSong_GB2312" w:hAnsi="仿宋" w:eastAsia="FangSong_GB2312" w:cs="FangSong_GB2312"/>
          <w:spacing w:val="-6"/>
          <w:sz w:val="32"/>
          <w:szCs w:val="32"/>
        </w:rPr>
        <w:t>用途的房屋，被征收人可以选择货币补偿，可以选择货币化安置凭证补偿，也可以选择房屋产权调换。</w:t>
      </w:r>
    </w:p>
    <w:p>
      <w:pPr>
        <w:spacing w:line="590" w:lineRule="exact"/>
        <w:ind w:firstLine="616" w:firstLineChars="200"/>
        <w:rPr>
          <w:rFonts w:ascii="FangSong_GB2312" w:hAnsi="仿宋" w:eastAsia="FangSong_GB2312" w:cs="FangSong_GB2312"/>
          <w:spacing w:val="-6"/>
          <w:sz w:val="32"/>
          <w:szCs w:val="32"/>
        </w:rPr>
      </w:pPr>
      <w:r>
        <w:rPr>
          <w:rFonts w:hint="eastAsia" w:ascii="FangSong_GB2312" w:hAnsi="仿宋" w:eastAsia="FangSong_GB2312" w:cs="FangSong_GB2312"/>
          <w:spacing w:val="-6"/>
          <w:sz w:val="32"/>
          <w:szCs w:val="32"/>
        </w:rPr>
        <w:t>征收</w:t>
      </w:r>
      <w:r>
        <w:rPr>
          <w:rFonts w:hint="eastAsia" w:ascii="FangSong_GB2312" w:hAnsi="仿宋" w:eastAsia="FangSong_GB2312" w:cs="FangSong_GB2312"/>
          <w:b/>
          <w:bCs/>
          <w:spacing w:val="-6"/>
          <w:sz w:val="32"/>
          <w:szCs w:val="32"/>
        </w:rPr>
        <w:t>工业</w:t>
      </w:r>
      <w:r>
        <w:rPr>
          <w:rFonts w:hint="eastAsia" w:ascii="FangSong_GB2312" w:hAnsi="仿宋" w:eastAsia="FangSong_GB2312" w:cs="FangSong_GB2312"/>
          <w:spacing w:val="-6"/>
          <w:sz w:val="32"/>
          <w:szCs w:val="32"/>
        </w:rPr>
        <w:t>用地上的房屋，被征收人可以选择货币补偿，也可以选择商铺进行产权调换。</w:t>
      </w:r>
    </w:p>
    <w:p>
      <w:pPr>
        <w:spacing w:line="590" w:lineRule="exact"/>
        <w:ind w:firstLine="616" w:firstLineChars="200"/>
        <w:rPr>
          <w:rFonts w:ascii="FangSong_GB2312" w:hAnsi="仿宋" w:eastAsia="FangSong_GB2312" w:cs="FangSong_GB2312"/>
          <w:spacing w:val="-6"/>
          <w:sz w:val="32"/>
          <w:szCs w:val="32"/>
        </w:rPr>
      </w:pPr>
      <w:r>
        <w:rPr>
          <w:rFonts w:hint="eastAsia" w:ascii="FangSong_GB2312" w:hAnsi="仿宋" w:eastAsia="FangSong_GB2312" w:cs="FangSong_GB2312"/>
          <w:spacing w:val="-6"/>
          <w:sz w:val="32"/>
          <w:szCs w:val="32"/>
        </w:rPr>
        <w:t>被征收人可以单独选择上述一种方式补偿，也可以选择组合方式补偿，即将被征收房屋总价值拆分，分别选择不同方式补偿。被征收人选择组合方式补偿的，补偿和补助按相应的补偿方式分别计算。被征收人选择含产权调换的组合方式补偿的，其被征收房屋总价值应当优先用于产权调换。</w:t>
      </w:r>
    </w:p>
    <w:p>
      <w:pPr>
        <w:spacing w:line="590" w:lineRule="exact"/>
        <w:ind w:firstLine="616" w:firstLineChars="200"/>
        <w:rPr>
          <w:rFonts w:ascii="黑体" w:hAnsi="仿宋" w:eastAsia="黑体" w:cs="黑体"/>
          <w:spacing w:val="-6"/>
          <w:sz w:val="32"/>
          <w:szCs w:val="32"/>
        </w:rPr>
      </w:pPr>
      <w:r>
        <w:rPr>
          <w:rFonts w:hint="eastAsia" w:ascii="黑体" w:hAnsi="仿宋" w:eastAsia="黑体" w:cs="黑体"/>
          <w:spacing w:val="-6"/>
          <w:sz w:val="32"/>
          <w:szCs w:val="32"/>
        </w:rPr>
        <w:t>七、住宅、商业和办公用房的补偿、补助及奖励</w:t>
      </w:r>
    </w:p>
    <w:p>
      <w:pPr>
        <w:spacing w:line="590" w:lineRule="exact"/>
        <w:ind w:firstLine="619" w:firstLineChars="200"/>
        <w:rPr>
          <w:rFonts w:ascii="楷体_GB2312" w:hAnsi="仿宋" w:eastAsia="楷体_GB2312" w:cs="Times New Roman"/>
          <w:b/>
          <w:bCs/>
          <w:spacing w:val="-6"/>
          <w:sz w:val="32"/>
          <w:szCs w:val="32"/>
        </w:rPr>
      </w:pPr>
      <w:r>
        <w:rPr>
          <w:rFonts w:hint="eastAsia" w:ascii="楷体_GB2312" w:hAnsi="仿宋" w:eastAsia="楷体_GB2312" w:cs="楷体_GB2312"/>
          <w:b/>
          <w:bCs/>
          <w:spacing w:val="-6"/>
          <w:sz w:val="32"/>
          <w:szCs w:val="32"/>
        </w:rPr>
        <w:t>（一）补偿</w:t>
      </w:r>
    </w:p>
    <w:p>
      <w:pPr>
        <w:pStyle w:val="4"/>
        <w:spacing w:beforeLines="20" w:beforeAutospacing="0" w:after="0" w:afterAutospacing="0" w:line="590" w:lineRule="exact"/>
        <w:ind w:firstLine="619" w:firstLineChars="200"/>
        <w:rPr>
          <w:rFonts w:ascii="FangSong_GB2312" w:hAnsi="仿宋" w:eastAsia="FangSong_GB2312" w:cs="Times New Roman"/>
          <w:b/>
          <w:bCs/>
          <w:spacing w:val="-6"/>
          <w:sz w:val="32"/>
          <w:szCs w:val="32"/>
        </w:rPr>
      </w:pPr>
      <w:r>
        <w:rPr>
          <w:rFonts w:ascii="FangSong_GB2312" w:hAnsi="仿宋" w:eastAsia="FangSong_GB2312" w:cs="FangSong_GB2312"/>
          <w:b/>
          <w:bCs/>
          <w:spacing w:val="-6"/>
          <w:sz w:val="32"/>
          <w:szCs w:val="32"/>
        </w:rPr>
        <w:t>1.</w:t>
      </w:r>
      <w:r>
        <w:rPr>
          <w:rFonts w:hint="eastAsia" w:ascii="FangSong_GB2312" w:hAnsi="仿宋" w:eastAsia="FangSong_GB2312" w:cs="FangSong_GB2312"/>
          <w:b/>
          <w:bCs/>
          <w:spacing w:val="-6"/>
          <w:sz w:val="32"/>
          <w:szCs w:val="32"/>
        </w:rPr>
        <w:t>房屋总价值补偿</w:t>
      </w:r>
    </w:p>
    <w:p>
      <w:pPr>
        <w:spacing w:line="590" w:lineRule="exact"/>
        <w:ind w:firstLine="616" w:firstLineChars="200"/>
        <w:rPr>
          <w:rFonts w:ascii="FangSong_GB2312" w:hAnsi="仿宋" w:eastAsia="FangSong_GB2312" w:cs="FangSong_GB2312"/>
          <w:spacing w:val="-6"/>
          <w:sz w:val="32"/>
          <w:szCs w:val="32"/>
        </w:rPr>
      </w:pPr>
      <w:r>
        <w:rPr>
          <w:rFonts w:hint="eastAsia" w:ascii="FangSong_GB2312" w:hAnsi="仿宋" w:eastAsia="FangSong_GB2312" w:cs="FangSong_GB2312"/>
          <w:spacing w:val="-6"/>
          <w:sz w:val="32"/>
          <w:szCs w:val="32"/>
        </w:rPr>
        <w:t>按被征收房屋评估总价值给予补偿。</w:t>
      </w:r>
    </w:p>
    <w:p>
      <w:pPr>
        <w:spacing w:line="590" w:lineRule="exact"/>
        <w:ind w:firstLine="616" w:firstLineChars="200"/>
        <w:rPr>
          <w:rFonts w:ascii="FangSong_GB2312" w:hAnsi="仿宋" w:eastAsia="FangSong_GB2312" w:cs="FangSong_GB2312"/>
          <w:spacing w:val="-6"/>
          <w:sz w:val="32"/>
          <w:szCs w:val="32"/>
        </w:rPr>
      </w:pPr>
      <w:r>
        <w:rPr>
          <w:rFonts w:hint="eastAsia" w:ascii="FangSong_GB2312" w:hAnsi="仿宋" w:eastAsia="FangSong_GB2312" w:cs="FangSong_GB2312"/>
          <w:spacing w:val="-6"/>
          <w:sz w:val="32"/>
          <w:szCs w:val="32"/>
        </w:rPr>
        <w:t>被征收房屋评估总价值由评估机构以房屋征收决定公告之日为评估时点按不低于</w:t>
      </w:r>
      <w:r>
        <w:rPr>
          <w:rFonts w:ascii="仿宋" w:hAnsi="仿宋" w:eastAsia="仿宋" w:cs="仿宋"/>
          <w:color w:val="000000"/>
          <w:sz w:val="31"/>
          <w:szCs w:val="31"/>
          <w:shd w:val="clear" w:color="auto" w:fill="FFFFFF"/>
        </w:rPr>
        <w:t>被征收房屋类似房地产的市场价格</w:t>
      </w:r>
      <w:r>
        <w:rPr>
          <w:rFonts w:hint="eastAsia" w:ascii="仿宋" w:hAnsi="仿宋" w:eastAsia="仿宋" w:cs="仿宋"/>
          <w:color w:val="000000"/>
          <w:sz w:val="31"/>
          <w:szCs w:val="31"/>
          <w:shd w:val="clear" w:color="auto" w:fill="FFFFFF"/>
        </w:rPr>
        <w:t>进行</w:t>
      </w:r>
      <w:r>
        <w:rPr>
          <w:rFonts w:hint="eastAsia" w:ascii="FangSong_GB2312" w:hAnsi="仿宋" w:eastAsia="FangSong_GB2312" w:cs="FangSong_GB2312"/>
          <w:spacing w:val="-6"/>
          <w:sz w:val="32"/>
          <w:szCs w:val="32"/>
        </w:rPr>
        <w:t>评估确定，包括房屋价值、装饰装修价值和附属物价值。</w:t>
      </w:r>
    </w:p>
    <w:p>
      <w:pPr>
        <w:spacing w:line="590" w:lineRule="exact"/>
        <w:ind w:firstLine="619" w:firstLineChars="200"/>
        <w:rPr>
          <w:rFonts w:ascii="FangSong_GB2312" w:hAnsi="仿宋" w:eastAsia="FangSong_GB2312" w:cs="Times New Roman"/>
          <w:b/>
          <w:bCs/>
          <w:spacing w:val="-6"/>
          <w:sz w:val="32"/>
          <w:szCs w:val="32"/>
        </w:rPr>
      </w:pPr>
      <w:r>
        <w:rPr>
          <w:rFonts w:ascii="FangSong_GB2312" w:hAnsi="仿宋" w:eastAsia="FangSong_GB2312" w:cs="FangSong_GB2312"/>
          <w:b/>
          <w:bCs/>
          <w:spacing w:val="-6"/>
          <w:sz w:val="32"/>
          <w:szCs w:val="32"/>
        </w:rPr>
        <w:t>2.</w:t>
      </w:r>
      <w:r>
        <w:rPr>
          <w:rFonts w:hint="eastAsia" w:ascii="FangSong_GB2312" w:hAnsi="仿宋" w:eastAsia="FangSong_GB2312" w:cs="FangSong_GB2312"/>
          <w:b/>
          <w:bCs/>
          <w:spacing w:val="-6"/>
          <w:sz w:val="32"/>
          <w:szCs w:val="32"/>
        </w:rPr>
        <w:t>住宅房屋综合补偿</w:t>
      </w:r>
    </w:p>
    <w:p>
      <w:pPr>
        <w:spacing w:line="590" w:lineRule="exact"/>
        <w:ind w:firstLine="616" w:firstLineChars="200"/>
        <w:rPr>
          <w:rFonts w:ascii="FangSong_GB2312" w:hAnsi="仿宋" w:eastAsia="FangSong_GB2312" w:cs="FangSong_GB2312"/>
          <w:spacing w:val="-6"/>
          <w:sz w:val="32"/>
          <w:szCs w:val="32"/>
        </w:rPr>
      </w:pPr>
      <w:r>
        <w:rPr>
          <w:rFonts w:hint="eastAsia" w:ascii="FangSong_GB2312" w:hAnsi="仿宋" w:eastAsia="FangSong_GB2312" w:cs="FangSong_GB2312"/>
          <w:spacing w:val="-6"/>
          <w:sz w:val="32"/>
          <w:szCs w:val="32"/>
        </w:rPr>
        <w:t>（</w:t>
      </w:r>
      <w:r>
        <w:rPr>
          <w:rFonts w:ascii="FangSong_GB2312" w:hAnsi="仿宋" w:eastAsia="FangSong_GB2312" w:cs="FangSong_GB2312"/>
          <w:spacing w:val="-6"/>
          <w:sz w:val="32"/>
          <w:szCs w:val="32"/>
        </w:rPr>
        <w:t>1</w:t>
      </w:r>
      <w:r>
        <w:rPr>
          <w:rFonts w:hint="eastAsia" w:ascii="FangSong_GB2312" w:hAnsi="仿宋" w:eastAsia="FangSong_GB2312" w:cs="FangSong_GB2312"/>
          <w:spacing w:val="-6"/>
          <w:sz w:val="32"/>
          <w:szCs w:val="32"/>
        </w:rPr>
        <w:t>）搬家费</w:t>
      </w:r>
    </w:p>
    <w:p>
      <w:pPr>
        <w:spacing w:line="590" w:lineRule="exact"/>
        <w:ind w:firstLine="616" w:firstLineChars="200"/>
        <w:rPr>
          <w:rFonts w:ascii="FangSong_GB2312" w:hAnsi="仿宋" w:eastAsia="FangSong_GB2312" w:cs="Times New Roman"/>
          <w:spacing w:val="-6"/>
          <w:sz w:val="32"/>
          <w:szCs w:val="32"/>
        </w:rPr>
      </w:pPr>
      <w:r>
        <w:rPr>
          <w:rFonts w:hint="eastAsia" w:ascii="FangSong_GB2312" w:hAnsi="仿宋" w:eastAsia="FangSong_GB2312" w:cs="FangSong_GB2312"/>
          <w:spacing w:val="-6"/>
          <w:sz w:val="32"/>
          <w:szCs w:val="32"/>
        </w:rPr>
        <w:t>被征收房屋建筑面积</w:t>
      </w:r>
      <w:r>
        <w:rPr>
          <w:rFonts w:ascii="FangSong_GB2312" w:hAnsi="仿宋" w:eastAsia="FangSong_GB2312" w:cs="FangSong_GB2312"/>
          <w:spacing w:val="-6"/>
          <w:sz w:val="32"/>
          <w:szCs w:val="32"/>
        </w:rPr>
        <w:t>120</w:t>
      </w:r>
      <w:r>
        <w:rPr>
          <w:rFonts w:hint="eastAsia" w:ascii="FangSong_GB2312" w:hAnsi="仿宋" w:eastAsia="FangSong_GB2312" w:cs="FangSong_GB2312"/>
          <w:spacing w:val="-6"/>
          <w:sz w:val="32"/>
          <w:szCs w:val="32"/>
        </w:rPr>
        <w:t>平方米以下的，按每平方米</w:t>
      </w:r>
      <w:r>
        <w:rPr>
          <w:rFonts w:ascii="FangSong_GB2312" w:hAnsi="仿宋" w:eastAsia="FangSong_GB2312" w:cs="FangSong_GB2312"/>
          <w:spacing w:val="-6"/>
          <w:sz w:val="32"/>
          <w:szCs w:val="32"/>
        </w:rPr>
        <w:t>20</w:t>
      </w:r>
      <w:r>
        <w:rPr>
          <w:rFonts w:hint="eastAsia" w:ascii="FangSong_GB2312" w:hAnsi="仿宋" w:eastAsia="FangSong_GB2312" w:cs="FangSong_GB2312"/>
          <w:spacing w:val="-6"/>
          <w:sz w:val="32"/>
          <w:szCs w:val="32"/>
        </w:rPr>
        <w:t>元计算；超过</w:t>
      </w:r>
      <w:r>
        <w:rPr>
          <w:rFonts w:ascii="FangSong_GB2312" w:hAnsi="仿宋" w:eastAsia="FangSong_GB2312" w:cs="FangSong_GB2312"/>
          <w:spacing w:val="-6"/>
          <w:sz w:val="32"/>
          <w:szCs w:val="32"/>
        </w:rPr>
        <w:t>120</w:t>
      </w:r>
      <w:r>
        <w:rPr>
          <w:rFonts w:hint="eastAsia" w:ascii="FangSong_GB2312" w:hAnsi="仿宋" w:eastAsia="FangSong_GB2312" w:cs="FangSong_GB2312"/>
          <w:spacing w:val="-6"/>
          <w:sz w:val="32"/>
          <w:szCs w:val="32"/>
        </w:rPr>
        <w:t>平方米的，</w:t>
      </w:r>
      <w:r>
        <w:rPr>
          <w:rFonts w:ascii="FangSong_GB2312" w:hAnsi="仿宋" w:eastAsia="FangSong_GB2312" w:cs="FangSong_GB2312"/>
          <w:spacing w:val="-6"/>
          <w:sz w:val="32"/>
          <w:szCs w:val="32"/>
        </w:rPr>
        <w:t>120</w:t>
      </w:r>
      <w:r>
        <w:rPr>
          <w:rFonts w:hint="eastAsia" w:ascii="FangSong_GB2312" w:hAnsi="仿宋" w:eastAsia="FangSong_GB2312" w:cs="FangSong_GB2312"/>
          <w:spacing w:val="-6"/>
          <w:sz w:val="32"/>
          <w:szCs w:val="32"/>
        </w:rPr>
        <w:t>平方米以内按每平方米</w:t>
      </w:r>
      <w:r>
        <w:rPr>
          <w:rFonts w:ascii="FangSong_GB2312" w:hAnsi="仿宋" w:eastAsia="FangSong_GB2312" w:cs="FangSong_GB2312"/>
          <w:spacing w:val="-6"/>
          <w:sz w:val="32"/>
          <w:szCs w:val="32"/>
        </w:rPr>
        <w:t>20</w:t>
      </w:r>
      <w:r>
        <w:rPr>
          <w:rFonts w:hint="eastAsia" w:ascii="FangSong_GB2312" w:hAnsi="仿宋" w:eastAsia="FangSong_GB2312" w:cs="FangSong_GB2312"/>
          <w:spacing w:val="-6"/>
          <w:sz w:val="32"/>
          <w:szCs w:val="32"/>
        </w:rPr>
        <w:t>元计算，超出部分按每平方米</w:t>
      </w:r>
      <w:r>
        <w:rPr>
          <w:rFonts w:ascii="FangSong_GB2312" w:hAnsi="仿宋" w:eastAsia="FangSong_GB2312" w:cs="FangSong_GB2312"/>
          <w:spacing w:val="-6"/>
          <w:sz w:val="32"/>
          <w:szCs w:val="32"/>
        </w:rPr>
        <w:t>5</w:t>
      </w:r>
      <w:r>
        <w:rPr>
          <w:rFonts w:hint="eastAsia" w:ascii="FangSong_GB2312" w:hAnsi="仿宋" w:eastAsia="FangSong_GB2312" w:cs="FangSong_GB2312"/>
          <w:spacing w:val="-6"/>
          <w:sz w:val="32"/>
          <w:szCs w:val="32"/>
        </w:rPr>
        <w:t>元计算；每户不足</w:t>
      </w:r>
      <w:r>
        <w:rPr>
          <w:rFonts w:ascii="FangSong_GB2312" w:hAnsi="仿宋" w:eastAsia="FangSong_GB2312" w:cs="FangSong_GB2312"/>
          <w:spacing w:val="-6"/>
          <w:sz w:val="32"/>
          <w:szCs w:val="32"/>
        </w:rPr>
        <w:t>2000</w:t>
      </w:r>
      <w:r>
        <w:rPr>
          <w:rFonts w:hint="eastAsia" w:ascii="FangSong_GB2312" w:hAnsi="仿宋" w:eastAsia="FangSong_GB2312" w:cs="FangSong_GB2312"/>
          <w:spacing w:val="-6"/>
          <w:sz w:val="32"/>
          <w:szCs w:val="32"/>
        </w:rPr>
        <w:t>元的，按</w:t>
      </w:r>
      <w:r>
        <w:rPr>
          <w:rFonts w:ascii="FangSong_GB2312" w:hAnsi="仿宋" w:eastAsia="FangSong_GB2312" w:cs="FangSong_GB2312"/>
          <w:spacing w:val="-6"/>
          <w:sz w:val="32"/>
          <w:szCs w:val="32"/>
        </w:rPr>
        <w:t>2000</w:t>
      </w:r>
      <w:r>
        <w:rPr>
          <w:rFonts w:hint="eastAsia" w:ascii="FangSong_GB2312" w:hAnsi="仿宋" w:eastAsia="FangSong_GB2312" w:cs="FangSong_GB2312"/>
          <w:spacing w:val="-6"/>
          <w:sz w:val="32"/>
          <w:szCs w:val="32"/>
        </w:rPr>
        <w:t>元补偿。</w:t>
      </w:r>
    </w:p>
    <w:p>
      <w:pPr>
        <w:spacing w:line="590" w:lineRule="exact"/>
        <w:ind w:firstLine="616" w:firstLineChars="200"/>
        <w:rPr>
          <w:rFonts w:ascii="FangSong_GB2312" w:hAnsi="仿宋" w:eastAsia="FangSong_GB2312" w:cs="Times New Roman"/>
          <w:spacing w:val="-6"/>
          <w:sz w:val="32"/>
          <w:szCs w:val="32"/>
        </w:rPr>
      </w:pPr>
      <w:r>
        <w:rPr>
          <w:rFonts w:hint="eastAsia" w:ascii="FangSong_GB2312" w:hAnsi="仿宋" w:eastAsia="FangSong_GB2312" w:cs="FangSong_GB2312"/>
          <w:spacing w:val="-6"/>
          <w:sz w:val="32"/>
          <w:szCs w:val="32"/>
        </w:rPr>
        <w:t>被征收人选择货币或货币化安置凭证补偿的，搬家费按一次计算；选择产权调换的，产权调换部分按两次计算。</w:t>
      </w:r>
    </w:p>
    <w:p>
      <w:pPr>
        <w:pStyle w:val="4"/>
        <w:spacing w:beforeLines="20" w:beforeAutospacing="0" w:after="0" w:afterAutospacing="0" w:line="590" w:lineRule="exact"/>
        <w:ind w:firstLine="616" w:firstLineChars="200"/>
        <w:rPr>
          <w:rFonts w:ascii="FangSong_GB2312" w:hAnsi="仿宋" w:eastAsia="FangSong_GB2312" w:cs="Times New Roman"/>
          <w:spacing w:val="-6"/>
          <w:sz w:val="32"/>
          <w:szCs w:val="32"/>
        </w:rPr>
      </w:pPr>
      <w:r>
        <w:rPr>
          <w:rFonts w:hint="eastAsia" w:ascii="FangSong_GB2312" w:hAnsi="仿宋" w:eastAsia="FangSong_GB2312" w:cs="FangSong_GB2312"/>
          <w:spacing w:val="-6"/>
          <w:sz w:val="32"/>
          <w:szCs w:val="32"/>
        </w:rPr>
        <w:t>（</w:t>
      </w:r>
      <w:r>
        <w:rPr>
          <w:rFonts w:ascii="FangSong_GB2312" w:hAnsi="仿宋" w:eastAsia="FangSong_GB2312" w:cs="FangSong_GB2312"/>
          <w:spacing w:val="-6"/>
          <w:sz w:val="32"/>
          <w:szCs w:val="32"/>
        </w:rPr>
        <w:t>2</w:t>
      </w:r>
      <w:r>
        <w:rPr>
          <w:rFonts w:hint="eastAsia" w:ascii="FangSong_GB2312" w:hAnsi="仿宋" w:eastAsia="FangSong_GB2312" w:cs="FangSong_GB2312"/>
          <w:spacing w:val="-6"/>
          <w:sz w:val="32"/>
          <w:szCs w:val="32"/>
        </w:rPr>
        <w:t>）设备设施移装补偿费</w:t>
      </w:r>
    </w:p>
    <w:p>
      <w:pPr>
        <w:pStyle w:val="4"/>
        <w:spacing w:beforeLines="20" w:beforeAutospacing="0" w:after="0" w:afterAutospacing="0" w:line="590" w:lineRule="exact"/>
        <w:ind w:firstLine="616" w:firstLineChars="200"/>
        <w:rPr>
          <w:rFonts w:ascii="FangSong_GB2312" w:hAnsi="仿宋" w:eastAsia="FangSong_GB2312" w:cs="Times New Roman"/>
          <w:spacing w:val="-6"/>
          <w:sz w:val="32"/>
          <w:szCs w:val="32"/>
        </w:rPr>
      </w:pPr>
      <w:r>
        <w:rPr>
          <w:rFonts w:hint="eastAsia" w:ascii="FangSong_GB2312" w:hAnsi="仿宋" w:eastAsia="FangSong_GB2312" w:cs="FangSong_GB2312"/>
          <w:spacing w:val="-6"/>
          <w:sz w:val="32"/>
          <w:szCs w:val="32"/>
        </w:rPr>
        <w:t>固定电话、宽带、空调、热水器等移装补偿费标准见下表：</w:t>
      </w:r>
    </w:p>
    <w:tbl>
      <w:tblPr>
        <w:tblStyle w:val="5"/>
        <w:tblW w:w="92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4"/>
        <w:gridCol w:w="1699"/>
        <w:gridCol w:w="3154"/>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2794" w:type="dxa"/>
            <w:noWrap/>
            <w:vAlign w:val="center"/>
          </w:tcPr>
          <w:p>
            <w:pPr>
              <w:spacing w:line="590" w:lineRule="exact"/>
              <w:jc w:val="center"/>
              <w:rPr>
                <w:rFonts w:ascii="FangSong_GB2312" w:hAnsi="仿宋" w:eastAsia="FangSong_GB2312" w:cs="Times New Roman"/>
                <w:b/>
                <w:bCs/>
                <w:spacing w:val="-6"/>
                <w:sz w:val="32"/>
                <w:szCs w:val="32"/>
              </w:rPr>
            </w:pPr>
            <w:r>
              <w:rPr>
                <w:rFonts w:hint="eastAsia" w:ascii="FangSong_GB2312" w:hAnsi="仿宋" w:eastAsia="FangSong_GB2312" w:cs="FangSong_GB2312"/>
                <w:b/>
                <w:bCs/>
                <w:spacing w:val="-6"/>
                <w:sz w:val="32"/>
                <w:szCs w:val="32"/>
              </w:rPr>
              <w:t>补偿项目</w:t>
            </w:r>
          </w:p>
        </w:tc>
        <w:tc>
          <w:tcPr>
            <w:tcW w:w="1699" w:type="dxa"/>
            <w:noWrap/>
            <w:vAlign w:val="center"/>
          </w:tcPr>
          <w:p>
            <w:pPr>
              <w:spacing w:line="590" w:lineRule="exact"/>
              <w:jc w:val="center"/>
              <w:rPr>
                <w:rFonts w:ascii="FangSong_GB2312" w:hAnsi="仿宋" w:eastAsia="FangSong_GB2312" w:cs="Times New Roman"/>
                <w:b/>
                <w:bCs/>
                <w:spacing w:val="-6"/>
                <w:sz w:val="32"/>
                <w:szCs w:val="32"/>
              </w:rPr>
            </w:pPr>
            <w:r>
              <w:rPr>
                <w:rFonts w:hint="eastAsia" w:ascii="FangSong_GB2312" w:hAnsi="仿宋" w:eastAsia="FangSong_GB2312" w:cs="FangSong_GB2312"/>
                <w:b/>
                <w:bCs/>
                <w:spacing w:val="-6"/>
                <w:sz w:val="32"/>
                <w:szCs w:val="32"/>
              </w:rPr>
              <w:t>补偿标准</w:t>
            </w:r>
          </w:p>
        </w:tc>
        <w:tc>
          <w:tcPr>
            <w:tcW w:w="3154" w:type="dxa"/>
            <w:noWrap/>
            <w:vAlign w:val="center"/>
          </w:tcPr>
          <w:p>
            <w:pPr>
              <w:spacing w:line="590" w:lineRule="exact"/>
              <w:jc w:val="center"/>
              <w:rPr>
                <w:rFonts w:ascii="FangSong_GB2312" w:hAnsi="仿宋" w:eastAsia="FangSong_GB2312" w:cs="Times New Roman"/>
                <w:b/>
                <w:bCs/>
                <w:spacing w:val="-6"/>
                <w:sz w:val="32"/>
                <w:szCs w:val="32"/>
              </w:rPr>
            </w:pPr>
            <w:r>
              <w:rPr>
                <w:rFonts w:hint="eastAsia" w:ascii="FangSong_GB2312" w:hAnsi="仿宋" w:eastAsia="FangSong_GB2312" w:cs="FangSong_GB2312"/>
                <w:b/>
                <w:bCs/>
                <w:spacing w:val="-6"/>
                <w:sz w:val="32"/>
                <w:szCs w:val="32"/>
              </w:rPr>
              <w:t>补偿项目</w:t>
            </w:r>
          </w:p>
        </w:tc>
        <w:tc>
          <w:tcPr>
            <w:tcW w:w="1625" w:type="dxa"/>
            <w:noWrap/>
            <w:vAlign w:val="center"/>
          </w:tcPr>
          <w:p>
            <w:pPr>
              <w:spacing w:line="590" w:lineRule="exact"/>
              <w:jc w:val="center"/>
              <w:rPr>
                <w:rFonts w:ascii="FangSong_GB2312" w:hAnsi="仿宋" w:eastAsia="FangSong_GB2312" w:cs="Times New Roman"/>
                <w:b/>
                <w:bCs/>
                <w:spacing w:val="-6"/>
                <w:sz w:val="32"/>
                <w:szCs w:val="32"/>
              </w:rPr>
            </w:pPr>
            <w:r>
              <w:rPr>
                <w:rFonts w:hint="eastAsia" w:ascii="FangSong_GB2312" w:hAnsi="仿宋" w:eastAsia="FangSong_GB2312" w:cs="FangSong_GB2312"/>
                <w:b/>
                <w:bCs/>
                <w:spacing w:val="-6"/>
                <w:sz w:val="32"/>
                <w:szCs w:val="32"/>
              </w:rPr>
              <w:t>补偿标准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2794" w:type="dxa"/>
            <w:noWrap/>
            <w:vAlign w:val="center"/>
          </w:tcPr>
          <w:p>
            <w:pPr>
              <w:spacing w:line="590" w:lineRule="exact"/>
              <w:jc w:val="center"/>
              <w:rPr>
                <w:rFonts w:ascii="FangSong_GB2312" w:hAnsi="仿宋" w:eastAsia="FangSong_GB2312" w:cs="Times New Roman"/>
                <w:spacing w:val="-6"/>
                <w:sz w:val="32"/>
                <w:szCs w:val="32"/>
              </w:rPr>
            </w:pPr>
            <w:r>
              <w:rPr>
                <w:rFonts w:hint="eastAsia" w:ascii="FangSong_GB2312" w:hAnsi="仿宋" w:eastAsia="FangSong_GB2312" w:cs="FangSong_GB2312"/>
                <w:spacing w:val="-6"/>
                <w:sz w:val="32"/>
                <w:szCs w:val="32"/>
              </w:rPr>
              <w:t>固定电话移机</w:t>
            </w:r>
          </w:p>
        </w:tc>
        <w:tc>
          <w:tcPr>
            <w:tcW w:w="1699" w:type="dxa"/>
            <w:noWrap/>
            <w:vAlign w:val="center"/>
          </w:tcPr>
          <w:p>
            <w:pPr>
              <w:spacing w:line="590" w:lineRule="exact"/>
              <w:jc w:val="center"/>
              <w:rPr>
                <w:rFonts w:ascii="FangSong_GB2312" w:hAnsi="仿宋" w:eastAsia="FangSong_GB2312" w:cs="Times New Roman"/>
                <w:spacing w:val="-6"/>
                <w:sz w:val="32"/>
                <w:szCs w:val="32"/>
              </w:rPr>
            </w:pPr>
            <w:r>
              <w:rPr>
                <w:rFonts w:ascii="FangSong_GB2312" w:hAnsi="仿宋" w:eastAsia="FangSong_GB2312" w:cs="FangSong_GB2312"/>
                <w:spacing w:val="-6"/>
                <w:sz w:val="32"/>
                <w:szCs w:val="32"/>
              </w:rPr>
              <w:t>108</w:t>
            </w:r>
            <w:r>
              <w:rPr>
                <w:rFonts w:hint="eastAsia" w:ascii="FangSong_GB2312" w:hAnsi="仿宋" w:eastAsia="FangSong_GB2312" w:cs="FangSong_GB2312"/>
                <w:spacing w:val="-6"/>
                <w:sz w:val="32"/>
                <w:szCs w:val="32"/>
              </w:rPr>
              <w:t>元</w:t>
            </w:r>
            <w:r>
              <w:rPr>
                <w:rFonts w:ascii="FangSong_GB2312" w:hAnsi="仿宋" w:eastAsia="FangSong_GB2312" w:cs="FangSong_GB2312"/>
                <w:spacing w:val="-6"/>
                <w:sz w:val="32"/>
                <w:szCs w:val="32"/>
              </w:rPr>
              <w:t>/</w:t>
            </w:r>
            <w:r>
              <w:rPr>
                <w:rFonts w:hint="eastAsia" w:ascii="FangSong_GB2312" w:hAnsi="仿宋" w:eastAsia="FangSong_GB2312" w:cs="FangSong_GB2312"/>
                <w:spacing w:val="-6"/>
                <w:sz w:val="32"/>
                <w:szCs w:val="32"/>
              </w:rPr>
              <w:t>门</w:t>
            </w:r>
          </w:p>
        </w:tc>
        <w:tc>
          <w:tcPr>
            <w:tcW w:w="3154" w:type="dxa"/>
            <w:noWrap/>
            <w:vAlign w:val="center"/>
          </w:tcPr>
          <w:p>
            <w:pPr>
              <w:spacing w:line="590" w:lineRule="exact"/>
              <w:jc w:val="center"/>
              <w:rPr>
                <w:rFonts w:ascii="FangSong_GB2312" w:hAnsi="仿宋" w:eastAsia="FangSong_GB2312" w:cs="Times New Roman"/>
                <w:spacing w:val="-6"/>
                <w:sz w:val="32"/>
                <w:szCs w:val="32"/>
              </w:rPr>
            </w:pPr>
            <w:r>
              <w:rPr>
                <w:rFonts w:hint="eastAsia" w:ascii="FangSong_GB2312" w:hAnsi="仿宋" w:eastAsia="FangSong_GB2312" w:cs="FangSong_GB2312"/>
                <w:spacing w:val="-6"/>
                <w:sz w:val="32"/>
                <w:szCs w:val="32"/>
              </w:rPr>
              <w:t>壁挂式、窗式空调、太阳能热水器移装</w:t>
            </w:r>
          </w:p>
        </w:tc>
        <w:tc>
          <w:tcPr>
            <w:tcW w:w="1625" w:type="dxa"/>
            <w:noWrap/>
            <w:vAlign w:val="center"/>
          </w:tcPr>
          <w:p>
            <w:pPr>
              <w:spacing w:line="590" w:lineRule="exact"/>
              <w:jc w:val="center"/>
              <w:rPr>
                <w:rFonts w:ascii="FangSong_GB2312" w:hAnsi="仿宋" w:eastAsia="FangSong_GB2312" w:cs="Times New Roman"/>
                <w:spacing w:val="-6"/>
                <w:sz w:val="32"/>
                <w:szCs w:val="32"/>
              </w:rPr>
            </w:pPr>
            <w:r>
              <w:rPr>
                <w:rFonts w:ascii="FangSong_GB2312" w:hAnsi="仿宋" w:eastAsia="FangSong_GB2312" w:cs="FangSong_GB2312"/>
                <w:spacing w:val="-6"/>
                <w:sz w:val="32"/>
                <w:szCs w:val="32"/>
              </w:rPr>
              <w:t>200</w:t>
            </w:r>
            <w:r>
              <w:rPr>
                <w:rFonts w:hint="eastAsia" w:ascii="FangSong_GB2312" w:hAnsi="仿宋" w:eastAsia="FangSong_GB2312" w:cs="FangSong_GB2312"/>
                <w:spacing w:val="-6"/>
                <w:sz w:val="32"/>
                <w:szCs w:val="32"/>
              </w:rPr>
              <w:t>元</w:t>
            </w:r>
            <w:r>
              <w:rPr>
                <w:rFonts w:ascii="FangSong_GB2312" w:hAnsi="仿宋" w:eastAsia="FangSong_GB2312" w:cs="FangSong_GB2312"/>
                <w:spacing w:val="-6"/>
                <w:sz w:val="32"/>
                <w:szCs w:val="32"/>
              </w:rPr>
              <w:t>/</w:t>
            </w:r>
            <w:r>
              <w:rPr>
                <w:rFonts w:hint="eastAsia" w:ascii="FangSong_GB2312" w:hAnsi="仿宋" w:eastAsia="FangSong_GB2312" w:cs="FangSong_GB2312"/>
                <w:spacing w:val="-6"/>
                <w:sz w:val="32"/>
                <w:szCs w:val="3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2794" w:type="dxa"/>
            <w:noWrap/>
            <w:vAlign w:val="center"/>
          </w:tcPr>
          <w:p>
            <w:pPr>
              <w:spacing w:line="590" w:lineRule="exact"/>
              <w:jc w:val="center"/>
              <w:rPr>
                <w:rFonts w:ascii="FangSong_GB2312" w:hAnsi="仿宋" w:eastAsia="FangSong_GB2312" w:cs="Times New Roman"/>
                <w:spacing w:val="-6"/>
                <w:sz w:val="32"/>
                <w:szCs w:val="32"/>
              </w:rPr>
            </w:pPr>
            <w:r>
              <w:rPr>
                <w:rFonts w:hint="eastAsia" w:ascii="FangSong_GB2312" w:hAnsi="仿宋" w:eastAsia="FangSong_GB2312" w:cs="FangSong_GB2312"/>
                <w:spacing w:val="-6"/>
                <w:sz w:val="32"/>
                <w:szCs w:val="32"/>
              </w:rPr>
              <w:t>宽带移装</w:t>
            </w:r>
          </w:p>
        </w:tc>
        <w:tc>
          <w:tcPr>
            <w:tcW w:w="1699" w:type="dxa"/>
            <w:noWrap/>
            <w:vAlign w:val="center"/>
          </w:tcPr>
          <w:p>
            <w:pPr>
              <w:spacing w:line="590" w:lineRule="exact"/>
              <w:jc w:val="center"/>
              <w:rPr>
                <w:rFonts w:ascii="FangSong_GB2312" w:hAnsi="仿宋" w:eastAsia="FangSong_GB2312" w:cs="Times New Roman"/>
                <w:spacing w:val="-6"/>
                <w:sz w:val="32"/>
                <w:szCs w:val="32"/>
              </w:rPr>
            </w:pPr>
            <w:r>
              <w:rPr>
                <w:rFonts w:ascii="FangSong_GB2312" w:hAnsi="仿宋" w:eastAsia="FangSong_GB2312" w:cs="FangSong_GB2312"/>
                <w:spacing w:val="-6"/>
                <w:sz w:val="32"/>
                <w:szCs w:val="32"/>
              </w:rPr>
              <w:t>108</w:t>
            </w:r>
            <w:r>
              <w:rPr>
                <w:rFonts w:hint="eastAsia" w:ascii="FangSong_GB2312" w:hAnsi="仿宋" w:eastAsia="FangSong_GB2312" w:cs="FangSong_GB2312"/>
                <w:spacing w:val="-6"/>
                <w:sz w:val="32"/>
                <w:szCs w:val="32"/>
              </w:rPr>
              <w:t>元</w:t>
            </w:r>
            <w:r>
              <w:rPr>
                <w:rFonts w:ascii="FangSong_GB2312" w:hAnsi="仿宋" w:eastAsia="FangSong_GB2312" w:cs="FangSong_GB2312"/>
                <w:spacing w:val="-6"/>
                <w:sz w:val="32"/>
                <w:szCs w:val="32"/>
              </w:rPr>
              <w:t>/</w:t>
            </w:r>
            <w:r>
              <w:rPr>
                <w:rFonts w:hint="eastAsia" w:ascii="FangSong_GB2312" w:hAnsi="仿宋" w:eastAsia="FangSong_GB2312" w:cs="FangSong_GB2312"/>
                <w:spacing w:val="-6"/>
                <w:sz w:val="32"/>
                <w:szCs w:val="32"/>
              </w:rPr>
              <w:t>号</w:t>
            </w:r>
          </w:p>
        </w:tc>
        <w:tc>
          <w:tcPr>
            <w:tcW w:w="3154" w:type="dxa"/>
            <w:noWrap/>
            <w:vAlign w:val="center"/>
          </w:tcPr>
          <w:p>
            <w:pPr>
              <w:spacing w:line="590" w:lineRule="exact"/>
              <w:jc w:val="center"/>
              <w:rPr>
                <w:rFonts w:ascii="FangSong_GB2312" w:hAnsi="仿宋" w:eastAsia="FangSong_GB2312" w:cs="Times New Roman"/>
                <w:spacing w:val="-6"/>
                <w:sz w:val="32"/>
                <w:szCs w:val="32"/>
              </w:rPr>
            </w:pPr>
            <w:r>
              <w:rPr>
                <w:rFonts w:hint="eastAsia" w:ascii="FangSong_GB2312" w:hAnsi="仿宋" w:eastAsia="FangSong_GB2312" w:cs="FangSong_GB2312"/>
                <w:spacing w:val="-6"/>
                <w:sz w:val="32"/>
                <w:szCs w:val="32"/>
              </w:rPr>
              <w:t>立式空调移装</w:t>
            </w:r>
          </w:p>
        </w:tc>
        <w:tc>
          <w:tcPr>
            <w:tcW w:w="1625" w:type="dxa"/>
            <w:noWrap/>
            <w:vAlign w:val="center"/>
          </w:tcPr>
          <w:p>
            <w:pPr>
              <w:spacing w:line="590" w:lineRule="exact"/>
              <w:jc w:val="center"/>
              <w:rPr>
                <w:rFonts w:ascii="FangSong_GB2312" w:hAnsi="仿宋" w:eastAsia="FangSong_GB2312" w:cs="Times New Roman"/>
                <w:spacing w:val="-6"/>
                <w:sz w:val="32"/>
                <w:szCs w:val="32"/>
              </w:rPr>
            </w:pPr>
            <w:r>
              <w:rPr>
                <w:rFonts w:ascii="FangSong_GB2312" w:hAnsi="仿宋" w:eastAsia="FangSong_GB2312" w:cs="FangSong_GB2312"/>
                <w:spacing w:val="-6"/>
                <w:sz w:val="32"/>
                <w:szCs w:val="32"/>
              </w:rPr>
              <w:t>300</w:t>
            </w:r>
            <w:r>
              <w:rPr>
                <w:rFonts w:hint="eastAsia" w:ascii="FangSong_GB2312" w:hAnsi="仿宋" w:eastAsia="FangSong_GB2312" w:cs="FangSong_GB2312"/>
                <w:spacing w:val="-6"/>
                <w:sz w:val="32"/>
                <w:szCs w:val="32"/>
              </w:rPr>
              <w:t>元</w:t>
            </w:r>
            <w:r>
              <w:rPr>
                <w:rFonts w:ascii="FangSong_GB2312" w:hAnsi="仿宋" w:eastAsia="FangSong_GB2312" w:cs="FangSong_GB2312"/>
                <w:spacing w:val="-6"/>
                <w:sz w:val="32"/>
                <w:szCs w:val="32"/>
              </w:rPr>
              <w:t>/</w:t>
            </w:r>
            <w:r>
              <w:rPr>
                <w:rFonts w:hint="eastAsia" w:ascii="FangSong_GB2312" w:hAnsi="仿宋" w:eastAsia="FangSong_GB2312" w:cs="FangSong_GB2312"/>
                <w:spacing w:val="-6"/>
                <w:sz w:val="32"/>
                <w:szCs w:val="3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2794" w:type="dxa"/>
            <w:noWrap/>
            <w:vAlign w:val="center"/>
          </w:tcPr>
          <w:p>
            <w:pPr>
              <w:spacing w:line="590" w:lineRule="exact"/>
              <w:jc w:val="center"/>
              <w:rPr>
                <w:rFonts w:ascii="FangSong_GB2312" w:hAnsi="仿宋" w:eastAsia="FangSong_GB2312" w:cs="Times New Roman"/>
                <w:spacing w:val="-6"/>
                <w:sz w:val="32"/>
                <w:szCs w:val="32"/>
              </w:rPr>
            </w:pPr>
            <w:r>
              <w:rPr>
                <w:rFonts w:hint="eastAsia" w:ascii="FangSong_GB2312" w:hAnsi="仿宋" w:eastAsia="FangSong_GB2312" w:cs="FangSong_GB2312"/>
                <w:spacing w:val="-6"/>
                <w:sz w:val="32"/>
                <w:szCs w:val="32"/>
              </w:rPr>
              <w:t>管道燃气入户费</w:t>
            </w:r>
          </w:p>
        </w:tc>
        <w:tc>
          <w:tcPr>
            <w:tcW w:w="1699" w:type="dxa"/>
            <w:noWrap/>
            <w:vAlign w:val="center"/>
          </w:tcPr>
          <w:p>
            <w:pPr>
              <w:spacing w:line="590" w:lineRule="exact"/>
              <w:jc w:val="center"/>
              <w:rPr>
                <w:rFonts w:ascii="FangSong_GB2312" w:hAnsi="仿宋" w:eastAsia="FangSong_GB2312" w:cs="Times New Roman"/>
                <w:spacing w:val="-6"/>
                <w:sz w:val="32"/>
                <w:szCs w:val="32"/>
              </w:rPr>
            </w:pPr>
            <w:r>
              <w:rPr>
                <w:rFonts w:ascii="FangSong_GB2312" w:hAnsi="仿宋" w:eastAsia="FangSong_GB2312" w:cs="FangSong_GB2312"/>
                <w:spacing w:val="-6"/>
                <w:sz w:val="32"/>
                <w:szCs w:val="32"/>
              </w:rPr>
              <w:t>1800</w:t>
            </w:r>
            <w:r>
              <w:rPr>
                <w:rFonts w:hint="eastAsia" w:ascii="FangSong_GB2312" w:hAnsi="仿宋" w:eastAsia="FangSong_GB2312" w:cs="FangSong_GB2312"/>
                <w:spacing w:val="-6"/>
                <w:sz w:val="32"/>
                <w:szCs w:val="32"/>
              </w:rPr>
              <w:t>元</w:t>
            </w:r>
            <w:r>
              <w:rPr>
                <w:rFonts w:ascii="FangSong_GB2312" w:hAnsi="仿宋" w:eastAsia="FangSong_GB2312" w:cs="FangSong_GB2312"/>
                <w:spacing w:val="-6"/>
                <w:sz w:val="32"/>
                <w:szCs w:val="32"/>
              </w:rPr>
              <w:t>/</w:t>
            </w:r>
            <w:r>
              <w:rPr>
                <w:rFonts w:hint="eastAsia" w:ascii="FangSong_GB2312" w:hAnsi="仿宋" w:eastAsia="FangSong_GB2312" w:cs="FangSong_GB2312"/>
                <w:spacing w:val="-6"/>
                <w:sz w:val="32"/>
                <w:szCs w:val="32"/>
              </w:rPr>
              <w:t>户</w:t>
            </w:r>
          </w:p>
        </w:tc>
        <w:tc>
          <w:tcPr>
            <w:tcW w:w="3154" w:type="dxa"/>
            <w:noWrap/>
            <w:vAlign w:val="center"/>
          </w:tcPr>
          <w:p>
            <w:pPr>
              <w:spacing w:line="590" w:lineRule="exact"/>
              <w:jc w:val="center"/>
              <w:rPr>
                <w:rFonts w:ascii="FangSong_GB2312" w:hAnsi="仿宋" w:eastAsia="FangSong_GB2312" w:cs="Times New Roman"/>
                <w:spacing w:val="-6"/>
                <w:sz w:val="32"/>
                <w:szCs w:val="32"/>
              </w:rPr>
            </w:pPr>
            <w:r>
              <w:rPr>
                <w:rFonts w:hint="eastAsia" w:ascii="FangSong_GB2312" w:hAnsi="仿宋" w:eastAsia="FangSong_GB2312" w:cs="FangSong_GB2312"/>
                <w:spacing w:val="-6"/>
                <w:sz w:val="32"/>
                <w:szCs w:val="32"/>
              </w:rPr>
              <w:t>电热水器移装</w:t>
            </w:r>
          </w:p>
        </w:tc>
        <w:tc>
          <w:tcPr>
            <w:tcW w:w="1625" w:type="dxa"/>
            <w:noWrap/>
            <w:vAlign w:val="center"/>
          </w:tcPr>
          <w:p>
            <w:pPr>
              <w:spacing w:line="590" w:lineRule="exact"/>
              <w:jc w:val="center"/>
              <w:rPr>
                <w:rFonts w:ascii="FangSong_GB2312" w:hAnsi="仿宋" w:eastAsia="FangSong_GB2312" w:cs="Times New Roman"/>
                <w:spacing w:val="-6"/>
                <w:sz w:val="32"/>
                <w:szCs w:val="32"/>
              </w:rPr>
            </w:pPr>
            <w:r>
              <w:rPr>
                <w:rFonts w:ascii="FangSong_GB2312" w:hAnsi="仿宋" w:eastAsia="FangSong_GB2312" w:cs="FangSong_GB2312"/>
                <w:spacing w:val="-6"/>
                <w:sz w:val="32"/>
                <w:szCs w:val="32"/>
              </w:rPr>
              <w:t>100</w:t>
            </w:r>
            <w:r>
              <w:rPr>
                <w:rFonts w:hint="eastAsia" w:ascii="FangSong_GB2312" w:hAnsi="仿宋" w:eastAsia="FangSong_GB2312" w:cs="FangSong_GB2312"/>
                <w:spacing w:val="-6"/>
                <w:sz w:val="32"/>
                <w:szCs w:val="32"/>
              </w:rPr>
              <w:t>元</w:t>
            </w:r>
            <w:r>
              <w:rPr>
                <w:rFonts w:ascii="FangSong_GB2312" w:hAnsi="仿宋" w:eastAsia="FangSong_GB2312" w:cs="FangSong_GB2312"/>
                <w:spacing w:val="-6"/>
                <w:sz w:val="32"/>
                <w:szCs w:val="32"/>
              </w:rPr>
              <w:t>/</w:t>
            </w:r>
            <w:r>
              <w:rPr>
                <w:rFonts w:hint="eastAsia" w:ascii="FangSong_GB2312" w:hAnsi="仿宋" w:eastAsia="FangSong_GB2312" w:cs="FangSong_GB2312"/>
                <w:spacing w:val="-6"/>
                <w:sz w:val="32"/>
                <w:szCs w:val="3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2794" w:type="dxa"/>
            <w:noWrap/>
            <w:vAlign w:val="center"/>
          </w:tcPr>
          <w:p>
            <w:pPr>
              <w:spacing w:line="590" w:lineRule="exact"/>
              <w:jc w:val="center"/>
              <w:rPr>
                <w:rFonts w:ascii="FangSong_GB2312" w:hAnsi="仿宋" w:eastAsia="FangSong_GB2312" w:cs="Times New Roman"/>
                <w:spacing w:val="-6"/>
                <w:sz w:val="32"/>
                <w:szCs w:val="32"/>
              </w:rPr>
            </w:pPr>
            <w:r>
              <w:rPr>
                <w:rFonts w:hint="eastAsia" w:ascii="FangSong_GB2312" w:hAnsi="仿宋" w:eastAsia="FangSong_GB2312" w:cs="FangSong_GB2312"/>
                <w:spacing w:val="-6"/>
                <w:sz w:val="32"/>
                <w:szCs w:val="32"/>
              </w:rPr>
              <w:t>水平房一户一表（智能水表）安装</w:t>
            </w:r>
          </w:p>
        </w:tc>
        <w:tc>
          <w:tcPr>
            <w:tcW w:w="1699" w:type="dxa"/>
            <w:noWrap/>
            <w:vAlign w:val="center"/>
          </w:tcPr>
          <w:p>
            <w:pPr>
              <w:spacing w:line="590" w:lineRule="exact"/>
              <w:jc w:val="center"/>
              <w:rPr>
                <w:rFonts w:ascii="FangSong_GB2312" w:hAnsi="仿宋" w:eastAsia="FangSong_GB2312" w:cs="Times New Roman"/>
                <w:spacing w:val="-6"/>
                <w:sz w:val="32"/>
                <w:szCs w:val="32"/>
              </w:rPr>
            </w:pPr>
            <w:r>
              <w:rPr>
                <w:rFonts w:ascii="FangSong_GB2312" w:hAnsi="仿宋" w:eastAsia="FangSong_GB2312" w:cs="FangSong_GB2312"/>
                <w:spacing w:val="-6"/>
                <w:sz w:val="32"/>
                <w:szCs w:val="32"/>
              </w:rPr>
              <w:t>980</w:t>
            </w:r>
            <w:r>
              <w:rPr>
                <w:rFonts w:hint="eastAsia" w:ascii="FangSong_GB2312" w:hAnsi="仿宋" w:eastAsia="FangSong_GB2312" w:cs="FangSong_GB2312"/>
                <w:spacing w:val="-6"/>
                <w:sz w:val="32"/>
                <w:szCs w:val="32"/>
              </w:rPr>
              <w:t>元</w:t>
            </w:r>
            <w:r>
              <w:rPr>
                <w:rFonts w:ascii="FangSong_GB2312" w:hAnsi="仿宋" w:eastAsia="FangSong_GB2312" w:cs="FangSong_GB2312"/>
                <w:spacing w:val="-6"/>
                <w:sz w:val="32"/>
                <w:szCs w:val="32"/>
              </w:rPr>
              <w:t>/</w:t>
            </w:r>
            <w:r>
              <w:rPr>
                <w:rFonts w:hint="eastAsia" w:ascii="FangSong_GB2312" w:hAnsi="仿宋" w:eastAsia="FangSong_GB2312" w:cs="FangSong_GB2312"/>
                <w:spacing w:val="-6"/>
                <w:sz w:val="32"/>
                <w:szCs w:val="32"/>
              </w:rPr>
              <w:t>户</w:t>
            </w:r>
          </w:p>
        </w:tc>
        <w:tc>
          <w:tcPr>
            <w:tcW w:w="3154" w:type="dxa"/>
            <w:noWrap/>
            <w:vAlign w:val="center"/>
          </w:tcPr>
          <w:p>
            <w:pPr>
              <w:spacing w:line="590" w:lineRule="exact"/>
              <w:jc w:val="center"/>
              <w:rPr>
                <w:rFonts w:ascii="FangSong_GB2312" w:hAnsi="仿宋" w:eastAsia="FangSong_GB2312" w:cs="Times New Roman"/>
                <w:spacing w:val="-6"/>
                <w:sz w:val="32"/>
                <w:szCs w:val="32"/>
              </w:rPr>
            </w:pPr>
            <w:r>
              <w:rPr>
                <w:rFonts w:hint="eastAsia" w:ascii="FangSong_GB2312" w:hAnsi="仿宋" w:eastAsia="FangSong_GB2312" w:cs="FangSong_GB2312"/>
                <w:spacing w:val="-6"/>
                <w:sz w:val="32"/>
                <w:szCs w:val="32"/>
              </w:rPr>
              <w:t>垂直房一户一表</w:t>
            </w:r>
            <w:r>
              <w:rPr>
                <w:rFonts w:ascii="FangSong_GB2312" w:hAnsi="仿宋" w:eastAsia="FangSong_GB2312" w:cs="Times New Roman"/>
                <w:spacing w:val="-6"/>
                <w:sz w:val="32"/>
                <w:szCs w:val="32"/>
              </w:rPr>
              <w:br w:type="textWrapping"/>
            </w:r>
            <w:r>
              <w:rPr>
                <w:rFonts w:hint="eastAsia" w:ascii="FangSong_GB2312" w:hAnsi="仿宋" w:eastAsia="FangSong_GB2312" w:cs="FangSong_GB2312"/>
                <w:spacing w:val="-6"/>
                <w:sz w:val="32"/>
                <w:szCs w:val="32"/>
              </w:rPr>
              <w:t>（智能水表）安装</w:t>
            </w:r>
          </w:p>
        </w:tc>
        <w:tc>
          <w:tcPr>
            <w:tcW w:w="1625" w:type="dxa"/>
            <w:noWrap/>
            <w:vAlign w:val="center"/>
          </w:tcPr>
          <w:p>
            <w:pPr>
              <w:spacing w:line="590" w:lineRule="exact"/>
              <w:jc w:val="center"/>
              <w:rPr>
                <w:rFonts w:ascii="FangSong_GB2312" w:hAnsi="仿宋" w:eastAsia="FangSong_GB2312" w:cs="Times New Roman"/>
                <w:spacing w:val="-6"/>
                <w:sz w:val="32"/>
                <w:szCs w:val="32"/>
              </w:rPr>
            </w:pPr>
            <w:r>
              <w:rPr>
                <w:rFonts w:ascii="FangSong_GB2312" w:hAnsi="仿宋" w:eastAsia="FangSong_GB2312" w:cs="FangSong_GB2312"/>
                <w:spacing w:val="-6"/>
                <w:sz w:val="32"/>
                <w:szCs w:val="32"/>
              </w:rPr>
              <w:t>850</w:t>
            </w:r>
            <w:r>
              <w:rPr>
                <w:rFonts w:hint="eastAsia" w:ascii="FangSong_GB2312" w:hAnsi="仿宋" w:eastAsia="FangSong_GB2312" w:cs="FangSong_GB2312"/>
                <w:spacing w:val="-6"/>
                <w:sz w:val="32"/>
                <w:szCs w:val="32"/>
              </w:rPr>
              <w:t>元</w:t>
            </w:r>
            <w:r>
              <w:rPr>
                <w:rFonts w:ascii="FangSong_GB2312" w:hAnsi="仿宋" w:eastAsia="FangSong_GB2312" w:cs="FangSong_GB2312"/>
                <w:spacing w:val="-6"/>
                <w:sz w:val="32"/>
                <w:szCs w:val="32"/>
              </w:rPr>
              <w:t>/</w:t>
            </w:r>
            <w:r>
              <w:rPr>
                <w:rFonts w:hint="eastAsia" w:ascii="FangSong_GB2312" w:hAnsi="仿宋" w:eastAsia="FangSong_GB2312" w:cs="FangSong_GB2312"/>
                <w:spacing w:val="-6"/>
                <w:sz w:val="32"/>
                <w:szCs w:val="32"/>
              </w:rPr>
              <w:t>户</w:t>
            </w:r>
          </w:p>
        </w:tc>
      </w:tr>
    </w:tbl>
    <w:p>
      <w:pPr>
        <w:spacing w:line="590" w:lineRule="exact"/>
        <w:ind w:firstLine="616" w:firstLineChars="200"/>
        <w:rPr>
          <w:rFonts w:ascii="FangSong_GB2312" w:hAnsi="仿宋" w:eastAsia="FangSong_GB2312" w:cs="Times New Roman"/>
          <w:spacing w:val="-6"/>
          <w:sz w:val="32"/>
          <w:szCs w:val="32"/>
        </w:rPr>
      </w:pPr>
      <w:r>
        <w:rPr>
          <w:rFonts w:hint="eastAsia" w:ascii="FangSong_GB2312" w:hAnsi="仿宋" w:eastAsia="FangSong_GB2312" w:cs="FangSong_GB2312"/>
          <w:spacing w:val="-6"/>
          <w:sz w:val="32"/>
          <w:szCs w:val="32"/>
        </w:rPr>
        <w:t>被征收人选择货币或货币化安置凭证补偿的，设备设施移装补偿费按一次计算；</w:t>
      </w:r>
      <w:r>
        <w:rPr>
          <w:rFonts w:hint="eastAsia" w:ascii="FangSong_GB2312" w:eastAsia="FangSong_GB2312" w:cs="FangSong_GB2312"/>
          <w:spacing w:val="-6"/>
          <w:kern w:val="0"/>
          <w:sz w:val="32"/>
          <w:szCs w:val="32"/>
        </w:rPr>
        <w:t>选择产权调换的，除管道燃气入户费和智能水表安装费外，按两次计算</w:t>
      </w:r>
      <w:r>
        <w:rPr>
          <w:rFonts w:hint="eastAsia" w:ascii="FangSong_GB2312" w:hAnsi="仿宋" w:eastAsia="FangSong_GB2312" w:cs="FangSong_GB2312"/>
          <w:spacing w:val="-6"/>
          <w:sz w:val="32"/>
          <w:szCs w:val="32"/>
        </w:rPr>
        <w:t>。</w:t>
      </w:r>
    </w:p>
    <w:p>
      <w:pPr>
        <w:spacing w:line="590" w:lineRule="exact"/>
        <w:ind w:firstLine="616" w:firstLineChars="200"/>
        <w:rPr>
          <w:rFonts w:ascii="FangSong_GB2312" w:hAnsi="仿宋" w:eastAsia="FangSong_GB2312" w:cs="Times New Roman"/>
          <w:spacing w:val="-6"/>
          <w:sz w:val="32"/>
          <w:szCs w:val="32"/>
        </w:rPr>
      </w:pPr>
      <w:r>
        <w:rPr>
          <w:rFonts w:hint="eastAsia" w:ascii="FangSong_GB2312" w:hAnsi="仿宋" w:eastAsia="FangSong_GB2312" w:cs="FangSong_GB2312"/>
          <w:spacing w:val="-6"/>
          <w:sz w:val="32"/>
          <w:szCs w:val="32"/>
        </w:rPr>
        <w:t>（</w:t>
      </w:r>
      <w:r>
        <w:rPr>
          <w:rFonts w:ascii="FangSong_GB2312" w:hAnsi="仿宋" w:eastAsia="FangSong_GB2312" w:cs="FangSong_GB2312"/>
          <w:spacing w:val="-6"/>
          <w:sz w:val="32"/>
          <w:szCs w:val="32"/>
        </w:rPr>
        <w:t>3</w:t>
      </w:r>
      <w:r>
        <w:rPr>
          <w:rFonts w:hint="eastAsia" w:ascii="FangSong_GB2312" w:hAnsi="仿宋" w:eastAsia="FangSong_GB2312" w:cs="FangSong_GB2312"/>
          <w:spacing w:val="-6"/>
          <w:sz w:val="32"/>
          <w:szCs w:val="32"/>
        </w:rPr>
        <w:t>）临时安置费</w:t>
      </w:r>
    </w:p>
    <w:p>
      <w:pPr>
        <w:spacing w:line="590" w:lineRule="exact"/>
        <w:ind w:firstLine="616" w:firstLineChars="200"/>
        <w:rPr>
          <w:rFonts w:ascii="FangSong_GB2312" w:hAnsi="仿宋" w:eastAsia="FangSong_GB2312" w:cs="Times New Roman"/>
          <w:spacing w:val="-6"/>
          <w:sz w:val="32"/>
          <w:szCs w:val="32"/>
        </w:rPr>
      </w:pPr>
      <w:r>
        <w:rPr>
          <w:rFonts w:hint="eastAsia" w:ascii="FangSong_GB2312" w:hAnsi="仿宋" w:eastAsia="FangSong_GB2312" w:cs="FangSong_GB2312"/>
          <w:spacing w:val="-6"/>
          <w:sz w:val="32"/>
          <w:szCs w:val="32"/>
        </w:rPr>
        <w:t>按被征收房屋建筑面积每平方米每月20元计算，每户每月不足</w:t>
      </w:r>
      <w:r>
        <w:rPr>
          <w:rFonts w:ascii="FangSong_GB2312" w:hAnsi="仿宋" w:eastAsia="FangSong_GB2312" w:cs="FangSong_GB2312"/>
          <w:spacing w:val="-6"/>
          <w:sz w:val="32"/>
          <w:szCs w:val="32"/>
        </w:rPr>
        <w:t>900</w:t>
      </w:r>
      <w:r>
        <w:rPr>
          <w:rFonts w:hint="eastAsia" w:ascii="FangSong_GB2312" w:hAnsi="仿宋" w:eastAsia="FangSong_GB2312" w:cs="FangSong_GB2312"/>
          <w:spacing w:val="-6"/>
          <w:sz w:val="32"/>
          <w:szCs w:val="32"/>
        </w:rPr>
        <w:t>元的，按</w:t>
      </w:r>
      <w:r>
        <w:rPr>
          <w:rFonts w:ascii="FangSong_GB2312" w:hAnsi="仿宋" w:eastAsia="FangSong_GB2312" w:cs="FangSong_GB2312"/>
          <w:spacing w:val="-6"/>
          <w:sz w:val="32"/>
          <w:szCs w:val="32"/>
        </w:rPr>
        <w:t>900</w:t>
      </w:r>
      <w:r>
        <w:rPr>
          <w:rFonts w:hint="eastAsia" w:ascii="FangSong_GB2312" w:hAnsi="仿宋" w:eastAsia="FangSong_GB2312" w:cs="FangSong_GB2312"/>
          <w:spacing w:val="-6"/>
          <w:sz w:val="32"/>
          <w:szCs w:val="32"/>
        </w:rPr>
        <w:t>元补偿。</w:t>
      </w:r>
    </w:p>
    <w:p>
      <w:pPr>
        <w:spacing w:line="590" w:lineRule="exact"/>
        <w:ind w:firstLine="616" w:firstLineChars="200"/>
        <w:rPr>
          <w:rFonts w:ascii="FangSong_GB2312" w:hAnsi="仿宋" w:eastAsia="FangSong_GB2312" w:cs="Times New Roman"/>
          <w:spacing w:val="-6"/>
          <w:sz w:val="32"/>
          <w:szCs w:val="32"/>
        </w:rPr>
      </w:pPr>
      <w:r>
        <w:rPr>
          <w:rFonts w:hint="eastAsia" w:ascii="FangSong_GB2312" w:hAnsi="仿宋" w:eastAsia="FangSong_GB2312" w:cs="FangSong_GB2312"/>
          <w:spacing w:val="-6"/>
          <w:sz w:val="32"/>
          <w:szCs w:val="32"/>
        </w:rPr>
        <w:t>被征收人选择货币或货币化安置凭证补偿的，支付</w:t>
      </w:r>
      <w:r>
        <w:rPr>
          <w:rFonts w:ascii="FangSong_GB2312" w:hAnsi="仿宋" w:eastAsia="FangSong_GB2312" w:cs="FangSong_GB2312"/>
          <w:spacing w:val="-6"/>
          <w:sz w:val="32"/>
          <w:szCs w:val="32"/>
        </w:rPr>
        <w:t>6</w:t>
      </w:r>
      <w:r>
        <w:rPr>
          <w:rFonts w:hint="eastAsia" w:ascii="FangSong_GB2312" w:hAnsi="仿宋" w:eastAsia="FangSong_GB2312" w:cs="FangSong_GB2312"/>
          <w:spacing w:val="-6"/>
          <w:sz w:val="32"/>
          <w:szCs w:val="32"/>
        </w:rPr>
        <w:t>个月的临时安置费；选择产权调换的，产权调换部分临时安置费的发放期限以被征收人的实际过渡时间为准，即从被征收人将被征收房屋腾空交付给房屋征收部门之日起至征收部门通知被征收人领取产权调换房屋钥匙之日</w:t>
      </w:r>
      <w:r>
        <w:rPr>
          <w:rFonts w:hint="eastAsia" w:ascii="FangSong_GB2312" w:hAnsi="仿宋" w:eastAsia="FangSong_GB2312" w:cs="FangSong_GB2312"/>
          <w:bCs/>
          <w:spacing w:val="-6"/>
          <w:sz w:val="32"/>
          <w:szCs w:val="32"/>
        </w:rPr>
        <w:t>后</w:t>
      </w:r>
      <w:r>
        <w:rPr>
          <w:rFonts w:ascii="FangSong_GB2312" w:hAnsi="仿宋" w:eastAsia="FangSong_GB2312" w:cs="FangSong_GB2312"/>
          <w:spacing w:val="-6"/>
          <w:sz w:val="32"/>
          <w:szCs w:val="32"/>
        </w:rPr>
        <w:t>6</w:t>
      </w:r>
      <w:r>
        <w:rPr>
          <w:rFonts w:hint="eastAsia" w:ascii="FangSong_GB2312" w:hAnsi="仿宋" w:eastAsia="FangSong_GB2312" w:cs="FangSong_GB2312"/>
          <w:spacing w:val="-6"/>
          <w:sz w:val="32"/>
          <w:szCs w:val="32"/>
        </w:rPr>
        <w:t>个月止。</w:t>
      </w:r>
    </w:p>
    <w:p>
      <w:pPr>
        <w:spacing w:line="590" w:lineRule="exact"/>
        <w:ind w:firstLine="616" w:firstLineChars="200"/>
        <w:rPr>
          <w:rFonts w:ascii="FangSong_GB2312" w:hAnsi="仿宋" w:eastAsia="FangSong_GB2312" w:cs="Times New Roman"/>
          <w:spacing w:val="-6"/>
          <w:sz w:val="32"/>
          <w:szCs w:val="32"/>
        </w:rPr>
      </w:pPr>
      <w:r>
        <w:rPr>
          <w:rFonts w:hint="eastAsia" w:ascii="FangSong_GB2312" w:hAnsi="仿宋" w:eastAsia="FangSong_GB2312" w:cs="FangSong_GB2312"/>
          <w:spacing w:val="-6"/>
          <w:sz w:val="32"/>
          <w:szCs w:val="32"/>
        </w:rPr>
        <w:t>超过过渡期限（详见本方案</w:t>
      </w:r>
      <w:r>
        <w:rPr>
          <w:rFonts w:hint="eastAsia" w:ascii="FangSong_GB2312" w:hAnsi="仿宋" w:eastAsia="FangSong_GB2312" w:cs="FangSong_GB2312"/>
          <w:b/>
          <w:bCs/>
          <w:spacing w:val="-6"/>
          <w:sz w:val="32"/>
          <w:szCs w:val="32"/>
        </w:rPr>
        <w:t>第九条第三项</w:t>
      </w:r>
      <w:r>
        <w:rPr>
          <w:rFonts w:hint="eastAsia" w:ascii="FangSong_GB2312" w:hAnsi="仿宋" w:eastAsia="FangSong_GB2312" w:cs="FangSong_GB2312"/>
          <w:spacing w:val="-6"/>
          <w:sz w:val="32"/>
          <w:szCs w:val="32"/>
        </w:rPr>
        <w:t>）未交付用于产权调换房屋的，自超过过渡期限之月起按照公布的最新临时安置费标准的</w:t>
      </w:r>
      <w:r>
        <w:rPr>
          <w:rFonts w:ascii="FangSong_GB2312" w:hAnsi="仿宋" w:eastAsia="FangSong_GB2312" w:cs="FangSong_GB2312"/>
          <w:spacing w:val="-6"/>
          <w:sz w:val="32"/>
          <w:szCs w:val="32"/>
        </w:rPr>
        <w:t>2</w:t>
      </w:r>
      <w:r>
        <w:rPr>
          <w:rFonts w:hint="eastAsia" w:ascii="FangSong_GB2312" w:hAnsi="仿宋" w:eastAsia="FangSong_GB2312" w:cs="FangSong_GB2312"/>
          <w:spacing w:val="-6"/>
          <w:sz w:val="32"/>
          <w:szCs w:val="32"/>
        </w:rPr>
        <w:t>倍支付。</w:t>
      </w:r>
    </w:p>
    <w:p>
      <w:pPr>
        <w:spacing w:line="590" w:lineRule="exact"/>
        <w:ind w:firstLine="619" w:firstLineChars="200"/>
        <w:rPr>
          <w:rFonts w:ascii="FangSong_GB2312" w:hAnsi="仿宋" w:eastAsia="FangSong_GB2312" w:cs="Times New Roman"/>
          <w:b/>
          <w:bCs/>
          <w:spacing w:val="-6"/>
          <w:sz w:val="32"/>
          <w:szCs w:val="32"/>
        </w:rPr>
      </w:pPr>
      <w:r>
        <w:rPr>
          <w:rFonts w:ascii="FangSong_GB2312" w:hAnsi="仿宋" w:eastAsia="FangSong_GB2312" w:cs="FangSong_GB2312"/>
          <w:b/>
          <w:bCs/>
          <w:spacing w:val="-6"/>
          <w:sz w:val="32"/>
          <w:szCs w:val="32"/>
        </w:rPr>
        <w:t>3.</w:t>
      </w:r>
      <w:r>
        <w:rPr>
          <w:rFonts w:hint="eastAsia" w:ascii="FangSong_GB2312" w:hAnsi="仿宋" w:eastAsia="FangSong_GB2312" w:cs="FangSong_GB2312"/>
          <w:b/>
          <w:bCs/>
          <w:spacing w:val="-6"/>
          <w:sz w:val="32"/>
          <w:szCs w:val="32"/>
        </w:rPr>
        <w:t>商业、办公房屋综合补偿</w:t>
      </w:r>
    </w:p>
    <w:p>
      <w:pPr>
        <w:spacing w:line="590" w:lineRule="exact"/>
        <w:ind w:firstLine="616" w:firstLineChars="200"/>
        <w:rPr>
          <w:rFonts w:ascii="FangSong_GB2312" w:hAnsi="仿宋" w:eastAsia="FangSong_GB2312" w:cs="Times New Roman"/>
          <w:spacing w:val="-6"/>
          <w:sz w:val="32"/>
          <w:szCs w:val="32"/>
        </w:rPr>
      </w:pPr>
      <w:r>
        <w:rPr>
          <w:rFonts w:hint="eastAsia" w:ascii="FangSong_GB2312" w:hAnsi="仿宋" w:eastAsia="FangSong_GB2312" w:cs="FangSong_GB2312"/>
          <w:spacing w:val="-6"/>
          <w:sz w:val="32"/>
          <w:szCs w:val="32"/>
        </w:rPr>
        <w:t>（</w:t>
      </w:r>
      <w:r>
        <w:rPr>
          <w:rFonts w:ascii="FangSong_GB2312" w:hAnsi="仿宋" w:eastAsia="FangSong_GB2312" w:cs="FangSong_GB2312"/>
          <w:spacing w:val="-6"/>
          <w:sz w:val="32"/>
          <w:szCs w:val="32"/>
        </w:rPr>
        <w:t>1</w:t>
      </w:r>
      <w:r>
        <w:rPr>
          <w:rFonts w:hint="eastAsia" w:ascii="FangSong_GB2312" w:hAnsi="仿宋" w:eastAsia="FangSong_GB2312" w:cs="FangSong_GB2312"/>
          <w:spacing w:val="-6"/>
          <w:sz w:val="32"/>
          <w:szCs w:val="32"/>
        </w:rPr>
        <w:t>）一次性搬迁费(含搬家和设备设施移装补偿费)</w:t>
      </w:r>
    </w:p>
    <w:p>
      <w:pPr>
        <w:spacing w:line="590" w:lineRule="exact"/>
        <w:ind w:firstLine="616" w:firstLineChars="200"/>
        <w:rPr>
          <w:rFonts w:ascii="FangSong_GB2312" w:hAnsi="仿宋" w:eastAsia="FangSong_GB2312" w:cs="Times New Roman"/>
          <w:spacing w:val="-6"/>
          <w:sz w:val="32"/>
          <w:szCs w:val="32"/>
        </w:rPr>
      </w:pPr>
      <w:r>
        <w:rPr>
          <w:rFonts w:hint="eastAsia" w:ascii="FangSong_GB2312" w:hAnsi="仿宋" w:eastAsia="FangSong_GB2312" w:cs="FangSong_GB2312"/>
          <w:spacing w:val="-6"/>
          <w:sz w:val="32"/>
          <w:szCs w:val="32"/>
        </w:rPr>
        <w:t>按被征收房屋建筑面积</w:t>
      </w:r>
      <w:r>
        <w:rPr>
          <w:rFonts w:ascii="FangSong_GB2312" w:hAnsi="仿宋" w:eastAsia="FangSong_GB2312" w:cs="FangSong_GB2312"/>
          <w:spacing w:val="-6"/>
          <w:sz w:val="32"/>
          <w:szCs w:val="32"/>
        </w:rPr>
        <w:t>70</w:t>
      </w:r>
      <w:r>
        <w:rPr>
          <w:rFonts w:hint="eastAsia" w:ascii="FangSong_GB2312" w:hAnsi="仿宋" w:eastAsia="FangSong_GB2312" w:cs="FangSong_GB2312"/>
          <w:spacing w:val="-6"/>
          <w:sz w:val="32"/>
          <w:szCs w:val="32"/>
        </w:rPr>
        <w:t>元</w:t>
      </w:r>
      <w:r>
        <w:rPr>
          <w:rFonts w:ascii="FangSong_GB2312" w:hAnsi="仿宋" w:eastAsia="FangSong_GB2312" w:cs="FangSong_GB2312"/>
          <w:spacing w:val="-6"/>
          <w:sz w:val="32"/>
          <w:szCs w:val="32"/>
        </w:rPr>
        <w:t>/</w:t>
      </w:r>
      <w:r>
        <w:rPr>
          <w:rFonts w:hint="eastAsia" w:ascii="FangSong_GB2312" w:hAnsi="仿宋" w:eastAsia="FangSong_GB2312" w:cs="FangSong_GB2312"/>
          <w:spacing w:val="-6"/>
          <w:sz w:val="32"/>
          <w:szCs w:val="32"/>
        </w:rPr>
        <w:t>平方米补偿。</w:t>
      </w:r>
    </w:p>
    <w:p>
      <w:pPr>
        <w:spacing w:line="590" w:lineRule="exact"/>
        <w:ind w:firstLine="616" w:firstLineChars="200"/>
        <w:rPr>
          <w:rFonts w:ascii="FangSong_GB2312" w:hAnsi="仿宋" w:eastAsia="FangSong_GB2312" w:cs="Times New Roman"/>
          <w:spacing w:val="-6"/>
          <w:sz w:val="32"/>
          <w:szCs w:val="32"/>
        </w:rPr>
      </w:pPr>
      <w:r>
        <w:rPr>
          <w:rFonts w:hint="eastAsia" w:ascii="FangSong_GB2312" w:hAnsi="仿宋" w:eastAsia="FangSong_GB2312" w:cs="FangSong_GB2312"/>
          <w:spacing w:val="-6"/>
          <w:sz w:val="32"/>
          <w:szCs w:val="32"/>
        </w:rPr>
        <w:t>（</w:t>
      </w:r>
      <w:r>
        <w:rPr>
          <w:rFonts w:ascii="FangSong_GB2312" w:hAnsi="仿宋" w:eastAsia="FangSong_GB2312" w:cs="FangSong_GB2312"/>
          <w:spacing w:val="-6"/>
          <w:sz w:val="32"/>
          <w:szCs w:val="32"/>
        </w:rPr>
        <w:t>2</w:t>
      </w:r>
      <w:r>
        <w:rPr>
          <w:rFonts w:hint="eastAsia" w:ascii="FangSong_GB2312" w:hAnsi="仿宋" w:eastAsia="FangSong_GB2312" w:cs="FangSong_GB2312"/>
          <w:spacing w:val="-6"/>
          <w:sz w:val="32"/>
          <w:szCs w:val="32"/>
        </w:rPr>
        <w:t>）一次性临时安置费</w:t>
      </w:r>
    </w:p>
    <w:p>
      <w:pPr>
        <w:spacing w:line="590" w:lineRule="exact"/>
        <w:ind w:firstLine="616" w:firstLineChars="200"/>
        <w:rPr>
          <w:rFonts w:ascii="FangSong_GB2312" w:hAnsi="仿宋" w:eastAsia="FangSong_GB2312" w:cs="Times New Roman"/>
          <w:spacing w:val="-6"/>
          <w:sz w:val="32"/>
          <w:szCs w:val="32"/>
        </w:rPr>
      </w:pPr>
      <w:r>
        <w:rPr>
          <w:rFonts w:hint="eastAsia" w:ascii="FangSong_GB2312" w:hAnsi="仿宋" w:eastAsia="FangSong_GB2312" w:cs="FangSong_GB2312"/>
          <w:spacing w:val="-6"/>
          <w:sz w:val="32"/>
          <w:szCs w:val="32"/>
        </w:rPr>
        <w:t>按被征收房屋评估总价值的</w:t>
      </w:r>
      <w:r>
        <w:rPr>
          <w:rFonts w:ascii="FangSong_GB2312" w:hAnsi="仿宋" w:eastAsia="FangSong_GB2312" w:cs="FangSong_GB2312"/>
          <w:b/>
          <w:bCs/>
          <w:spacing w:val="-6"/>
          <w:sz w:val="32"/>
          <w:szCs w:val="32"/>
        </w:rPr>
        <w:t>0.6%</w:t>
      </w:r>
      <w:r>
        <w:rPr>
          <w:rFonts w:hint="eastAsia" w:ascii="FangSong_GB2312" w:hAnsi="仿宋" w:eastAsia="FangSong_GB2312" w:cs="FangSong_GB2312"/>
          <w:spacing w:val="-6"/>
          <w:sz w:val="32"/>
          <w:szCs w:val="32"/>
        </w:rPr>
        <w:t>补偿。</w:t>
      </w:r>
    </w:p>
    <w:p>
      <w:pPr>
        <w:spacing w:line="590" w:lineRule="exact"/>
        <w:ind w:firstLine="616" w:firstLineChars="200"/>
        <w:rPr>
          <w:rFonts w:ascii="FangSong_GB2312" w:hAnsi="仿宋" w:eastAsia="FangSong_GB2312" w:cs="Times New Roman"/>
          <w:spacing w:val="-6"/>
          <w:sz w:val="32"/>
          <w:szCs w:val="32"/>
        </w:rPr>
      </w:pPr>
      <w:r>
        <w:rPr>
          <w:rFonts w:hint="eastAsia" w:ascii="FangSong_GB2312" w:hAnsi="仿宋" w:eastAsia="FangSong_GB2312" w:cs="FangSong_GB2312"/>
          <w:spacing w:val="-6"/>
          <w:sz w:val="32"/>
          <w:szCs w:val="32"/>
        </w:rPr>
        <w:t>（</w:t>
      </w:r>
      <w:r>
        <w:rPr>
          <w:rFonts w:ascii="FangSong_GB2312" w:hAnsi="仿宋" w:eastAsia="FangSong_GB2312" w:cs="FangSong_GB2312"/>
          <w:spacing w:val="-6"/>
          <w:sz w:val="32"/>
          <w:szCs w:val="32"/>
        </w:rPr>
        <w:t>3</w:t>
      </w:r>
      <w:r>
        <w:rPr>
          <w:rFonts w:hint="eastAsia" w:ascii="FangSong_GB2312" w:hAnsi="仿宋" w:eastAsia="FangSong_GB2312" w:cs="FangSong_GB2312"/>
          <w:spacing w:val="-6"/>
          <w:sz w:val="32"/>
          <w:szCs w:val="32"/>
        </w:rPr>
        <w:t>）停产停业损失补偿</w:t>
      </w:r>
    </w:p>
    <w:p>
      <w:pPr>
        <w:spacing w:line="590" w:lineRule="exact"/>
        <w:ind w:firstLine="616" w:firstLineChars="200"/>
        <w:rPr>
          <w:rFonts w:ascii="FangSong_GB2312" w:hAnsi="仿宋" w:eastAsia="FangSong_GB2312" w:cs="Times New Roman"/>
          <w:spacing w:val="-6"/>
          <w:sz w:val="32"/>
          <w:szCs w:val="32"/>
        </w:rPr>
      </w:pPr>
      <w:r>
        <w:rPr>
          <w:rFonts w:hint="eastAsia" w:ascii="FangSong_GB2312" w:hAnsi="仿宋" w:eastAsia="FangSong_GB2312" w:cs="FangSong_GB2312"/>
          <w:spacing w:val="-6"/>
          <w:sz w:val="32"/>
          <w:szCs w:val="32"/>
        </w:rPr>
        <w:t>按被征收房屋评估总价值的</w:t>
      </w:r>
      <w:r>
        <w:rPr>
          <w:rFonts w:ascii="FangSong_GB2312" w:hAnsi="仿宋" w:eastAsia="FangSong_GB2312" w:cs="FangSong_GB2312"/>
          <w:b/>
          <w:bCs/>
          <w:spacing w:val="-6"/>
          <w:sz w:val="32"/>
          <w:szCs w:val="32"/>
        </w:rPr>
        <w:t>5%</w:t>
      </w:r>
      <w:r>
        <w:rPr>
          <w:rFonts w:hint="eastAsia" w:ascii="FangSong_GB2312" w:hAnsi="仿宋" w:eastAsia="FangSong_GB2312" w:cs="FangSong_GB2312"/>
          <w:spacing w:val="-6"/>
          <w:sz w:val="32"/>
          <w:szCs w:val="32"/>
        </w:rPr>
        <w:t>，或者按被征收房屋建筑面积每平方米</w:t>
      </w:r>
      <w:r>
        <w:rPr>
          <w:rFonts w:ascii="FangSong_GB2312" w:hAnsi="仿宋" w:eastAsia="FangSong_GB2312" w:cs="FangSong_GB2312"/>
          <w:spacing w:val="-6"/>
          <w:sz w:val="32"/>
          <w:szCs w:val="32"/>
        </w:rPr>
        <w:t>300</w:t>
      </w:r>
      <w:r>
        <w:rPr>
          <w:rFonts w:hint="eastAsia" w:ascii="FangSong_GB2312" w:hAnsi="仿宋" w:eastAsia="FangSong_GB2312" w:cs="FangSong_GB2312"/>
          <w:spacing w:val="-6"/>
          <w:sz w:val="32"/>
          <w:szCs w:val="32"/>
        </w:rPr>
        <w:t>元计算，从高给予补偿。</w:t>
      </w:r>
    </w:p>
    <w:p>
      <w:pPr>
        <w:spacing w:line="590" w:lineRule="exact"/>
        <w:ind w:firstLine="619" w:firstLineChars="200"/>
        <w:rPr>
          <w:rFonts w:ascii="楷体_GB2312" w:hAnsi="仿宋" w:eastAsia="楷体_GB2312" w:cs="Times New Roman"/>
          <w:b/>
          <w:bCs/>
          <w:spacing w:val="-6"/>
          <w:sz w:val="32"/>
          <w:szCs w:val="32"/>
        </w:rPr>
      </w:pPr>
      <w:r>
        <w:rPr>
          <w:rFonts w:hint="eastAsia" w:ascii="楷体_GB2312" w:hAnsi="仿宋" w:eastAsia="楷体_GB2312" w:cs="楷体_GB2312"/>
          <w:b/>
          <w:bCs/>
          <w:spacing w:val="-6"/>
          <w:sz w:val="32"/>
          <w:szCs w:val="32"/>
        </w:rPr>
        <w:t>（二）补助</w:t>
      </w:r>
    </w:p>
    <w:p>
      <w:pPr>
        <w:spacing w:line="590" w:lineRule="exact"/>
        <w:ind w:firstLine="600" w:firstLineChars="200"/>
        <w:rPr>
          <w:rFonts w:ascii="FangSong_GB2312" w:hAnsi="仿宋" w:eastAsia="FangSong_GB2312" w:cs="Times New Roman"/>
          <w:b/>
          <w:bCs/>
          <w:spacing w:val="-10"/>
          <w:sz w:val="32"/>
          <w:szCs w:val="32"/>
        </w:rPr>
      </w:pPr>
      <w:r>
        <w:rPr>
          <w:rFonts w:hint="eastAsia" w:ascii="FangSong_GB2312" w:hAnsi="仿宋" w:eastAsia="FangSong_GB2312" w:cs="FangSong_GB2312"/>
          <w:spacing w:val="-10"/>
          <w:sz w:val="32"/>
          <w:szCs w:val="32"/>
        </w:rPr>
        <w:t>根据被征收人选择的补偿方式不同，分别给予相应的补助：</w:t>
      </w:r>
    </w:p>
    <w:p>
      <w:pPr>
        <w:spacing w:line="590" w:lineRule="exact"/>
        <w:ind w:firstLine="619" w:firstLineChars="200"/>
        <w:rPr>
          <w:rFonts w:ascii="FangSong_GB2312" w:hAnsi="仿宋" w:eastAsia="FangSong_GB2312" w:cs="Times New Roman"/>
          <w:b/>
          <w:bCs/>
          <w:spacing w:val="-6"/>
          <w:sz w:val="32"/>
          <w:szCs w:val="32"/>
        </w:rPr>
      </w:pPr>
      <w:r>
        <w:rPr>
          <w:rFonts w:ascii="FangSong_GB2312" w:hAnsi="仿宋" w:eastAsia="FangSong_GB2312" w:cs="FangSong_GB2312"/>
          <w:b/>
          <w:bCs/>
          <w:spacing w:val="-6"/>
          <w:sz w:val="32"/>
          <w:szCs w:val="32"/>
        </w:rPr>
        <w:t>1.</w:t>
      </w:r>
      <w:r>
        <w:rPr>
          <w:rFonts w:hint="eastAsia" w:ascii="FangSong_GB2312" w:hAnsi="仿宋" w:eastAsia="FangSong_GB2312" w:cs="FangSong_GB2312"/>
          <w:b/>
          <w:bCs/>
          <w:spacing w:val="-6"/>
          <w:sz w:val="32"/>
          <w:szCs w:val="32"/>
        </w:rPr>
        <w:t>选择货币补偿的补助</w:t>
      </w:r>
    </w:p>
    <w:p>
      <w:pPr>
        <w:spacing w:line="590" w:lineRule="exact"/>
        <w:ind w:firstLine="616" w:firstLineChars="200"/>
        <w:rPr>
          <w:rFonts w:ascii="FangSong_GB2312" w:hAnsi="仿宋" w:eastAsia="FangSong_GB2312" w:cs="Times New Roman"/>
          <w:spacing w:val="-6"/>
          <w:sz w:val="32"/>
          <w:szCs w:val="32"/>
        </w:rPr>
      </w:pPr>
      <w:r>
        <w:rPr>
          <w:rFonts w:hint="eastAsia" w:ascii="FangSong_GB2312" w:hAnsi="仿宋" w:eastAsia="FangSong_GB2312" w:cs="FangSong_GB2312"/>
          <w:spacing w:val="-6"/>
          <w:sz w:val="32"/>
          <w:szCs w:val="32"/>
        </w:rPr>
        <w:t>被征收房屋评估总价值中用于选择货币补偿的，按</w:t>
      </w:r>
      <w:r>
        <w:rPr>
          <w:rFonts w:hint="eastAsia" w:ascii="FangSong_GB2312" w:hAnsi="仿宋" w:eastAsia="FangSong_GB2312" w:cs="FangSong_GB2312"/>
          <w:b/>
          <w:bCs/>
          <w:spacing w:val="-6"/>
          <w:sz w:val="32"/>
          <w:szCs w:val="32"/>
        </w:rPr>
        <w:t>20%</w:t>
      </w:r>
      <w:r>
        <w:rPr>
          <w:rFonts w:hint="eastAsia" w:ascii="FangSong_GB2312" w:hAnsi="仿宋" w:eastAsia="FangSong_GB2312" w:cs="FangSong_GB2312"/>
          <w:spacing w:val="-6"/>
          <w:sz w:val="32"/>
          <w:szCs w:val="32"/>
        </w:rPr>
        <w:t>给予补助。</w:t>
      </w:r>
    </w:p>
    <w:p>
      <w:pPr>
        <w:spacing w:line="590" w:lineRule="exact"/>
        <w:ind w:firstLine="619" w:firstLineChars="200"/>
        <w:rPr>
          <w:rFonts w:ascii="FangSong_GB2312" w:hAnsi="仿宋" w:eastAsia="FangSong_GB2312" w:cs="Times New Roman"/>
          <w:b/>
          <w:bCs/>
          <w:spacing w:val="-6"/>
          <w:sz w:val="32"/>
          <w:szCs w:val="32"/>
        </w:rPr>
      </w:pPr>
      <w:r>
        <w:rPr>
          <w:rFonts w:ascii="FangSong_GB2312" w:hAnsi="仿宋" w:eastAsia="FangSong_GB2312" w:cs="FangSong_GB2312"/>
          <w:b/>
          <w:bCs/>
          <w:spacing w:val="-6"/>
          <w:sz w:val="32"/>
          <w:szCs w:val="32"/>
        </w:rPr>
        <w:t>2.</w:t>
      </w:r>
      <w:r>
        <w:rPr>
          <w:rFonts w:hint="eastAsia" w:ascii="FangSong_GB2312" w:hAnsi="仿宋" w:eastAsia="FangSong_GB2312" w:cs="FangSong_GB2312"/>
          <w:b/>
          <w:bCs/>
          <w:spacing w:val="-6"/>
          <w:sz w:val="32"/>
          <w:szCs w:val="32"/>
        </w:rPr>
        <w:t>选择货币化安置凭证补偿的补助</w:t>
      </w:r>
    </w:p>
    <w:p>
      <w:pPr>
        <w:shd w:val="clear" w:color="auto" w:fill="FFFFFF"/>
        <w:spacing w:line="590" w:lineRule="exact"/>
        <w:ind w:firstLine="616" w:firstLineChars="200"/>
        <w:rPr>
          <w:rFonts w:ascii="FangSong_GB2312" w:hAnsi="仿宋" w:eastAsia="FangSong_GB2312" w:cs="FangSong_GB2312"/>
          <w:spacing w:val="-6"/>
          <w:kern w:val="0"/>
          <w:sz w:val="32"/>
          <w:szCs w:val="32"/>
        </w:rPr>
      </w:pPr>
      <w:r>
        <w:rPr>
          <w:rFonts w:hint="eastAsia" w:ascii="FangSong_GB2312" w:hAnsi="仿宋" w:eastAsia="FangSong_GB2312" w:cs="FangSong_GB2312"/>
          <w:spacing w:val="-6"/>
          <w:sz w:val="32"/>
          <w:szCs w:val="32"/>
        </w:rPr>
        <w:t>选择货币化安置凭证补偿获得的补助包括货币补偿补助（</w:t>
      </w:r>
      <w:r>
        <w:rPr>
          <w:rFonts w:ascii="FangSong_GB2312" w:hAnsi="仿宋" w:eastAsia="FangSong_GB2312" w:cs="FangSong_GB2312"/>
          <w:b/>
          <w:bCs/>
          <w:spacing w:val="-6"/>
          <w:sz w:val="32"/>
          <w:szCs w:val="32"/>
        </w:rPr>
        <w:t>20%</w:t>
      </w:r>
      <w:r>
        <w:rPr>
          <w:rFonts w:hint="eastAsia" w:ascii="FangSong_GB2312" w:hAnsi="仿宋" w:eastAsia="FangSong_GB2312" w:cs="FangSong_GB2312"/>
          <w:spacing w:val="-6"/>
          <w:sz w:val="32"/>
          <w:szCs w:val="32"/>
        </w:rPr>
        <w:t>）和货币化补偿安置凭证补助。</w:t>
      </w:r>
      <w:r>
        <w:rPr>
          <w:rFonts w:hint="eastAsia" w:ascii="FangSong_GB2312" w:hAnsi="仿宋" w:eastAsia="FangSong_GB2312" w:cs="FangSong_GB2312"/>
          <w:spacing w:val="-6"/>
          <w:kern w:val="0"/>
          <w:sz w:val="32"/>
          <w:szCs w:val="32"/>
        </w:rPr>
        <w:t>购买</w:t>
      </w:r>
      <w:r>
        <w:rPr>
          <w:rFonts w:hint="eastAsia" w:ascii="FangSong_GB2312" w:hAnsi="仿宋" w:eastAsia="FangSong_GB2312" w:cs="FangSong_GB2312"/>
          <w:spacing w:val="-6"/>
          <w:sz w:val="32"/>
          <w:szCs w:val="32"/>
        </w:rPr>
        <w:t>已取得预售许可且未经备案的一手新建商品住房</w:t>
      </w:r>
      <w:r>
        <w:rPr>
          <w:rFonts w:hint="eastAsia" w:ascii="FangSong_GB2312" w:hAnsi="仿宋" w:eastAsia="FangSong_GB2312" w:cs="FangSong_GB2312"/>
          <w:spacing w:val="-6"/>
          <w:kern w:val="0"/>
          <w:sz w:val="32"/>
          <w:szCs w:val="32"/>
        </w:rPr>
        <w:t>、缴纳新受让土地出让金、购买商业用房及办公用房的货币化补偿安置凭证补助分别为</w:t>
      </w:r>
      <w:r>
        <w:rPr>
          <w:rFonts w:hint="eastAsia" w:ascii="FangSong_GB2312" w:hAnsi="仿宋" w:eastAsia="FangSong_GB2312" w:cs="FangSong_GB2312"/>
          <w:b/>
          <w:bCs/>
          <w:spacing w:val="-6"/>
          <w:kern w:val="0"/>
          <w:sz w:val="32"/>
          <w:szCs w:val="32"/>
        </w:rPr>
        <w:t>15%、15%、10%</w:t>
      </w:r>
      <w:r>
        <w:rPr>
          <w:rFonts w:hint="eastAsia" w:ascii="FangSong_GB2312" w:hAnsi="仿宋" w:eastAsia="FangSong_GB2312" w:cs="FangSong_GB2312"/>
          <w:spacing w:val="-6"/>
          <w:kern w:val="0"/>
          <w:sz w:val="32"/>
          <w:szCs w:val="32"/>
        </w:rPr>
        <w:t>，具体如下：</w:t>
      </w:r>
    </w:p>
    <w:p>
      <w:pPr>
        <w:shd w:val="clear" w:color="auto" w:fill="FFFFFF"/>
        <w:spacing w:line="590" w:lineRule="exact"/>
        <w:ind w:firstLine="616" w:firstLineChars="200"/>
        <w:rPr>
          <w:rFonts w:ascii="FangSong_GB2312" w:hAnsi="仿宋" w:eastAsia="FangSong_GB2312" w:cs="FangSong_GB2312"/>
          <w:spacing w:val="-6"/>
          <w:kern w:val="0"/>
          <w:sz w:val="32"/>
          <w:szCs w:val="32"/>
        </w:rPr>
      </w:pPr>
      <w:r>
        <w:rPr>
          <w:rFonts w:hint="eastAsia" w:ascii="FangSong_GB2312" w:hAnsi="仿宋" w:eastAsia="FangSong_GB2312" w:cs="FangSong_GB2312"/>
          <w:spacing w:val="-6"/>
          <w:kern w:val="0"/>
          <w:sz w:val="32"/>
          <w:szCs w:val="32"/>
        </w:rPr>
        <w:t>被征收人在义乌市范围内购买已取得预售许可且未经备案的一手新建商品住房，按货币化安置凭证面值的(实际购房合同价款低于货币化安置凭证面值的，按购房合同价款)</w:t>
      </w:r>
      <w:r>
        <w:rPr>
          <w:rFonts w:hint="eastAsia" w:ascii="FangSong_GB2312" w:hAnsi="仿宋" w:eastAsia="FangSong_GB2312" w:cs="FangSong_GB2312"/>
          <w:b/>
          <w:bCs/>
          <w:spacing w:val="-6"/>
          <w:kern w:val="0"/>
          <w:sz w:val="32"/>
          <w:szCs w:val="32"/>
        </w:rPr>
        <w:t>35%</w:t>
      </w:r>
      <w:r>
        <w:rPr>
          <w:rFonts w:hint="eastAsia" w:ascii="FangSong_GB2312" w:hAnsi="仿宋" w:eastAsia="FangSong_GB2312" w:cs="FangSong_GB2312"/>
          <w:spacing w:val="-6"/>
          <w:kern w:val="0"/>
          <w:sz w:val="32"/>
          <w:szCs w:val="32"/>
        </w:rPr>
        <w:t>予以补助；用于在义乌市范围内缴纳新受让国有土地使用权（住宅或商住用地）出让金的，按货币化安置凭证面值的(实际土地出让合同价款低于货币化安置凭证面值的，按土地出让合同价款)</w:t>
      </w:r>
      <w:r>
        <w:rPr>
          <w:rFonts w:hint="eastAsia" w:ascii="FangSong_GB2312" w:hAnsi="仿宋" w:eastAsia="FangSong_GB2312" w:cs="FangSong_GB2312"/>
          <w:b/>
          <w:bCs/>
          <w:spacing w:val="-6"/>
          <w:kern w:val="0"/>
          <w:sz w:val="32"/>
          <w:szCs w:val="32"/>
        </w:rPr>
        <w:t>35%</w:t>
      </w:r>
      <w:r>
        <w:rPr>
          <w:rFonts w:hint="eastAsia" w:ascii="FangSong_GB2312" w:hAnsi="仿宋" w:eastAsia="FangSong_GB2312" w:cs="FangSong_GB2312"/>
          <w:spacing w:val="-6"/>
          <w:kern w:val="0"/>
          <w:sz w:val="32"/>
          <w:szCs w:val="32"/>
        </w:rPr>
        <w:t>予以补助；用于购买商业用房或办公用房的，按货币化安置凭证面值的(实际购房合同价款低于货币化安置凭证面值的，按购房合同价款)</w:t>
      </w:r>
      <w:r>
        <w:rPr>
          <w:rFonts w:hint="eastAsia" w:ascii="FangSong_GB2312" w:hAnsi="仿宋" w:eastAsia="FangSong_GB2312" w:cs="FangSong_GB2312"/>
          <w:b/>
          <w:bCs/>
          <w:spacing w:val="-6"/>
          <w:kern w:val="0"/>
          <w:sz w:val="32"/>
          <w:szCs w:val="32"/>
        </w:rPr>
        <w:t>30%</w:t>
      </w:r>
      <w:r>
        <w:rPr>
          <w:rFonts w:hint="eastAsia" w:ascii="FangSong_GB2312" w:hAnsi="仿宋" w:eastAsia="FangSong_GB2312" w:cs="FangSong_GB2312"/>
          <w:spacing w:val="-6"/>
          <w:kern w:val="0"/>
          <w:sz w:val="32"/>
          <w:szCs w:val="32"/>
        </w:rPr>
        <w:t>予以补助。</w:t>
      </w:r>
    </w:p>
    <w:p>
      <w:pPr>
        <w:shd w:val="clear" w:color="auto" w:fill="FFFFFF"/>
        <w:spacing w:line="590" w:lineRule="exact"/>
        <w:ind w:firstLine="616" w:firstLineChars="200"/>
        <w:rPr>
          <w:rFonts w:ascii="FangSong_GB2312" w:hAnsi="仿宋" w:eastAsia="FangSong_GB2312" w:cs="Times New Roman"/>
          <w:b/>
          <w:bCs/>
          <w:spacing w:val="-6"/>
          <w:sz w:val="32"/>
          <w:szCs w:val="32"/>
        </w:rPr>
      </w:pPr>
      <w:r>
        <w:rPr>
          <w:rFonts w:hint="eastAsia" w:ascii="FangSong_GB2312" w:hAnsi="仿宋" w:eastAsia="FangSong_GB2312" w:cs="FangSong_GB2312"/>
          <w:spacing w:val="-6"/>
          <w:kern w:val="0"/>
          <w:sz w:val="32"/>
          <w:szCs w:val="32"/>
        </w:rPr>
        <w:t>《义乌市货币化安置凭证管理办法》（义政办发[2016]105号）规定货币化补偿安置凭证有效期为一年。被征收人有需要的，可将使用期限延长至三年，三年</w:t>
      </w:r>
      <w:r>
        <w:rPr>
          <w:rFonts w:hint="eastAsia" w:ascii="FangSong_GB2312" w:hAnsi="仿宋" w:eastAsia="FangSong_GB2312" w:cs="FangSong_GB2312"/>
          <w:spacing w:val="-6"/>
          <w:sz w:val="32"/>
          <w:szCs w:val="32"/>
        </w:rPr>
        <w:t>内货币化补偿安置凭证使用价值不变。未使用的货币化补偿安置凭证，不满一年兑现的，按货币化补偿安置凭证面值的</w:t>
      </w:r>
      <w:r>
        <w:rPr>
          <w:rFonts w:ascii="FangSong_GB2312" w:hAnsi="仿宋" w:eastAsia="FangSong_GB2312" w:cs="FangSong_GB2312"/>
          <w:b/>
          <w:bCs/>
          <w:spacing w:val="-6"/>
          <w:sz w:val="32"/>
          <w:szCs w:val="32"/>
        </w:rPr>
        <w:t>120%</w:t>
      </w:r>
      <w:r>
        <w:rPr>
          <w:rFonts w:hint="eastAsia" w:ascii="FangSong_GB2312" w:hAnsi="仿宋" w:eastAsia="FangSong_GB2312" w:cs="FangSong_GB2312"/>
          <w:spacing w:val="-6"/>
          <w:sz w:val="32"/>
          <w:szCs w:val="32"/>
        </w:rPr>
        <w:t>予以兑现；超过一年不满两年兑现的，按货币化补偿安置凭证面值的</w:t>
      </w:r>
      <w:r>
        <w:rPr>
          <w:rFonts w:ascii="FangSong_GB2312" w:hAnsi="仿宋" w:eastAsia="FangSong_GB2312" w:cs="FangSong_GB2312"/>
          <w:b/>
          <w:bCs/>
          <w:spacing w:val="-6"/>
          <w:sz w:val="32"/>
          <w:szCs w:val="32"/>
        </w:rPr>
        <w:t>125%</w:t>
      </w:r>
      <w:r>
        <w:rPr>
          <w:rFonts w:hint="eastAsia" w:ascii="FangSong_GB2312" w:hAnsi="仿宋" w:eastAsia="FangSong_GB2312" w:cs="FangSong_GB2312"/>
          <w:spacing w:val="-6"/>
          <w:sz w:val="32"/>
          <w:szCs w:val="32"/>
        </w:rPr>
        <w:t>予以兑现</w:t>
      </w:r>
      <w:r>
        <w:rPr>
          <w:rFonts w:hint="eastAsia" w:ascii="FangSong_GB2312" w:hAnsi="仿宋" w:eastAsia="FangSong_GB2312" w:cs="FangSong_GB2312"/>
          <w:b/>
          <w:bCs/>
          <w:spacing w:val="-6"/>
          <w:sz w:val="32"/>
          <w:szCs w:val="32"/>
        </w:rPr>
        <w:t>；</w:t>
      </w:r>
      <w:r>
        <w:rPr>
          <w:rFonts w:hint="eastAsia" w:ascii="FangSong_GB2312" w:hAnsi="仿宋" w:eastAsia="FangSong_GB2312" w:cs="FangSong_GB2312"/>
          <w:spacing w:val="-6"/>
          <w:sz w:val="32"/>
          <w:szCs w:val="32"/>
        </w:rPr>
        <w:t>超过两年不满三年兑现的，按货币化补偿安置凭证面值的</w:t>
      </w:r>
      <w:r>
        <w:rPr>
          <w:rFonts w:ascii="FangSong_GB2312" w:hAnsi="仿宋" w:eastAsia="FangSong_GB2312" w:cs="FangSong_GB2312"/>
          <w:b/>
          <w:bCs/>
          <w:spacing w:val="-6"/>
          <w:sz w:val="32"/>
          <w:szCs w:val="32"/>
        </w:rPr>
        <w:t>130%</w:t>
      </w:r>
      <w:r>
        <w:rPr>
          <w:rFonts w:hint="eastAsia" w:ascii="FangSong_GB2312" w:hAnsi="仿宋" w:eastAsia="FangSong_GB2312" w:cs="FangSong_GB2312"/>
          <w:spacing w:val="-6"/>
          <w:sz w:val="32"/>
          <w:szCs w:val="32"/>
        </w:rPr>
        <w:t>予以兑现；超过三年后兑现的，按货币化补偿安置凭证面值的</w:t>
      </w:r>
      <w:r>
        <w:rPr>
          <w:rFonts w:hint="eastAsia" w:ascii="FangSong_GB2312" w:hAnsi="仿宋" w:eastAsia="FangSong_GB2312" w:cs="FangSong_GB2312"/>
          <w:b/>
          <w:spacing w:val="-6"/>
          <w:sz w:val="32"/>
          <w:szCs w:val="32"/>
        </w:rPr>
        <w:t>135%</w:t>
      </w:r>
      <w:r>
        <w:rPr>
          <w:rFonts w:hint="eastAsia" w:ascii="FangSong_GB2312" w:hAnsi="仿宋" w:eastAsia="FangSong_GB2312" w:cs="FangSong_GB2312"/>
          <w:spacing w:val="-6"/>
          <w:sz w:val="32"/>
          <w:szCs w:val="32"/>
        </w:rPr>
        <w:t>予以兑现。</w:t>
      </w:r>
    </w:p>
    <w:p>
      <w:pPr>
        <w:spacing w:line="590" w:lineRule="exact"/>
        <w:ind w:firstLine="619" w:firstLineChars="200"/>
        <w:rPr>
          <w:rFonts w:ascii="FangSong_GB2312" w:hAnsi="仿宋" w:eastAsia="FangSong_GB2312" w:cs="Times New Roman"/>
          <w:b/>
          <w:bCs/>
          <w:spacing w:val="-6"/>
          <w:sz w:val="32"/>
          <w:szCs w:val="32"/>
        </w:rPr>
      </w:pPr>
      <w:r>
        <w:rPr>
          <w:rFonts w:ascii="FangSong_GB2312" w:hAnsi="仿宋" w:eastAsia="FangSong_GB2312" w:cs="FangSong_GB2312"/>
          <w:b/>
          <w:bCs/>
          <w:spacing w:val="-6"/>
          <w:sz w:val="32"/>
          <w:szCs w:val="32"/>
        </w:rPr>
        <w:t>3.</w:t>
      </w:r>
      <w:r>
        <w:rPr>
          <w:rFonts w:hint="eastAsia" w:ascii="FangSong_GB2312" w:hAnsi="仿宋" w:eastAsia="FangSong_GB2312" w:cs="FangSong_GB2312"/>
          <w:b/>
          <w:bCs/>
          <w:spacing w:val="-6"/>
          <w:sz w:val="32"/>
          <w:szCs w:val="32"/>
        </w:rPr>
        <w:t>选择产权调换的补助</w:t>
      </w:r>
    </w:p>
    <w:p>
      <w:pPr>
        <w:spacing w:line="590" w:lineRule="exact"/>
        <w:ind w:firstLine="616" w:firstLineChars="200"/>
        <w:rPr>
          <w:rFonts w:ascii="FangSong_GB2312" w:hAnsi="仿宋" w:eastAsia="FangSong_GB2312" w:cs="FangSong_GB2312"/>
          <w:spacing w:val="-6"/>
          <w:sz w:val="32"/>
          <w:szCs w:val="32"/>
        </w:rPr>
      </w:pPr>
      <w:r>
        <w:rPr>
          <w:rFonts w:hint="eastAsia" w:ascii="FangSong_GB2312" w:hAnsi="仿宋" w:eastAsia="FangSong_GB2312" w:cs="FangSong_GB2312"/>
          <w:spacing w:val="-6"/>
          <w:sz w:val="32"/>
          <w:szCs w:val="32"/>
        </w:rPr>
        <w:t>被征收房屋评估总价值中用于产权调换的部分，按</w:t>
      </w:r>
      <w:r>
        <w:rPr>
          <w:rFonts w:hint="eastAsia" w:ascii="FangSong_GB2312" w:hAnsi="仿宋" w:eastAsia="FangSong_GB2312" w:cs="FangSong_GB2312"/>
          <w:b/>
          <w:bCs/>
          <w:spacing w:val="-6"/>
          <w:sz w:val="32"/>
          <w:szCs w:val="32"/>
        </w:rPr>
        <w:t>5%</w:t>
      </w:r>
      <w:r>
        <w:rPr>
          <w:rFonts w:hint="eastAsia" w:ascii="FangSong_GB2312" w:hAnsi="仿宋" w:eastAsia="FangSong_GB2312" w:cs="FangSong_GB2312"/>
          <w:spacing w:val="-6"/>
          <w:sz w:val="32"/>
          <w:szCs w:val="32"/>
        </w:rPr>
        <w:t>给予补助。</w:t>
      </w:r>
    </w:p>
    <w:p>
      <w:pPr>
        <w:spacing w:line="590" w:lineRule="exact"/>
        <w:ind w:firstLine="619" w:firstLineChars="200"/>
        <w:rPr>
          <w:rFonts w:ascii="楷体_GB2312" w:hAnsi="仿宋" w:eastAsia="楷体_GB2312" w:cs="Times New Roman"/>
          <w:b/>
          <w:bCs/>
          <w:spacing w:val="-6"/>
          <w:sz w:val="32"/>
          <w:szCs w:val="32"/>
        </w:rPr>
      </w:pPr>
      <w:r>
        <w:rPr>
          <w:rFonts w:hint="eastAsia" w:ascii="楷体_GB2312" w:hAnsi="仿宋" w:eastAsia="楷体_GB2312" w:cs="楷体_GB2312"/>
          <w:b/>
          <w:bCs/>
          <w:spacing w:val="-6"/>
          <w:sz w:val="32"/>
          <w:szCs w:val="32"/>
        </w:rPr>
        <w:t>（三）奖励</w:t>
      </w:r>
    </w:p>
    <w:p>
      <w:pPr>
        <w:spacing w:line="590" w:lineRule="exact"/>
        <w:ind w:firstLine="619" w:firstLineChars="200"/>
        <w:rPr>
          <w:rFonts w:ascii="FangSong_GB2312" w:hAnsi="仿宋" w:eastAsia="FangSong_GB2312" w:cs="Times New Roman"/>
          <w:b/>
          <w:bCs/>
          <w:spacing w:val="-6"/>
          <w:sz w:val="32"/>
          <w:szCs w:val="32"/>
        </w:rPr>
      </w:pPr>
      <w:r>
        <w:rPr>
          <w:rFonts w:ascii="FangSong_GB2312" w:hAnsi="仿宋" w:eastAsia="FangSong_GB2312" w:cs="FangSong_GB2312"/>
          <w:b/>
          <w:bCs/>
          <w:spacing w:val="-6"/>
          <w:sz w:val="32"/>
          <w:szCs w:val="32"/>
        </w:rPr>
        <w:t>1.</w:t>
      </w:r>
      <w:r>
        <w:rPr>
          <w:rFonts w:hint="eastAsia" w:ascii="FangSong_GB2312" w:hAnsi="仿宋" w:eastAsia="FangSong_GB2312" w:cs="FangSong_GB2312"/>
          <w:b/>
          <w:bCs/>
          <w:spacing w:val="-6"/>
          <w:sz w:val="32"/>
          <w:szCs w:val="32"/>
        </w:rPr>
        <w:t>评估奖</w:t>
      </w:r>
    </w:p>
    <w:p>
      <w:pPr>
        <w:spacing w:line="590" w:lineRule="exact"/>
        <w:ind w:firstLine="616" w:firstLineChars="200"/>
        <w:rPr>
          <w:rFonts w:ascii="FangSong_GB2312" w:hAnsi="仿宋" w:eastAsia="FangSong_GB2312" w:cs="Times New Roman"/>
          <w:spacing w:val="-6"/>
          <w:sz w:val="32"/>
          <w:szCs w:val="32"/>
        </w:rPr>
      </w:pPr>
      <w:r>
        <w:rPr>
          <w:rFonts w:hint="eastAsia" w:ascii="FangSong_GB2312" w:hAnsi="仿宋" w:eastAsia="FangSong_GB2312" w:cs="FangSong_GB2312"/>
          <w:spacing w:val="-6"/>
          <w:sz w:val="32"/>
          <w:szCs w:val="32"/>
        </w:rPr>
        <w:t>被征收人在规定时间内，配合房地产价格评估机构做好被征收房屋评估工作的，垂直房每户奖励</w:t>
      </w:r>
      <w:r>
        <w:rPr>
          <w:rFonts w:ascii="FangSong_GB2312" w:hAnsi="仿宋" w:eastAsia="FangSong_GB2312" w:cs="FangSong_GB2312"/>
          <w:spacing w:val="-6"/>
          <w:sz w:val="32"/>
          <w:szCs w:val="32"/>
        </w:rPr>
        <w:t>5000</w:t>
      </w:r>
      <w:r>
        <w:rPr>
          <w:rFonts w:hint="eastAsia" w:ascii="FangSong_GB2312" w:hAnsi="仿宋" w:eastAsia="FangSong_GB2312" w:cs="FangSong_GB2312"/>
          <w:spacing w:val="-6"/>
          <w:sz w:val="32"/>
          <w:szCs w:val="32"/>
        </w:rPr>
        <w:t>元，其它每户奖励</w:t>
      </w:r>
      <w:r>
        <w:rPr>
          <w:rFonts w:ascii="FangSong_GB2312" w:hAnsi="仿宋" w:eastAsia="FangSong_GB2312" w:cs="FangSong_GB2312"/>
          <w:spacing w:val="-6"/>
          <w:sz w:val="32"/>
          <w:szCs w:val="32"/>
        </w:rPr>
        <w:t>2000</w:t>
      </w:r>
      <w:r>
        <w:rPr>
          <w:rFonts w:hint="eastAsia" w:ascii="FangSong_GB2312" w:hAnsi="仿宋" w:eastAsia="FangSong_GB2312" w:cs="FangSong_GB2312"/>
          <w:spacing w:val="-6"/>
          <w:sz w:val="32"/>
          <w:szCs w:val="32"/>
        </w:rPr>
        <w:t>元。</w:t>
      </w:r>
    </w:p>
    <w:p>
      <w:pPr>
        <w:spacing w:line="590" w:lineRule="exact"/>
        <w:ind w:firstLine="616" w:firstLineChars="200"/>
        <w:rPr>
          <w:rFonts w:ascii="FangSong_GB2312" w:hAnsi="仿宋" w:eastAsia="FangSong_GB2312" w:cs="FangSong_GB2312"/>
          <w:spacing w:val="-6"/>
          <w:sz w:val="32"/>
          <w:szCs w:val="32"/>
        </w:rPr>
      </w:pPr>
      <w:r>
        <w:rPr>
          <w:rFonts w:hint="eastAsia" w:ascii="FangSong_GB2312" w:hAnsi="仿宋" w:eastAsia="FangSong_GB2312" w:cs="FangSong_GB2312"/>
          <w:spacing w:val="-6"/>
          <w:sz w:val="32"/>
          <w:szCs w:val="32"/>
        </w:rPr>
        <w:t>平房车库、独立地下车库、储藏间等附属用房不单独计户。</w:t>
      </w:r>
    </w:p>
    <w:p>
      <w:pPr>
        <w:spacing w:line="590" w:lineRule="exact"/>
        <w:ind w:firstLine="619" w:firstLineChars="200"/>
        <w:rPr>
          <w:rFonts w:ascii="FangSong_GB2312" w:hAnsi="仿宋" w:eastAsia="FangSong_GB2312" w:cs="Times New Roman"/>
          <w:b/>
          <w:bCs/>
          <w:spacing w:val="-6"/>
          <w:sz w:val="32"/>
          <w:szCs w:val="32"/>
        </w:rPr>
      </w:pPr>
      <w:r>
        <w:rPr>
          <w:rFonts w:ascii="FangSong_GB2312" w:hAnsi="仿宋" w:eastAsia="FangSong_GB2312" w:cs="FangSong_GB2312"/>
          <w:b/>
          <w:bCs/>
          <w:spacing w:val="-6"/>
          <w:sz w:val="32"/>
          <w:szCs w:val="32"/>
        </w:rPr>
        <w:t>2.</w:t>
      </w:r>
      <w:r>
        <w:rPr>
          <w:rFonts w:hint="eastAsia" w:ascii="FangSong_GB2312" w:hAnsi="仿宋" w:eastAsia="FangSong_GB2312" w:cs="FangSong_GB2312"/>
          <w:b/>
          <w:bCs/>
          <w:spacing w:val="-6"/>
          <w:sz w:val="32"/>
          <w:szCs w:val="32"/>
        </w:rPr>
        <w:t>签约奖</w:t>
      </w:r>
    </w:p>
    <w:p>
      <w:pPr>
        <w:spacing w:line="590" w:lineRule="exact"/>
        <w:ind w:firstLine="616" w:firstLineChars="200"/>
        <w:rPr>
          <w:rFonts w:ascii="FangSong_GB2312" w:hAnsi="仿宋" w:eastAsia="FangSong_GB2312" w:cs="Times New Roman"/>
          <w:spacing w:val="-6"/>
          <w:sz w:val="32"/>
          <w:szCs w:val="32"/>
        </w:rPr>
      </w:pPr>
      <w:r>
        <w:rPr>
          <w:rFonts w:hint="eastAsia" w:ascii="FangSong_GB2312" w:hAnsi="仿宋" w:eastAsia="FangSong_GB2312" w:cs="FangSong_GB2312"/>
          <w:spacing w:val="-6"/>
          <w:sz w:val="32"/>
          <w:szCs w:val="32"/>
        </w:rPr>
        <w:t>被征收人在规定签约期限前的不同时段内签订补偿协议的，按被征收房屋评估总价值的</w:t>
      </w:r>
      <w:r>
        <w:rPr>
          <w:rFonts w:ascii="FangSong_GB2312" w:hAnsi="仿宋" w:eastAsia="FangSong_GB2312" w:cs="FangSong_GB2312"/>
          <w:b/>
          <w:bCs/>
          <w:spacing w:val="-6"/>
          <w:sz w:val="32"/>
          <w:szCs w:val="32"/>
        </w:rPr>
        <w:t>1%-3%</w:t>
      </w:r>
      <w:r>
        <w:rPr>
          <w:rFonts w:hint="eastAsia" w:ascii="FangSong_GB2312" w:hAnsi="仿宋" w:eastAsia="FangSong_GB2312" w:cs="FangSong_GB2312"/>
          <w:spacing w:val="-6"/>
          <w:sz w:val="32"/>
          <w:szCs w:val="32"/>
        </w:rPr>
        <w:t>给予奖励</w:t>
      </w:r>
      <w:bookmarkStart w:id="0" w:name="OLE_LINK1"/>
      <w:r>
        <w:rPr>
          <w:rFonts w:hint="eastAsia" w:ascii="FangSong_GB2312" w:hAnsi="仿宋" w:eastAsia="FangSong_GB2312" w:cs="FangSong_GB2312"/>
          <w:spacing w:val="-6"/>
          <w:sz w:val="32"/>
          <w:szCs w:val="32"/>
        </w:rPr>
        <w:t>。</w:t>
      </w:r>
    </w:p>
    <w:p>
      <w:pPr>
        <w:spacing w:line="590" w:lineRule="exact"/>
        <w:ind w:firstLine="616" w:firstLineChars="200"/>
        <w:rPr>
          <w:rFonts w:ascii="FangSong_GB2312" w:hAnsi="仿宋" w:eastAsia="FangSong_GB2312" w:cs="Times New Roman"/>
          <w:spacing w:val="-6"/>
          <w:sz w:val="32"/>
          <w:szCs w:val="32"/>
        </w:rPr>
      </w:pPr>
      <w:r>
        <w:rPr>
          <w:rFonts w:hint="eastAsia" w:ascii="FangSong_GB2312" w:hAnsi="仿宋" w:eastAsia="FangSong_GB2312" w:cs="FangSong_GB2312"/>
          <w:spacing w:val="-6"/>
          <w:sz w:val="32"/>
          <w:szCs w:val="32"/>
        </w:rPr>
        <w:t>第一时段（具体时间另行确定，下同）签约的，给予被征收房屋评估总价值</w:t>
      </w:r>
      <w:r>
        <w:rPr>
          <w:rFonts w:ascii="FangSong_GB2312" w:hAnsi="仿宋" w:eastAsia="FangSong_GB2312" w:cs="FangSong_GB2312"/>
          <w:spacing w:val="-6"/>
          <w:sz w:val="32"/>
          <w:szCs w:val="32"/>
        </w:rPr>
        <w:t>3%</w:t>
      </w:r>
      <w:r>
        <w:rPr>
          <w:rFonts w:hint="eastAsia" w:ascii="FangSong_GB2312" w:hAnsi="仿宋" w:eastAsia="FangSong_GB2312" w:cs="FangSong_GB2312"/>
          <w:spacing w:val="-6"/>
          <w:sz w:val="32"/>
          <w:szCs w:val="32"/>
        </w:rPr>
        <w:t>的奖励；</w:t>
      </w:r>
    </w:p>
    <w:p>
      <w:pPr>
        <w:spacing w:line="590" w:lineRule="exact"/>
        <w:ind w:firstLine="616" w:firstLineChars="200"/>
        <w:rPr>
          <w:rFonts w:ascii="FangSong_GB2312" w:hAnsi="仿宋" w:eastAsia="FangSong_GB2312" w:cs="Times New Roman"/>
          <w:spacing w:val="-6"/>
          <w:sz w:val="32"/>
          <w:szCs w:val="32"/>
        </w:rPr>
      </w:pPr>
      <w:r>
        <w:rPr>
          <w:rFonts w:hint="eastAsia" w:ascii="FangSong_GB2312" w:hAnsi="仿宋" w:eastAsia="FangSong_GB2312" w:cs="FangSong_GB2312"/>
          <w:spacing w:val="-6"/>
          <w:sz w:val="32"/>
          <w:szCs w:val="32"/>
        </w:rPr>
        <w:t>第二时段签约的，给予被征收房屋评估总价值</w:t>
      </w:r>
      <w:r>
        <w:rPr>
          <w:rFonts w:ascii="FangSong_GB2312" w:hAnsi="仿宋" w:eastAsia="FangSong_GB2312" w:cs="FangSong_GB2312"/>
          <w:spacing w:val="-6"/>
          <w:sz w:val="32"/>
          <w:szCs w:val="32"/>
        </w:rPr>
        <w:t>2%</w:t>
      </w:r>
      <w:r>
        <w:rPr>
          <w:rFonts w:hint="eastAsia" w:ascii="FangSong_GB2312" w:hAnsi="仿宋" w:eastAsia="FangSong_GB2312" w:cs="FangSong_GB2312"/>
          <w:spacing w:val="-6"/>
          <w:sz w:val="32"/>
          <w:szCs w:val="32"/>
        </w:rPr>
        <w:t>的奖励；</w:t>
      </w:r>
    </w:p>
    <w:p>
      <w:pPr>
        <w:spacing w:line="590" w:lineRule="exact"/>
        <w:ind w:firstLine="616" w:firstLineChars="200"/>
        <w:rPr>
          <w:rFonts w:ascii="FangSong_GB2312" w:hAnsi="仿宋" w:eastAsia="FangSong_GB2312" w:cs="Times New Roman"/>
          <w:spacing w:val="-6"/>
          <w:sz w:val="32"/>
          <w:szCs w:val="32"/>
        </w:rPr>
      </w:pPr>
      <w:r>
        <w:rPr>
          <w:rFonts w:hint="eastAsia" w:ascii="FangSong_GB2312" w:hAnsi="仿宋" w:eastAsia="FangSong_GB2312" w:cs="FangSong_GB2312"/>
          <w:spacing w:val="-6"/>
          <w:sz w:val="32"/>
          <w:szCs w:val="32"/>
        </w:rPr>
        <w:t>第三时段签约的，给予被征收房屋评估总价值</w:t>
      </w:r>
      <w:r>
        <w:rPr>
          <w:rFonts w:ascii="FangSong_GB2312" w:hAnsi="仿宋" w:eastAsia="FangSong_GB2312" w:cs="FangSong_GB2312"/>
          <w:spacing w:val="-6"/>
          <w:sz w:val="32"/>
          <w:szCs w:val="32"/>
        </w:rPr>
        <w:t>1%</w:t>
      </w:r>
      <w:r>
        <w:rPr>
          <w:rFonts w:hint="eastAsia" w:ascii="FangSong_GB2312" w:hAnsi="仿宋" w:eastAsia="FangSong_GB2312" w:cs="FangSong_GB2312"/>
          <w:spacing w:val="-6"/>
          <w:sz w:val="32"/>
          <w:szCs w:val="32"/>
        </w:rPr>
        <w:t>的奖励。</w:t>
      </w:r>
    </w:p>
    <w:p>
      <w:pPr>
        <w:spacing w:line="590" w:lineRule="exact"/>
        <w:ind w:firstLine="616" w:firstLineChars="200"/>
        <w:rPr>
          <w:rFonts w:ascii="FangSong_GB2312" w:hAnsi="仿宋" w:eastAsia="FangSong_GB2312" w:cs="FangSong_GB2312"/>
          <w:spacing w:val="-6"/>
          <w:sz w:val="32"/>
          <w:szCs w:val="32"/>
        </w:rPr>
      </w:pPr>
      <w:r>
        <w:rPr>
          <w:rFonts w:hint="eastAsia" w:ascii="FangSong_GB2312" w:hAnsi="仿宋" w:eastAsia="FangSong_GB2312" w:cs="FangSong_GB2312"/>
          <w:spacing w:val="-6"/>
          <w:sz w:val="32"/>
          <w:szCs w:val="32"/>
        </w:rPr>
        <w:t>在规定期限内签约的住宅、商业、办公房屋，自然成套的</w:t>
      </w:r>
      <w:r>
        <w:rPr>
          <w:rFonts w:hint="eastAsia" w:ascii="FangSong_GB2312" w:hAnsi="仿宋" w:eastAsia="FangSong_GB2312" w:cs="FangSong_GB2312"/>
          <w:b/>
          <w:bCs/>
          <w:spacing w:val="-6"/>
          <w:sz w:val="32"/>
          <w:szCs w:val="32"/>
        </w:rPr>
        <w:t>水平房</w:t>
      </w:r>
      <w:r>
        <w:rPr>
          <w:rFonts w:hint="eastAsia" w:ascii="FangSong_GB2312" w:hAnsi="仿宋" w:eastAsia="FangSong_GB2312" w:cs="FangSong_GB2312"/>
          <w:spacing w:val="-6"/>
          <w:sz w:val="32"/>
          <w:szCs w:val="32"/>
        </w:rPr>
        <w:t>再给予房屋主体建筑面积每平方米</w:t>
      </w:r>
      <w:r>
        <w:rPr>
          <w:rFonts w:hint="eastAsia" w:ascii="FangSong_GB2312" w:hAnsi="仿宋" w:eastAsia="FangSong_GB2312" w:cs="FangSong_GB2312"/>
          <w:b/>
          <w:bCs/>
          <w:spacing w:val="-6"/>
          <w:sz w:val="32"/>
          <w:szCs w:val="32"/>
        </w:rPr>
        <w:t>1000元</w:t>
      </w:r>
      <w:r>
        <w:rPr>
          <w:rFonts w:hint="eastAsia" w:ascii="FangSong_GB2312" w:hAnsi="仿宋" w:eastAsia="FangSong_GB2312" w:cs="FangSong_GB2312"/>
          <w:spacing w:val="-6"/>
          <w:sz w:val="32"/>
          <w:szCs w:val="32"/>
        </w:rPr>
        <w:t>的奖励，</w:t>
      </w:r>
      <w:r>
        <w:rPr>
          <w:rFonts w:hint="eastAsia" w:ascii="FangSong_GB2312" w:hAnsi="仿宋" w:eastAsia="FangSong_GB2312" w:cs="FangSong_GB2312"/>
          <w:b/>
          <w:bCs/>
          <w:spacing w:val="-6"/>
          <w:sz w:val="32"/>
          <w:szCs w:val="32"/>
        </w:rPr>
        <w:t>垂直房</w:t>
      </w:r>
      <w:r>
        <w:rPr>
          <w:rFonts w:hint="eastAsia" w:ascii="FangSong_GB2312" w:hAnsi="仿宋" w:eastAsia="FangSong_GB2312" w:cs="FangSong_GB2312"/>
          <w:spacing w:val="-6"/>
          <w:sz w:val="32"/>
          <w:szCs w:val="32"/>
        </w:rPr>
        <w:t>（含已分割为水平房的）再给予合法建筑占地面积每平方米</w:t>
      </w:r>
      <w:r>
        <w:rPr>
          <w:rFonts w:hint="eastAsia" w:ascii="FangSong_GB2312" w:hAnsi="仿宋" w:eastAsia="FangSong_GB2312" w:cs="FangSong_GB2312"/>
          <w:b/>
          <w:bCs/>
          <w:spacing w:val="-6"/>
          <w:sz w:val="32"/>
          <w:szCs w:val="32"/>
        </w:rPr>
        <w:t>3000元</w:t>
      </w:r>
      <w:r>
        <w:rPr>
          <w:rFonts w:hint="eastAsia" w:ascii="FangSong_GB2312" w:hAnsi="仿宋" w:eastAsia="FangSong_GB2312" w:cs="FangSong_GB2312"/>
          <w:spacing w:val="-6"/>
          <w:sz w:val="32"/>
          <w:szCs w:val="32"/>
        </w:rPr>
        <w:t>的奖励。</w:t>
      </w:r>
    </w:p>
    <w:p>
      <w:pPr>
        <w:spacing w:line="590" w:lineRule="exact"/>
        <w:ind w:firstLine="619" w:firstLineChars="200"/>
        <w:rPr>
          <w:rFonts w:ascii="FangSong_GB2312" w:hAnsi="仿宋" w:eastAsia="FangSong_GB2312" w:cs="Times New Roman"/>
          <w:b/>
          <w:spacing w:val="-6"/>
          <w:sz w:val="32"/>
          <w:szCs w:val="32"/>
        </w:rPr>
      </w:pPr>
      <w:r>
        <w:rPr>
          <w:rFonts w:hint="eastAsia" w:ascii="FangSong_GB2312" w:hAnsi="仿宋" w:eastAsia="FangSong_GB2312" w:cs="FangSong_GB2312"/>
          <w:b/>
          <w:spacing w:val="-6"/>
          <w:sz w:val="32"/>
          <w:szCs w:val="32"/>
        </w:rPr>
        <w:t>规定期限内未签约的，不予奖励。</w:t>
      </w:r>
    </w:p>
    <w:p>
      <w:pPr>
        <w:spacing w:line="590" w:lineRule="exact"/>
        <w:ind w:firstLine="619" w:firstLineChars="200"/>
        <w:rPr>
          <w:rFonts w:ascii="FangSong_GB2312" w:hAnsi="仿宋" w:eastAsia="FangSong_GB2312" w:cs="Times New Roman"/>
          <w:spacing w:val="-6"/>
          <w:sz w:val="32"/>
          <w:szCs w:val="32"/>
        </w:rPr>
      </w:pPr>
      <w:r>
        <w:rPr>
          <w:rFonts w:ascii="FangSong_GB2312" w:hAnsi="仿宋" w:eastAsia="FangSong_GB2312" w:cs="FangSong_GB2312"/>
          <w:b/>
          <w:bCs/>
          <w:spacing w:val="-6"/>
          <w:sz w:val="32"/>
          <w:szCs w:val="32"/>
        </w:rPr>
        <w:t>3.</w:t>
      </w:r>
      <w:r>
        <w:rPr>
          <w:rFonts w:hint="eastAsia" w:ascii="FangSong_GB2312" w:hAnsi="仿宋" w:eastAsia="FangSong_GB2312" w:cs="FangSong_GB2312"/>
          <w:b/>
          <w:bCs/>
          <w:spacing w:val="-6"/>
          <w:sz w:val="32"/>
          <w:szCs w:val="32"/>
        </w:rPr>
        <w:t>搬迁奖</w:t>
      </w:r>
    </w:p>
    <w:p>
      <w:pPr>
        <w:spacing w:line="590" w:lineRule="exact"/>
        <w:ind w:firstLine="616" w:firstLineChars="200"/>
        <w:rPr>
          <w:rFonts w:ascii="FangSong_GB2312" w:hAnsi="仿宋" w:eastAsia="FangSong_GB2312" w:cs="Times New Roman"/>
          <w:spacing w:val="-6"/>
          <w:sz w:val="32"/>
          <w:szCs w:val="32"/>
        </w:rPr>
      </w:pPr>
      <w:r>
        <w:rPr>
          <w:rFonts w:hint="eastAsia" w:ascii="FangSong_GB2312" w:hAnsi="仿宋" w:eastAsia="FangSong_GB2312" w:cs="FangSong_GB2312"/>
          <w:spacing w:val="-6"/>
          <w:sz w:val="32"/>
          <w:szCs w:val="32"/>
        </w:rPr>
        <w:t>被征收人在规定搬迁腾空期限前的不同时段内腾空被征收房屋、交付钥匙并结清水电等费用，按被征收房屋评估总价值的</w:t>
      </w:r>
      <w:r>
        <w:rPr>
          <w:rFonts w:ascii="FangSong_GB2312" w:hAnsi="仿宋" w:eastAsia="FangSong_GB2312" w:cs="FangSong_GB2312"/>
          <w:b/>
          <w:bCs/>
          <w:spacing w:val="-6"/>
          <w:sz w:val="32"/>
          <w:szCs w:val="32"/>
        </w:rPr>
        <w:t>1%-2%</w:t>
      </w:r>
      <w:r>
        <w:rPr>
          <w:rFonts w:hint="eastAsia" w:ascii="FangSong_GB2312" w:hAnsi="仿宋" w:eastAsia="FangSong_GB2312" w:cs="FangSong_GB2312"/>
          <w:spacing w:val="-6"/>
          <w:sz w:val="32"/>
          <w:szCs w:val="32"/>
        </w:rPr>
        <w:t>给予奖励。</w:t>
      </w:r>
    </w:p>
    <w:p>
      <w:pPr>
        <w:spacing w:line="590" w:lineRule="exact"/>
        <w:ind w:firstLine="616" w:firstLineChars="200"/>
        <w:rPr>
          <w:rFonts w:ascii="FangSong_GB2312" w:hAnsi="仿宋" w:eastAsia="FangSong_GB2312" w:cs="Times New Roman"/>
          <w:spacing w:val="-6"/>
          <w:sz w:val="32"/>
          <w:szCs w:val="32"/>
        </w:rPr>
      </w:pPr>
      <w:r>
        <w:rPr>
          <w:rFonts w:hint="eastAsia" w:ascii="FangSong_GB2312" w:hAnsi="仿宋" w:eastAsia="FangSong_GB2312" w:cs="FangSong_GB2312"/>
          <w:spacing w:val="-6"/>
          <w:sz w:val="32"/>
          <w:szCs w:val="32"/>
        </w:rPr>
        <w:t>第一时段（具体时间另行确定，下同）搬迁腾空的，给予被征收房屋评估总价值</w:t>
      </w:r>
      <w:r>
        <w:rPr>
          <w:rFonts w:ascii="FangSong_GB2312" w:hAnsi="仿宋" w:eastAsia="FangSong_GB2312" w:cs="FangSong_GB2312"/>
          <w:spacing w:val="-6"/>
          <w:sz w:val="32"/>
          <w:szCs w:val="32"/>
        </w:rPr>
        <w:t>2%</w:t>
      </w:r>
      <w:r>
        <w:rPr>
          <w:rFonts w:hint="eastAsia" w:ascii="FangSong_GB2312" w:hAnsi="仿宋" w:eastAsia="FangSong_GB2312" w:cs="FangSong_GB2312"/>
          <w:spacing w:val="-6"/>
          <w:sz w:val="32"/>
          <w:szCs w:val="32"/>
        </w:rPr>
        <w:t>的奖励；</w:t>
      </w:r>
    </w:p>
    <w:p>
      <w:pPr>
        <w:spacing w:line="590" w:lineRule="exact"/>
        <w:ind w:firstLine="584" w:firstLineChars="200"/>
        <w:rPr>
          <w:rFonts w:ascii="FangSong_GB2312" w:hAnsi="仿宋" w:eastAsia="FangSong_GB2312" w:cs="Times New Roman"/>
          <w:spacing w:val="-14"/>
          <w:sz w:val="32"/>
          <w:szCs w:val="32"/>
        </w:rPr>
      </w:pPr>
      <w:r>
        <w:rPr>
          <w:rFonts w:hint="eastAsia" w:ascii="FangSong_GB2312" w:hAnsi="仿宋" w:eastAsia="FangSong_GB2312" w:cs="FangSong_GB2312"/>
          <w:spacing w:val="-14"/>
          <w:sz w:val="32"/>
          <w:szCs w:val="32"/>
        </w:rPr>
        <w:t>第二时段搬迁腾空的，给予被征收房屋评估总价值</w:t>
      </w:r>
      <w:r>
        <w:rPr>
          <w:rFonts w:ascii="FangSong_GB2312" w:hAnsi="仿宋" w:eastAsia="FangSong_GB2312" w:cs="FangSong_GB2312"/>
          <w:spacing w:val="-14"/>
          <w:sz w:val="32"/>
          <w:szCs w:val="32"/>
        </w:rPr>
        <w:t>1%</w:t>
      </w:r>
      <w:r>
        <w:rPr>
          <w:rFonts w:hint="eastAsia" w:ascii="FangSong_GB2312" w:hAnsi="仿宋" w:eastAsia="FangSong_GB2312" w:cs="FangSong_GB2312"/>
          <w:spacing w:val="-14"/>
          <w:sz w:val="32"/>
          <w:szCs w:val="32"/>
        </w:rPr>
        <w:t>的奖励。</w:t>
      </w:r>
    </w:p>
    <w:bookmarkEnd w:id="0"/>
    <w:p>
      <w:pPr>
        <w:spacing w:line="590" w:lineRule="exact"/>
        <w:ind w:firstLine="619" w:firstLineChars="200"/>
        <w:rPr>
          <w:rFonts w:ascii="FangSong_GB2312" w:hAnsi="仿宋" w:eastAsia="FangSong_GB2312" w:cs="Times New Roman"/>
          <w:b/>
          <w:spacing w:val="-6"/>
          <w:sz w:val="32"/>
          <w:szCs w:val="32"/>
        </w:rPr>
      </w:pPr>
      <w:bookmarkStart w:id="1" w:name="OLE_LINK2"/>
      <w:r>
        <w:rPr>
          <w:rFonts w:hint="eastAsia" w:ascii="FangSong_GB2312" w:hAnsi="仿宋" w:eastAsia="FangSong_GB2312" w:cs="FangSong_GB2312"/>
          <w:b/>
          <w:spacing w:val="-6"/>
          <w:sz w:val="32"/>
          <w:szCs w:val="32"/>
        </w:rPr>
        <w:t>规定期限内未签约或未搬迁腾空的，不予奖励。</w:t>
      </w:r>
    </w:p>
    <w:p>
      <w:pPr>
        <w:spacing w:line="590" w:lineRule="exact"/>
        <w:ind w:firstLine="643" w:firstLineChars="200"/>
        <w:rPr>
          <w:rFonts w:ascii="FangSong_GB2312" w:hAnsi="仿宋" w:eastAsia="FangSong_GB2312" w:cs="FangSong_GB2312"/>
          <w:b/>
          <w:bCs/>
          <w:sz w:val="32"/>
          <w:szCs w:val="32"/>
        </w:rPr>
      </w:pPr>
      <w:r>
        <w:rPr>
          <w:rFonts w:hint="eastAsia" w:ascii="FangSong_GB2312" w:hAnsi="仿宋" w:eastAsia="FangSong_GB2312" w:cs="FangSong_GB2312"/>
          <w:b/>
          <w:bCs/>
          <w:sz w:val="32"/>
          <w:szCs w:val="32"/>
        </w:rPr>
        <w:t>4.其他奖励</w:t>
      </w:r>
    </w:p>
    <w:p>
      <w:pPr>
        <w:spacing w:line="590" w:lineRule="exact"/>
        <w:ind w:firstLine="640" w:firstLineChars="200"/>
        <w:rPr>
          <w:rFonts w:ascii="FangSong_GB2312" w:hAnsi="仿宋" w:eastAsia="FangSong_GB2312" w:cs="FangSong_GB2312"/>
          <w:sz w:val="32"/>
          <w:szCs w:val="32"/>
        </w:rPr>
      </w:pPr>
      <w:r>
        <w:rPr>
          <w:rFonts w:hint="eastAsia" w:ascii="FangSong_GB2312" w:hAnsi="仿宋" w:eastAsia="FangSong_GB2312" w:cs="FangSong_GB2312"/>
          <w:sz w:val="32"/>
          <w:szCs w:val="32"/>
        </w:rPr>
        <w:t>在签约期内签约的，从签约之日起至征收补偿协议生效（签约率达80%）之日止给予被征收房屋评估总价值每日万分之一的奖励。</w:t>
      </w:r>
    </w:p>
    <w:p>
      <w:pPr>
        <w:spacing w:line="590" w:lineRule="exact"/>
        <w:ind w:firstLine="643" w:firstLineChars="200"/>
        <w:rPr>
          <w:rFonts w:ascii="FangSong_GB2312" w:hAnsi="仿宋" w:eastAsia="FangSong_GB2312" w:cs="FangSong_GB2312"/>
          <w:sz w:val="32"/>
          <w:szCs w:val="32"/>
        </w:rPr>
      </w:pPr>
      <w:r>
        <w:rPr>
          <w:rFonts w:hint="eastAsia" w:ascii="FangSong_GB2312" w:hAnsi="仿宋" w:eastAsia="FangSong_GB2312" w:cs="FangSong_GB2312"/>
          <w:b/>
          <w:bCs/>
          <w:sz w:val="32"/>
          <w:szCs w:val="32"/>
        </w:rPr>
        <w:t>5.</w:t>
      </w:r>
      <w:r>
        <w:rPr>
          <w:rFonts w:hint="eastAsia" w:ascii="FangSong_GB2312" w:hAnsi="仿宋" w:eastAsia="FangSong_GB2312" w:cs="FangSong_GB2312"/>
          <w:sz w:val="32"/>
          <w:szCs w:val="32"/>
        </w:rPr>
        <w:t>选择产权调换的被征收人在签订产权调换协议后不在规定期限内参加产权调换房屋</w:t>
      </w:r>
      <w:r>
        <w:rPr>
          <w:rFonts w:hint="eastAsia" w:ascii="FangSong_GB2312" w:hAnsi="仿宋" w:eastAsia="FangSong_GB2312" w:cs="FangSong_GB2312"/>
          <w:b/>
          <w:bCs/>
          <w:sz w:val="32"/>
          <w:szCs w:val="32"/>
        </w:rPr>
        <w:t>抽签定位</w:t>
      </w:r>
      <w:r>
        <w:rPr>
          <w:rFonts w:hint="eastAsia" w:ascii="FangSong_GB2312" w:hAnsi="仿宋" w:eastAsia="FangSong_GB2312" w:cs="FangSong_GB2312"/>
          <w:sz w:val="32"/>
          <w:szCs w:val="32"/>
        </w:rPr>
        <w:t>、不按抽签定位结果与征收部门</w:t>
      </w:r>
      <w:r>
        <w:rPr>
          <w:rFonts w:hint="eastAsia" w:ascii="FangSong_GB2312" w:hAnsi="仿宋" w:eastAsia="FangSong_GB2312" w:cs="FangSong_GB2312"/>
          <w:b/>
          <w:bCs/>
          <w:sz w:val="32"/>
          <w:szCs w:val="32"/>
        </w:rPr>
        <w:t>签订补充协议</w:t>
      </w:r>
      <w:r>
        <w:rPr>
          <w:rFonts w:hint="eastAsia" w:ascii="FangSong_GB2312" w:hAnsi="仿宋" w:eastAsia="FangSong_GB2312" w:cs="FangSong_GB2312"/>
          <w:sz w:val="32"/>
          <w:szCs w:val="32"/>
        </w:rPr>
        <w:t>或不按协议约定</w:t>
      </w:r>
      <w:r>
        <w:rPr>
          <w:rFonts w:hint="eastAsia" w:ascii="FangSong_GB2312" w:hAnsi="仿宋" w:eastAsia="FangSong_GB2312" w:cs="FangSong_GB2312"/>
          <w:b/>
          <w:bCs/>
          <w:sz w:val="32"/>
          <w:szCs w:val="32"/>
        </w:rPr>
        <w:t>支付房款</w:t>
      </w:r>
      <w:r>
        <w:rPr>
          <w:rFonts w:hint="eastAsia" w:ascii="FangSong_GB2312" w:hAnsi="仿宋" w:eastAsia="FangSong_GB2312" w:cs="FangSong_GB2312"/>
          <w:sz w:val="32"/>
          <w:szCs w:val="32"/>
        </w:rPr>
        <w:t>的，视为自动放弃选择产权调换的补偿方式，征收部门有权直接按货币补偿方式扣除签约奖后予以补偿。</w:t>
      </w:r>
    </w:p>
    <w:p>
      <w:pPr>
        <w:spacing w:beforeLines="10" w:line="560" w:lineRule="exact"/>
        <w:ind w:firstLine="616" w:firstLineChars="200"/>
        <w:rPr>
          <w:rFonts w:ascii="仿宋" w:hAnsi="仿宋" w:eastAsia="仿宋" w:cs="仿宋"/>
          <w:sz w:val="32"/>
          <w:szCs w:val="32"/>
        </w:rPr>
      </w:pPr>
      <w:r>
        <w:rPr>
          <w:rFonts w:hint="eastAsia" w:ascii="黑体" w:hAnsi="仿宋" w:eastAsia="黑体" w:cs="黑体"/>
          <w:spacing w:val="-6"/>
          <w:sz w:val="32"/>
          <w:szCs w:val="32"/>
        </w:rPr>
        <w:t>八、</w:t>
      </w:r>
      <w:bookmarkEnd w:id="1"/>
      <w:r>
        <w:rPr>
          <w:rFonts w:hint="eastAsia" w:ascii="黑体" w:hAnsi="仿宋" w:eastAsia="黑体" w:cs="黑体"/>
          <w:spacing w:val="-6"/>
          <w:sz w:val="32"/>
          <w:szCs w:val="32"/>
        </w:rPr>
        <w:t>工业用地上房屋的补偿、补助及奖励</w:t>
      </w:r>
    </w:p>
    <w:p>
      <w:pPr>
        <w:spacing w:beforeLines="10"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(一)补偿</w:t>
      </w:r>
    </w:p>
    <w:p>
      <w:pPr>
        <w:pStyle w:val="4"/>
        <w:spacing w:beforeLines="20" w:beforeAutospacing="0" w:after="0" w:afterAutospacing="0" w:line="590" w:lineRule="exact"/>
        <w:ind w:firstLine="619" w:firstLineChars="200"/>
        <w:rPr>
          <w:rFonts w:ascii="FangSong_GB2312" w:hAnsi="仿宋" w:eastAsia="FangSong_GB2312" w:cs="Times New Roman"/>
          <w:b/>
          <w:bCs/>
          <w:spacing w:val="-6"/>
          <w:sz w:val="32"/>
          <w:szCs w:val="32"/>
        </w:rPr>
      </w:pPr>
      <w:r>
        <w:rPr>
          <w:rFonts w:ascii="FangSong_GB2312" w:hAnsi="仿宋" w:eastAsia="FangSong_GB2312" w:cs="FangSong_GB2312"/>
          <w:b/>
          <w:bCs/>
          <w:spacing w:val="-6"/>
          <w:sz w:val="32"/>
          <w:szCs w:val="32"/>
        </w:rPr>
        <w:t>1.</w:t>
      </w:r>
      <w:r>
        <w:rPr>
          <w:rFonts w:hint="eastAsia" w:ascii="FangSong_GB2312" w:hAnsi="仿宋" w:eastAsia="FangSong_GB2312" w:cs="FangSong_GB2312"/>
          <w:b/>
          <w:bCs/>
          <w:spacing w:val="-6"/>
          <w:sz w:val="32"/>
          <w:szCs w:val="32"/>
        </w:rPr>
        <w:t>房屋总价值补偿</w:t>
      </w:r>
    </w:p>
    <w:p>
      <w:pPr>
        <w:spacing w:line="590" w:lineRule="exact"/>
        <w:ind w:firstLine="616" w:firstLineChars="200"/>
        <w:rPr>
          <w:rFonts w:ascii="FangSong_GB2312" w:hAnsi="仿宋" w:eastAsia="FangSong_GB2312" w:cs="FangSong_GB2312"/>
          <w:spacing w:val="-6"/>
          <w:sz w:val="32"/>
          <w:szCs w:val="32"/>
        </w:rPr>
      </w:pPr>
      <w:r>
        <w:rPr>
          <w:rFonts w:hint="eastAsia" w:ascii="FangSong_GB2312" w:hAnsi="仿宋" w:eastAsia="FangSong_GB2312" w:cs="FangSong_GB2312"/>
          <w:spacing w:val="-6"/>
          <w:sz w:val="32"/>
          <w:szCs w:val="32"/>
        </w:rPr>
        <w:t>按被征收房屋评估总价值给予补偿。</w:t>
      </w:r>
    </w:p>
    <w:p>
      <w:pPr>
        <w:spacing w:line="590" w:lineRule="exact"/>
        <w:ind w:firstLine="619" w:firstLineChars="200"/>
        <w:rPr>
          <w:rFonts w:ascii="FangSong_GB2312" w:hAnsi="仿宋" w:eastAsia="FangSong_GB2312" w:cs="Times New Roman"/>
          <w:b/>
          <w:bCs/>
          <w:spacing w:val="-6"/>
          <w:sz w:val="32"/>
          <w:szCs w:val="32"/>
        </w:rPr>
      </w:pPr>
      <w:r>
        <w:rPr>
          <w:rFonts w:ascii="FangSong_GB2312" w:hAnsi="仿宋" w:eastAsia="FangSong_GB2312" w:cs="FangSong_GB2312"/>
          <w:b/>
          <w:bCs/>
          <w:spacing w:val="-6"/>
          <w:sz w:val="32"/>
          <w:szCs w:val="32"/>
        </w:rPr>
        <w:t>2.</w:t>
      </w:r>
      <w:r>
        <w:rPr>
          <w:rFonts w:hint="eastAsia" w:ascii="FangSong_GB2312" w:hAnsi="仿宋" w:eastAsia="FangSong_GB2312" w:cs="FangSong_GB2312"/>
          <w:b/>
          <w:bCs/>
          <w:spacing w:val="-6"/>
          <w:sz w:val="32"/>
          <w:szCs w:val="32"/>
        </w:rPr>
        <w:t>房屋综合补偿</w:t>
      </w:r>
    </w:p>
    <w:p>
      <w:pPr>
        <w:spacing w:beforeLines="10" w:line="560" w:lineRule="exact"/>
        <w:ind w:firstLine="640" w:firstLineChars="200"/>
        <w:rPr>
          <w:rFonts w:ascii="FangSong_GB2312" w:hAnsi="FangSong_GB2312" w:eastAsia="FangSong_GB2312" w:cs="FangSong_GB2312"/>
          <w:bCs/>
          <w:kern w:val="0"/>
          <w:sz w:val="32"/>
          <w:szCs w:val="32"/>
        </w:rPr>
      </w:pPr>
      <w:r>
        <w:rPr>
          <w:rFonts w:hint="eastAsia" w:ascii="FangSong_GB2312" w:hAnsi="FangSong_GB2312" w:eastAsia="FangSong_GB2312" w:cs="FangSong_GB2312"/>
          <w:bCs/>
          <w:kern w:val="0"/>
          <w:sz w:val="32"/>
          <w:szCs w:val="32"/>
        </w:rPr>
        <w:t>(1)一次性搬迁费</w:t>
      </w:r>
    </w:p>
    <w:p>
      <w:pPr>
        <w:pStyle w:val="4"/>
        <w:spacing w:beforeLines="10" w:beforeAutospacing="0" w:afterAutospacing="0" w:line="560" w:lineRule="exact"/>
        <w:ind w:firstLine="640" w:firstLineChars="200"/>
        <w:rPr>
          <w:rFonts w:ascii="FangSong_GB2312" w:hAnsi="FangSong_GB2312" w:eastAsia="FangSong_GB2312" w:cs="FangSong_GB2312"/>
          <w:bCs/>
          <w:sz w:val="32"/>
          <w:szCs w:val="32"/>
        </w:rPr>
      </w:pPr>
      <w:r>
        <w:rPr>
          <w:rFonts w:hint="eastAsia" w:ascii="FangSong_GB2312" w:hAnsi="FangSong_GB2312" w:eastAsia="FangSong_GB2312" w:cs="FangSong_GB2312"/>
          <w:bCs/>
          <w:sz w:val="32"/>
          <w:szCs w:val="32"/>
        </w:rPr>
        <w:t>按被征收房屋合法建筑面积100元/平方米补偿。</w:t>
      </w:r>
    </w:p>
    <w:p>
      <w:pPr>
        <w:spacing w:beforeLines="10" w:line="560" w:lineRule="exact"/>
        <w:ind w:firstLine="640" w:firstLineChars="200"/>
        <w:rPr>
          <w:rFonts w:ascii="FangSong_GB2312" w:hAnsi="FangSong_GB2312" w:eastAsia="FangSong_GB2312" w:cs="FangSong_GB2312"/>
          <w:bCs/>
          <w:kern w:val="0"/>
          <w:sz w:val="32"/>
          <w:szCs w:val="32"/>
        </w:rPr>
      </w:pPr>
      <w:r>
        <w:rPr>
          <w:rFonts w:hint="eastAsia" w:ascii="FangSong_GB2312" w:hAnsi="FangSong_GB2312" w:eastAsia="FangSong_GB2312" w:cs="FangSong_GB2312"/>
          <w:bCs/>
          <w:kern w:val="0"/>
          <w:sz w:val="32"/>
          <w:szCs w:val="32"/>
        </w:rPr>
        <w:t>(2)一次性临时安置费</w:t>
      </w:r>
    </w:p>
    <w:p>
      <w:pPr>
        <w:spacing w:beforeLines="10" w:line="560" w:lineRule="exact"/>
        <w:ind w:firstLine="640" w:firstLineChars="200"/>
        <w:rPr>
          <w:rFonts w:ascii="FangSong_GB2312" w:hAnsi="FangSong_GB2312" w:eastAsia="FangSong_GB2312" w:cs="FangSong_GB2312"/>
          <w:bCs/>
          <w:kern w:val="0"/>
          <w:sz w:val="32"/>
          <w:szCs w:val="32"/>
        </w:rPr>
      </w:pPr>
      <w:r>
        <w:rPr>
          <w:rFonts w:hint="eastAsia" w:ascii="FangSong_GB2312" w:hAnsi="FangSong_GB2312" w:eastAsia="FangSong_GB2312" w:cs="FangSong_GB2312"/>
          <w:bCs/>
          <w:kern w:val="0"/>
          <w:sz w:val="32"/>
          <w:szCs w:val="32"/>
        </w:rPr>
        <w:t>按被征收房屋评估总价值的</w:t>
      </w:r>
      <w:r>
        <w:rPr>
          <w:rFonts w:hint="eastAsia" w:ascii="FangSong_GB2312" w:hAnsi="FangSong_GB2312" w:eastAsia="FangSong_GB2312" w:cs="FangSong_GB2312"/>
          <w:b/>
          <w:kern w:val="0"/>
          <w:sz w:val="32"/>
          <w:szCs w:val="32"/>
        </w:rPr>
        <w:t>0.6%</w:t>
      </w:r>
      <w:r>
        <w:rPr>
          <w:rFonts w:hint="eastAsia" w:ascii="FangSong_GB2312" w:hAnsi="FangSong_GB2312" w:eastAsia="FangSong_GB2312" w:cs="FangSong_GB2312"/>
          <w:bCs/>
          <w:kern w:val="0"/>
          <w:sz w:val="32"/>
          <w:szCs w:val="32"/>
        </w:rPr>
        <w:t>补偿。</w:t>
      </w:r>
    </w:p>
    <w:p>
      <w:pPr>
        <w:spacing w:beforeLines="10" w:line="560" w:lineRule="exact"/>
        <w:ind w:firstLine="640" w:firstLineChars="200"/>
        <w:rPr>
          <w:rFonts w:ascii="FangSong_GB2312" w:hAnsi="FangSong_GB2312" w:eastAsia="FangSong_GB2312" w:cs="FangSong_GB2312"/>
          <w:bCs/>
          <w:kern w:val="0"/>
          <w:sz w:val="32"/>
          <w:szCs w:val="32"/>
        </w:rPr>
      </w:pPr>
      <w:r>
        <w:rPr>
          <w:rFonts w:hint="eastAsia" w:ascii="FangSong_GB2312" w:hAnsi="FangSong_GB2312" w:eastAsia="FangSong_GB2312" w:cs="FangSong_GB2312"/>
          <w:bCs/>
          <w:kern w:val="0"/>
          <w:sz w:val="32"/>
          <w:szCs w:val="32"/>
        </w:rPr>
        <w:t>(3)停产停业损失补偿</w:t>
      </w:r>
    </w:p>
    <w:p>
      <w:pPr>
        <w:pStyle w:val="4"/>
        <w:spacing w:beforeLines="10" w:beforeAutospacing="0" w:afterAutospacing="0" w:line="560" w:lineRule="exact"/>
        <w:ind w:firstLine="640" w:firstLineChars="200"/>
        <w:rPr>
          <w:rFonts w:ascii="FangSong_GB2312" w:hAnsi="FangSong_GB2312" w:eastAsia="FangSong_GB2312" w:cs="FangSong_GB2312"/>
          <w:bCs/>
          <w:sz w:val="32"/>
          <w:szCs w:val="32"/>
        </w:rPr>
      </w:pPr>
      <w:r>
        <w:rPr>
          <w:rFonts w:hint="eastAsia" w:ascii="FangSong_GB2312" w:hAnsi="FangSong_GB2312" w:eastAsia="FangSong_GB2312" w:cs="FangSong_GB2312"/>
          <w:bCs/>
          <w:sz w:val="32"/>
          <w:szCs w:val="32"/>
        </w:rPr>
        <w:t>按被征收房屋评估总价值的</w:t>
      </w:r>
      <w:r>
        <w:rPr>
          <w:rFonts w:hint="eastAsia" w:ascii="FangSong_GB2312" w:hAnsi="FangSong_GB2312" w:eastAsia="FangSong_GB2312" w:cs="FangSong_GB2312"/>
          <w:b/>
          <w:sz w:val="32"/>
          <w:szCs w:val="32"/>
        </w:rPr>
        <w:t>6%</w:t>
      </w:r>
      <w:r>
        <w:rPr>
          <w:rFonts w:hint="eastAsia" w:ascii="FangSong_GB2312" w:hAnsi="FangSong_GB2312" w:eastAsia="FangSong_GB2312" w:cs="FangSong_GB2312"/>
          <w:bCs/>
          <w:sz w:val="32"/>
          <w:szCs w:val="32"/>
        </w:rPr>
        <w:t>补偿。</w:t>
      </w:r>
    </w:p>
    <w:p>
      <w:pPr>
        <w:spacing w:beforeLines="10"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(二)补助</w:t>
      </w:r>
    </w:p>
    <w:p>
      <w:pPr>
        <w:spacing w:beforeLines="10" w:line="560" w:lineRule="exact"/>
        <w:ind w:firstLine="640" w:firstLineChars="200"/>
        <w:rPr>
          <w:rFonts w:ascii="FangSong_GB2312" w:hAnsi="FangSong_GB2312" w:eastAsia="FangSong_GB2312" w:cs="FangSong_GB2312"/>
          <w:bCs/>
          <w:sz w:val="32"/>
          <w:szCs w:val="32"/>
        </w:rPr>
      </w:pPr>
      <w:r>
        <w:rPr>
          <w:rFonts w:hint="eastAsia" w:ascii="FangSong_GB2312" w:hAnsi="FangSong_GB2312" w:eastAsia="FangSong_GB2312" w:cs="FangSong_GB2312"/>
          <w:bCs/>
          <w:sz w:val="32"/>
          <w:szCs w:val="32"/>
        </w:rPr>
        <w:t>被征收房屋评估总价值中用于选择货币补偿的部分，按</w:t>
      </w:r>
      <w:r>
        <w:rPr>
          <w:rFonts w:hint="eastAsia" w:ascii="FangSong_GB2312" w:hAnsi="FangSong_GB2312" w:eastAsia="FangSong_GB2312" w:cs="FangSong_GB2312"/>
          <w:b/>
          <w:sz w:val="32"/>
          <w:szCs w:val="32"/>
        </w:rPr>
        <w:t>5%</w:t>
      </w:r>
      <w:r>
        <w:rPr>
          <w:rFonts w:hint="eastAsia" w:ascii="FangSong_GB2312" w:hAnsi="FangSong_GB2312" w:eastAsia="FangSong_GB2312" w:cs="FangSong_GB2312"/>
          <w:bCs/>
          <w:sz w:val="32"/>
          <w:szCs w:val="32"/>
        </w:rPr>
        <w:t>给予补助；用于选择商铺进行产权调换的部分，按</w:t>
      </w:r>
      <w:r>
        <w:rPr>
          <w:rFonts w:hint="eastAsia" w:ascii="FangSong_GB2312" w:hAnsi="FangSong_GB2312" w:eastAsia="FangSong_GB2312" w:cs="FangSong_GB2312"/>
          <w:b/>
          <w:sz w:val="32"/>
          <w:szCs w:val="32"/>
        </w:rPr>
        <w:t>1%</w:t>
      </w:r>
      <w:r>
        <w:rPr>
          <w:rFonts w:hint="eastAsia" w:ascii="FangSong_GB2312" w:hAnsi="FangSong_GB2312" w:eastAsia="FangSong_GB2312" w:cs="FangSong_GB2312"/>
          <w:bCs/>
          <w:sz w:val="32"/>
          <w:szCs w:val="32"/>
        </w:rPr>
        <w:t>给予补助。</w:t>
      </w:r>
    </w:p>
    <w:p>
      <w:pPr>
        <w:spacing w:beforeLines="10"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(三)奖励</w:t>
      </w:r>
    </w:p>
    <w:p>
      <w:pPr>
        <w:spacing w:beforeLines="10" w:line="560" w:lineRule="exact"/>
        <w:ind w:firstLine="643" w:firstLineChars="200"/>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1.评估奖</w:t>
      </w:r>
    </w:p>
    <w:p>
      <w:pPr>
        <w:spacing w:beforeLines="10"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被征收人根据征收工作安排积极配合评估机构做好被征收房屋评估工作的，每户奖励</w:t>
      </w:r>
      <w:r>
        <w:rPr>
          <w:rFonts w:hint="eastAsia" w:ascii="FangSong_GB2312" w:hAnsi="FangSong_GB2312" w:eastAsia="FangSong_GB2312" w:cs="FangSong_GB2312"/>
          <w:b/>
          <w:bCs/>
          <w:sz w:val="32"/>
          <w:szCs w:val="32"/>
        </w:rPr>
        <w:t>10000元</w:t>
      </w:r>
      <w:r>
        <w:rPr>
          <w:rFonts w:hint="eastAsia" w:ascii="FangSong_GB2312" w:hAnsi="FangSong_GB2312" w:eastAsia="FangSong_GB2312" w:cs="FangSong_GB2312"/>
          <w:sz w:val="32"/>
          <w:szCs w:val="32"/>
        </w:rPr>
        <w:t>。</w:t>
      </w:r>
    </w:p>
    <w:p>
      <w:pPr>
        <w:spacing w:beforeLines="10"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未配合评估的，不予奖励。</w:t>
      </w:r>
    </w:p>
    <w:p>
      <w:pPr>
        <w:spacing w:beforeLines="10" w:line="560" w:lineRule="exact"/>
        <w:ind w:firstLine="643" w:firstLineChars="200"/>
        <w:rPr>
          <w:rFonts w:ascii="FangSong_GB2312" w:hAnsi="FangSong_GB2312" w:eastAsia="FangSong_GB2312" w:cs="FangSong_GB2312"/>
          <w:b/>
          <w:bCs/>
          <w:sz w:val="32"/>
          <w:szCs w:val="32"/>
        </w:rPr>
      </w:pPr>
      <w:r>
        <w:rPr>
          <w:rFonts w:hint="eastAsia" w:ascii="FangSong_GB2312" w:hAnsi="FangSong_GB2312" w:eastAsia="FangSong_GB2312" w:cs="FangSong_GB2312"/>
          <w:b/>
          <w:bCs/>
          <w:sz w:val="32"/>
          <w:szCs w:val="32"/>
        </w:rPr>
        <w:t>2.签约奖</w:t>
      </w:r>
    </w:p>
    <w:p>
      <w:pPr>
        <w:spacing w:line="590" w:lineRule="exact"/>
        <w:ind w:firstLine="616" w:firstLineChars="200"/>
        <w:rPr>
          <w:rFonts w:ascii="FangSong_GB2312" w:hAnsi="仿宋" w:eastAsia="FangSong_GB2312" w:cs="Times New Roman"/>
          <w:spacing w:val="-6"/>
          <w:sz w:val="32"/>
          <w:szCs w:val="32"/>
        </w:rPr>
      </w:pPr>
      <w:r>
        <w:rPr>
          <w:rFonts w:hint="eastAsia" w:ascii="FangSong_GB2312" w:hAnsi="仿宋" w:eastAsia="FangSong_GB2312" w:cs="FangSong_GB2312"/>
          <w:spacing w:val="-6"/>
          <w:sz w:val="32"/>
          <w:szCs w:val="32"/>
        </w:rPr>
        <w:t>被征收人在规定签约期限前的不同时段内签订补偿协议的，按被征收房屋评估总价值的</w:t>
      </w:r>
      <w:r>
        <w:rPr>
          <w:rFonts w:ascii="FangSong_GB2312" w:hAnsi="仿宋" w:eastAsia="FangSong_GB2312" w:cs="FangSong_GB2312"/>
          <w:b/>
          <w:bCs/>
          <w:spacing w:val="-6"/>
          <w:sz w:val="32"/>
          <w:szCs w:val="32"/>
        </w:rPr>
        <w:t>1%-3%</w:t>
      </w:r>
      <w:r>
        <w:rPr>
          <w:rFonts w:hint="eastAsia" w:ascii="FangSong_GB2312" w:hAnsi="仿宋" w:eastAsia="FangSong_GB2312" w:cs="FangSong_GB2312"/>
          <w:spacing w:val="-6"/>
          <w:sz w:val="32"/>
          <w:szCs w:val="32"/>
        </w:rPr>
        <w:t>给予奖励。</w:t>
      </w:r>
    </w:p>
    <w:p>
      <w:pPr>
        <w:spacing w:line="590" w:lineRule="exact"/>
        <w:ind w:firstLine="616" w:firstLineChars="200"/>
        <w:rPr>
          <w:rFonts w:ascii="FangSong_GB2312" w:hAnsi="仿宋" w:eastAsia="FangSong_GB2312" w:cs="Times New Roman"/>
          <w:spacing w:val="-6"/>
          <w:sz w:val="32"/>
          <w:szCs w:val="32"/>
        </w:rPr>
      </w:pPr>
      <w:r>
        <w:rPr>
          <w:rFonts w:hint="eastAsia" w:ascii="FangSong_GB2312" w:hAnsi="仿宋" w:eastAsia="FangSong_GB2312" w:cs="FangSong_GB2312"/>
          <w:spacing w:val="-6"/>
          <w:sz w:val="32"/>
          <w:szCs w:val="32"/>
        </w:rPr>
        <w:t>第一时段（具体时间另行确定，下同）签约的，给予被征收房屋评估总价值</w:t>
      </w:r>
      <w:r>
        <w:rPr>
          <w:rFonts w:ascii="FangSong_GB2312" w:hAnsi="仿宋" w:eastAsia="FangSong_GB2312" w:cs="FangSong_GB2312"/>
          <w:spacing w:val="-6"/>
          <w:sz w:val="32"/>
          <w:szCs w:val="32"/>
        </w:rPr>
        <w:t>3%</w:t>
      </w:r>
      <w:r>
        <w:rPr>
          <w:rFonts w:hint="eastAsia" w:ascii="FangSong_GB2312" w:hAnsi="仿宋" w:eastAsia="FangSong_GB2312" w:cs="FangSong_GB2312"/>
          <w:spacing w:val="-6"/>
          <w:sz w:val="32"/>
          <w:szCs w:val="32"/>
        </w:rPr>
        <w:t>的奖励，另外，每户再给予</w:t>
      </w:r>
      <w:r>
        <w:rPr>
          <w:rFonts w:ascii="FangSong_GB2312" w:hAnsi="FangSong_GB2312" w:eastAsia="FangSong_GB2312" w:cs="FangSong_GB2312"/>
          <w:b/>
          <w:bCs/>
          <w:sz w:val="32"/>
          <w:szCs w:val="32"/>
        </w:rPr>
        <w:t>40000元的现金奖励</w:t>
      </w:r>
      <w:r>
        <w:rPr>
          <w:rFonts w:hint="eastAsia" w:ascii="FangSong_GB2312" w:hAnsi="仿宋" w:eastAsia="FangSong_GB2312" w:cs="FangSong_GB2312"/>
          <w:spacing w:val="-6"/>
          <w:sz w:val="32"/>
          <w:szCs w:val="32"/>
        </w:rPr>
        <w:t>；</w:t>
      </w:r>
    </w:p>
    <w:p>
      <w:pPr>
        <w:spacing w:line="590" w:lineRule="exact"/>
        <w:ind w:firstLine="616" w:firstLineChars="200"/>
        <w:rPr>
          <w:rFonts w:ascii="FangSong_GB2312" w:hAnsi="仿宋" w:eastAsia="FangSong_GB2312" w:cs="Times New Roman"/>
          <w:spacing w:val="-6"/>
          <w:sz w:val="32"/>
          <w:szCs w:val="32"/>
        </w:rPr>
      </w:pPr>
      <w:r>
        <w:rPr>
          <w:rFonts w:hint="eastAsia" w:ascii="FangSong_GB2312" w:hAnsi="仿宋" w:eastAsia="FangSong_GB2312" w:cs="FangSong_GB2312"/>
          <w:spacing w:val="-6"/>
          <w:sz w:val="32"/>
          <w:szCs w:val="32"/>
        </w:rPr>
        <w:t>第二时段签约的，给予被征收房屋评估总价值</w:t>
      </w:r>
      <w:r>
        <w:rPr>
          <w:rFonts w:ascii="FangSong_GB2312" w:hAnsi="仿宋" w:eastAsia="FangSong_GB2312" w:cs="FangSong_GB2312"/>
          <w:spacing w:val="-6"/>
          <w:sz w:val="32"/>
          <w:szCs w:val="32"/>
        </w:rPr>
        <w:t>2%</w:t>
      </w:r>
      <w:r>
        <w:rPr>
          <w:rFonts w:hint="eastAsia" w:ascii="FangSong_GB2312" w:hAnsi="仿宋" w:eastAsia="FangSong_GB2312" w:cs="FangSong_GB2312"/>
          <w:spacing w:val="-6"/>
          <w:sz w:val="32"/>
          <w:szCs w:val="32"/>
        </w:rPr>
        <w:t>的奖励，另外，每户再给予</w:t>
      </w:r>
      <w:r>
        <w:rPr>
          <w:rFonts w:hint="eastAsia" w:ascii="FangSong_GB2312" w:hAnsi="FangSong_GB2312" w:eastAsia="FangSong_GB2312" w:cs="FangSong_GB2312"/>
          <w:b/>
          <w:bCs/>
          <w:sz w:val="32"/>
          <w:szCs w:val="32"/>
        </w:rPr>
        <w:t>2</w:t>
      </w:r>
      <w:r>
        <w:rPr>
          <w:rFonts w:ascii="FangSong_GB2312" w:hAnsi="FangSong_GB2312" w:eastAsia="FangSong_GB2312" w:cs="FangSong_GB2312"/>
          <w:b/>
          <w:bCs/>
          <w:sz w:val="32"/>
          <w:szCs w:val="32"/>
        </w:rPr>
        <w:t>0000元的现金奖励</w:t>
      </w:r>
      <w:r>
        <w:rPr>
          <w:rFonts w:hint="eastAsia" w:ascii="FangSong_GB2312" w:hAnsi="仿宋" w:eastAsia="FangSong_GB2312" w:cs="FangSong_GB2312"/>
          <w:spacing w:val="-6"/>
          <w:sz w:val="32"/>
          <w:szCs w:val="32"/>
        </w:rPr>
        <w:t>；</w:t>
      </w:r>
    </w:p>
    <w:p>
      <w:pPr>
        <w:spacing w:line="560" w:lineRule="exact"/>
        <w:ind w:firstLine="616" w:firstLineChars="200"/>
        <w:rPr>
          <w:rFonts w:ascii="FangSong_GB2312" w:hAnsi="仿宋" w:eastAsia="FangSong_GB2312" w:cs="Times New Roman"/>
          <w:spacing w:val="-6"/>
          <w:sz w:val="32"/>
          <w:szCs w:val="32"/>
        </w:rPr>
      </w:pPr>
      <w:r>
        <w:rPr>
          <w:rFonts w:hint="eastAsia" w:ascii="FangSong_GB2312" w:hAnsi="仿宋" w:eastAsia="FangSong_GB2312" w:cs="FangSong_GB2312"/>
          <w:spacing w:val="-6"/>
          <w:sz w:val="32"/>
          <w:szCs w:val="32"/>
        </w:rPr>
        <w:t>第三时段签约的，给予被征收房屋评估总价值</w:t>
      </w:r>
      <w:r>
        <w:rPr>
          <w:rFonts w:ascii="FangSong_GB2312" w:hAnsi="仿宋" w:eastAsia="FangSong_GB2312" w:cs="FangSong_GB2312"/>
          <w:spacing w:val="-6"/>
          <w:sz w:val="32"/>
          <w:szCs w:val="32"/>
        </w:rPr>
        <w:t>1%</w:t>
      </w:r>
      <w:r>
        <w:rPr>
          <w:rFonts w:hint="eastAsia" w:ascii="FangSong_GB2312" w:hAnsi="仿宋" w:eastAsia="FangSong_GB2312" w:cs="FangSong_GB2312"/>
          <w:spacing w:val="-6"/>
          <w:sz w:val="32"/>
          <w:szCs w:val="32"/>
        </w:rPr>
        <w:t>的奖励，另外，每户再给予</w:t>
      </w:r>
      <w:r>
        <w:rPr>
          <w:rFonts w:hint="eastAsia" w:ascii="FangSong_GB2312" w:hAnsi="FangSong_GB2312" w:eastAsia="FangSong_GB2312" w:cs="FangSong_GB2312"/>
          <w:b/>
          <w:bCs/>
          <w:sz w:val="32"/>
          <w:szCs w:val="32"/>
        </w:rPr>
        <w:t>1</w:t>
      </w:r>
      <w:r>
        <w:rPr>
          <w:rFonts w:ascii="FangSong_GB2312" w:hAnsi="FangSong_GB2312" w:eastAsia="FangSong_GB2312" w:cs="FangSong_GB2312"/>
          <w:b/>
          <w:bCs/>
          <w:sz w:val="32"/>
          <w:szCs w:val="32"/>
        </w:rPr>
        <w:t>0000元的现金奖励</w:t>
      </w:r>
      <w:r>
        <w:rPr>
          <w:rFonts w:hint="eastAsia" w:ascii="FangSong_GB2312" w:hAnsi="仿宋" w:eastAsia="FangSong_GB2312" w:cs="FangSong_GB2312"/>
          <w:spacing w:val="-6"/>
          <w:sz w:val="32"/>
          <w:szCs w:val="32"/>
        </w:rPr>
        <w:t>。</w:t>
      </w:r>
    </w:p>
    <w:p>
      <w:pPr>
        <w:spacing w:line="560" w:lineRule="exact"/>
        <w:ind w:firstLine="619" w:firstLineChars="200"/>
        <w:rPr>
          <w:rFonts w:ascii="FangSong_GB2312" w:hAnsi="仿宋" w:eastAsia="FangSong_GB2312" w:cs="Times New Roman"/>
          <w:b/>
          <w:spacing w:val="-6"/>
          <w:sz w:val="32"/>
          <w:szCs w:val="32"/>
        </w:rPr>
      </w:pPr>
      <w:r>
        <w:rPr>
          <w:rFonts w:hint="eastAsia" w:ascii="FangSong_GB2312" w:hAnsi="仿宋" w:eastAsia="FangSong_GB2312" w:cs="FangSong_GB2312"/>
          <w:b/>
          <w:spacing w:val="-6"/>
          <w:sz w:val="32"/>
          <w:szCs w:val="32"/>
        </w:rPr>
        <w:t>规定期限内未签约的，不予奖励。</w:t>
      </w:r>
    </w:p>
    <w:p>
      <w:pPr>
        <w:spacing w:beforeLines="10" w:line="560" w:lineRule="exact"/>
        <w:ind w:firstLine="643" w:firstLineChars="200"/>
        <w:rPr>
          <w:rFonts w:ascii="FangSong_GB2312" w:hAnsi="FangSong_GB2312" w:eastAsia="FangSong_GB2312" w:cs="FangSong_GB2312"/>
          <w:b/>
          <w:bCs/>
          <w:sz w:val="32"/>
          <w:szCs w:val="32"/>
        </w:rPr>
      </w:pPr>
      <w:r>
        <w:rPr>
          <w:rFonts w:hint="eastAsia" w:ascii="FangSong_GB2312" w:hAnsi="FangSong_GB2312" w:eastAsia="FangSong_GB2312" w:cs="FangSong_GB2312"/>
          <w:b/>
          <w:bCs/>
          <w:sz w:val="32"/>
          <w:szCs w:val="32"/>
        </w:rPr>
        <w:t>3.搬迁奖</w:t>
      </w:r>
    </w:p>
    <w:p>
      <w:pPr>
        <w:spacing w:line="560" w:lineRule="exact"/>
        <w:ind w:firstLine="616" w:firstLineChars="200"/>
        <w:rPr>
          <w:rFonts w:ascii="FangSong_GB2312" w:hAnsi="仿宋" w:eastAsia="FangSong_GB2312" w:cs="Times New Roman"/>
          <w:spacing w:val="-6"/>
          <w:sz w:val="32"/>
          <w:szCs w:val="32"/>
        </w:rPr>
      </w:pPr>
      <w:r>
        <w:rPr>
          <w:rFonts w:hint="eastAsia" w:ascii="FangSong_GB2312" w:hAnsi="仿宋" w:eastAsia="FangSong_GB2312" w:cs="FangSong_GB2312"/>
          <w:spacing w:val="-6"/>
          <w:sz w:val="32"/>
          <w:szCs w:val="32"/>
        </w:rPr>
        <w:t>被征收人在规定搬迁腾空期限前的不同时段内腾空被征收房屋、交付钥匙并结清水电等费用，按被征收房屋评估总价值的</w:t>
      </w:r>
      <w:r>
        <w:rPr>
          <w:rFonts w:ascii="FangSong_GB2312" w:hAnsi="仿宋" w:eastAsia="FangSong_GB2312" w:cs="FangSong_GB2312"/>
          <w:b/>
          <w:bCs/>
          <w:spacing w:val="-6"/>
          <w:sz w:val="32"/>
          <w:szCs w:val="32"/>
        </w:rPr>
        <w:t>1%-2%</w:t>
      </w:r>
      <w:r>
        <w:rPr>
          <w:rFonts w:hint="eastAsia" w:ascii="FangSong_GB2312" w:hAnsi="仿宋" w:eastAsia="FangSong_GB2312" w:cs="FangSong_GB2312"/>
          <w:spacing w:val="-6"/>
          <w:sz w:val="32"/>
          <w:szCs w:val="32"/>
        </w:rPr>
        <w:t>给予奖励。</w:t>
      </w:r>
    </w:p>
    <w:p>
      <w:pPr>
        <w:spacing w:line="560" w:lineRule="exact"/>
        <w:ind w:firstLine="616" w:firstLineChars="200"/>
        <w:rPr>
          <w:rFonts w:ascii="FangSong_GB2312" w:hAnsi="仿宋" w:eastAsia="FangSong_GB2312" w:cs="Times New Roman"/>
          <w:spacing w:val="-6"/>
          <w:sz w:val="32"/>
          <w:szCs w:val="32"/>
        </w:rPr>
      </w:pPr>
      <w:r>
        <w:rPr>
          <w:rFonts w:hint="eastAsia" w:ascii="FangSong_GB2312" w:hAnsi="仿宋" w:eastAsia="FangSong_GB2312" w:cs="FangSong_GB2312"/>
          <w:spacing w:val="-6"/>
          <w:sz w:val="32"/>
          <w:szCs w:val="32"/>
        </w:rPr>
        <w:t>第一时段（具体时间另行确定，下同）搬迁腾空的，给予被征收房屋评估总价值</w:t>
      </w:r>
      <w:r>
        <w:rPr>
          <w:rFonts w:ascii="FangSong_GB2312" w:hAnsi="仿宋" w:eastAsia="FangSong_GB2312" w:cs="FangSong_GB2312"/>
          <w:spacing w:val="-6"/>
          <w:sz w:val="32"/>
          <w:szCs w:val="32"/>
        </w:rPr>
        <w:t>2%</w:t>
      </w:r>
      <w:r>
        <w:rPr>
          <w:rFonts w:hint="eastAsia" w:ascii="FangSong_GB2312" w:hAnsi="仿宋" w:eastAsia="FangSong_GB2312" w:cs="FangSong_GB2312"/>
          <w:spacing w:val="-6"/>
          <w:sz w:val="32"/>
          <w:szCs w:val="32"/>
        </w:rPr>
        <w:t>的奖励；</w:t>
      </w:r>
    </w:p>
    <w:p>
      <w:pPr>
        <w:spacing w:line="560" w:lineRule="exact"/>
        <w:ind w:firstLine="584" w:firstLineChars="200"/>
        <w:rPr>
          <w:rFonts w:ascii="FangSong_GB2312" w:hAnsi="仿宋" w:eastAsia="FangSong_GB2312" w:cs="Times New Roman"/>
          <w:spacing w:val="-14"/>
          <w:sz w:val="32"/>
          <w:szCs w:val="32"/>
        </w:rPr>
      </w:pPr>
      <w:r>
        <w:rPr>
          <w:rFonts w:hint="eastAsia" w:ascii="FangSong_GB2312" w:hAnsi="仿宋" w:eastAsia="FangSong_GB2312" w:cs="FangSong_GB2312"/>
          <w:spacing w:val="-14"/>
          <w:sz w:val="32"/>
          <w:szCs w:val="32"/>
        </w:rPr>
        <w:t>第二时段搬迁腾空的，给予被征收房屋评估总价值</w:t>
      </w:r>
      <w:r>
        <w:rPr>
          <w:rFonts w:ascii="FangSong_GB2312" w:hAnsi="仿宋" w:eastAsia="FangSong_GB2312" w:cs="FangSong_GB2312"/>
          <w:spacing w:val="-14"/>
          <w:sz w:val="32"/>
          <w:szCs w:val="32"/>
        </w:rPr>
        <w:t>1%</w:t>
      </w:r>
      <w:r>
        <w:rPr>
          <w:rFonts w:hint="eastAsia" w:ascii="FangSong_GB2312" w:hAnsi="仿宋" w:eastAsia="FangSong_GB2312" w:cs="FangSong_GB2312"/>
          <w:spacing w:val="-14"/>
          <w:sz w:val="32"/>
          <w:szCs w:val="32"/>
        </w:rPr>
        <w:t>的奖励。</w:t>
      </w:r>
    </w:p>
    <w:p>
      <w:pPr>
        <w:spacing w:line="560" w:lineRule="exact"/>
        <w:ind w:firstLine="619" w:firstLineChars="200"/>
        <w:rPr>
          <w:rFonts w:ascii="FangSong_GB2312" w:hAnsi="仿宋" w:eastAsia="FangSong_GB2312" w:cs="FangSong_GB2312"/>
          <w:b/>
          <w:spacing w:val="-6"/>
          <w:sz w:val="32"/>
          <w:szCs w:val="32"/>
        </w:rPr>
      </w:pPr>
      <w:r>
        <w:rPr>
          <w:rFonts w:hint="eastAsia" w:ascii="FangSong_GB2312" w:hAnsi="仿宋" w:eastAsia="FangSong_GB2312" w:cs="FangSong_GB2312"/>
          <w:b/>
          <w:spacing w:val="-6"/>
          <w:sz w:val="32"/>
          <w:szCs w:val="32"/>
        </w:rPr>
        <w:t>规定期限内未签约或未搬迁腾空的，不予奖励。</w:t>
      </w:r>
    </w:p>
    <w:p>
      <w:pPr>
        <w:spacing w:line="590" w:lineRule="exact"/>
        <w:ind w:firstLine="643" w:firstLineChars="200"/>
        <w:rPr>
          <w:rFonts w:ascii="FangSong_GB2312" w:hAnsi="仿宋" w:eastAsia="FangSong_GB2312" w:cs="FangSong_GB2312"/>
          <w:sz w:val="32"/>
          <w:szCs w:val="32"/>
        </w:rPr>
      </w:pPr>
      <w:r>
        <w:rPr>
          <w:rFonts w:hint="eastAsia" w:ascii="FangSong_GB2312" w:hAnsi="仿宋" w:eastAsia="FangSong_GB2312" w:cs="FangSong_GB2312"/>
          <w:b/>
          <w:bCs/>
          <w:sz w:val="32"/>
          <w:szCs w:val="32"/>
        </w:rPr>
        <w:t>4.</w:t>
      </w:r>
      <w:r>
        <w:rPr>
          <w:rFonts w:hint="eastAsia" w:ascii="FangSong_GB2312" w:hAnsi="仿宋" w:eastAsia="FangSong_GB2312" w:cs="FangSong_GB2312"/>
          <w:sz w:val="32"/>
          <w:szCs w:val="32"/>
        </w:rPr>
        <w:t>选择产权调换的被征收人在签订产权调换协议后不按协议约定</w:t>
      </w:r>
      <w:r>
        <w:rPr>
          <w:rFonts w:hint="eastAsia" w:ascii="FangSong_GB2312" w:hAnsi="仿宋" w:eastAsia="FangSong_GB2312" w:cs="FangSong_GB2312"/>
          <w:b/>
          <w:bCs/>
          <w:sz w:val="32"/>
          <w:szCs w:val="32"/>
        </w:rPr>
        <w:t>支付房款</w:t>
      </w:r>
      <w:r>
        <w:rPr>
          <w:rFonts w:hint="eastAsia" w:ascii="FangSong_GB2312" w:hAnsi="仿宋" w:eastAsia="FangSong_GB2312" w:cs="FangSong_GB2312"/>
          <w:sz w:val="32"/>
          <w:szCs w:val="32"/>
        </w:rPr>
        <w:t>的，视为自动放弃选择产权调换的补偿方式，征收部门有权直接按货币补偿方式扣除签约奖后予以补偿。</w:t>
      </w:r>
    </w:p>
    <w:p>
      <w:pPr>
        <w:spacing w:line="560" w:lineRule="exact"/>
        <w:ind w:firstLine="616" w:firstLineChars="200"/>
        <w:rPr>
          <w:rFonts w:ascii="黑体" w:hAnsi="仿宋" w:eastAsia="黑体" w:cs="Times New Roman"/>
          <w:spacing w:val="-6"/>
          <w:sz w:val="32"/>
          <w:szCs w:val="32"/>
        </w:rPr>
      </w:pPr>
      <w:r>
        <w:rPr>
          <w:rFonts w:hint="eastAsia" w:ascii="黑体" w:hAnsi="仿宋" w:eastAsia="黑体" w:cs="黑体"/>
          <w:spacing w:val="-6"/>
          <w:sz w:val="32"/>
          <w:szCs w:val="32"/>
        </w:rPr>
        <w:t>九、产权调换</w:t>
      </w:r>
    </w:p>
    <w:p>
      <w:pPr>
        <w:spacing w:line="560" w:lineRule="exact"/>
        <w:ind w:firstLine="616" w:firstLineChars="200"/>
        <w:rPr>
          <w:rFonts w:ascii="楷体_GB2312" w:hAnsi="仿宋" w:eastAsia="楷体_GB2312" w:cs="楷体_GB2312"/>
          <w:spacing w:val="-6"/>
          <w:sz w:val="32"/>
          <w:szCs w:val="32"/>
        </w:rPr>
      </w:pPr>
      <w:r>
        <w:rPr>
          <w:rFonts w:hint="eastAsia" w:ascii="楷体_GB2312" w:hAnsi="仿宋" w:eastAsia="楷体_GB2312" w:cs="楷体_GB2312"/>
          <w:spacing w:val="-6"/>
          <w:sz w:val="32"/>
          <w:szCs w:val="32"/>
        </w:rPr>
        <w:t>（一）产权调换房源</w:t>
      </w:r>
    </w:p>
    <w:p>
      <w:pPr>
        <w:rPr>
          <w:rFonts w:ascii="楷体_GB2312" w:hAnsi="仿宋" w:eastAsia="楷体_GB2312" w:cs="楷体_GB2312"/>
          <w:spacing w:val="-6"/>
          <w:sz w:val="32"/>
          <w:szCs w:val="32"/>
        </w:rPr>
      </w:pPr>
      <w:r>
        <w:rPr>
          <w:rFonts w:hint="eastAsia" w:ascii="楷体_GB2312" w:hAnsi="仿宋" w:eastAsia="楷体_GB2312" w:cs="楷体_GB2312"/>
          <w:spacing w:val="-6"/>
          <w:sz w:val="32"/>
          <w:szCs w:val="32"/>
        </w:rPr>
        <w:br w:type="page"/>
      </w:r>
    </w:p>
    <w:p>
      <w:pPr>
        <w:spacing w:line="560" w:lineRule="exact"/>
        <w:ind w:firstLine="616" w:firstLineChars="200"/>
        <w:rPr>
          <w:rFonts w:ascii="楷体_GB2312" w:hAnsi="仿宋" w:eastAsia="楷体_GB2312" w:cs="楷体_GB2312"/>
          <w:spacing w:val="-6"/>
          <w:sz w:val="32"/>
          <w:szCs w:val="32"/>
        </w:rPr>
      </w:pPr>
    </w:p>
    <w:p>
      <w:pPr>
        <w:spacing w:line="590" w:lineRule="exact"/>
        <w:ind w:firstLine="619" w:firstLineChars="200"/>
        <w:rPr>
          <w:rFonts w:ascii="FangSong_GB2312" w:eastAsia="FangSong_GB2312" w:cs="FangSong_GB2312"/>
          <w:b/>
          <w:bCs/>
          <w:spacing w:val="-6"/>
          <w:sz w:val="32"/>
          <w:szCs w:val="32"/>
        </w:rPr>
      </w:pPr>
      <w:r>
        <w:rPr>
          <w:rFonts w:ascii="FangSong_GB2312" w:eastAsia="FangSong_GB2312" w:cs="FangSong_GB2312"/>
          <w:b/>
          <w:bCs/>
          <w:spacing w:val="-6"/>
          <w:sz w:val="32"/>
          <w:szCs w:val="32"/>
        </w:rPr>
        <w:t>1.</w:t>
      </w:r>
      <w:r>
        <w:rPr>
          <w:rFonts w:hint="eastAsia" w:ascii="FangSong_GB2312" w:eastAsia="FangSong_GB2312" w:cs="FangSong_GB2312"/>
          <w:b/>
          <w:bCs/>
          <w:spacing w:val="-6"/>
          <w:sz w:val="32"/>
          <w:szCs w:val="32"/>
        </w:rPr>
        <w:t>住宅</w:t>
      </w:r>
    </w:p>
    <w:tbl>
      <w:tblPr>
        <w:tblStyle w:val="5"/>
        <w:tblW w:w="8136" w:type="dxa"/>
        <w:jc w:val="center"/>
        <w:tblInd w:w="0" w:type="dxa"/>
        <w:tblLayout w:type="fixed"/>
        <w:tblCellMar>
          <w:top w:w="0" w:type="dxa"/>
          <w:left w:w="0" w:type="dxa"/>
          <w:bottom w:w="0" w:type="dxa"/>
          <w:right w:w="0" w:type="dxa"/>
        </w:tblCellMar>
      </w:tblPr>
      <w:tblGrid>
        <w:gridCol w:w="1178"/>
        <w:gridCol w:w="850"/>
        <w:gridCol w:w="571"/>
        <w:gridCol w:w="1542"/>
        <w:gridCol w:w="1178"/>
        <w:gridCol w:w="704"/>
        <w:gridCol w:w="571"/>
        <w:gridCol w:w="1542"/>
      </w:tblGrid>
      <w:tr>
        <w:tblPrEx>
          <w:tblLayout w:type="fixed"/>
          <w:tblCellMar>
            <w:top w:w="0" w:type="dxa"/>
            <w:left w:w="0" w:type="dxa"/>
            <w:bottom w:w="0" w:type="dxa"/>
            <w:right w:w="0" w:type="dxa"/>
          </w:tblCellMar>
        </w:tblPrEx>
        <w:trPr>
          <w:trHeight w:val="408" w:hRule="atLeast"/>
          <w:jc w:val="center"/>
        </w:trPr>
        <w:tc>
          <w:tcPr>
            <w:tcW w:w="1178" w:type="dxa"/>
            <w:tcBorders>
              <w:top w:val="single" w:color="000000" w:sz="8" w:space="0"/>
              <w:left w:val="single" w:color="000000" w:sz="8"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小区名称</w:t>
            </w:r>
          </w:p>
        </w:tc>
        <w:tc>
          <w:tcPr>
            <w:tcW w:w="850" w:type="dxa"/>
            <w:tcBorders>
              <w:top w:val="single" w:color="000000" w:sz="8"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户型</w:t>
            </w:r>
          </w:p>
        </w:tc>
        <w:tc>
          <w:tcPr>
            <w:tcW w:w="571" w:type="dxa"/>
            <w:tcBorders>
              <w:top w:val="single" w:color="000000" w:sz="8"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套数</w:t>
            </w:r>
          </w:p>
        </w:tc>
        <w:tc>
          <w:tcPr>
            <w:tcW w:w="1542" w:type="dxa"/>
            <w:tcBorders>
              <w:top w:val="single" w:color="000000" w:sz="8"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预计交付时间</w:t>
            </w:r>
          </w:p>
        </w:tc>
        <w:tc>
          <w:tcPr>
            <w:tcW w:w="1178" w:type="dxa"/>
            <w:tcBorders>
              <w:top w:val="single" w:color="000000" w:sz="8"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小区名称</w:t>
            </w:r>
          </w:p>
        </w:tc>
        <w:tc>
          <w:tcPr>
            <w:tcW w:w="704" w:type="dxa"/>
            <w:tcBorders>
              <w:top w:val="single" w:color="000000" w:sz="8"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户型</w:t>
            </w:r>
          </w:p>
        </w:tc>
        <w:tc>
          <w:tcPr>
            <w:tcW w:w="571" w:type="dxa"/>
            <w:tcBorders>
              <w:top w:val="single" w:color="000000" w:sz="8"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套数</w:t>
            </w:r>
          </w:p>
        </w:tc>
        <w:tc>
          <w:tcPr>
            <w:tcW w:w="1542" w:type="dxa"/>
            <w:tcBorders>
              <w:top w:val="single" w:color="000000" w:sz="8" w:space="0"/>
              <w:left w:val="single" w:color="000000" w:sz="4" w:space="0"/>
              <w:bottom w:val="single" w:color="000000" w:sz="4" w:space="0"/>
              <w:right w:val="single" w:color="000000" w:sz="8"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预计交付时间</w:t>
            </w:r>
          </w:p>
        </w:tc>
      </w:tr>
      <w:tr>
        <w:tblPrEx>
          <w:tblLayout w:type="fixed"/>
          <w:tblCellMar>
            <w:top w:w="0" w:type="dxa"/>
            <w:left w:w="0" w:type="dxa"/>
            <w:bottom w:w="0" w:type="dxa"/>
            <w:right w:w="0" w:type="dxa"/>
          </w:tblCellMar>
        </w:tblPrEx>
        <w:trPr>
          <w:trHeight w:val="359" w:hRule="atLeast"/>
          <w:jc w:val="center"/>
        </w:trPr>
        <w:tc>
          <w:tcPr>
            <w:tcW w:w="1178" w:type="dxa"/>
            <w:vMerge w:val="restart"/>
            <w:tcBorders>
              <w:top w:val="single" w:color="000000" w:sz="4" w:space="0"/>
              <w:left w:val="single" w:color="000000" w:sz="8"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香悦府西区</w:t>
            </w:r>
          </w:p>
        </w:tc>
        <w:tc>
          <w:tcPr>
            <w:tcW w:w="8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125</w:t>
            </w:r>
          </w:p>
        </w:tc>
        <w:tc>
          <w:tcPr>
            <w:tcW w:w="57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楷体"/>
                <w:color w:val="000000"/>
                <w:sz w:val="22"/>
              </w:rPr>
            </w:pPr>
            <w:r>
              <w:rPr>
                <w:rFonts w:hint="eastAsia" w:ascii="宋体" w:hAnsi="宋体" w:cs="楷体"/>
                <w:color w:val="000000"/>
                <w:sz w:val="22"/>
              </w:rPr>
              <w:t>2</w:t>
            </w:r>
          </w:p>
        </w:tc>
        <w:tc>
          <w:tcPr>
            <w:tcW w:w="1542"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olor w:val="000000"/>
                <w:kern w:val="0"/>
                <w:sz w:val="22"/>
              </w:rPr>
            </w:pPr>
            <w:r>
              <w:rPr>
                <w:rFonts w:hint="eastAsia" w:ascii="宋体" w:hAnsi="宋体"/>
                <w:color w:val="000000"/>
                <w:kern w:val="0"/>
                <w:sz w:val="22"/>
              </w:rPr>
              <w:t>2020年3月</w:t>
            </w:r>
          </w:p>
        </w:tc>
        <w:tc>
          <w:tcPr>
            <w:tcW w:w="1178"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华丰府</w:t>
            </w:r>
          </w:p>
        </w:tc>
        <w:tc>
          <w:tcPr>
            <w:tcW w:w="70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110</w:t>
            </w:r>
          </w:p>
        </w:tc>
        <w:tc>
          <w:tcPr>
            <w:tcW w:w="57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楷体"/>
                <w:color w:val="000000"/>
                <w:sz w:val="22"/>
              </w:rPr>
            </w:pPr>
            <w:r>
              <w:rPr>
                <w:rFonts w:hint="eastAsia" w:ascii="宋体" w:hAnsi="宋体" w:cs="楷体"/>
                <w:color w:val="000000"/>
                <w:sz w:val="22"/>
              </w:rPr>
              <w:t>34</w:t>
            </w:r>
          </w:p>
        </w:tc>
        <w:tc>
          <w:tcPr>
            <w:tcW w:w="1542" w:type="dxa"/>
            <w:vMerge w:val="restart"/>
            <w:tcBorders>
              <w:top w:val="single" w:color="000000" w:sz="4" w:space="0"/>
              <w:left w:val="single" w:color="000000" w:sz="4" w:space="0"/>
              <w:bottom w:val="single" w:color="000000" w:sz="4" w:space="0"/>
              <w:right w:val="single" w:color="000000" w:sz="8" w:space="0"/>
            </w:tcBorders>
            <w:noWrap/>
            <w:tcMar>
              <w:top w:w="12" w:type="dxa"/>
              <w:left w:w="12" w:type="dxa"/>
              <w:right w:w="12" w:type="dxa"/>
            </w:tcMar>
            <w:vAlign w:val="center"/>
          </w:tcPr>
          <w:p>
            <w:pPr>
              <w:widowControl/>
              <w:jc w:val="center"/>
              <w:textAlignment w:val="center"/>
              <w:rPr>
                <w:rFonts w:ascii="宋体" w:hAnsi="宋体"/>
                <w:color w:val="000000"/>
                <w:kern w:val="0"/>
                <w:sz w:val="22"/>
              </w:rPr>
            </w:pPr>
            <w:r>
              <w:rPr>
                <w:rFonts w:hint="eastAsia" w:ascii="宋体" w:hAnsi="宋体"/>
                <w:color w:val="000000"/>
                <w:kern w:val="0"/>
                <w:sz w:val="22"/>
              </w:rPr>
              <w:t>2021年9月</w:t>
            </w:r>
          </w:p>
        </w:tc>
      </w:tr>
      <w:tr>
        <w:tblPrEx>
          <w:tblLayout w:type="fixed"/>
          <w:tblCellMar>
            <w:top w:w="0" w:type="dxa"/>
            <w:left w:w="0" w:type="dxa"/>
            <w:bottom w:w="0" w:type="dxa"/>
            <w:right w:w="0" w:type="dxa"/>
          </w:tblCellMar>
        </w:tblPrEx>
        <w:trPr>
          <w:trHeight w:val="391" w:hRule="atLeast"/>
          <w:jc w:val="center"/>
        </w:trPr>
        <w:tc>
          <w:tcPr>
            <w:tcW w:w="1178" w:type="dxa"/>
            <w:vMerge w:val="continue"/>
            <w:tcBorders>
              <w:top w:val="single" w:color="000000" w:sz="4" w:space="0"/>
              <w:left w:val="single" w:color="000000" w:sz="8" w:space="0"/>
              <w:bottom w:val="single" w:color="000000" w:sz="4" w:space="0"/>
              <w:right w:val="single" w:color="000000" w:sz="4" w:space="0"/>
            </w:tcBorders>
            <w:noWrap/>
            <w:tcMar>
              <w:top w:w="12" w:type="dxa"/>
              <w:left w:w="12" w:type="dxa"/>
              <w:right w:w="12" w:type="dxa"/>
            </w:tcMar>
            <w:vAlign w:val="center"/>
          </w:tcPr>
          <w:p>
            <w:pPr>
              <w:jc w:val="center"/>
              <w:rPr>
                <w:rFonts w:ascii="黑体" w:hAnsi="宋体" w:eastAsia="黑体" w:cs="黑体"/>
                <w:color w:val="000000"/>
                <w:sz w:val="22"/>
              </w:rPr>
            </w:pPr>
          </w:p>
        </w:tc>
        <w:tc>
          <w:tcPr>
            <w:tcW w:w="8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155</w:t>
            </w:r>
          </w:p>
        </w:tc>
        <w:tc>
          <w:tcPr>
            <w:tcW w:w="57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楷体"/>
                <w:color w:val="000000"/>
                <w:sz w:val="22"/>
              </w:rPr>
            </w:pPr>
            <w:r>
              <w:rPr>
                <w:rFonts w:hint="eastAsia" w:ascii="宋体" w:hAnsi="宋体" w:cs="楷体"/>
                <w:color w:val="000000"/>
                <w:sz w:val="22"/>
              </w:rPr>
              <w:t>6</w:t>
            </w:r>
          </w:p>
        </w:tc>
        <w:tc>
          <w:tcPr>
            <w:tcW w:w="15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olor w:val="000000"/>
                <w:kern w:val="0"/>
                <w:sz w:val="22"/>
              </w:rPr>
            </w:pPr>
          </w:p>
        </w:tc>
        <w:tc>
          <w:tcPr>
            <w:tcW w:w="1178"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黑体" w:hAnsi="宋体" w:eastAsia="黑体" w:cs="黑体"/>
                <w:color w:val="000000"/>
                <w:sz w:val="22"/>
              </w:rPr>
            </w:pPr>
          </w:p>
        </w:tc>
        <w:tc>
          <w:tcPr>
            <w:tcW w:w="70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120</w:t>
            </w:r>
          </w:p>
        </w:tc>
        <w:tc>
          <w:tcPr>
            <w:tcW w:w="57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楷体"/>
                <w:color w:val="000000"/>
                <w:sz w:val="22"/>
              </w:rPr>
            </w:pPr>
            <w:r>
              <w:rPr>
                <w:rFonts w:hint="eastAsia" w:ascii="宋体" w:hAnsi="宋体" w:cs="楷体"/>
                <w:color w:val="000000"/>
                <w:sz w:val="22"/>
              </w:rPr>
              <w:t>9</w:t>
            </w:r>
          </w:p>
        </w:tc>
        <w:tc>
          <w:tcPr>
            <w:tcW w:w="1542" w:type="dxa"/>
            <w:vMerge w:val="continue"/>
            <w:tcBorders>
              <w:top w:val="single" w:color="000000" w:sz="4" w:space="0"/>
              <w:left w:val="single" w:color="000000" w:sz="4" w:space="0"/>
              <w:bottom w:val="single" w:color="000000" w:sz="4" w:space="0"/>
              <w:right w:val="single" w:color="000000" w:sz="8" w:space="0"/>
            </w:tcBorders>
            <w:noWrap/>
            <w:tcMar>
              <w:top w:w="12" w:type="dxa"/>
              <w:left w:w="12" w:type="dxa"/>
              <w:right w:w="12" w:type="dxa"/>
            </w:tcMar>
            <w:vAlign w:val="center"/>
          </w:tcPr>
          <w:p>
            <w:pPr>
              <w:widowControl/>
              <w:jc w:val="center"/>
              <w:textAlignment w:val="center"/>
              <w:rPr>
                <w:rFonts w:ascii="宋体" w:hAnsi="宋体"/>
                <w:color w:val="000000"/>
                <w:kern w:val="0"/>
                <w:sz w:val="22"/>
              </w:rPr>
            </w:pPr>
          </w:p>
        </w:tc>
      </w:tr>
      <w:tr>
        <w:tblPrEx>
          <w:tblLayout w:type="fixed"/>
          <w:tblCellMar>
            <w:top w:w="0" w:type="dxa"/>
            <w:left w:w="0" w:type="dxa"/>
            <w:bottom w:w="0" w:type="dxa"/>
            <w:right w:w="0" w:type="dxa"/>
          </w:tblCellMar>
        </w:tblPrEx>
        <w:trPr>
          <w:trHeight w:val="359" w:hRule="atLeast"/>
          <w:jc w:val="center"/>
        </w:trPr>
        <w:tc>
          <w:tcPr>
            <w:tcW w:w="1178" w:type="dxa"/>
            <w:vMerge w:val="restart"/>
            <w:tcBorders>
              <w:top w:val="single" w:color="000000" w:sz="4" w:space="0"/>
              <w:left w:val="single" w:color="000000" w:sz="8"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香悦府东区</w:t>
            </w:r>
          </w:p>
        </w:tc>
        <w:tc>
          <w:tcPr>
            <w:tcW w:w="8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155</w:t>
            </w:r>
          </w:p>
        </w:tc>
        <w:tc>
          <w:tcPr>
            <w:tcW w:w="57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楷体"/>
                <w:color w:val="000000"/>
                <w:sz w:val="22"/>
              </w:rPr>
            </w:pPr>
            <w:r>
              <w:rPr>
                <w:rFonts w:hint="eastAsia" w:ascii="宋体" w:hAnsi="宋体" w:cs="楷体"/>
                <w:color w:val="000000"/>
                <w:sz w:val="22"/>
              </w:rPr>
              <w:t>58</w:t>
            </w:r>
          </w:p>
        </w:tc>
        <w:tc>
          <w:tcPr>
            <w:tcW w:w="1542"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olor w:val="000000"/>
                <w:kern w:val="0"/>
                <w:sz w:val="22"/>
              </w:rPr>
            </w:pPr>
            <w:r>
              <w:rPr>
                <w:rFonts w:hint="eastAsia" w:ascii="宋体" w:hAnsi="宋体"/>
                <w:color w:val="000000"/>
                <w:kern w:val="0"/>
                <w:sz w:val="22"/>
              </w:rPr>
              <w:t>2020年5月</w:t>
            </w:r>
          </w:p>
        </w:tc>
        <w:tc>
          <w:tcPr>
            <w:tcW w:w="1178"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黑体" w:hAnsi="宋体" w:eastAsia="黑体" w:cs="黑体"/>
                <w:color w:val="000000"/>
                <w:sz w:val="22"/>
              </w:rPr>
            </w:pPr>
          </w:p>
        </w:tc>
        <w:tc>
          <w:tcPr>
            <w:tcW w:w="70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140</w:t>
            </w:r>
          </w:p>
        </w:tc>
        <w:tc>
          <w:tcPr>
            <w:tcW w:w="57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楷体"/>
                <w:color w:val="000000"/>
                <w:sz w:val="22"/>
              </w:rPr>
            </w:pPr>
            <w:r>
              <w:rPr>
                <w:rFonts w:hint="eastAsia" w:ascii="宋体" w:hAnsi="宋体" w:cs="楷体"/>
                <w:color w:val="000000"/>
                <w:sz w:val="22"/>
              </w:rPr>
              <w:t>23</w:t>
            </w:r>
          </w:p>
        </w:tc>
        <w:tc>
          <w:tcPr>
            <w:tcW w:w="1542" w:type="dxa"/>
            <w:vMerge w:val="continue"/>
            <w:tcBorders>
              <w:top w:val="single" w:color="000000" w:sz="4" w:space="0"/>
              <w:left w:val="single" w:color="000000" w:sz="4" w:space="0"/>
              <w:bottom w:val="single" w:color="000000" w:sz="4" w:space="0"/>
              <w:right w:val="single" w:color="000000" w:sz="8" w:space="0"/>
            </w:tcBorders>
            <w:noWrap/>
            <w:tcMar>
              <w:top w:w="12" w:type="dxa"/>
              <w:left w:w="12" w:type="dxa"/>
              <w:right w:w="12" w:type="dxa"/>
            </w:tcMar>
            <w:vAlign w:val="center"/>
          </w:tcPr>
          <w:p>
            <w:pPr>
              <w:widowControl/>
              <w:jc w:val="center"/>
              <w:textAlignment w:val="center"/>
              <w:rPr>
                <w:rFonts w:ascii="宋体" w:hAnsi="宋体"/>
                <w:color w:val="000000"/>
                <w:kern w:val="0"/>
                <w:sz w:val="22"/>
              </w:rPr>
            </w:pPr>
          </w:p>
        </w:tc>
      </w:tr>
      <w:tr>
        <w:tblPrEx>
          <w:tblLayout w:type="fixed"/>
          <w:tblCellMar>
            <w:top w:w="0" w:type="dxa"/>
            <w:left w:w="0" w:type="dxa"/>
            <w:bottom w:w="0" w:type="dxa"/>
            <w:right w:w="0" w:type="dxa"/>
          </w:tblCellMar>
        </w:tblPrEx>
        <w:trPr>
          <w:trHeight w:val="397" w:hRule="atLeast"/>
          <w:jc w:val="center"/>
        </w:trPr>
        <w:tc>
          <w:tcPr>
            <w:tcW w:w="1178" w:type="dxa"/>
            <w:vMerge w:val="continue"/>
            <w:tcBorders>
              <w:top w:val="single" w:color="000000" w:sz="4" w:space="0"/>
              <w:left w:val="single" w:color="000000" w:sz="8" w:space="0"/>
              <w:bottom w:val="single" w:color="000000" w:sz="4" w:space="0"/>
              <w:right w:val="single" w:color="000000" w:sz="4" w:space="0"/>
            </w:tcBorders>
            <w:noWrap/>
            <w:tcMar>
              <w:top w:w="12" w:type="dxa"/>
              <w:left w:w="12" w:type="dxa"/>
              <w:right w:w="12" w:type="dxa"/>
            </w:tcMar>
            <w:vAlign w:val="center"/>
          </w:tcPr>
          <w:p>
            <w:pPr>
              <w:jc w:val="center"/>
              <w:rPr>
                <w:rFonts w:ascii="黑体" w:hAnsi="宋体" w:eastAsia="黑体" w:cs="黑体"/>
                <w:color w:val="000000"/>
                <w:sz w:val="22"/>
              </w:rPr>
            </w:pPr>
          </w:p>
        </w:tc>
        <w:tc>
          <w:tcPr>
            <w:tcW w:w="8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165</w:t>
            </w:r>
          </w:p>
        </w:tc>
        <w:tc>
          <w:tcPr>
            <w:tcW w:w="57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楷体"/>
                <w:color w:val="000000"/>
                <w:sz w:val="22"/>
              </w:rPr>
            </w:pPr>
            <w:r>
              <w:rPr>
                <w:rFonts w:hint="eastAsia" w:ascii="宋体" w:hAnsi="宋体" w:cs="楷体"/>
                <w:color w:val="000000"/>
                <w:sz w:val="22"/>
              </w:rPr>
              <w:t>10</w:t>
            </w:r>
          </w:p>
        </w:tc>
        <w:tc>
          <w:tcPr>
            <w:tcW w:w="15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olor w:val="000000"/>
                <w:kern w:val="0"/>
                <w:sz w:val="22"/>
              </w:rPr>
            </w:pPr>
          </w:p>
        </w:tc>
        <w:tc>
          <w:tcPr>
            <w:tcW w:w="1178"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黑体" w:hAnsi="宋体" w:eastAsia="黑体" w:cs="黑体"/>
                <w:color w:val="000000"/>
                <w:sz w:val="22"/>
              </w:rPr>
            </w:pPr>
          </w:p>
        </w:tc>
        <w:tc>
          <w:tcPr>
            <w:tcW w:w="70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160</w:t>
            </w:r>
          </w:p>
        </w:tc>
        <w:tc>
          <w:tcPr>
            <w:tcW w:w="57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楷体"/>
                <w:color w:val="000000"/>
                <w:sz w:val="22"/>
              </w:rPr>
            </w:pPr>
            <w:r>
              <w:rPr>
                <w:rFonts w:hint="eastAsia" w:ascii="宋体" w:hAnsi="宋体" w:cs="楷体"/>
                <w:color w:val="000000"/>
                <w:sz w:val="22"/>
              </w:rPr>
              <w:t>20</w:t>
            </w:r>
          </w:p>
        </w:tc>
        <w:tc>
          <w:tcPr>
            <w:tcW w:w="1542" w:type="dxa"/>
            <w:vMerge w:val="continue"/>
            <w:tcBorders>
              <w:top w:val="single" w:color="000000" w:sz="4" w:space="0"/>
              <w:left w:val="single" w:color="000000" w:sz="4" w:space="0"/>
              <w:bottom w:val="single" w:color="000000" w:sz="4" w:space="0"/>
              <w:right w:val="single" w:color="000000" w:sz="8" w:space="0"/>
            </w:tcBorders>
            <w:noWrap/>
            <w:tcMar>
              <w:top w:w="12" w:type="dxa"/>
              <w:left w:w="12" w:type="dxa"/>
              <w:right w:w="12" w:type="dxa"/>
            </w:tcMar>
            <w:vAlign w:val="center"/>
          </w:tcPr>
          <w:p>
            <w:pPr>
              <w:widowControl/>
              <w:jc w:val="center"/>
              <w:textAlignment w:val="center"/>
              <w:rPr>
                <w:rFonts w:ascii="宋体" w:hAnsi="宋体"/>
                <w:color w:val="000000"/>
                <w:kern w:val="0"/>
                <w:sz w:val="22"/>
              </w:rPr>
            </w:pPr>
          </w:p>
        </w:tc>
      </w:tr>
      <w:tr>
        <w:tblPrEx>
          <w:tblLayout w:type="fixed"/>
          <w:tblCellMar>
            <w:top w:w="0" w:type="dxa"/>
            <w:left w:w="0" w:type="dxa"/>
            <w:bottom w:w="0" w:type="dxa"/>
            <w:right w:w="0" w:type="dxa"/>
          </w:tblCellMar>
        </w:tblPrEx>
        <w:trPr>
          <w:trHeight w:val="359" w:hRule="atLeast"/>
          <w:jc w:val="center"/>
        </w:trPr>
        <w:tc>
          <w:tcPr>
            <w:tcW w:w="1178" w:type="dxa"/>
            <w:vMerge w:val="restart"/>
            <w:tcBorders>
              <w:top w:val="single" w:color="000000" w:sz="4" w:space="0"/>
              <w:left w:val="single" w:color="000000" w:sz="8"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香悦府三期</w:t>
            </w:r>
          </w:p>
        </w:tc>
        <w:tc>
          <w:tcPr>
            <w:tcW w:w="8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105</w:t>
            </w:r>
          </w:p>
        </w:tc>
        <w:tc>
          <w:tcPr>
            <w:tcW w:w="57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楷体"/>
                <w:color w:val="000000"/>
                <w:sz w:val="22"/>
              </w:rPr>
            </w:pPr>
            <w:r>
              <w:rPr>
                <w:rFonts w:hint="eastAsia" w:ascii="宋体" w:hAnsi="宋体" w:cs="楷体"/>
                <w:color w:val="000000"/>
                <w:sz w:val="22"/>
              </w:rPr>
              <w:t>10</w:t>
            </w:r>
          </w:p>
        </w:tc>
        <w:tc>
          <w:tcPr>
            <w:tcW w:w="1542"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olor w:val="000000"/>
                <w:kern w:val="0"/>
                <w:sz w:val="22"/>
              </w:rPr>
            </w:pPr>
            <w:r>
              <w:rPr>
                <w:rFonts w:hint="eastAsia" w:ascii="宋体" w:hAnsi="宋体"/>
                <w:color w:val="000000"/>
                <w:kern w:val="0"/>
                <w:sz w:val="22"/>
              </w:rPr>
              <w:t>2022年8月</w:t>
            </w:r>
          </w:p>
        </w:tc>
        <w:tc>
          <w:tcPr>
            <w:tcW w:w="1178"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文华府</w:t>
            </w:r>
          </w:p>
        </w:tc>
        <w:tc>
          <w:tcPr>
            <w:tcW w:w="70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105</w:t>
            </w:r>
          </w:p>
        </w:tc>
        <w:tc>
          <w:tcPr>
            <w:tcW w:w="57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楷体"/>
                <w:color w:val="000000"/>
                <w:sz w:val="22"/>
              </w:rPr>
            </w:pPr>
            <w:r>
              <w:rPr>
                <w:rFonts w:hint="eastAsia" w:ascii="宋体" w:hAnsi="宋体" w:cs="楷体"/>
                <w:color w:val="000000"/>
                <w:sz w:val="22"/>
              </w:rPr>
              <w:t>23</w:t>
            </w:r>
          </w:p>
        </w:tc>
        <w:tc>
          <w:tcPr>
            <w:tcW w:w="1542" w:type="dxa"/>
            <w:vMerge w:val="restart"/>
            <w:tcBorders>
              <w:top w:val="single" w:color="000000" w:sz="4" w:space="0"/>
              <w:left w:val="single" w:color="000000" w:sz="4" w:space="0"/>
              <w:bottom w:val="single" w:color="000000" w:sz="4" w:space="0"/>
              <w:right w:val="single" w:color="000000" w:sz="8" w:space="0"/>
            </w:tcBorders>
            <w:noWrap/>
            <w:tcMar>
              <w:top w:w="12" w:type="dxa"/>
              <w:left w:w="12" w:type="dxa"/>
              <w:right w:w="12" w:type="dxa"/>
            </w:tcMar>
            <w:vAlign w:val="center"/>
          </w:tcPr>
          <w:p>
            <w:pPr>
              <w:widowControl/>
              <w:jc w:val="center"/>
              <w:textAlignment w:val="center"/>
              <w:rPr>
                <w:rFonts w:ascii="宋体" w:hAnsi="宋体"/>
                <w:color w:val="000000"/>
                <w:kern w:val="0"/>
                <w:sz w:val="22"/>
              </w:rPr>
            </w:pPr>
            <w:r>
              <w:rPr>
                <w:rFonts w:hint="eastAsia" w:ascii="宋体" w:hAnsi="宋体"/>
                <w:color w:val="000000"/>
                <w:kern w:val="0"/>
                <w:sz w:val="22"/>
              </w:rPr>
              <w:t>2021年10月</w:t>
            </w:r>
          </w:p>
        </w:tc>
      </w:tr>
      <w:tr>
        <w:tblPrEx>
          <w:tblLayout w:type="fixed"/>
          <w:tblCellMar>
            <w:top w:w="0" w:type="dxa"/>
            <w:left w:w="0" w:type="dxa"/>
            <w:bottom w:w="0" w:type="dxa"/>
            <w:right w:w="0" w:type="dxa"/>
          </w:tblCellMar>
        </w:tblPrEx>
        <w:trPr>
          <w:trHeight w:val="365" w:hRule="atLeast"/>
          <w:jc w:val="center"/>
        </w:trPr>
        <w:tc>
          <w:tcPr>
            <w:tcW w:w="1178" w:type="dxa"/>
            <w:vMerge w:val="continue"/>
            <w:tcBorders>
              <w:top w:val="single" w:color="000000" w:sz="4" w:space="0"/>
              <w:left w:val="single" w:color="000000" w:sz="8" w:space="0"/>
              <w:bottom w:val="single" w:color="000000" w:sz="4" w:space="0"/>
              <w:right w:val="single" w:color="000000" w:sz="4" w:space="0"/>
            </w:tcBorders>
            <w:noWrap/>
            <w:tcMar>
              <w:top w:w="12" w:type="dxa"/>
              <w:left w:w="12" w:type="dxa"/>
              <w:right w:w="12" w:type="dxa"/>
            </w:tcMar>
            <w:vAlign w:val="center"/>
          </w:tcPr>
          <w:p>
            <w:pPr>
              <w:jc w:val="center"/>
              <w:rPr>
                <w:rFonts w:ascii="黑体" w:hAnsi="宋体" w:eastAsia="黑体" w:cs="黑体"/>
                <w:color w:val="000000"/>
                <w:sz w:val="22"/>
              </w:rPr>
            </w:pPr>
          </w:p>
        </w:tc>
        <w:tc>
          <w:tcPr>
            <w:tcW w:w="8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125</w:t>
            </w:r>
          </w:p>
        </w:tc>
        <w:tc>
          <w:tcPr>
            <w:tcW w:w="57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楷体"/>
                <w:color w:val="000000"/>
                <w:sz w:val="22"/>
              </w:rPr>
            </w:pPr>
            <w:r>
              <w:rPr>
                <w:rFonts w:hint="eastAsia" w:ascii="宋体" w:hAnsi="宋体" w:cs="楷体"/>
                <w:color w:val="000000"/>
                <w:sz w:val="22"/>
              </w:rPr>
              <w:t>19</w:t>
            </w:r>
          </w:p>
        </w:tc>
        <w:tc>
          <w:tcPr>
            <w:tcW w:w="15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olor w:val="000000"/>
                <w:kern w:val="0"/>
                <w:sz w:val="22"/>
              </w:rPr>
            </w:pPr>
          </w:p>
        </w:tc>
        <w:tc>
          <w:tcPr>
            <w:tcW w:w="1178"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黑体" w:hAnsi="宋体" w:eastAsia="黑体" w:cs="黑体"/>
                <w:color w:val="000000"/>
                <w:sz w:val="22"/>
              </w:rPr>
            </w:pPr>
          </w:p>
        </w:tc>
        <w:tc>
          <w:tcPr>
            <w:tcW w:w="70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120</w:t>
            </w:r>
          </w:p>
        </w:tc>
        <w:tc>
          <w:tcPr>
            <w:tcW w:w="57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楷体"/>
                <w:color w:val="000000"/>
                <w:sz w:val="22"/>
              </w:rPr>
            </w:pPr>
            <w:r>
              <w:rPr>
                <w:rFonts w:hint="eastAsia" w:ascii="宋体" w:hAnsi="宋体" w:cs="楷体"/>
                <w:color w:val="000000"/>
                <w:sz w:val="22"/>
              </w:rPr>
              <w:t>26</w:t>
            </w:r>
          </w:p>
        </w:tc>
        <w:tc>
          <w:tcPr>
            <w:tcW w:w="1542" w:type="dxa"/>
            <w:vMerge w:val="continue"/>
            <w:tcBorders>
              <w:top w:val="single" w:color="000000" w:sz="4" w:space="0"/>
              <w:left w:val="single" w:color="000000" w:sz="4" w:space="0"/>
              <w:bottom w:val="single" w:color="000000" w:sz="4" w:space="0"/>
              <w:right w:val="single" w:color="000000" w:sz="8" w:space="0"/>
            </w:tcBorders>
            <w:noWrap/>
            <w:tcMar>
              <w:top w:w="12" w:type="dxa"/>
              <w:left w:w="12" w:type="dxa"/>
              <w:right w:w="12" w:type="dxa"/>
            </w:tcMar>
            <w:vAlign w:val="center"/>
          </w:tcPr>
          <w:p>
            <w:pPr>
              <w:jc w:val="center"/>
              <w:rPr>
                <w:rFonts w:ascii="FangSong_GB2312" w:hAnsi="宋体" w:eastAsia="FangSong_GB2312" w:cs="FangSong_GB2312"/>
                <w:color w:val="000000"/>
                <w:sz w:val="22"/>
              </w:rPr>
            </w:pPr>
          </w:p>
        </w:tc>
      </w:tr>
      <w:tr>
        <w:tblPrEx>
          <w:tblLayout w:type="fixed"/>
          <w:tblCellMar>
            <w:top w:w="0" w:type="dxa"/>
            <w:left w:w="0" w:type="dxa"/>
            <w:bottom w:w="0" w:type="dxa"/>
            <w:right w:w="0" w:type="dxa"/>
          </w:tblCellMar>
        </w:tblPrEx>
        <w:trPr>
          <w:trHeight w:val="359" w:hRule="atLeast"/>
          <w:jc w:val="center"/>
        </w:trPr>
        <w:tc>
          <w:tcPr>
            <w:tcW w:w="1178" w:type="dxa"/>
            <w:vMerge w:val="continue"/>
            <w:tcBorders>
              <w:top w:val="single" w:color="000000" w:sz="4" w:space="0"/>
              <w:left w:val="single" w:color="000000" w:sz="8" w:space="0"/>
              <w:bottom w:val="single" w:color="000000" w:sz="4" w:space="0"/>
              <w:right w:val="single" w:color="000000" w:sz="4" w:space="0"/>
            </w:tcBorders>
            <w:noWrap/>
            <w:tcMar>
              <w:top w:w="12" w:type="dxa"/>
              <w:left w:w="12" w:type="dxa"/>
              <w:right w:w="12" w:type="dxa"/>
            </w:tcMar>
            <w:vAlign w:val="center"/>
          </w:tcPr>
          <w:p>
            <w:pPr>
              <w:jc w:val="center"/>
              <w:rPr>
                <w:rFonts w:ascii="黑体" w:hAnsi="宋体" w:eastAsia="黑体" w:cs="黑体"/>
                <w:color w:val="000000"/>
                <w:sz w:val="22"/>
              </w:rPr>
            </w:pPr>
          </w:p>
        </w:tc>
        <w:tc>
          <w:tcPr>
            <w:tcW w:w="8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145</w:t>
            </w:r>
          </w:p>
        </w:tc>
        <w:tc>
          <w:tcPr>
            <w:tcW w:w="57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楷体"/>
                <w:color w:val="000000"/>
                <w:sz w:val="22"/>
              </w:rPr>
            </w:pPr>
            <w:r>
              <w:rPr>
                <w:rFonts w:hint="eastAsia" w:ascii="宋体" w:hAnsi="宋体" w:cs="楷体"/>
                <w:color w:val="000000"/>
                <w:sz w:val="22"/>
              </w:rPr>
              <w:t>60</w:t>
            </w:r>
          </w:p>
        </w:tc>
        <w:tc>
          <w:tcPr>
            <w:tcW w:w="15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olor w:val="000000"/>
                <w:kern w:val="0"/>
                <w:sz w:val="22"/>
              </w:rPr>
            </w:pPr>
          </w:p>
        </w:tc>
        <w:tc>
          <w:tcPr>
            <w:tcW w:w="1178"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黑体" w:hAnsi="宋体" w:eastAsia="黑体" w:cs="黑体"/>
                <w:color w:val="000000"/>
                <w:sz w:val="22"/>
              </w:rPr>
            </w:pPr>
          </w:p>
        </w:tc>
        <w:tc>
          <w:tcPr>
            <w:tcW w:w="70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165</w:t>
            </w:r>
          </w:p>
        </w:tc>
        <w:tc>
          <w:tcPr>
            <w:tcW w:w="57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楷体"/>
                <w:color w:val="000000"/>
                <w:sz w:val="22"/>
              </w:rPr>
            </w:pPr>
            <w:r>
              <w:rPr>
                <w:rFonts w:hint="eastAsia" w:ascii="宋体" w:hAnsi="宋体" w:cs="楷体"/>
                <w:color w:val="000000"/>
                <w:sz w:val="22"/>
              </w:rPr>
              <w:t>32</w:t>
            </w:r>
          </w:p>
        </w:tc>
        <w:tc>
          <w:tcPr>
            <w:tcW w:w="1542" w:type="dxa"/>
            <w:vMerge w:val="continue"/>
            <w:tcBorders>
              <w:top w:val="single" w:color="000000" w:sz="4" w:space="0"/>
              <w:left w:val="single" w:color="000000" w:sz="4" w:space="0"/>
              <w:bottom w:val="single" w:color="000000" w:sz="4" w:space="0"/>
              <w:right w:val="single" w:color="000000" w:sz="8" w:space="0"/>
            </w:tcBorders>
            <w:noWrap/>
            <w:tcMar>
              <w:top w:w="12" w:type="dxa"/>
              <w:left w:w="12" w:type="dxa"/>
              <w:right w:w="12" w:type="dxa"/>
            </w:tcMar>
            <w:vAlign w:val="center"/>
          </w:tcPr>
          <w:p>
            <w:pPr>
              <w:jc w:val="center"/>
              <w:rPr>
                <w:rFonts w:ascii="FangSong_GB2312" w:hAnsi="宋体" w:eastAsia="FangSong_GB2312" w:cs="FangSong_GB2312"/>
                <w:color w:val="000000"/>
                <w:sz w:val="22"/>
              </w:rPr>
            </w:pPr>
          </w:p>
        </w:tc>
      </w:tr>
      <w:tr>
        <w:tblPrEx>
          <w:tblLayout w:type="fixed"/>
          <w:tblCellMar>
            <w:top w:w="0" w:type="dxa"/>
            <w:left w:w="0" w:type="dxa"/>
            <w:bottom w:w="0" w:type="dxa"/>
            <w:right w:w="0" w:type="dxa"/>
          </w:tblCellMar>
        </w:tblPrEx>
        <w:trPr>
          <w:trHeight w:val="397" w:hRule="atLeast"/>
          <w:jc w:val="center"/>
        </w:trPr>
        <w:tc>
          <w:tcPr>
            <w:tcW w:w="1178" w:type="dxa"/>
            <w:tcBorders>
              <w:top w:val="single" w:color="000000" w:sz="4" w:space="0"/>
              <w:left w:val="single" w:color="000000" w:sz="8"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望江府</w:t>
            </w:r>
          </w:p>
        </w:tc>
        <w:tc>
          <w:tcPr>
            <w:tcW w:w="8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165</w:t>
            </w:r>
          </w:p>
        </w:tc>
        <w:tc>
          <w:tcPr>
            <w:tcW w:w="57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楷体"/>
                <w:color w:val="000000"/>
                <w:sz w:val="22"/>
              </w:rPr>
            </w:pPr>
            <w:r>
              <w:rPr>
                <w:rFonts w:hint="eastAsia" w:ascii="宋体" w:hAnsi="宋体" w:cs="楷体"/>
                <w:color w:val="000000"/>
                <w:sz w:val="22"/>
              </w:rPr>
              <w:t>10</w:t>
            </w:r>
          </w:p>
        </w:tc>
        <w:tc>
          <w:tcPr>
            <w:tcW w:w="154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olor w:val="000000"/>
                <w:kern w:val="0"/>
                <w:sz w:val="22"/>
              </w:rPr>
            </w:pPr>
            <w:r>
              <w:rPr>
                <w:rFonts w:hint="eastAsia" w:ascii="宋体" w:hAnsi="宋体"/>
                <w:color w:val="000000"/>
                <w:kern w:val="0"/>
                <w:sz w:val="22"/>
              </w:rPr>
              <w:t>2021年4月</w:t>
            </w:r>
          </w:p>
        </w:tc>
        <w:tc>
          <w:tcPr>
            <w:tcW w:w="1178" w:type="dxa"/>
            <w:vMerge w:val="restart"/>
            <w:tcBorders>
              <w:top w:val="single" w:color="000000" w:sz="4" w:space="0"/>
              <w:left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olor w:val="000000"/>
                <w:sz w:val="22"/>
              </w:rPr>
            </w:pPr>
            <w:r>
              <w:rPr>
                <w:rFonts w:hint="eastAsia" w:ascii="黑体" w:hAnsi="宋体" w:eastAsia="黑体" w:cs="黑体"/>
                <w:color w:val="000000"/>
                <w:kern w:val="0"/>
                <w:sz w:val="22"/>
              </w:rPr>
              <w:t>秦塘府</w:t>
            </w:r>
          </w:p>
        </w:tc>
        <w:tc>
          <w:tcPr>
            <w:tcW w:w="2817" w:type="dxa"/>
            <w:gridSpan w:val="3"/>
            <w:vMerge w:val="restart"/>
            <w:tcBorders>
              <w:top w:val="single" w:color="000000" w:sz="4" w:space="0"/>
              <w:left w:val="single" w:color="000000" w:sz="4" w:space="0"/>
              <w:right w:val="single" w:color="000000" w:sz="8" w:space="0"/>
            </w:tcBorders>
            <w:noWrap/>
            <w:tcMar>
              <w:top w:w="12" w:type="dxa"/>
              <w:left w:w="12" w:type="dxa"/>
              <w:right w:w="12" w:type="dxa"/>
            </w:tcMar>
            <w:vAlign w:val="center"/>
          </w:tcPr>
          <w:p>
            <w:pPr>
              <w:widowControl/>
              <w:jc w:val="left"/>
              <w:textAlignment w:val="center"/>
              <w:rPr>
                <w:rFonts w:ascii="宋体" w:hAnsi="宋体"/>
                <w:color w:val="000000"/>
                <w:sz w:val="22"/>
              </w:rPr>
            </w:pPr>
            <w:r>
              <w:rPr>
                <w:rFonts w:hint="eastAsia" w:ascii="宋体" w:hAnsi="宋体"/>
                <w:color w:val="000000"/>
                <w:kern w:val="0"/>
                <w:sz w:val="22"/>
              </w:rPr>
              <w:t>位于征收范围内城中北路以西，户型和套数</w:t>
            </w:r>
            <w:r>
              <w:rPr>
                <w:rFonts w:hint="eastAsia" w:ascii="宋体" w:hAnsi="宋体"/>
                <w:color w:val="000000"/>
                <w:kern w:val="0"/>
                <w:sz w:val="22"/>
                <w:lang w:eastAsia="zh-CN"/>
              </w:rPr>
              <w:t>另行</w:t>
            </w:r>
            <w:r>
              <w:rPr>
                <w:rFonts w:hint="eastAsia" w:ascii="宋体" w:hAnsi="宋体"/>
                <w:color w:val="000000"/>
                <w:kern w:val="0"/>
                <w:sz w:val="22"/>
              </w:rPr>
              <w:t>公布</w:t>
            </w:r>
          </w:p>
        </w:tc>
      </w:tr>
      <w:tr>
        <w:tblPrEx>
          <w:tblLayout w:type="fixed"/>
          <w:tblCellMar>
            <w:top w:w="0" w:type="dxa"/>
            <w:left w:w="0" w:type="dxa"/>
            <w:bottom w:w="0" w:type="dxa"/>
            <w:right w:w="0" w:type="dxa"/>
          </w:tblCellMar>
        </w:tblPrEx>
        <w:trPr>
          <w:trHeight w:val="381" w:hRule="atLeast"/>
          <w:jc w:val="center"/>
        </w:trPr>
        <w:tc>
          <w:tcPr>
            <w:tcW w:w="1178" w:type="dxa"/>
            <w:vMerge w:val="restart"/>
            <w:tcBorders>
              <w:top w:val="single" w:color="000000" w:sz="4" w:space="0"/>
              <w:left w:val="single" w:color="000000" w:sz="8"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下车门新村</w:t>
            </w:r>
          </w:p>
        </w:tc>
        <w:tc>
          <w:tcPr>
            <w:tcW w:w="8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105</w:t>
            </w:r>
          </w:p>
        </w:tc>
        <w:tc>
          <w:tcPr>
            <w:tcW w:w="57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楷体"/>
                <w:color w:val="000000"/>
                <w:sz w:val="22"/>
              </w:rPr>
            </w:pPr>
            <w:r>
              <w:rPr>
                <w:rFonts w:hint="eastAsia" w:ascii="宋体" w:hAnsi="宋体" w:cs="楷体"/>
                <w:color w:val="000000"/>
                <w:sz w:val="22"/>
              </w:rPr>
              <w:t>79</w:t>
            </w:r>
          </w:p>
        </w:tc>
        <w:tc>
          <w:tcPr>
            <w:tcW w:w="1542"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olor w:val="000000"/>
                <w:kern w:val="0"/>
                <w:sz w:val="22"/>
              </w:rPr>
            </w:pPr>
            <w:r>
              <w:rPr>
                <w:rFonts w:hint="eastAsia" w:ascii="宋体" w:hAnsi="宋体"/>
                <w:color w:val="000000"/>
                <w:kern w:val="0"/>
                <w:sz w:val="22"/>
              </w:rPr>
              <w:t>2022年8月</w:t>
            </w:r>
          </w:p>
        </w:tc>
        <w:tc>
          <w:tcPr>
            <w:tcW w:w="1178" w:type="dxa"/>
            <w:vMerge w:val="continue"/>
            <w:tcBorders>
              <w:left w:val="single" w:color="000000" w:sz="4" w:space="0"/>
              <w:right w:val="single" w:color="000000" w:sz="4" w:space="0"/>
            </w:tcBorders>
            <w:noWrap/>
            <w:tcMar>
              <w:top w:w="12" w:type="dxa"/>
              <w:left w:w="12" w:type="dxa"/>
              <w:right w:w="12" w:type="dxa"/>
            </w:tcMar>
            <w:vAlign w:val="center"/>
          </w:tcPr>
          <w:p>
            <w:pPr>
              <w:jc w:val="center"/>
              <w:rPr>
                <w:rFonts w:ascii="宋体" w:hAnsi="宋体"/>
                <w:color w:val="000000"/>
                <w:sz w:val="22"/>
              </w:rPr>
            </w:pPr>
          </w:p>
        </w:tc>
        <w:tc>
          <w:tcPr>
            <w:tcW w:w="2817" w:type="dxa"/>
            <w:gridSpan w:val="3"/>
            <w:vMerge w:val="continue"/>
            <w:tcBorders>
              <w:left w:val="single" w:color="000000" w:sz="4" w:space="0"/>
              <w:right w:val="single" w:color="000000" w:sz="8" w:space="0"/>
            </w:tcBorders>
            <w:noWrap/>
            <w:tcMar>
              <w:top w:w="12" w:type="dxa"/>
              <w:left w:w="12" w:type="dxa"/>
              <w:right w:w="12" w:type="dxa"/>
            </w:tcMar>
            <w:vAlign w:val="center"/>
          </w:tcPr>
          <w:p>
            <w:pPr>
              <w:jc w:val="center"/>
              <w:rPr>
                <w:rFonts w:ascii="宋体" w:hAnsi="宋体"/>
                <w:color w:val="000000"/>
                <w:sz w:val="22"/>
              </w:rPr>
            </w:pPr>
          </w:p>
        </w:tc>
      </w:tr>
      <w:tr>
        <w:tblPrEx>
          <w:tblLayout w:type="fixed"/>
          <w:tblCellMar>
            <w:top w:w="0" w:type="dxa"/>
            <w:left w:w="0" w:type="dxa"/>
            <w:bottom w:w="0" w:type="dxa"/>
            <w:right w:w="0" w:type="dxa"/>
          </w:tblCellMar>
        </w:tblPrEx>
        <w:trPr>
          <w:trHeight w:val="397" w:hRule="atLeast"/>
          <w:jc w:val="center"/>
        </w:trPr>
        <w:tc>
          <w:tcPr>
            <w:tcW w:w="1178" w:type="dxa"/>
            <w:vMerge w:val="continue"/>
            <w:tcBorders>
              <w:top w:val="single" w:color="000000" w:sz="4" w:space="0"/>
              <w:left w:val="single" w:color="000000" w:sz="8" w:space="0"/>
              <w:bottom w:val="single" w:color="000000" w:sz="4" w:space="0"/>
              <w:right w:val="single" w:color="000000" w:sz="4" w:space="0"/>
            </w:tcBorders>
            <w:noWrap/>
            <w:tcMar>
              <w:top w:w="12" w:type="dxa"/>
              <w:left w:w="12" w:type="dxa"/>
              <w:right w:w="12" w:type="dxa"/>
            </w:tcMar>
            <w:vAlign w:val="center"/>
          </w:tcPr>
          <w:p>
            <w:pPr>
              <w:jc w:val="center"/>
              <w:rPr>
                <w:rFonts w:ascii="黑体" w:hAnsi="宋体" w:eastAsia="黑体" w:cs="黑体"/>
                <w:color w:val="000000"/>
                <w:sz w:val="22"/>
              </w:rPr>
            </w:pPr>
          </w:p>
        </w:tc>
        <w:tc>
          <w:tcPr>
            <w:tcW w:w="8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135</w:t>
            </w:r>
          </w:p>
        </w:tc>
        <w:tc>
          <w:tcPr>
            <w:tcW w:w="57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楷体"/>
                <w:color w:val="000000"/>
                <w:sz w:val="22"/>
              </w:rPr>
            </w:pPr>
            <w:r>
              <w:rPr>
                <w:rFonts w:hint="eastAsia" w:ascii="宋体" w:hAnsi="宋体" w:cs="楷体"/>
                <w:color w:val="000000"/>
                <w:sz w:val="22"/>
              </w:rPr>
              <w:t>75</w:t>
            </w:r>
          </w:p>
        </w:tc>
        <w:tc>
          <w:tcPr>
            <w:tcW w:w="15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FangSong_GB2312" w:hAnsi="宋体" w:eastAsia="FangSong_GB2312" w:cs="FangSong_GB2312"/>
                <w:color w:val="000000"/>
                <w:sz w:val="22"/>
              </w:rPr>
            </w:pPr>
          </w:p>
        </w:tc>
        <w:tc>
          <w:tcPr>
            <w:tcW w:w="1178" w:type="dxa"/>
            <w:vMerge w:val="continue"/>
            <w:tcBorders>
              <w:left w:val="single" w:color="000000" w:sz="4" w:space="0"/>
              <w:right w:val="single" w:color="000000" w:sz="4" w:space="0"/>
            </w:tcBorders>
            <w:noWrap/>
            <w:tcMar>
              <w:top w:w="12" w:type="dxa"/>
              <w:left w:w="12" w:type="dxa"/>
              <w:right w:w="12" w:type="dxa"/>
            </w:tcMar>
            <w:vAlign w:val="center"/>
          </w:tcPr>
          <w:p>
            <w:pPr>
              <w:jc w:val="center"/>
              <w:rPr>
                <w:rFonts w:ascii="宋体" w:hAnsi="宋体"/>
                <w:color w:val="000000"/>
                <w:sz w:val="22"/>
              </w:rPr>
            </w:pPr>
          </w:p>
        </w:tc>
        <w:tc>
          <w:tcPr>
            <w:tcW w:w="2817" w:type="dxa"/>
            <w:gridSpan w:val="3"/>
            <w:vMerge w:val="continue"/>
            <w:tcBorders>
              <w:left w:val="single" w:color="000000" w:sz="4" w:space="0"/>
              <w:right w:val="single" w:color="000000" w:sz="8" w:space="0"/>
            </w:tcBorders>
            <w:noWrap/>
            <w:tcMar>
              <w:top w:w="12" w:type="dxa"/>
              <w:left w:w="12" w:type="dxa"/>
              <w:right w:w="12" w:type="dxa"/>
            </w:tcMar>
            <w:vAlign w:val="center"/>
          </w:tcPr>
          <w:p>
            <w:pPr>
              <w:jc w:val="center"/>
              <w:rPr>
                <w:rFonts w:ascii="宋体" w:hAnsi="宋体"/>
                <w:color w:val="000000"/>
                <w:sz w:val="22"/>
              </w:rPr>
            </w:pPr>
          </w:p>
        </w:tc>
      </w:tr>
      <w:tr>
        <w:tblPrEx>
          <w:tblLayout w:type="fixed"/>
          <w:tblCellMar>
            <w:top w:w="0" w:type="dxa"/>
            <w:left w:w="0" w:type="dxa"/>
            <w:bottom w:w="0" w:type="dxa"/>
            <w:right w:w="0" w:type="dxa"/>
          </w:tblCellMar>
        </w:tblPrEx>
        <w:trPr>
          <w:trHeight w:val="365" w:hRule="atLeast"/>
          <w:jc w:val="center"/>
        </w:trPr>
        <w:tc>
          <w:tcPr>
            <w:tcW w:w="1178" w:type="dxa"/>
            <w:vMerge w:val="continue"/>
            <w:tcBorders>
              <w:top w:val="single" w:color="000000" w:sz="4" w:space="0"/>
              <w:left w:val="single" w:color="000000" w:sz="8" w:space="0"/>
              <w:bottom w:val="single" w:color="000000" w:sz="4" w:space="0"/>
              <w:right w:val="single" w:color="000000" w:sz="4" w:space="0"/>
            </w:tcBorders>
            <w:noWrap/>
            <w:tcMar>
              <w:top w:w="12" w:type="dxa"/>
              <w:left w:w="12" w:type="dxa"/>
              <w:right w:w="12" w:type="dxa"/>
            </w:tcMar>
            <w:vAlign w:val="center"/>
          </w:tcPr>
          <w:p>
            <w:pPr>
              <w:jc w:val="center"/>
              <w:rPr>
                <w:rFonts w:ascii="黑体" w:hAnsi="宋体" w:eastAsia="黑体" w:cs="黑体"/>
                <w:color w:val="000000"/>
                <w:sz w:val="22"/>
              </w:rPr>
            </w:pPr>
          </w:p>
        </w:tc>
        <w:tc>
          <w:tcPr>
            <w:tcW w:w="8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150</w:t>
            </w:r>
          </w:p>
        </w:tc>
        <w:tc>
          <w:tcPr>
            <w:tcW w:w="57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楷体"/>
                <w:color w:val="000000"/>
                <w:sz w:val="22"/>
              </w:rPr>
            </w:pPr>
            <w:r>
              <w:rPr>
                <w:rFonts w:hint="eastAsia" w:ascii="宋体" w:hAnsi="宋体" w:cs="楷体"/>
                <w:color w:val="000000"/>
                <w:sz w:val="22"/>
              </w:rPr>
              <w:t>60</w:t>
            </w:r>
          </w:p>
        </w:tc>
        <w:tc>
          <w:tcPr>
            <w:tcW w:w="15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FangSong_GB2312" w:hAnsi="宋体" w:eastAsia="FangSong_GB2312" w:cs="FangSong_GB2312"/>
                <w:color w:val="000000"/>
                <w:sz w:val="22"/>
              </w:rPr>
            </w:pPr>
          </w:p>
        </w:tc>
        <w:tc>
          <w:tcPr>
            <w:tcW w:w="1178" w:type="dxa"/>
            <w:vMerge w:val="continue"/>
            <w:tcBorders>
              <w:left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olor w:val="000000"/>
                <w:sz w:val="22"/>
              </w:rPr>
            </w:pPr>
          </w:p>
        </w:tc>
        <w:tc>
          <w:tcPr>
            <w:tcW w:w="2817" w:type="dxa"/>
            <w:gridSpan w:val="3"/>
            <w:vMerge w:val="continue"/>
            <w:tcBorders>
              <w:left w:val="single" w:color="000000" w:sz="4" w:space="0"/>
              <w:right w:val="single" w:color="000000" w:sz="8" w:space="0"/>
            </w:tcBorders>
            <w:noWrap/>
            <w:tcMar>
              <w:top w:w="12" w:type="dxa"/>
              <w:left w:w="12" w:type="dxa"/>
              <w:right w:w="12" w:type="dxa"/>
            </w:tcMar>
            <w:vAlign w:val="center"/>
          </w:tcPr>
          <w:p>
            <w:pPr>
              <w:widowControl/>
              <w:jc w:val="center"/>
              <w:textAlignment w:val="center"/>
              <w:rPr>
                <w:rFonts w:ascii="宋体" w:hAnsi="宋体"/>
                <w:color w:val="000000"/>
                <w:sz w:val="22"/>
              </w:rPr>
            </w:pPr>
          </w:p>
        </w:tc>
      </w:tr>
      <w:tr>
        <w:tblPrEx>
          <w:tblLayout w:type="fixed"/>
          <w:tblCellMar>
            <w:top w:w="0" w:type="dxa"/>
            <w:left w:w="0" w:type="dxa"/>
            <w:bottom w:w="0" w:type="dxa"/>
            <w:right w:w="0" w:type="dxa"/>
          </w:tblCellMar>
        </w:tblPrEx>
        <w:trPr>
          <w:trHeight w:val="359" w:hRule="atLeast"/>
          <w:jc w:val="center"/>
        </w:trPr>
        <w:tc>
          <w:tcPr>
            <w:tcW w:w="1178" w:type="dxa"/>
            <w:vMerge w:val="continue"/>
            <w:tcBorders>
              <w:top w:val="single" w:color="000000" w:sz="4" w:space="0"/>
              <w:left w:val="single" w:color="000000" w:sz="8" w:space="0"/>
              <w:bottom w:val="single" w:color="000000" w:sz="4" w:space="0"/>
              <w:right w:val="single" w:color="000000" w:sz="4" w:space="0"/>
            </w:tcBorders>
            <w:noWrap/>
            <w:tcMar>
              <w:top w:w="12" w:type="dxa"/>
              <w:left w:w="12" w:type="dxa"/>
              <w:right w:w="12" w:type="dxa"/>
            </w:tcMar>
            <w:vAlign w:val="center"/>
          </w:tcPr>
          <w:p>
            <w:pPr>
              <w:jc w:val="center"/>
              <w:rPr>
                <w:rFonts w:ascii="黑体" w:hAnsi="宋体" w:eastAsia="黑体" w:cs="黑体"/>
                <w:color w:val="000000"/>
                <w:sz w:val="22"/>
              </w:rPr>
            </w:pPr>
          </w:p>
        </w:tc>
        <w:tc>
          <w:tcPr>
            <w:tcW w:w="8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145底跃</w:t>
            </w:r>
          </w:p>
        </w:tc>
        <w:tc>
          <w:tcPr>
            <w:tcW w:w="57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楷体"/>
                <w:color w:val="000000"/>
                <w:sz w:val="22"/>
              </w:rPr>
            </w:pPr>
            <w:r>
              <w:rPr>
                <w:rFonts w:hint="eastAsia" w:ascii="宋体" w:hAnsi="宋体" w:cs="楷体"/>
                <w:color w:val="000000"/>
                <w:sz w:val="22"/>
              </w:rPr>
              <w:t>2</w:t>
            </w:r>
          </w:p>
        </w:tc>
        <w:tc>
          <w:tcPr>
            <w:tcW w:w="15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FangSong_GB2312" w:hAnsi="宋体" w:eastAsia="FangSong_GB2312" w:cs="FangSong_GB2312"/>
                <w:color w:val="000000"/>
                <w:sz w:val="22"/>
              </w:rPr>
            </w:pPr>
          </w:p>
        </w:tc>
        <w:tc>
          <w:tcPr>
            <w:tcW w:w="1178" w:type="dxa"/>
            <w:vMerge w:val="continue"/>
            <w:tcBorders>
              <w:left w:val="single" w:color="000000" w:sz="4" w:space="0"/>
              <w:right w:val="single" w:color="000000" w:sz="4" w:space="0"/>
            </w:tcBorders>
            <w:noWrap/>
            <w:tcMar>
              <w:top w:w="12" w:type="dxa"/>
              <w:left w:w="12" w:type="dxa"/>
              <w:right w:w="12" w:type="dxa"/>
            </w:tcMar>
            <w:vAlign w:val="center"/>
          </w:tcPr>
          <w:p>
            <w:pPr>
              <w:jc w:val="center"/>
              <w:rPr>
                <w:rFonts w:ascii="宋体" w:hAnsi="宋体"/>
                <w:color w:val="000000"/>
                <w:sz w:val="22"/>
              </w:rPr>
            </w:pPr>
          </w:p>
        </w:tc>
        <w:tc>
          <w:tcPr>
            <w:tcW w:w="2817" w:type="dxa"/>
            <w:gridSpan w:val="3"/>
            <w:vMerge w:val="continue"/>
            <w:tcBorders>
              <w:left w:val="single" w:color="000000" w:sz="4" w:space="0"/>
              <w:right w:val="single" w:color="000000" w:sz="8" w:space="0"/>
            </w:tcBorders>
            <w:noWrap/>
            <w:tcMar>
              <w:top w:w="12" w:type="dxa"/>
              <w:left w:w="12" w:type="dxa"/>
              <w:right w:w="12" w:type="dxa"/>
            </w:tcMar>
            <w:vAlign w:val="center"/>
          </w:tcPr>
          <w:p>
            <w:pPr>
              <w:jc w:val="center"/>
              <w:rPr>
                <w:rFonts w:ascii="宋体" w:hAnsi="宋体"/>
                <w:color w:val="000000"/>
                <w:sz w:val="22"/>
              </w:rPr>
            </w:pPr>
          </w:p>
        </w:tc>
      </w:tr>
      <w:tr>
        <w:tblPrEx>
          <w:tblLayout w:type="fixed"/>
          <w:tblCellMar>
            <w:top w:w="0" w:type="dxa"/>
            <w:left w:w="0" w:type="dxa"/>
            <w:bottom w:w="0" w:type="dxa"/>
            <w:right w:w="0" w:type="dxa"/>
          </w:tblCellMar>
        </w:tblPrEx>
        <w:trPr>
          <w:trHeight w:val="365" w:hRule="atLeast"/>
          <w:jc w:val="center"/>
        </w:trPr>
        <w:tc>
          <w:tcPr>
            <w:tcW w:w="1178" w:type="dxa"/>
            <w:vMerge w:val="continue"/>
            <w:tcBorders>
              <w:top w:val="single" w:color="000000" w:sz="4" w:space="0"/>
              <w:left w:val="single" w:color="000000" w:sz="8" w:space="0"/>
              <w:bottom w:val="single" w:color="000000" w:sz="4" w:space="0"/>
              <w:right w:val="single" w:color="000000" w:sz="4" w:space="0"/>
            </w:tcBorders>
            <w:noWrap/>
            <w:tcMar>
              <w:top w:w="12" w:type="dxa"/>
              <w:left w:w="12" w:type="dxa"/>
              <w:right w:w="12" w:type="dxa"/>
            </w:tcMar>
            <w:vAlign w:val="center"/>
          </w:tcPr>
          <w:p>
            <w:pPr>
              <w:jc w:val="center"/>
              <w:rPr>
                <w:rFonts w:ascii="黑体" w:hAnsi="宋体" w:eastAsia="黑体" w:cs="黑体"/>
                <w:color w:val="000000"/>
                <w:sz w:val="22"/>
              </w:rPr>
            </w:pPr>
          </w:p>
        </w:tc>
        <w:tc>
          <w:tcPr>
            <w:tcW w:w="8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170底跃</w:t>
            </w:r>
          </w:p>
        </w:tc>
        <w:tc>
          <w:tcPr>
            <w:tcW w:w="57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楷体"/>
                <w:color w:val="000000"/>
                <w:sz w:val="22"/>
              </w:rPr>
            </w:pPr>
            <w:r>
              <w:rPr>
                <w:rFonts w:hint="eastAsia" w:ascii="宋体" w:hAnsi="宋体" w:cs="楷体"/>
                <w:color w:val="000000"/>
                <w:sz w:val="22"/>
              </w:rPr>
              <w:t>1</w:t>
            </w:r>
          </w:p>
        </w:tc>
        <w:tc>
          <w:tcPr>
            <w:tcW w:w="15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FangSong_GB2312" w:hAnsi="宋体" w:eastAsia="FangSong_GB2312" w:cs="FangSong_GB2312"/>
                <w:color w:val="000000"/>
                <w:sz w:val="22"/>
              </w:rPr>
            </w:pPr>
          </w:p>
        </w:tc>
        <w:tc>
          <w:tcPr>
            <w:tcW w:w="1178" w:type="dxa"/>
            <w:vMerge w:val="continue"/>
            <w:tcBorders>
              <w:left w:val="single" w:color="000000" w:sz="4" w:space="0"/>
              <w:right w:val="single" w:color="000000" w:sz="4" w:space="0"/>
            </w:tcBorders>
            <w:noWrap/>
            <w:tcMar>
              <w:top w:w="12" w:type="dxa"/>
              <w:left w:w="12" w:type="dxa"/>
              <w:right w:w="12" w:type="dxa"/>
            </w:tcMar>
            <w:vAlign w:val="center"/>
          </w:tcPr>
          <w:p>
            <w:pPr>
              <w:jc w:val="center"/>
              <w:rPr>
                <w:rFonts w:ascii="宋体" w:hAnsi="宋体"/>
                <w:color w:val="000000"/>
                <w:sz w:val="22"/>
              </w:rPr>
            </w:pPr>
          </w:p>
        </w:tc>
        <w:tc>
          <w:tcPr>
            <w:tcW w:w="2817" w:type="dxa"/>
            <w:gridSpan w:val="3"/>
            <w:vMerge w:val="continue"/>
            <w:tcBorders>
              <w:left w:val="single" w:color="000000" w:sz="4" w:space="0"/>
              <w:right w:val="single" w:color="000000" w:sz="8" w:space="0"/>
            </w:tcBorders>
            <w:noWrap/>
            <w:tcMar>
              <w:top w:w="12" w:type="dxa"/>
              <w:left w:w="12" w:type="dxa"/>
              <w:right w:w="12" w:type="dxa"/>
            </w:tcMar>
            <w:vAlign w:val="center"/>
          </w:tcPr>
          <w:p>
            <w:pPr>
              <w:jc w:val="center"/>
              <w:rPr>
                <w:rFonts w:ascii="宋体" w:hAnsi="宋体"/>
                <w:color w:val="000000"/>
                <w:sz w:val="22"/>
              </w:rPr>
            </w:pPr>
          </w:p>
        </w:tc>
      </w:tr>
      <w:tr>
        <w:tblPrEx>
          <w:tblLayout w:type="fixed"/>
          <w:tblCellMar>
            <w:top w:w="0" w:type="dxa"/>
            <w:left w:w="0" w:type="dxa"/>
            <w:bottom w:w="0" w:type="dxa"/>
            <w:right w:w="0" w:type="dxa"/>
          </w:tblCellMar>
        </w:tblPrEx>
        <w:trPr>
          <w:trHeight w:val="380" w:hRule="atLeast"/>
          <w:jc w:val="center"/>
        </w:trPr>
        <w:tc>
          <w:tcPr>
            <w:tcW w:w="1178" w:type="dxa"/>
            <w:vMerge w:val="continue"/>
            <w:tcBorders>
              <w:top w:val="single" w:color="000000" w:sz="4" w:space="0"/>
              <w:left w:val="single" w:color="000000" w:sz="8" w:space="0"/>
              <w:bottom w:val="single" w:color="000000" w:sz="4" w:space="0"/>
              <w:right w:val="single" w:color="000000" w:sz="4" w:space="0"/>
            </w:tcBorders>
            <w:noWrap/>
            <w:tcMar>
              <w:top w:w="12" w:type="dxa"/>
              <w:left w:w="12" w:type="dxa"/>
              <w:right w:w="12" w:type="dxa"/>
            </w:tcMar>
            <w:vAlign w:val="center"/>
          </w:tcPr>
          <w:p>
            <w:pPr>
              <w:jc w:val="center"/>
              <w:rPr>
                <w:rFonts w:ascii="黑体" w:hAnsi="宋体" w:eastAsia="黑体" w:cs="黑体"/>
                <w:color w:val="000000"/>
                <w:sz w:val="22"/>
              </w:rPr>
            </w:pPr>
          </w:p>
        </w:tc>
        <w:tc>
          <w:tcPr>
            <w:tcW w:w="850" w:type="dxa"/>
            <w:tcBorders>
              <w:top w:val="single" w:color="000000" w:sz="4" w:space="0"/>
              <w:left w:val="single" w:color="000000" w:sz="4" w:space="0"/>
              <w:bottom w:val="single" w:color="000000" w:sz="8" w:space="0"/>
              <w:right w:val="single" w:color="000000" w:sz="4"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190底跃</w:t>
            </w:r>
          </w:p>
        </w:tc>
        <w:tc>
          <w:tcPr>
            <w:tcW w:w="571" w:type="dxa"/>
            <w:tcBorders>
              <w:top w:val="single" w:color="000000" w:sz="4" w:space="0"/>
              <w:left w:val="single" w:color="000000" w:sz="4" w:space="0"/>
              <w:bottom w:val="single" w:color="000000" w:sz="8" w:space="0"/>
              <w:right w:val="single" w:color="000000" w:sz="4" w:space="0"/>
            </w:tcBorders>
            <w:noWrap/>
            <w:tcMar>
              <w:top w:w="12" w:type="dxa"/>
              <w:left w:w="12" w:type="dxa"/>
              <w:right w:w="12" w:type="dxa"/>
            </w:tcMar>
            <w:vAlign w:val="center"/>
          </w:tcPr>
          <w:p>
            <w:pPr>
              <w:widowControl/>
              <w:jc w:val="center"/>
              <w:textAlignment w:val="center"/>
              <w:rPr>
                <w:rFonts w:ascii="宋体" w:hAnsi="宋体" w:cs="楷体"/>
                <w:color w:val="000000"/>
                <w:sz w:val="22"/>
              </w:rPr>
            </w:pPr>
            <w:r>
              <w:rPr>
                <w:rFonts w:hint="eastAsia" w:ascii="宋体" w:hAnsi="宋体" w:cs="楷体"/>
                <w:color w:val="000000"/>
                <w:sz w:val="22"/>
              </w:rPr>
              <w:t>4</w:t>
            </w:r>
          </w:p>
        </w:tc>
        <w:tc>
          <w:tcPr>
            <w:tcW w:w="15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FangSong_GB2312" w:hAnsi="宋体" w:eastAsia="FangSong_GB2312" w:cs="FangSong_GB2312"/>
                <w:color w:val="000000"/>
                <w:sz w:val="22"/>
              </w:rPr>
            </w:pPr>
          </w:p>
        </w:tc>
        <w:tc>
          <w:tcPr>
            <w:tcW w:w="1178" w:type="dxa"/>
            <w:vMerge w:val="continue"/>
            <w:tcBorders>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olor w:val="000000"/>
                <w:sz w:val="22"/>
              </w:rPr>
            </w:pPr>
          </w:p>
        </w:tc>
        <w:tc>
          <w:tcPr>
            <w:tcW w:w="2817" w:type="dxa"/>
            <w:gridSpan w:val="3"/>
            <w:vMerge w:val="continue"/>
            <w:tcBorders>
              <w:left w:val="single" w:color="000000" w:sz="4" w:space="0"/>
              <w:bottom w:val="single" w:color="000000" w:sz="8" w:space="0"/>
              <w:right w:val="single" w:color="000000" w:sz="8" w:space="0"/>
            </w:tcBorders>
            <w:noWrap/>
            <w:tcMar>
              <w:top w:w="12" w:type="dxa"/>
              <w:left w:w="12" w:type="dxa"/>
              <w:right w:w="12" w:type="dxa"/>
            </w:tcMar>
            <w:vAlign w:val="center"/>
          </w:tcPr>
          <w:p>
            <w:pPr>
              <w:jc w:val="center"/>
              <w:rPr>
                <w:rFonts w:ascii="宋体" w:hAnsi="宋体"/>
                <w:color w:val="000000"/>
                <w:sz w:val="22"/>
              </w:rPr>
            </w:pPr>
          </w:p>
        </w:tc>
      </w:tr>
    </w:tbl>
    <w:p>
      <w:pPr>
        <w:spacing w:line="580" w:lineRule="exact"/>
        <w:ind w:firstLine="619" w:firstLineChars="200"/>
        <w:rPr>
          <w:rFonts w:ascii="FangSong_GB2312" w:eastAsia="FangSong_GB2312" w:cs="FangSong_GB2312"/>
          <w:b/>
          <w:bCs/>
          <w:spacing w:val="-6"/>
          <w:sz w:val="32"/>
          <w:szCs w:val="32"/>
        </w:rPr>
      </w:pPr>
      <w:r>
        <w:rPr>
          <w:rFonts w:ascii="FangSong_GB2312" w:eastAsia="FangSong_GB2312" w:cs="FangSong_GB2312"/>
          <w:b/>
          <w:bCs/>
          <w:spacing w:val="-6"/>
          <w:sz w:val="32"/>
          <w:szCs w:val="32"/>
        </w:rPr>
        <w:t>2.</w:t>
      </w:r>
      <w:r>
        <w:rPr>
          <w:rFonts w:hint="eastAsia" w:ascii="FangSong_GB2312" w:eastAsia="FangSong_GB2312" w:cs="FangSong_GB2312"/>
          <w:b/>
          <w:bCs/>
          <w:spacing w:val="-6"/>
          <w:sz w:val="32"/>
          <w:szCs w:val="32"/>
        </w:rPr>
        <w:t>商铺</w:t>
      </w:r>
    </w:p>
    <w:tbl>
      <w:tblPr>
        <w:tblStyle w:val="5"/>
        <w:tblW w:w="8215" w:type="dxa"/>
        <w:jc w:val="center"/>
        <w:tblInd w:w="0" w:type="dxa"/>
        <w:tblLayout w:type="fixed"/>
        <w:tblCellMar>
          <w:top w:w="0" w:type="dxa"/>
          <w:left w:w="0" w:type="dxa"/>
          <w:bottom w:w="0" w:type="dxa"/>
          <w:right w:w="0" w:type="dxa"/>
        </w:tblCellMar>
      </w:tblPr>
      <w:tblGrid>
        <w:gridCol w:w="1374"/>
        <w:gridCol w:w="608"/>
        <w:gridCol w:w="1374"/>
        <w:gridCol w:w="608"/>
        <w:gridCol w:w="1120"/>
        <w:gridCol w:w="608"/>
        <w:gridCol w:w="1374"/>
        <w:gridCol w:w="1149"/>
      </w:tblGrid>
      <w:tr>
        <w:tblPrEx>
          <w:tblLayout w:type="fixed"/>
          <w:tblCellMar>
            <w:top w:w="0" w:type="dxa"/>
            <w:left w:w="0" w:type="dxa"/>
            <w:bottom w:w="0" w:type="dxa"/>
            <w:right w:w="0" w:type="dxa"/>
          </w:tblCellMar>
        </w:tblPrEx>
        <w:trPr>
          <w:trHeight w:val="454" w:hRule="atLeast"/>
          <w:jc w:val="center"/>
        </w:trPr>
        <w:tc>
          <w:tcPr>
            <w:tcW w:w="137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小区名称</w:t>
            </w:r>
          </w:p>
        </w:tc>
        <w:tc>
          <w:tcPr>
            <w:tcW w:w="608" w:type="dxa"/>
            <w:tcBorders>
              <w:top w:val="single" w:color="000000" w:sz="8" w:space="0"/>
              <w:left w:val="nil"/>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套数</w:t>
            </w:r>
          </w:p>
        </w:tc>
        <w:tc>
          <w:tcPr>
            <w:tcW w:w="1374" w:type="dxa"/>
            <w:tcBorders>
              <w:top w:val="single" w:color="000000" w:sz="8" w:space="0"/>
              <w:left w:val="nil"/>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小区名称</w:t>
            </w:r>
          </w:p>
        </w:tc>
        <w:tc>
          <w:tcPr>
            <w:tcW w:w="608" w:type="dxa"/>
            <w:tcBorders>
              <w:top w:val="single" w:color="000000" w:sz="8" w:space="0"/>
              <w:left w:val="nil"/>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套数</w:t>
            </w:r>
          </w:p>
        </w:tc>
        <w:tc>
          <w:tcPr>
            <w:tcW w:w="1120" w:type="dxa"/>
            <w:tcBorders>
              <w:top w:val="single" w:color="000000" w:sz="8" w:space="0"/>
              <w:left w:val="nil"/>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小区名称</w:t>
            </w:r>
          </w:p>
        </w:tc>
        <w:tc>
          <w:tcPr>
            <w:tcW w:w="608" w:type="dxa"/>
            <w:tcBorders>
              <w:top w:val="single" w:color="000000" w:sz="8" w:space="0"/>
              <w:left w:val="nil"/>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套数</w:t>
            </w:r>
          </w:p>
        </w:tc>
        <w:tc>
          <w:tcPr>
            <w:tcW w:w="1374" w:type="dxa"/>
            <w:tcBorders>
              <w:top w:val="single" w:color="000000" w:sz="8" w:space="0"/>
              <w:left w:val="nil"/>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小区名称</w:t>
            </w:r>
          </w:p>
        </w:tc>
        <w:tc>
          <w:tcPr>
            <w:tcW w:w="1149" w:type="dxa"/>
            <w:tcBorders>
              <w:top w:val="single" w:color="000000" w:sz="8" w:space="0"/>
              <w:left w:val="nil"/>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套数</w:t>
            </w:r>
          </w:p>
        </w:tc>
      </w:tr>
      <w:tr>
        <w:tblPrEx>
          <w:tblLayout w:type="fixed"/>
          <w:tblCellMar>
            <w:top w:w="0" w:type="dxa"/>
            <w:left w:w="0" w:type="dxa"/>
            <w:bottom w:w="0" w:type="dxa"/>
            <w:right w:w="0" w:type="dxa"/>
          </w:tblCellMar>
        </w:tblPrEx>
        <w:trPr>
          <w:trHeight w:val="454" w:hRule="atLeast"/>
          <w:jc w:val="center"/>
        </w:trPr>
        <w:tc>
          <w:tcPr>
            <w:tcW w:w="1374" w:type="dxa"/>
            <w:tcBorders>
              <w:top w:val="nil"/>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卿悦府东区</w:t>
            </w:r>
          </w:p>
        </w:tc>
        <w:tc>
          <w:tcPr>
            <w:tcW w:w="608" w:type="dxa"/>
            <w:tcBorders>
              <w:top w:val="nil"/>
              <w:left w:val="nil"/>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ascii="宋体" w:hAnsi="宋体" w:cs="楷体"/>
                <w:color w:val="000000"/>
                <w:sz w:val="22"/>
              </w:rPr>
            </w:pPr>
            <w:r>
              <w:rPr>
                <w:rFonts w:hint="eastAsia" w:ascii="宋体" w:hAnsi="宋体" w:cs="楷体"/>
                <w:color w:val="000000"/>
                <w:sz w:val="22"/>
              </w:rPr>
              <w:t>35</w:t>
            </w:r>
          </w:p>
        </w:tc>
        <w:tc>
          <w:tcPr>
            <w:tcW w:w="1374" w:type="dxa"/>
            <w:tcBorders>
              <w:top w:val="nil"/>
              <w:left w:val="nil"/>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香悦府西区</w:t>
            </w:r>
          </w:p>
        </w:tc>
        <w:tc>
          <w:tcPr>
            <w:tcW w:w="608" w:type="dxa"/>
            <w:tcBorders>
              <w:top w:val="nil"/>
              <w:left w:val="nil"/>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ascii="宋体" w:hAnsi="宋体" w:cs="楷体"/>
                <w:color w:val="000000"/>
                <w:sz w:val="22"/>
              </w:rPr>
            </w:pPr>
            <w:r>
              <w:rPr>
                <w:rFonts w:hint="eastAsia" w:ascii="宋体" w:hAnsi="宋体" w:cs="楷体"/>
                <w:color w:val="000000"/>
                <w:sz w:val="22"/>
              </w:rPr>
              <w:t>25</w:t>
            </w:r>
          </w:p>
        </w:tc>
        <w:tc>
          <w:tcPr>
            <w:tcW w:w="1120" w:type="dxa"/>
            <w:tcBorders>
              <w:top w:val="nil"/>
              <w:left w:val="nil"/>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望江府</w:t>
            </w:r>
          </w:p>
        </w:tc>
        <w:tc>
          <w:tcPr>
            <w:tcW w:w="608" w:type="dxa"/>
            <w:tcBorders>
              <w:top w:val="nil"/>
              <w:left w:val="nil"/>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ascii="宋体" w:hAnsi="宋体" w:cs="楷体"/>
                <w:color w:val="000000"/>
                <w:sz w:val="22"/>
              </w:rPr>
            </w:pPr>
            <w:r>
              <w:rPr>
                <w:rFonts w:hint="eastAsia" w:ascii="宋体" w:hAnsi="宋体" w:cs="楷体"/>
                <w:color w:val="000000"/>
                <w:sz w:val="22"/>
              </w:rPr>
              <w:t>24</w:t>
            </w:r>
          </w:p>
        </w:tc>
        <w:tc>
          <w:tcPr>
            <w:tcW w:w="1374" w:type="dxa"/>
            <w:tcBorders>
              <w:top w:val="nil"/>
              <w:left w:val="nil"/>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下车门新村</w:t>
            </w:r>
          </w:p>
        </w:tc>
        <w:tc>
          <w:tcPr>
            <w:tcW w:w="1149" w:type="dxa"/>
            <w:tcBorders>
              <w:top w:val="nil"/>
              <w:left w:val="nil"/>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default" w:ascii="宋体" w:hAnsi="宋体" w:cs="楷体" w:eastAsiaTheme="minorEastAsia"/>
                <w:color w:val="000000"/>
                <w:sz w:val="22"/>
                <w:lang w:val="en-US" w:eastAsia="zh-CN"/>
              </w:rPr>
            </w:pPr>
            <w:r>
              <w:rPr>
                <w:rFonts w:hint="eastAsia" w:ascii="宋体" w:hAnsi="宋体" w:cs="楷体"/>
                <w:color w:val="000000"/>
                <w:sz w:val="22"/>
                <w:lang w:val="en-US" w:eastAsia="zh-CN"/>
              </w:rPr>
              <w:t>21</w:t>
            </w:r>
          </w:p>
        </w:tc>
      </w:tr>
      <w:tr>
        <w:tblPrEx>
          <w:tblLayout w:type="fixed"/>
          <w:tblCellMar>
            <w:top w:w="0" w:type="dxa"/>
            <w:left w:w="0" w:type="dxa"/>
            <w:bottom w:w="0" w:type="dxa"/>
            <w:right w:w="0" w:type="dxa"/>
          </w:tblCellMar>
        </w:tblPrEx>
        <w:trPr>
          <w:trHeight w:val="454" w:hRule="atLeast"/>
          <w:jc w:val="center"/>
        </w:trPr>
        <w:tc>
          <w:tcPr>
            <w:tcW w:w="1374" w:type="dxa"/>
            <w:tcBorders>
              <w:top w:val="nil"/>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卿悦府西区</w:t>
            </w:r>
          </w:p>
        </w:tc>
        <w:tc>
          <w:tcPr>
            <w:tcW w:w="608" w:type="dxa"/>
            <w:tcBorders>
              <w:top w:val="nil"/>
              <w:left w:val="nil"/>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ascii="宋体" w:hAnsi="宋体" w:cs="楷体"/>
                <w:color w:val="000000"/>
                <w:sz w:val="22"/>
              </w:rPr>
            </w:pPr>
            <w:r>
              <w:rPr>
                <w:rFonts w:hint="eastAsia" w:ascii="宋体" w:hAnsi="宋体" w:cs="楷体"/>
                <w:color w:val="000000"/>
                <w:sz w:val="22"/>
              </w:rPr>
              <w:t>12</w:t>
            </w:r>
          </w:p>
        </w:tc>
        <w:tc>
          <w:tcPr>
            <w:tcW w:w="1374" w:type="dxa"/>
            <w:tcBorders>
              <w:top w:val="nil"/>
              <w:left w:val="nil"/>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香悦府东区</w:t>
            </w:r>
          </w:p>
        </w:tc>
        <w:tc>
          <w:tcPr>
            <w:tcW w:w="608" w:type="dxa"/>
            <w:tcBorders>
              <w:top w:val="nil"/>
              <w:left w:val="nil"/>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ascii="宋体" w:hAnsi="宋体" w:cs="楷体"/>
                <w:color w:val="000000"/>
                <w:sz w:val="22"/>
              </w:rPr>
            </w:pPr>
            <w:r>
              <w:rPr>
                <w:rFonts w:hint="eastAsia" w:ascii="宋体" w:hAnsi="宋体" w:cs="楷体"/>
                <w:color w:val="000000"/>
                <w:sz w:val="22"/>
              </w:rPr>
              <w:t>30</w:t>
            </w:r>
          </w:p>
        </w:tc>
        <w:tc>
          <w:tcPr>
            <w:tcW w:w="1120" w:type="dxa"/>
            <w:tcBorders>
              <w:top w:val="nil"/>
              <w:left w:val="nil"/>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华丰府</w:t>
            </w:r>
          </w:p>
        </w:tc>
        <w:tc>
          <w:tcPr>
            <w:tcW w:w="608" w:type="dxa"/>
            <w:tcBorders>
              <w:top w:val="nil"/>
              <w:left w:val="nil"/>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ascii="宋体" w:hAnsi="宋体" w:cs="楷体"/>
                <w:color w:val="000000"/>
                <w:sz w:val="22"/>
              </w:rPr>
            </w:pPr>
            <w:r>
              <w:rPr>
                <w:rFonts w:hint="eastAsia" w:ascii="宋体" w:hAnsi="宋体" w:cs="楷体"/>
                <w:color w:val="000000"/>
                <w:sz w:val="22"/>
              </w:rPr>
              <w:t>35</w:t>
            </w:r>
          </w:p>
        </w:tc>
        <w:tc>
          <w:tcPr>
            <w:tcW w:w="1374" w:type="dxa"/>
            <w:tcBorders>
              <w:top w:val="nil"/>
              <w:left w:val="nil"/>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岭头新村</w:t>
            </w:r>
          </w:p>
        </w:tc>
        <w:tc>
          <w:tcPr>
            <w:tcW w:w="1149" w:type="dxa"/>
            <w:tcBorders>
              <w:top w:val="nil"/>
              <w:left w:val="nil"/>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ascii="宋体" w:hAnsi="宋体" w:cs="楷体"/>
                <w:color w:val="000000"/>
                <w:sz w:val="22"/>
              </w:rPr>
            </w:pPr>
            <w:r>
              <w:rPr>
                <w:rFonts w:hint="eastAsia" w:ascii="宋体" w:hAnsi="宋体" w:cs="楷体"/>
                <w:color w:val="000000"/>
                <w:sz w:val="22"/>
              </w:rPr>
              <w:t>19</w:t>
            </w:r>
          </w:p>
        </w:tc>
      </w:tr>
      <w:tr>
        <w:tblPrEx>
          <w:tblLayout w:type="fixed"/>
          <w:tblCellMar>
            <w:top w:w="0" w:type="dxa"/>
            <w:left w:w="0" w:type="dxa"/>
            <w:bottom w:w="0" w:type="dxa"/>
            <w:right w:w="0" w:type="dxa"/>
          </w:tblCellMar>
        </w:tblPrEx>
        <w:trPr>
          <w:trHeight w:val="462" w:hRule="atLeast"/>
          <w:jc w:val="center"/>
        </w:trPr>
        <w:tc>
          <w:tcPr>
            <w:tcW w:w="1374" w:type="dxa"/>
            <w:tcBorders>
              <w:top w:val="nil"/>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向阳府</w:t>
            </w:r>
          </w:p>
        </w:tc>
        <w:tc>
          <w:tcPr>
            <w:tcW w:w="608" w:type="dxa"/>
            <w:tcBorders>
              <w:top w:val="nil"/>
              <w:left w:val="nil"/>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ascii="宋体" w:hAnsi="宋体" w:cs="楷体"/>
                <w:color w:val="000000"/>
                <w:sz w:val="22"/>
              </w:rPr>
            </w:pPr>
            <w:r>
              <w:rPr>
                <w:rFonts w:hint="eastAsia" w:ascii="宋体" w:hAnsi="宋体" w:cs="楷体"/>
                <w:color w:val="000000"/>
                <w:sz w:val="22"/>
              </w:rPr>
              <w:t>18</w:t>
            </w:r>
          </w:p>
        </w:tc>
        <w:tc>
          <w:tcPr>
            <w:tcW w:w="1374" w:type="dxa"/>
            <w:tcBorders>
              <w:top w:val="nil"/>
              <w:left w:val="nil"/>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绣川府</w:t>
            </w:r>
          </w:p>
        </w:tc>
        <w:tc>
          <w:tcPr>
            <w:tcW w:w="608" w:type="dxa"/>
            <w:tcBorders>
              <w:top w:val="nil"/>
              <w:left w:val="nil"/>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ascii="宋体" w:hAnsi="宋体" w:cs="楷体"/>
                <w:color w:val="000000"/>
                <w:sz w:val="22"/>
              </w:rPr>
            </w:pPr>
            <w:r>
              <w:rPr>
                <w:rFonts w:hint="eastAsia" w:ascii="宋体" w:hAnsi="宋体" w:cs="楷体"/>
                <w:color w:val="000000"/>
                <w:sz w:val="22"/>
              </w:rPr>
              <w:t>9</w:t>
            </w:r>
          </w:p>
        </w:tc>
        <w:tc>
          <w:tcPr>
            <w:tcW w:w="1120" w:type="dxa"/>
            <w:tcBorders>
              <w:top w:val="nil"/>
              <w:left w:val="nil"/>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文华府</w:t>
            </w:r>
          </w:p>
        </w:tc>
        <w:tc>
          <w:tcPr>
            <w:tcW w:w="608" w:type="dxa"/>
            <w:tcBorders>
              <w:top w:val="nil"/>
              <w:left w:val="nil"/>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ascii="宋体" w:hAnsi="宋体" w:cs="楷体"/>
                <w:color w:val="000000"/>
                <w:sz w:val="22"/>
              </w:rPr>
            </w:pPr>
            <w:r>
              <w:rPr>
                <w:rFonts w:hint="eastAsia" w:ascii="宋体" w:hAnsi="宋体" w:cs="楷体"/>
                <w:color w:val="000000"/>
                <w:sz w:val="22"/>
              </w:rPr>
              <w:t>26</w:t>
            </w:r>
          </w:p>
        </w:tc>
        <w:tc>
          <w:tcPr>
            <w:tcW w:w="1374" w:type="dxa"/>
            <w:tcBorders>
              <w:top w:val="nil"/>
              <w:left w:val="nil"/>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22"/>
              </w:rPr>
            </w:pPr>
            <w:r>
              <w:rPr>
                <w:rFonts w:hint="eastAsia" w:ascii="黑体" w:hAnsi="宋体" w:eastAsia="黑体" w:cs="黑体"/>
                <w:color w:val="000000"/>
                <w:kern w:val="0"/>
                <w:sz w:val="22"/>
              </w:rPr>
              <w:t>秦塘府</w:t>
            </w:r>
          </w:p>
        </w:tc>
        <w:tc>
          <w:tcPr>
            <w:tcW w:w="1149" w:type="dxa"/>
            <w:tcBorders>
              <w:top w:val="nil"/>
              <w:left w:val="nil"/>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ascii="宋体" w:hAnsi="宋体" w:cs="楷体"/>
                <w:color w:val="000000"/>
                <w:sz w:val="22"/>
              </w:rPr>
            </w:pPr>
            <w:r>
              <w:rPr>
                <w:rFonts w:hint="eastAsia" w:ascii="宋体" w:hAnsi="宋体" w:cs="楷体"/>
                <w:color w:val="000000"/>
                <w:sz w:val="22"/>
                <w:lang w:eastAsia="zh-CN"/>
              </w:rPr>
              <w:t>另行</w:t>
            </w:r>
            <w:r>
              <w:rPr>
                <w:rFonts w:hint="eastAsia" w:ascii="宋体" w:hAnsi="宋体" w:cs="楷体"/>
                <w:color w:val="000000"/>
                <w:sz w:val="22"/>
              </w:rPr>
              <w:t>公布</w:t>
            </w:r>
          </w:p>
        </w:tc>
      </w:tr>
    </w:tbl>
    <w:p>
      <w:pPr>
        <w:spacing w:line="580" w:lineRule="exact"/>
        <w:ind w:firstLine="619" w:firstLineChars="200"/>
        <w:rPr>
          <w:rFonts w:ascii="FangSong_GB2312" w:hAnsi="仿宋" w:eastAsia="FangSong_GB2312" w:cs="Times New Roman"/>
          <w:b/>
          <w:bCs/>
          <w:spacing w:val="-6"/>
          <w:sz w:val="32"/>
          <w:szCs w:val="32"/>
        </w:rPr>
      </w:pPr>
      <w:r>
        <w:rPr>
          <w:rFonts w:hint="eastAsia" w:ascii="FangSong_GB2312" w:hAnsi="仿宋" w:eastAsia="FangSong_GB2312" w:cs="FangSong_GB2312"/>
          <w:b/>
          <w:bCs/>
          <w:spacing w:val="-6"/>
          <w:sz w:val="32"/>
          <w:szCs w:val="32"/>
        </w:rPr>
        <w:t>产权调换房屋建筑面积以实际测绘面积为准。</w:t>
      </w:r>
    </w:p>
    <w:p>
      <w:pPr>
        <w:spacing w:line="580" w:lineRule="exact"/>
        <w:ind w:firstLine="616" w:firstLineChars="200"/>
        <w:rPr>
          <w:rFonts w:ascii="FangSong_GB2312" w:eastAsia="FangSong_GB2312" w:cs="FangSong_GB2312"/>
          <w:spacing w:val="-6"/>
          <w:sz w:val="32"/>
          <w:szCs w:val="32"/>
        </w:rPr>
      </w:pPr>
      <w:r>
        <w:rPr>
          <w:rFonts w:hint="eastAsia" w:ascii="楷体_GB2312" w:hAnsi="仿宋" w:eastAsia="楷体_GB2312" w:cs="楷体_GB2312"/>
          <w:spacing w:val="-6"/>
          <w:sz w:val="32"/>
          <w:szCs w:val="32"/>
        </w:rPr>
        <w:t>（二）产权调换原则</w:t>
      </w:r>
    </w:p>
    <w:p>
      <w:pPr>
        <w:spacing w:line="560" w:lineRule="exact"/>
        <w:ind w:firstLine="616" w:firstLineChars="200"/>
        <w:rPr>
          <w:rFonts w:ascii="FangSong_GB2312" w:hAnsi="仿宋" w:eastAsia="FangSong_GB2312" w:cs="FangSong_GB2312"/>
          <w:spacing w:val="-6"/>
          <w:sz w:val="32"/>
          <w:szCs w:val="32"/>
        </w:rPr>
      </w:pPr>
      <w:r>
        <w:rPr>
          <w:rFonts w:hint="eastAsia" w:ascii="FangSong_GB2312" w:hAnsi="仿宋" w:eastAsia="FangSong_GB2312" w:cs="FangSong_GB2312"/>
          <w:spacing w:val="-6"/>
          <w:sz w:val="32"/>
          <w:szCs w:val="32"/>
        </w:rPr>
        <w:t>被征收人可以选择一套或多套房屋进行产权调换，但选择“秦塘府最小住宅户型”住宅的，只能选择一套且不得再选择其他住宅进行产权调换。</w:t>
      </w:r>
    </w:p>
    <w:p>
      <w:pPr>
        <w:spacing w:line="560" w:lineRule="exact"/>
        <w:ind w:firstLine="616" w:firstLineChars="200"/>
        <w:rPr>
          <w:rFonts w:ascii="FangSong_GB2312" w:hAnsi="仿宋" w:eastAsia="FangSong_GB2312" w:cs="FangSong_GB2312"/>
          <w:spacing w:val="-6"/>
          <w:sz w:val="32"/>
          <w:szCs w:val="32"/>
        </w:rPr>
      </w:pPr>
      <w:r>
        <w:rPr>
          <w:rFonts w:hint="eastAsia" w:ascii="FangSong_GB2312" w:hAnsi="仿宋" w:eastAsia="FangSong_GB2312" w:cs="FangSong_GB2312"/>
          <w:spacing w:val="-6"/>
          <w:sz w:val="32"/>
          <w:szCs w:val="32"/>
        </w:rPr>
        <w:t>选择多套房屋产权调换的，用于最后一套产权调换的被征收房屋价值（含补助）应不小于该套产权调换房屋价值的20%。</w:t>
      </w:r>
    </w:p>
    <w:p>
      <w:pPr>
        <w:spacing w:line="560" w:lineRule="exact"/>
        <w:ind w:firstLine="616" w:firstLineChars="200"/>
        <w:rPr>
          <w:rFonts w:ascii="FangSong_GB2312" w:hAnsi="仿宋" w:eastAsia="FangSong_GB2312" w:cs="FangSong_GB2312"/>
          <w:spacing w:val="-6"/>
          <w:sz w:val="32"/>
          <w:szCs w:val="32"/>
        </w:rPr>
      </w:pPr>
      <w:r>
        <w:rPr>
          <w:rFonts w:hint="eastAsia" w:ascii="FangSong_GB2312" w:hAnsi="仿宋" w:eastAsia="FangSong_GB2312" w:cs="FangSong_GB2312"/>
          <w:spacing w:val="-6"/>
          <w:sz w:val="32"/>
          <w:szCs w:val="32"/>
        </w:rPr>
        <w:t>选择商铺进行产权调换的，不受上述规定的比例限制。但产权调换房屋总价值超出被征收房屋价值（含补助）后，不得再增加选择。</w:t>
      </w:r>
    </w:p>
    <w:p>
      <w:pPr>
        <w:pStyle w:val="4"/>
        <w:shd w:val="clear" w:color="auto" w:fill="FFFFFF"/>
        <w:spacing w:before="0" w:beforeAutospacing="0" w:after="0" w:afterAutospacing="0" w:line="585" w:lineRule="atLeast"/>
        <w:ind w:firstLine="615"/>
        <w:jc w:val="both"/>
        <w:rPr>
          <w:rFonts w:ascii="微软雅黑" w:hAnsi="微软雅黑" w:eastAsia="微软雅黑" w:cs="微软雅黑"/>
          <w:color w:val="333333"/>
          <w:spacing w:val="8"/>
        </w:rPr>
      </w:pPr>
      <w:r>
        <w:rPr>
          <w:rFonts w:hint="eastAsia" w:ascii="楷体_GB2312" w:hAnsi="仿宋" w:eastAsia="楷体_GB2312" w:cs="楷体_GB2312"/>
          <w:spacing w:val="-6"/>
          <w:sz w:val="32"/>
          <w:szCs w:val="32"/>
        </w:rPr>
        <w:t>（三）过渡期限</w:t>
      </w:r>
      <w:r>
        <w:rPr>
          <w:rFonts w:hint="eastAsia" w:ascii="FangSong_GB2312" w:hAnsi="仿宋" w:eastAsia="FangSong_GB2312" w:cs="FangSong_GB2312"/>
          <w:spacing w:val="-6"/>
          <w:kern w:val="2"/>
          <w:sz w:val="32"/>
          <w:szCs w:val="32"/>
        </w:rPr>
        <w:t>（自腾空交房之日起计算）</w:t>
      </w:r>
    </w:p>
    <w:p>
      <w:pPr>
        <w:spacing w:line="580" w:lineRule="exact"/>
        <w:ind w:firstLine="640" w:firstLineChars="200"/>
        <w:rPr>
          <w:rFonts w:ascii="FangSong_GB2312" w:hAnsi="仿宋" w:eastAsia="FangSong_GB2312" w:cs="FangSong_GB2312"/>
          <w:sz w:val="32"/>
          <w:szCs w:val="32"/>
        </w:rPr>
      </w:pPr>
      <w:r>
        <w:rPr>
          <w:rFonts w:hint="eastAsia" w:ascii="FangSong_GB2312" w:hAnsi="仿宋" w:eastAsia="FangSong_GB2312" w:cs="FangSong_GB2312"/>
          <w:sz w:val="32"/>
          <w:szCs w:val="32"/>
        </w:rPr>
        <w:t>选择现房的，为12个月。</w:t>
      </w:r>
    </w:p>
    <w:p>
      <w:pPr>
        <w:spacing w:line="580" w:lineRule="exact"/>
        <w:ind w:firstLine="640" w:firstLineChars="200"/>
        <w:rPr>
          <w:rFonts w:ascii="FangSong_GB2312" w:hAnsi="仿宋" w:eastAsia="FangSong_GB2312" w:cs="FangSong_GB2312"/>
          <w:sz w:val="32"/>
          <w:szCs w:val="32"/>
        </w:rPr>
      </w:pPr>
      <w:r>
        <w:rPr>
          <w:rFonts w:hint="eastAsia" w:ascii="FangSong_GB2312" w:hAnsi="仿宋" w:eastAsia="FangSong_GB2312" w:cs="FangSong_GB2312"/>
          <w:sz w:val="32"/>
          <w:szCs w:val="32"/>
        </w:rPr>
        <w:t>选择期房的，为36个月。</w:t>
      </w:r>
    </w:p>
    <w:p>
      <w:pPr>
        <w:spacing w:line="540" w:lineRule="exact"/>
        <w:ind w:firstLine="616" w:firstLineChars="200"/>
        <w:rPr>
          <w:rFonts w:ascii="楷体_GB2312" w:hAnsi="仿宋" w:eastAsia="楷体_GB2312" w:cs="楷体_GB2312"/>
          <w:spacing w:val="-6"/>
          <w:sz w:val="32"/>
          <w:szCs w:val="32"/>
        </w:rPr>
      </w:pPr>
      <w:r>
        <w:rPr>
          <w:rFonts w:hint="eastAsia" w:ascii="楷体_GB2312" w:hAnsi="仿宋" w:eastAsia="楷体_GB2312" w:cs="楷体_GB2312"/>
          <w:spacing w:val="-6"/>
          <w:sz w:val="32"/>
          <w:szCs w:val="32"/>
        </w:rPr>
        <w:t>（四）选房和签约</w:t>
      </w:r>
    </w:p>
    <w:p>
      <w:pPr>
        <w:spacing w:line="540" w:lineRule="exact"/>
        <w:ind w:firstLine="616" w:firstLineChars="200"/>
        <w:rPr>
          <w:rFonts w:ascii="FangSong_GB2312" w:hAnsi="仿宋" w:eastAsia="FangSong_GB2312" w:cs="FangSong_GB2312"/>
          <w:spacing w:val="-6"/>
          <w:sz w:val="32"/>
          <w:szCs w:val="32"/>
        </w:rPr>
      </w:pPr>
      <w:r>
        <w:rPr>
          <w:rFonts w:hint="eastAsia" w:ascii="FangSong_GB2312" w:hAnsi="仿宋" w:eastAsia="FangSong_GB2312" w:cs="FangSong_GB2312"/>
          <w:spacing w:val="-6"/>
          <w:sz w:val="32"/>
          <w:szCs w:val="32"/>
        </w:rPr>
        <w:t>1.</w:t>
      </w:r>
      <w:r>
        <w:rPr>
          <w:rFonts w:hint="eastAsia" w:ascii="FangSong_GB2312" w:hAnsi="仿宋" w:eastAsia="FangSong_GB2312" w:cs="FangSong_GB2312"/>
          <w:b/>
          <w:spacing w:val="-6"/>
          <w:sz w:val="32"/>
          <w:szCs w:val="32"/>
        </w:rPr>
        <w:t>签约顺序号</w:t>
      </w:r>
      <w:r>
        <w:rPr>
          <w:rFonts w:hint="eastAsia" w:ascii="FangSong_GB2312" w:hAnsi="仿宋" w:eastAsia="FangSong_GB2312" w:cs="FangSong_GB2312"/>
          <w:spacing w:val="-6"/>
          <w:sz w:val="32"/>
          <w:szCs w:val="32"/>
        </w:rPr>
        <w:t>抽签和补偿协议签订</w:t>
      </w:r>
    </w:p>
    <w:p>
      <w:pPr>
        <w:spacing w:line="540" w:lineRule="exact"/>
        <w:ind w:firstLine="616" w:firstLineChars="200"/>
        <w:rPr>
          <w:rFonts w:ascii="FangSong_GB2312" w:hAnsi="仿宋" w:eastAsia="FangSong_GB2312" w:cs="FangSong_GB2312"/>
          <w:spacing w:val="-6"/>
          <w:sz w:val="32"/>
          <w:szCs w:val="32"/>
        </w:rPr>
      </w:pPr>
      <w:r>
        <w:rPr>
          <w:rFonts w:hint="eastAsia" w:ascii="FangSong_GB2312" w:hAnsi="仿宋" w:eastAsia="FangSong_GB2312" w:cs="FangSong_GB2312"/>
          <w:spacing w:val="-6"/>
          <w:sz w:val="32"/>
          <w:szCs w:val="32"/>
        </w:rPr>
        <w:t>签约顺序号由全体报名产权调换的被征收人抽签产生。被征收人先抽签确定产权调换签约的顺序号，再按抽取的顺序签号从小到大选择产权调换房源的小区和户型，并与征收部门签订</w:t>
      </w:r>
      <w:r>
        <w:rPr>
          <w:rFonts w:hint="eastAsia" w:ascii="FangSong_GB2312" w:hAnsi="仿宋" w:eastAsia="FangSong_GB2312" w:cs="FangSong_GB2312"/>
          <w:b/>
          <w:bCs/>
          <w:spacing w:val="-6"/>
          <w:sz w:val="32"/>
          <w:szCs w:val="32"/>
        </w:rPr>
        <w:t>补偿协议</w:t>
      </w:r>
      <w:r>
        <w:rPr>
          <w:rFonts w:hint="eastAsia" w:ascii="FangSong_GB2312" w:hAnsi="仿宋" w:eastAsia="FangSong_GB2312" w:cs="FangSong_GB2312"/>
          <w:spacing w:val="-6"/>
          <w:sz w:val="32"/>
          <w:szCs w:val="32"/>
        </w:rPr>
        <w:t>。</w:t>
      </w:r>
    </w:p>
    <w:p>
      <w:pPr>
        <w:spacing w:line="540" w:lineRule="exact"/>
        <w:ind w:firstLine="616" w:firstLineChars="200"/>
        <w:rPr>
          <w:rFonts w:ascii="FangSong_GB2312" w:hAnsi="仿宋" w:eastAsia="FangSong_GB2312" w:cs="FangSong_GB2312"/>
          <w:spacing w:val="-6"/>
          <w:sz w:val="32"/>
          <w:szCs w:val="32"/>
        </w:rPr>
      </w:pPr>
      <w:r>
        <w:rPr>
          <w:rFonts w:hint="eastAsia" w:ascii="FangSong_GB2312" w:hAnsi="仿宋" w:eastAsia="FangSong_GB2312" w:cs="FangSong_GB2312"/>
          <w:spacing w:val="-6"/>
          <w:sz w:val="32"/>
          <w:szCs w:val="32"/>
        </w:rPr>
        <w:t>产权调换房源各户型及套数详见公布的房源清单。各户型由被征收人按抽签得出的顺序签号先选先得，选完即止。</w:t>
      </w:r>
    </w:p>
    <w:p>
      <w:pPr>
        <w:spacing w:line="540" w:lineRule="exact"/>
        <w:ind w:firstLine="616" w:firstLineChars="200"/>
        <w:rPr>
          <w:rFonts w:ascii="FangSong_GB2312" w:hAnsi="仿宋" w:eastAsia="FangSong_GB2312" w:cs="FangSong_GB2312"/>
          <w:spacing w:val="-6"/>
          <w:sz w:val="32"/>
          <w:szCs w:val="32"/>
        </w:rPr>
      </w:pPr>
      <w:r>
        <w:rPr>
          <w:rFonts w:hint="eastAsia" w:ascii="FangSong_GB2312" w:hAnsi="仿宋" w:eastAsia="FangSong_GB2312" w:cs="FangSong_GB2312"/>
          <w:spacing w:val="-6"/>
          <w:sz w:val="32"/>
          <w:szCs w:val="32"/>
        </w:rPr>
        <w:t>2.</w:t>
      </w:r>
      <w:r>
        <w:rPr>
          <w:rFonts w:hint="eastAsia" w:ascii="FangSong_GB2312" w:hAnsi="仿宋" w:eastAsia="FangSong_GB2312" w:cs="FangSong_GB2312"/>
          <w:b/>
          <w:spacing w:val="-6"/>
          <w:sz w:val="32"/>
          <w:szCs w:val="32"/>
        </w:rPr>
        <w:t>定位</w:t>
      </w:r>
      <w:r>
        <w:rPr>
          <w:rFonts w:hint="eastAsia" w:ascii="FangSong_GB2312" w:hAnsi="仿宋" w:eastAsia="FangSong_GB2312" w:cs="FangSong_GB2312"/>
          <w:spacing w:val="-6"/>
          <w:sz w:val="32"/>
          <w:szCs w:val="32"/>
        </w:rPr>
        <w:t>抽签和补充协议签订</w:t>
      </w:r>
    </w:p>
    <w:p>
      <w:pPr>
        <w:spacing w:line="540" w:lineRule="exact"/>
        <w:ind w:firstLine="616" w:firstLineChars="200"/>
        <w:rPr>
          <w:rFonts w:ascii="FangSong_GB2312" w:hAnsi="仿宋" w:eastAsia="FangSong_GB2312" w:cs="FangSong_GB2312"/>
          <w:spacing w:val="-6"/>
          <w:sz w:val="32"/>
          <w:szCs w:val="32"/>
        </w:rPr>
      </w:pPr>
      <w:r>
        <w:rPr>
          <w:rFonts w:hint="eastAsia" w:ascii="FangSong_GB2312" w:hAnsi="仿宋" w:eastAsia="FangSong_GB2312" w:cs="FangSong_GB2312"/>
          <w:spacing w:val="-6"/>
          <w:sz w:val="32"/>
          <w:szCs w:val="32"/>
        </w:rPr>
        <w:t>选取产权调换房屋并签订补偿协议后，统一安排产权调换房屋的抽签定位。产权调换房屋抽签定位后，被征收人应按定位结果与征收部门签订</w:t>
      </w:r>
      <w:r>
        <w:rPr>
          <w:rFonts w:hint="eastAsia" w:ascii="FangSong_GB2312" w:hAnsi="仿宋" w:eastAsia="FangSong_GB2312" w:cs="FangSong_GB2312"/>
          <w:b/>
          <w:spacing w:val="-6"/>
          <w:sz w:val="32"/>
          <w:szCs w:val="32"/>
        </w:rPr>
        <w:t>补充协议</w:t>
      </w:r>
      <w:r>
        <w:rPr>
          <w:rFonts w:hint="eastAsia" w:ascii="FangSong_GB2312" w:hAnsi="仿宋" w:eastAsia="FangSong_GB2312" w:cs="FangSong_GB2312"/>
          <w:spacing w:val="-6"/>
          <w:sz w:val="32"/>
          <w:szCs w:val="32"/>
        </w:rPr>
        <w:t>。</w:t>
      </w:r>
    </w:p>
    <w:p>
      <w:pPr>
        <w:spacing w:line="540" w:lineRule="exact"/>
        <w:ind w:firstLine="616" w:firstLineChars="200"/>
        <w:rPr>
          <w:rFonts w:ascii="FangSong_GB2312" w:hAnsi="仿宋" w:eastAsia="FangSong_GB2312" w:cs="FangSong_GB2312"/>
          <w:spacing w:val="-6"/>
          <w:sz w:val="32"/>
          <w:szCs w:val="32"/>
        </w:rPr>
      </w:pPr>
      <w:r>
        <w:rPr>
          <w:rFonts w:hint="eastAsia" w:ascii="FangSong_GB2312" w:hAnsi="仿宋" w:eastAsia="FangSong_GB2312" w:cs="FangSong_GB2312"/>
          <w:spacing w:val="-6"/>
          <w:sz w:val="32"/>
          <w:szCs w:val="32"/>
        </w:rPr>
        <w:t>具体时间和操作办法另行通知。</w:t>
      </w:r>
    </w:p>
    <w:p>
      <w:pPr>
        <w:spacing w:line="540" w:lineRule="exact"/>
        <w:ind w:firstLine="616" w:firstLineChars="200"/>
        <w:rPr>
          <w:rFonts w:ascii="楷体_GB2312" w:hAnsi="仿宋" w:eastAsia="楷体_GB2312" w:cs="Times New Roman"/>
          <w:spacing w:val="-6"/>
          <w:sz w:val="32"/>
          <w:szCs w:val="32"/>
        </w:rPr>
      </w:pPr>
      <w:r>
        <w:rPr>
          <w:rFonts w:hint="eastAsia" w:ascii="黑体" w:hAnsi="仿宋" w:eastAsia="黑体" w:cs="黑体"/>
          <w:spacing w:val="-6"/>
          <w:sz w:val="32"/>
          <w:szCs w:val="32"/>
        </w:rPr>
        <w:t>十、结算与支付</w:t>
      </w:r>
    </w:p>
    <w:p>
      <w:pPr>
        <w:spacing w:line="540" w:lineRule="exact"/>
        <w:ind w:firstLine="616" w:firstLineChars="200"/>
        <w:rPr>
          <w:rFonts w:ascii="FangSong_GB2312" w:eastAsia="FangSong_GB2312" w:cs="FangSong_GB2312"/>
          <w:sz w:val="32"/>
          <w:szCs w:val="32"/>
        </w:rPr>
      </w:pPr>
      <w:r>
        <w:rPr>
          <w:rFonts w:hint="eastAsia" w:ascii="楷体_GB2312" w:hAnsi="仿宋" w:eastAsia="楷体_GB2312" w:cs="楷体_GB2312"/>
          <w:spacing w:val="-6"/>
          <w:sz w:val="32"/>
          <w:szCs w:val="32"/>
        </w:rPr>
        <w:t>（一）</w:t>
      </w:r>
      <w:r>
        <w:rPr>
          <w:rFonts w:hint="eastAsia" w:ascii="FangSong_GB2312" w:eastAsia="FangSong_GB2312" w:cs="FangSong_GB2312"/>
          <w:sz w:val="32"/>
          <w:szCs w:val="32"/>
        </w:rPr>
        <w:t>征收补偿协议签订并生效后,支付房屋总价值补偿中用于货币补偿的部分和综合补偿款。</w:t>
      </w:r>
    </w:p>
    <w:p>
      <w:pPr>
        <w:spacing w:line="540" w:lineRule="exact"/>
        <w:ind w:firstLine="616" w:firstLineChars="200"/>
        <w:rPr>
          <w:rFonts w:ascii="FangSong_GB2312" w:hAnsi="仿宋" w:eastAsia="FangSong_GB2312" w:cs="FangSong_GB2312"/>
          <w:spacing w:val="-6"/>
          <w:sz w:val="32"/>
          <w:szCs w:val="32"/>
        </w:rPr>
      </w:pPr>
      <w:r>
        <w:rPr>
          <w:rFonts w:hint="eastAsia" w:ascii="楷体_GB2312" w:hAnsi="仿宋" w:eastAsia="楷体_GB2312" w:cs="楷体_GB2312"/>
          <w:spacing w:val="-6"/>
          <w:sz w:val="32"/>
          <w:szCs w:val="32"/>
        </w:rPr>
        <w:t>（二）</w:t>
      </w:r>
      <w:r>
        <w:rPr>
          <w:rFonts w:hint="eastAsia" w:ascii="FangSong_GB2312" w:eastAsia="FangSong_GB2312" w:cs="FangSong_GB2312"/>
          <w:sz w:val="32"/>
          <w:szCs w:val="32"/>
        </w:rPr>
        <w:t>被征收人选择产权调换的，</w:t>
      </w:r>
      <w:r>
        <w:rPr>
          <w:rFonts w:hint="eastAsia" w:ascii="FangSong_GB2312" w:hAnsi="仿宋" w:eastAsia="FangSong_GB2312" w:cs="FangSong_GB2312"/>
          <w:spacing w:val="-6"/>
          <w:sz w:val="32"/>
          <w:szCs w:val="32"/>
        </w:rPr>
        <w:t>房屋总价值补偿款中用于产权调换的部分（含补助）与产权调换房屋总价款之间的差价分两次结算：</w:t>
      </w:r>
    </w:p>
    <w:p>
      <w:pPr>
        <w:spacing w:line="540" w:lineRule="exact"/>
        <w:ind w:firstLine="619" w:firstLineChars="200"/>
        <w:rPr>
          <w:rFonts w:ascii="FangSong_GB2312" w:hAnsi="仿宋" w:eastAsia="FangSong_GB2312" w:cs="FangSong_GB2312"/>
          <w:spacing w:val="-6"/>
          <w:sz w:val="32"/>
          <w:szCs w:val="32"/>
        </w:rPr>
      </w:pPr>
      <w:r>
        <w:rPr>
          <w:rFonts w:hint="eastAsia" w:ascii="FangSong_GB2312" w:hAnsi="仿宋" w:eastAsia="FangSong_GB2312" w:cs="FangSong_GB2312"/>
          <w:b/>
          <w:spacing w:val="-6"/>
          <w:sz w:val="32"/>
          <w:szCs w:val="32"/>
        </w:rPr>
        <w:t>第一次结算</w:t>
      </w:r>
      <w:r>
        <w:rPr>
          <w:rFonts w:hint="eastAsia" w:ascii="FangSong_GB2312" w:hAnsi="仿宋" w:eastAsia="FangSong_GB2312" w:cs="FangSong_GB2312"/>
          <w:spacing w:val="-6"/>
          <w:sz w:val="32"/>
          <w:szCs w:val="32"/>
        </w:rPr>
        <w:t>为签订征收补偿补充协议时，需支付产权调换房屋按预测绘面积计算得出的总价的</w:t>
      </w:r>
      <w:r>
        <w:rPr>
          <w:rFonts w:hint="eastAsia" w:ascii="FangSong_GB2312" w:hAnsi="仿宋" w:eastAsia="FangSong_GB2312" w:cs="FangSong_GB2312"/>
          <w:b/>
          <w:bCs/>
          <w:spacing w:val="-6"/>
          <w:sz w:val="32"/>
          <w:szCs w:val="32"/>
        </w:rPr>
        <w:t>70%</w:t>
      </w:r>
      <w:r>
        <w:rPr>
          <w:rFonts w:hint="eastAsia" w:ascii="FangSong_GB2312" w:hAnsi="仿宋" w:eastAsia="FangSong_GB2312" w:cs="FangSong_GB2312"/>
          <w:spacing w:val="-6"/>
          <w:sz w:val="32"/>
          <w:szCs w:val="32"/>
        </w:rPr>
        <w:t>。</w:t>
      </w:r>
    </w:p>
    <w:p>
      <w:pPr>
        <w:spacing w:line="540" w:lineRule="exact"/>
        <w:ind w:firstLine="619" w:firstLineChars="200"/>
        <w:rPr>
          <w:rFonts w:ascii="FangSong_GB2312" w:hAnsi="仿宋" w:eastAsia="FangSong_GB2312" w:cs="FangSong_GB2312"/>
          <w:spacing w:val="-6"/>
          <w:sz w:val="32"/>
          <w:szCs w:val="32"/>
        </w:rPr>
      </w:pPr>
      <w:r>
        <w:rPr>
          <w:rFonts w:hint="eastAsia" w:ascii="FangSong_GB2312" w:hAnsi="仿宋" w:eastAsia="FangSong_GB2312" w:cs="FangSong_GB2312"/>
          <w:b/>
          <w:bCs/>
          <w:spacing w:val="-6"/>
          <w:sz w:val="32"/>
          <w:szCs w:val="32"/>
        </w:rPr>
        <w:t>第二次结算</w:t>
      </w:r>
      <w:r>
        <w:rPr>
          <w:rFonts w:hint="eastAsia" w:ascii="FangSong_GB2312" w:hAnsi="仿宋" w:eastAsia="FangSong_GB2312" w:cs="FangSong_GB2312"/>
          <w:spacing w:val="-6"/>
          <w:sz w:val="32"/>
          <w:szCs w:val="32"/>
        </w:rPr>
        <w:t>为产权调换房屋交付时，需一次性结清产权调换房屋按预测绘面积计算得出的总价的剩余</w:t>
      </w:r>
      <w:r>
        <w:rPr>
          <w:rFonts w:hint="eastAsia" w:ascii="FangSong_GB2312" w:hAnsi="仿宋" w:eastAsia="FangSong_GB2312" w:cs="FangSong_GB2312"/>
          <w:b/>
          <w:bCs/>
          <w:spacing w:val="-6"/>
          <w:sz w:val="32"/>
          <w:szCs w:val="32"/>
        </w:rPr>
        <w:t>30%</w:t>
      </w:r>
      <w:r>
        <w:rPr>
          <w:rFonts w:hint="eastAsia" w:ascii="FangSong_GB2312" w:hAnsi="仿宋" w:eastAsia="FangSong_GB2312" w:cs="FangSong_GB2312"/>
          <w:spacing w:val="-6"/>
          <w:sz w:val="32"/>
          <w:szCs w:val="32"/>
        </w:rPr>
        <w:t>部分价款、实测绘与预测绘面积差价款、实际临时安置费。</w:t>
      </w:r>
    </w:p>
    <w:p>
      <w:pPr>
        <w:spacing w:line="540" w:lineRule="exact"/>
        <w:ind w:firstLine="616" w:firstLineChars="200"/>
        <w:rPr>
          <w:rFonts w:ascii="FangSong_GB2312" w:eastAsia="FangSong_GB2312" w:cs="FangSong_GB2312"/>
          <w:sz w:val="32"/>
          <w:szCs w:val="32"/>
        </w:rPr>
      </w:pPr>
      <w:r>
        <w:rPr>
          <w:rFonts w:hint="eastAsia" w:ascii="FangSong_GB2312" w:hAnsi="仿宋" w:eastAsia="FangSong_GB2312" w:cs="FangSong_GB2312"/>
          <w:spacing w:val="-6"/>
          <w:sz w:val="32"/>
          <w:szCs w:val="32"/>
        </w:rPr>
        <w:t>被征收人签订征收补偿补充协议时</w:t>
      </w:r>
      <w:r>
        <w:rPr>
          <w:rFonts w:hint="eastAsia" w:ascii="FangSong_GB2312" w:eastAsia="FangSong_GB2312" w:cs="FangSong_GB2312"/>
          <w:sz w:val="32"/>
          <w:szCs w:val="32"/>
        </w:rPr>
        <w:t>可申请一次性缴清产权调换房屋按预测绘面积计算得出的房价款，其提前缴纳的30%部分可享受利息补贴（</w:t>
      </w:r>
      <w:r>
        <w:rPr>
          <w:rFonts w:hint="eastAsia" w:ascii="FangSong_GB2312" w:eastAsia="FangSong_GB2312" w:cs="FangSong_GB2312"/>
          <w:b/>
          <w:bCs/>
          <w:sz w:val="32"/>
          <w:szCs w:val="32"/>
        </w:rPr>
        <w:t>按年利率6.3%按月计算单利</w:t>
      </w:r>
      <w:r>
        <w:rPr>
          <w:rFonts w:hint="eastAsia" w:ascii="FangSong_GB2312" w:eastAsia="FangSong_GB2312" w:cs="FangSong_GB2312"/>
          <w:sz w:val="32"/>
          <w:szCs w:val="32"/>
        </w:rPr>
        <w:t>，不足月的期间不计利息，在产权调换房屋交付时一并结算并支付）。产权调换房屋交付前已办理转让公证的，不享受上述利息补贴。</w:t>
      </w:r>
    </w:p>
    <w:p>
      <w:pPr>
        <w:spacing w:line="540" w:lineRule="exact"/>
        <w:ind w:firstLine="616" w:firstLineChars="200"/>
        <w:rPr>
          <w:rFonts w:ascii="FangSong_GB2312" w:eastAsia="FangSong_GB2312" w:cs="FangSong_GB2312"/>
          <w:sz w:val="32"/>
          <w:szCs w:val="32"/>
        </w:rPr>
      </w:pPr>
      <w:r>
        <w:rPr>
          <w:rFonts w:hint="eastAsia" w:ascii="楷体_GB2312" w:hAnsi="仿宋" w:eastAsia="楷体_GB2312" w:cs="楷体_GB2312"/>
          <w:spacing w:val="-6"/>
          <w:sz w:val="32"/>
          <w:szCs w:val="32"/>
        </w:rPr>
        <w:t>（三）</w:t>
      </w:r>
      <w:r>
        <w:rPr>
          <w:rFonts w:hint="eastAsia" w:ascii="FangSong_GB2312" w:eastAsia="FangSong_GB2312" w:cs="FangSong_GB2312"/>
          <w:sz w:val="32"/>
          <w:szCs w:val="32"/>
        </w:rPr>
        <w:t>被征收人将房屋腾空并办理腾空验收手续后，支付相应的补助和奖励。</w:t>
      </w:r>
    </w:p>
    <w:p>
      <w:pPr>
        <w:spacing w:line="540" w:lineRule="exact"/>
        <w:ind w:firstLine="616" w:firstLineChars="200"/>
        <w:rPr>
          <w:rFonts w:ascii="FangSong_GB2312" w:eastAsia="FangSong_GB2312" w:cs="FangSong_GB2312"/>
          <w:sz w:val="32"/>
          <w:szCs w:val="32"/>
        </w:rPr>
      </w:pPr>
      <w:r>
        <w:rPr>
          <w:rFonts w:hint="eastAsia" w:ascii="楷体_GB2312" w:hAnsi="仿宋" w:eastAsia="楷体_GB2312" w:cs="楷体_GB2312"/>
          <w:spacing w:val="-6"/>
          <w:sz w:val="32"/>
          <w:szCs w:val="32"/>
        </w:rPr>
        <w:t>（四）</w:t>
      </w:r>
      <w:r>
        <w:rPr>
          <w:rFonts w:hint="eastAsia" w:ascii="FangSong_GB2312" w:eastAsia="FangSong_GB2312" w:cs="FangSong_GB2312"/>
          <w:sz w:val="32"/>
          <w:szCs w:val="32"/>
        </w:rPr>
        <w:t>被征收人签订补偿协议时可申请将房屋总补偿款中以现金方式支付的全部或部分延期1年、2年或3年支付，分别按照</w:t>
      </w:r>
      <w:r>
        <w:rPr>
          <w:rFonts w:hint="eastAsia" w:ascii="FangSong_GB2312" w:eastAsia="FangSong_GB2312" w:cs="FangSong_GB2312"/>
          <w:b/>
          <w:bCs/>
          <w:sz w:val="32"/>
          <w:szCs w:val="32"/>
        </w:rPr>
        <w:t>年利率6.1%、年利率6.3%、年利率6.5%</w:t>
      </w:r>
      <w:r>
        <w:rPr>
          <w:rFonts w:hint="eastAsia" w:ascii="FangSong_GB2312" w:eastAsia="FangSong_GB2312" w:cs="FangSong_GB2312"/>
          <w:sz w:val="32"/>
          <w:szCs w:val="32"/>
        </w:rPr>
        <w:t>计算单利并</w:t>
      </w:r>
      <w:r>
        <w:rPr>
          <w:rFonts w:hint="eastAsia" w:ascii="FangSong_GB2312" w:eastAsia="FangSong_GB2312" w:cs="FangSong_GB2312"/>
          <w:b/>
          <w:bCs/>
          <w:sz w:val="32"/>
          <w:szCs w:val="32"/>
        </w:rPr>
        <w:t>按年支付</w:t>
      </w:r>
      <w:r>
        <w:rPr>
          <w:rFonts w:hint="eastAsia" w:ascii="FangSong_GB2312" w:eastAsia="FangSong_GB2312" w:cs="FangSong_GB2312"/>
          <w:sz w:val="32"/>
          <w:szCs w:val="32"/>
        </w:rPr>
        <w:t>利息，延续期限届满后可一次性提取剩余本息。</w:t>
      </w:r>
    </w:p>
    <w:p>
      <w:pPr>
        <w:spacing w:line="540" w:lineRule="exact"/>
        <w:ind w:firstLine="640" w:firstLineChars="200"/>
        <w:rPr>
          <w:rFonts w:ascii="FangSong_GB2312" w:eastAsia="FangSong_GB2312" w:cs="FangSong_GB2312"/>
          <w:sz w:val="32"/>
          <w:szCs w:val="32"/>
        </w:rPr>
      </w:pPr>
      <w:r>
        <w:rPr>
          <w:rFonts w:hint="eastAsia" w:ascii="FangSong_GB2312" w:eastAsia="FangSong_GB2312" w:cs="FangSong_GB2312"/>
          <w:sz w:val="32"/>
          <w:szCs w:val="32"/>
        </w:rPr>
        <w:t>延续期限的起算日期按以下方式确定：</w:t>
      </w:r>
    </w:p>
    <w:p>
      <w:pPr>
        <w:spacing w:line="540" w:lineRule="exact"/>
        <w:ind w:firstLine="640" w:firstLineChars="200"/>
        <w:rPr>
          <w:rFonts w:ascii="FangSong_GB2312" w:eastAsia="FangSong_GB2312" w:cs="FangSong_GB2312"/>
          <w:sz w:val="32"/>
          <w:szCs w:val="32"/>
        </w:rPr>
      </w:pPr>
      <w:r>
        <w:rPr>
          <w:rFonts w:hint="eastAsia" w:ascii="FangSong_GB2312" w:eastAsia="FangSong_GB2312" w:cs="FangSong_GB2312"/>
          <w:sz w:val="32"/>
          <w:szCs w:val="32"/>
        </w:rPr>
        <w:t>1.被征收人选择的补偿方式中含产权调换的，起算日期为提出申请的日期、签订定位补充协议的日期和腾空交接验收单记载的日期中最迟的日期；</w:t>
      </w:r>
    </w:p>
    <w:p>
      <w:pPr>
        <w:spacing w:line="540" w:lineRule="exact"/>
        <w:ind w:firstLine="640" w:firstLineChars="200"/>
        <w:rPr>
          <w:rFonts w:ascii="FangSong_GB2312" w:eastAsia="FangSong_GB2312" w:cs="FangSong_GB2312"/>
          <w:sz w:val="32"/>
          <w:szCs w:val="32"/>
        </w:rPr>
      </w:pPr>
      <w:r>
        <w:rPr>
          <w:rFonts w:hint="eastAsia" w:ascii="FangSong_GB2312" w:eastAsia="FangSong_GB2312" w:cs="FangSong_GB2312"/>
          <w:sz w:val="32"/>
          <w:szCs w:val="32"/>
        </w:rPr>
        <w:t>2.被征收人选择的补偿方式中不含产权调换的，起算日期为提出申请的日期、腾空交接验收单记载的日期中最迟的日期。</w:t>
      </w:r>
    </w:p>
    <w:p>
      <w:pPr>
        <w:spacing w:line="540" w:lineRule="exact"/>
        <w:ind w:firstLine="640" w:firstLineChars="200"/>
        <w:rPr>
          <w:rFonts w:ascii="FangSong_GB2312" w:eastAsia="FangSong_GB2312" w:cs="FangSong_GB2312"/>
          <w:sz w:val="32"/>
          <w:szCs w:val="32"/>
        </w:rPr>
      </w:pPr>
      <w:r>
        <w:rPr>
          <w:rFonts w:hint="eastAsia" w:ascii="FangSong_GB2312" w:eastAsia="FangSong_GB2312" w:cs="FangSong_GB2312"/>
          <w:sz w:val="32"/>
          <w:szCs w:val="32"/>
        </w:rPr>
        <w:t>被征收人申请延期支付后需提前提取或继续延长期限的（总期限最长不超过三年），应提前至少一个月提出申请，继续延长期限的，需经征收部门同意。利息按实际延续期计算，其中满整年的期间按前述规定的利率计算；未满整年的期间按</w:t>
      </w:r>
      <w:r>
        <w:rPr>
          <w:rFonts w:hint="eastAsia" w:ascii="FangSong_GB2312" w:eastAsia="FangSong_GB2312" w:cs="FangSong_GB2312"/>
          <w:b/>
          <w:bCs/>
          <w:sz w:val="32"/>
          <w:szCs w:val="32"/>
        </w:rPr>
        <w:t>月利0.035%</w:t>
      </w:r>
      <w:r>
        <w:rPr>
          <w:rFonts w:hint="eastAsia" w:ascii="FangSong_GB2312" w:eastAsia="FangSong_GB2312" w:cs="FangSong_GB2312"/>
          <w:sz w:val="32"/>
          <w:szCs w:val="32"/>
        </w:rPr>
        <w:t>计算；不足月的期间不计利息。</w:t>
      </w:r>
    </w:p>
    <w:p>
      <w:pPr>
        <w:spacing w:line="540" w:lineRule="exact"/>
        <w:ind w:firstLine="616" w:firstLineChars="200"/>
        <w:rPr>
          <w:rFonts w:ascii="FangSong_GB2312" w:hAnsi="仿宋" w:eastAsia="FangSong_GB2312" w:cs="Times New Roman"/>
          <w:b/>
          <w:bCs/>
          <w:spacing w:val="-6"/>
          <w:sz w:val="32"/>
          <w:szCs w:val="32"/>
        </w:rPr>
      </w:pPr>
      <w:r>
        <w:rPr>
          <w:rFonts w:hint="eastAsia" w:ascii="黑体" w:hAnsi="仿宋" w:eastAsia="黑体" w:cs="黑体"/>
          <w:spacing w:val="-6"/>
          <w:sz w:val="32"/>
          <w:szCs w:val="32"/>
        </w:rPr>
        <w:t>十一、低收入住房困难家庭的住房保障</w:t>
      </w:r>
    </w:p>
    <w:p>
      <w:pPr>
        <w:spacing w:line="540" w:lineRule="exact"/>
        <w:ind w:firstLine="616" w:firstLineChars="200"/>
        <w:rPr>
          <w:rFonts w:ascii="FangSong_GB2312" w:hAnsi="仿宋" w:eastAsia="FangSong_GB2312" w:cs="Times New Roman"/>
          <w:spacing w:val="-6"/>
          <w:sz w:val="32"/>
          <w:szCs w:val="32"/>
        </w:rPr>
      </w:pPr>
      <w:r>
        <w:rPr>
          <w:rFonts w:hint="eastAsia" w:ascii="FangSong_GB2312" w:hAnsi="仿宋" w:eastAsia="FangSong_GB2312" w:cs="FangSong_GB2312"/>
          <w:spacing w:val="-6"/>
          <w:sz w:val="32"/>
          <w:szCs w:val="32"/>
        </w:rPr>
        <w:t>征收个人住宅，被征收房屋建筑面积小于</w:t>
      </w:r>
      <w:r>
        <w:rPr>
          <w:rFonts w:ascii="FangSong_GB2312" w:hAnsi="仿宋" w:eastAsia="FangSong_GB2312" w:cs="FangSong_GB2312"/>
          <w:spacing w:val="-6"/>
          <w:sz w:val="32"/>
          <w:szCs w:val="32"/>
        </w:rPr>
        <w:t>45</w:t>
      </w:r>
      <w:r>
        <w:rPr>
          <w:rFonts w:hint="eastAsia" w:ascii="FangSong_GB2312" w:hAnsi="仿宋" w:eastAsia="FangSong_GB2312" w:cs="FangSong_GB2312"/>
          <w:spacing w:val="-6"/>
          <w:sz w:val="32"/>
          <w:szCs w:val="32"/>
        </w:rPr>
        <w:t>平方米</w:t>
      </w:r>
      <w:r>
        <w:rPr>
          <w:rFonts w:ascii="FangSong_GB2312" w:hAnsi="仿宋" w:eastAsia="FangSong_GB2312" w:cs="FangSong_GB2312"/>
          <w:spacing w:val="-6"/>
          <w:sz w:val="32"/>
          <w:szCs w:val="32"/>
        </w:rPr>
        <w:t>(</w:t>
      </w:r>
      <w:r>
        <w:rPr>
          <w:rFonts w:hint="eastAsia" w:ascii="FangSong_GB2312" w:hAnsi="仿宋" w:eastAsia="FangSong_GB2312" w:cs="FangSong_GB2312"/>
          <w:spacing w:val="-6"/>
          <w:sz w:val="32"/>
          <w:szCs w:val="32"/>
        </w:rPr>
        <w:t>市规划区内有其它住宅用房的合并计算</w:t>
      </w:r>
      <w:r>
        <w:rPr>
          <w:rFonts w:ascii="FangSong_GB2312" w:hAnsi="仿宋" w:eastAsia="FangSong_GB2312" w:cs="FangSong_GB2312"/>
          <w:spacing w:val="-6"/>
          <w:sz w:val="32"/>
          <w:szCs w:val="32"/>
        </w:rPr>
        <w:t>)</w:t>
      </w:r>
      <w:r>
        <w:rPr>
          <w:rFonts w:hint="eastAsia" w:ascii="FangSong_GB2312" w:hAnsi="仿宋" w:eastAsia="FangSong_GB2312" w:cs="FangSong_GB2312"/>
          <w:spacing w:val="-6"/>
          <w:sz w:val="32"/>
          <w:szCs w:val="32"/>
        </w:rPr>
        <w:t>，且被征收人属于低收入住房困难家庭的，依照《义乌市国有土地上房屋征收与补偿办法》第三十七条的相关规定给予住房保障。</w:t>
      </w:r>
    </w:p>
    <w:p>
      <w:pPr>
        <w:spacing w:line="540" w:lineRule="exact"/>
        <w:ind w:firstLine="616" w:firstLineChars="200"/>
        <w:rPr>
          <w:rFonts w:ascii="FangSong_GB2312" w:hAnsi="仿宋" w:eastAsia="FangSong_GB2312" w:cs="Times New Roman"/>
          <w:spacing w:val="-6"/>
          <w:sz w:val="32"/>
          <w:szCs w:val="32"/>
        </w:rPr>
      </w:pPr>
      <w:r>
        <w:rPr>
          <w:rFonts w:hint="eastAsia" w:ascii="FangSong_GB2312" w:hAnsi="仿宋" w:eastAsia="FangSong_GB2312" w:cs="FangSong_GB2312"/>
          <w:spacing w:val="-6"/>
          <w:sz w:val="32"/>
          <w:szCs w:val="32"/>
        </w:rPr>
        <w:t>低收入住房困难家庭由住房保障和民政等部门根据相关规定予以确认。</w:t>
      </w:r>
    </w:p>
    <w:p>
      <w:pPr>
        <w:spacing w:line="540" w:lineRule="exact"/>
        <w:ind w:firstLine="616" w:firstLineChars="200"/>
        <w:rPr>
          <w:rFonts w:ascii="FangSong_GB2312" w:hAnsi="仿宋" w:eastAsia="FangSong_GB2312" w:cs="Times New Roman"/>
          <w:spacing w:val="-6"/>
          <w:sz w:val="32"/>
          <w:szCs w:val="32"/>
        </w:rPr>
      </w:pPr>
      <w:r>
        <w:rPr>
          <w:rFonts w:hint="eastAsia" w:ascii="FangSong_GB2312" w:hAnsi="仿宋" w:eastAsia="FangSong_GB2312" w:cs="FangSong_GB2312"/>
          <w:spacing w:val="-6"/>
          <w:sz w:val="32"/>
          <w:szCs w:val="32"/>
        </w:rPr>
        <w:t>符合条件的被征收人，应在征收决定公告之日起</w:t>
      </w:r>
      <w:r>
        <w:rPr>
          <w:rFonts w:ascii="FangSong_GB2312" w:hAnsi="仿宋" w:eastAsia="FangSong_GB2312" w:cs="FangSong_GB2312"/>
          <w:spacing w:val="-6"/>
          <w:sz w:val="32"/>
          <w:szCs w:val="32"/>
        </w:rPr>
        <w:t>10</w:t>
      </w:r>
      <w:r>
        <w:rPr>
          <w:rFonts w:hint="eastAsia" w:ascii="FangSong_GB2312" w:hAnsi="仿宋" w:eastAsia="FangSong_GB2312" w:cs="FangSong_GB2312"/>
          <w:spacing w:val="-6"/>
          <w:sz w:val="32"/>
          <w:szCs w:val="32"/>
        </w:rPr>
        <w:t>日内向征收部门提出申请并提交相应证明材料，逾期未申请的</w:t>
      </w:r>
      <w:r>
        <w:rPr>
          <w:rFonts w:ascii="FangSong_GB2312" w:hAnsi="仿宋" w:eastAsia="FangSong_GB2312" w:cs="FangSong_GB2312"/>
          <w:spacing w:val="-6"/>
          <w:sz w:val="32"/>
          <w:szCs w:val="32"/>
        </w:rPr>
        <w:t>,</w:t>
      </w:r>
      <w:r>
        <w:rPr>
          <w:rFonts w:hint="eastAsia" w:ascii="FangSong_GB2312" w:hAnsi="仿宋" w:eastAsia="FangSong_GB2312" w:cs="FangSong_GB2312"/>
          <w:spacing w:val="-6"/>
          <w:sz w:val="32"/>
          <w:szCs w:val="32"/>
        </w:rPr>
        <w:t>视为放弃资格。</w:t>
      </w:r>
    </w:p>
    <w:p>
      <w:pPr>
        <w:spacing w:line="540" w:lineRule="exact"/>
        <w:ind w:firstLine="616" w:firstLineChars="200"/>
        <w:rPr>
          <w:rFonts w:ascii="黑体" w:hAnsi="仿宋" w:eastAsia="黑体" w:cs="Times New Roman"/>
          <w:spacing w:val="-6"/>
          <w:sz w:val="32"/>
          <w:szCs w:val="32"/>
        </w:rPr>
      </w:pPr>
      <w:r>
        <w:rPr>
          <w:rFonts w:hint="eastAsia" w:ascii="黑体" w:hAnsi="仿宋" w:eastAsia="黑体" w:cs="黑体"/>
          <w:spacing w:val="-6"/>
          <w:sz w:val="32"/>
          <w:szCs w:val="32"/>
        </w:rPr>
        <w:t>十二、子女入学规定</w:t>
      </w:r>
    </w:p>
    <w:p>
      <w:pPr>
        <w:spacing w:line="540" w:lineRule="exact"/>
        <w:ind w:firstLine="616" w:firstLineChars="200"/>
        <w:rPr>
          <w:rFonts w:ascii="FangSong_GB2312" w:hAnsi="仿宋" w:eastAsia="FangSong_GB2312" w:cs="FangSong_GB2312"/>
          <w:spacing w:val="-6"/>
          <w:sz w:val="32"/>
          <w:szCs w:val="32"/>
        </w:rPr>
      </w:pPr>
      <w:r>
        <w:rPr>
          <w:rFonts w:hint="eastAsia" w:ascii="FangSong_GB2312" w:hAnsi="仿宋" w:eastAsia="FangSong_GB2312" w:cs="FangSong_GB2312"/>
          <w:spacing w:val="-6"/>
          <w:sz w:val="32"/>
          <w:szCs w:val="32"/>
        </w:rPr>
        <w:t>（一）被征收人未成年且户口在征收范围内的，保留本人在原学区学校完成义务教育的资格</w:t>
      </w:r>
      <w:r>
        <w:rPr>
          <w:rFonts w:ascii="FangSong_GB2312" w:hAnsi="仿宋" w:eastAsia="FangSong_GB2312" w:cs="FangSong_GB2312"/>
          <w:spacing w:val="-6"/>
          <w:sz w:val="32"/>
          <w:szCs w:val="32"/>
        </w:rPr>
        <w:t>;</w:t>
      </w:r>
    </w:p>
    <w:p>
      <w:pPr>
        <w:spacing w:line="540" w:lineRule="exact"/>
        <w:ind w:firstLine="616" w:firstLineChars="200"/>
        <w:rPr>
          <w:rFonts w:ascii="FangSong_GB2312" w:hAnsi="仿宋" w:eastAsia="FangSong_GB2312" w:cs="FangSong_GB2312"/>
          <w:spacing w:val="-6"/>
          <w:sz w:val="32"/>
          <w:szCs w:val="32"/>
        </w:rPr>
      </w:pPr>
      <w:r>
        <w:rPr>
          <w:rFonts w:hint="eastAsia" w:ascii="FangSong_GB2312" w:hAnsi="仿宋" w:eastAsia="FangSong_GB2312" w:cs="FangSong_GB2312"/>
          <w:spacing w:val="-6"/>
          <w:sz w:val="32"/>
          <w:szCs w:val="32"/>
        </w:rPr>
        <w:t>（二）被征收人已成年且户口在征收范围内的，保留其子女在原学区学校完成义务教育的资格</w:t>
      </w:r>
      <w:r>
        <w:rPr>
          <w:rFonts w:ascii="FangSong_GB2312" w:hAnsi="仿宋" w:eastAsia="FangSong_GB2312" w:cs="FangSong_GB2312"/>
          <w:spacing w:val="-6"/>
          <w:sz w:val="32"/>
          <w:szCs w:val="32"/>
        </w:rPr>
        <w:t>;</w:t>
      </w:r>
    </w:p>
    <w:p>
      <w:pPr>
        <w:spacing w:line="540" w:lineRule="exact"/>
        <w:ind w:firstLine="616" w:firstLineChars="200"/>
        <w:rPr>
          <w:rFonts w:ascii="FangSong_GB2312" w:hAnsi="仿宋" w:eastAsia="FangSong_GB2312" w:cs="FangSong_GB2312"/>
          <w:spacing w:val="-6"/>
          <w:sz w:val="32"/>
          <w:szCs w:val="32"/>
        </w:rPr>
      </w:pPr>
      <w:r>
        <w:rPr>
          <w:rFonts w:hint="eastAsia" w:ascii="FangSong_GB2312" w:hAnsi="仿宋" w:eastAsia="FangSong_GB2312" w:cs="FangSong_GB2312"/>
          <w:spacing w:val="-6"/>
          <w:sz w:val="32"/>
          <w:szCs w:val="32"/>
        </w:rPr>
        <w:t>（三）被征收人直系亲属未成年且户口在征收范围内的，保留被征收人直系亲属在原学区学校完成义务教育的资格</w:t>
      </w:r>
      <w:r>
        <w:rPr>
          <w:rFonts w:ascii="FangSong_GB2312" w:hAnsi="仿宋" w:eastAsia="FangSong_GB2312" w:cs="FangSong_GB2312"/>
          <w:spacing w:val="-6"/>
          <w:sz w:val="32"/>
          <w:szCs w:val="32"/>
        </w:rPr>
        <w:t>;</w:t>
      </w:r>
    </w:p>
    <w:p>
      <w:pPr>
        <w:spacing w:line="540" w:lineRule="exact"/>
        <w:ind w:firstLine="600" w:firstLineChars="200"/>
        <w:rPr>
          <w:rFonts w:ascii="FangSong_GB2312" w:hAnsi="仿宋" w:eastAsia="FangSong_GB2312" w:cs="FangSong_GB2312"/>
          <w:spacing w:val="-10"/>
          <w:sz w:val="32"/>
          <w:szCs w:val="32"/>
        </w:rPr>
      </w:pPr>
      <w:r>
        <w:rPr>
          <w:rFonts w:hint="eastAsia" w:ascii="FangSong_GB2312" w:hAnsi="仿宋" w:eastAsia="FangSong_GB2312" w:cs="FangSong_GB2312"/>
          <w:spacing w:val="-10"/>
          <w:sz w:val="32"/>
          <w:szCs w:val="32"/>
        </w:rPr>
        <w:t>（四）被征收人直系亲属已成年且户口在征收范围内的，保留被征收人直系亲属子女在原学区学校完成义务教育的资格。</w:t>
      </w:r>
    </w:p>
    <w:p>
      <w:pPr>
        <w:spacing w:line="540" w:lineRule="exact"/>
        <w:ind w:firstLine="616" w:firstLineChars="200"/>
        <w:rPr>
          <w:rFonts w:ascii="黑体" w:hAnsi="仿宋" w:eastAsia="黑体" w:cs="Times New Roman"/>
          <w:spacing w:val="-6"/>
          <w:sz w:val="32"/>
          <w:szCs w:val="32"/>
        </w:rPr>
      </w:pPr>
      <w:r>
        <w:rPr>
          <w:rFonts w:hint="eastAsia" w:ascii="黑体" w:hAnsi="仿宋" w:eastAsia="黑体" w:cs="黑体"/>
          <w:spacing w:val="-6"/>
          <w:sz w:val="32"/>
          <w:szCs w:val="32"/>
        </w:rPr>
        <w:t>十三、签约和搬迁期限</w:t>
      </w:r>
    </w:p>
    <w:p>
      <w:pPr>
        <w:spacing w:line="540" w:lineRule="exact"/>
        <w:ind w:firstLine="619" w:firstLineChars="200"/>
        <w:rPr>
          <w:rFonts w:ascii="FangSong_GB2312" w:hAnsi="仿宋" w:eastAsia="FangSong_GB2312" w:cs="Times New Roman"/>
          <w:b/>
          <w:bCs/>
          <w:spacing w:val="-6"/>
          <w:sz w:val="32"/>
          <w:szCs w:val="32"/>
        </w:rPr>
      </w:pPr>
      <w:r>
        <w:rPr>
          <w:rFonts w:hint="eastAsia" w:ascii="FangSong_GB2312" w:hAnsi="仿宋" w:eastAsia="FangSong_GB2312" w:cs="FangSong_GB2312"/>
          <w:b/>
          <w:bCs/>
          <w:spacing w:val="-6"/>
          <w:sz w:val="32"/>
          <w:szCs w:val="32"/>
        </w:rPr>
        <w:t>签约期限：</w:t>
      </w:r>
      <w:r>
        <w:rPr>
          <w:rFonts w:ascii="FangSong_GB2312" w:hAnsi="仿宋" w:eastAsia="FangSong_GB2312" w:cs="FangSong_GB2312"/>
          <w:b/>
          <w:bCs/>
          <w:spacing w:val="-6"/>
          <w:sz w:val="32"/>
          <w:szCs w:val="32"/>
        </w:rPr>
        <w:t>20</w:t>
      </w:r>
      <w:r>
        <w:rPr>
          <w:rFonts w:hint="eastAsia" w:ascii="FangSong_GB2312" w:hAnsi="仿宋" w:eastAsia="FangSong_GB2312" w:cs="FangSong_GB2312"/>
          <w:b/>
          <w:bCs/>
          <w:spacing w:val="-6"/>
          <w:sz w:val="32"/>
          <w:szCs w:val="32"/>
        </w:rPr>
        <w:t>20年5月15日</w:t>
      </w:r>
    </w:p>
    <w:p>
      <w:pPr>
        <w:spacing w:line="540" w:lineRule="exact"/>
        <w:ind w:firstLine="619" w:firstLineChars="200"/>
        <w:rPr>
          <w:rFonts w:ascii="FangSong_GB2312" w:hAnsi="仿宋" w:eastAsia="FangSong_GB2312" w:cs="FangSong_GB2312"/>
          <w:b/>
          <w:bCs/>
          <w:spacing w:val="-6"/>
          <w:sz w:val="32"/>
          <w:szCs w:val="32"/>
        </w:rPr>
      </w:pPr>
      <w:r>
        <w:rPr>
          <w:rFonts w:hint="eastAsia" w:ascii="FangSong_GB2312" w:hAnsi="仿宋" w:eastAsia="FangSong_GB2312" w:cs="FangSong_GB2312"/>
          <w:b/>
          <w:bCs/>
          <w:spacing w:val="-6"/>
          <w:sz w:val="32"/>
          <w:szCs w:val="32"/>
        </w:rPr>
        <w:t>搬迁期限：</w:t>
      </w:r>
      <w:r>
        <w:rPr>
          <w:rFonts w:ascii="FangSong_GB2312" w:hAnsi="仿宋" w:eastAsia="FangSong_GB2312" w:cs="FangSong_GB2312"/>
          <w:b/>
          <w:bCs/>
          <w:spacing w:val="-6"/>
          <w:sz w:val="32"/>
          <w:szCs w:val="32"/>
        </w:rPr>
        <w:t>20</w:t>
      </w:r>
      <w:r>
        <w:rPr>
          <w:rFonts w:hint="eastAsia" w:ascii="FangSong_GB2312" w:hAnsi="仿宋" w:eastAsia="FangSong_GB2312" w:cs="FangSong_GB2312"/>
          <w:b/>
          <w:bCs/>
          <w:spacing w:val="-6"/>
          <w:sz w:val="32"/>
          <w:szCs w:val="32"/>
        </w:rPr>
        <w:t>20年5月31日</w:t>
      </w:r>
    </w:p>
    <w:p>
      <w:pPr>
        <w:spacing w:line="540" w:lineRule="exact"/>
        <w:ind w:firstLine="555" w:firstLineChars="200"/>
        <w:rPr>
          <w:rFonts w:ascii="FangSong_GB2312" w:hAnsi="仿宋" w:eastAsia="FangSong_GB2312" w:cs="FangSong_GB2312"/>
          <w:b/>
          <w:bCs/>
          <w:spacing w:val="-6"/>
          <w:w w:val="90"/>
          <w:sz w:val="32"/>
          <w:szCs w:val="32"/>
        </w:rPr>
      </w:pPr>
      <w:r>
        <w:rPr>
          <w:rFonts w:hint="eastAsia" w:ascii="FangSong_GB2312" w:hAnsi="仿宋" w:eastAsia="FangSong_GB2312" w:cs="FangSong_GB2312"/>
          <w:b/>
          <w:bCs/>
          <w:spacing w:val="-6"/>
          <w:w w:val="90"/>
          <w:sz w:val="32"/>
          <w:szCs w:val="32"/>
        </w:rPr>
        <w:t>（结合新冠肺炎疫情防控情况，如有调整，以最新公布的为准）</w:t>
      </w:r>
    </w:p>
    <w:p>
      <w:pPr>
        <w:spacing w:line="540" w:lineRule="exact"/>
        <w:ind w:firstLine="616" w:firstLineChars="200"/>
        <w:rPr>
          <w:rFonts w:ascii="FangSong_GB2312" w:hAnsi="仿宋" w:eastAsia="FangSong_GB2312" w:cs="Times New Roman"/>
          <w:b/>
          <w:bCs/>
          <w:spacing w:val="-6"/>
          <w:sz w:val="32"/>
          <w:szCs w:val="32"/>
        </w:rPr>
      </w:pPr>
      <w:r>
        <w:rPr>
          <w:rFonts w:hint="eastAsia" w:ascii="黑体" w:hAnsi="仿宋" w:eastAsia="黑体" w:cs="黑体"/>
          <w:spacing w:val="-6"/>
          <w:sz w:val="32"/>
          <w:szCs w:val="32"/>
        </w:rPr>
        <w:t>十四、补偿协议效力</w:t>
      </w:r>
    </w:p>
    <w:p>
      <w:pPr>
        <w:spacing w:line="540" w:lineRule="exact"/>
        <w:ind w:firstLine="616" w:firstLineChars="200"/>
        <w:rPr>
          <w:rFonts w:ascii="FangSong_GB2312" w:hAnsi="仿宋" w:eastAsia="FangSong_GB2312" w:cs="Times New Roman"/>
          <w:spacing w:val="-6"/>
          <w:sz w:val="32"/>
          <w:szCs w:val="32"/>
        </w:rPr>
      </w:pPr>
      <w:r>
        <w:rPr>
          <w:rFonts w:hint="eastAsia" w:ascii="FangSong_GB2312" w:hAnsi="仿宋" w:eastAsia="FangSong_GB2312" w:cs="FangSong_GB2312"/>
          <w:spacing w:val="-6"/>
          <w:sz w:val="32"/>
          <w:szCs w:val="32"/>
        </w:rPr>
        <w:t>在本方案规定的签约期限内签约比例达到</w:t>
      </w:r>
      <w:r>
        <w:rPr>
          <w:rFonts w:ascii="FangSong_GB2312" w:hAnsi="仿宋" w:eastAsia="FangSong_GB2312" w:cs="FangSong_GB2312"/>
          <w:spacing w:val="-6"/>
          <w:sz w:val="32"/>
          <w:szCs w:val="32"/>
        </w:rPr>
        <w:t>80%</w:t>
      </w:r>
      <w:r>
        <w:rPr>
          <w:rFonts w:hint="eastAsia" w:ascii="FangSong_GB2312" w:hAnsi="仿宋" w:eastAsia="FangSong_GB2312" w:cs="FangSong_GB2312"/>
          <w:spacing w:val="-6"/>
          <w:sz w:val="32"/>
          <w:szCs w:val="32"/>
        </w:rPr>
        <w:t>（含）以上的，补偿协议生效；签约比例未达到</w:t>
      </w:r>
      <w:r>
        <w:rPr>
          <w:rFonts w:ascii="FangSong_GB2312" w:hAnsi="仿宋" w:eastAsia="FangSong_GB2312" w:cs="FangSong_GB2312"/>
          <w:spacing w:val="-6"/>
          <w:sz w:val="32"/>
          <w:szCs w:val="32"/>
        </w:rPr>
        <w:t>80%</w:t>
      </w:r>
      <w:r>
        <w:rPr>
          <w:rFonts w:hint="eastAsia" w:ascii="FangSong_GB2312" w:hAnsi="仿宋" w:eastAsia="FangSong_GB2312" w:cs="FangSong_GB2312"/>
          <w:spacing w:val="-6"/>
          <w:sz w:val="32"/>
          <w:szCs w:val="32"/>
        </w:rPr>
        <w:t>的，补偿协议不生效，房屋征收决定效力终止。</w:t>
      </w:r>
    </w:p>
    <w:p>
      <w:pPr>
        <w:spacing w:line="540" w:lineRule="exact"/>
        <w:ind w:firstLine="616" w:firstLineChars="200"/>
        <w:rPr>
          <w:rFonts w:ascii="黑体" w:hAnsi="仿宋" w:eastAsia="黑体" w:cs="Times New Roman"/>
          <w:spacing w:val="-6"/>
          <w:sz w:val="32"/>
          <w:szCs w:val="32"/>
        </w:rPr>
      </w:pPr>
      <w:r>
        <w:rPr>
          <w:rFonts w:hint="eastAsia" w:ascii="黑体" w:hAnsi="仿宋" w:eastAsia="黑体" w:cs="黑体"/>
          <w:spacing w:val="-6"/>
          <w:sz w:val="32"/>
          <w:szCs w:val="32"/>
        </w:rPr>
        <w:t>十五、补偿决定和强制执行</w:t>
      </w:r>
    </w:p>
    <w:p>
      <w:pPr>
        <w:spacing w:line="540" w:lineRule="exact"/>
        <w:ind w:firstLine="616" w:firstLineChars="200"/>
        <w:rPr>
          <w:rFonts w:ascii="FangSong_GB2312" w:hAnsi="仿宋" w:eastAsia="FangSong_GB2312" w:cs="Times New Roman"/>
          <w:spacing w:val="-6"/>
          <w:sz w:val="32"/>
          <w:szCs w:val="32"/>
        </w:rPr>
      </w:pPr>
      <w:r>
        <w:rPr>
          <w:rFonts w:hint="eastAsia" w:ascii="FangSong_GB2312" w:hAnsi="仿宋" w:eastAsia="FangSong_GB2312" w:cs="FangSong_GB2312"/>
          <w:spacing w:val="-6"/>
          <w:sz w:val="32"/>
          <w:szCs w:val="32"/>
        </w:rPr>
        <w:t>征收人与被征收人应在规定的签约期限内达成补偿协议。达不成补偿协议的，由市人民政府依法作出补偿决定。被征收人在法定期限内不申请行政复议或者不提起行政诉讼，在补偿决定规定的期限内又不搬迁的，由市人民政府依法申请法院强制执行。</w:t>
      </w:r>
    </w:p>
    <w:p>
      <w:pPr>
        <w:spacing w:line="540" w:lineRule="exact"/>
        <w:ind w:firstLine="619" w:firstLineChars="200"/>
        <w:rPr>
          <w:rFonts w:ascii="FangSong_GB2312" w:hAnsi="仿宋" w:eastAsia="FangSong_GB2312" w:cs="Times New Roman"/>
          <w:b/>
          <w:bCs/>
          <w:spacing w:val="-6"/>
          <w:sz w:val="32"/>
          <w:szCs w:val="32"/>
        </w:rPr>
      </w:pPr>
      <w:r>
        <w:rPr>
          <w:rFonts w:hint="eastAsia" w:ascii="FangSong_GB2312" w:hAnsi="仿宋" w:eastAsia="FangSong_GB2312" w:cs="FangSong_GB2312"/>
          <w:b/>
          <w:bCs/>
          <w:spacing w:val="-6"/>
          <w:sz w:val="32"/>
          <w:szCs w:val="32"/>
        </w:rPr>
        <w:t>由法院强制执行的，不给予房屋征收补助。</w:t>
      </w:r>
    </w:p>
    <w:p>
      <w:pPr>
        <w:spacing w:line="540" w:lineRule="exact"/>
        <w:ind w:firstLine="616" w:firstLineChars="200"/>
        <w:rPr>
          <w:rFonts w:ascii="黑体" w:hAnsi="仿宋" w:eastAsia="黑体" w:cs="Times New Roman"/>
          <w:spacing w:val="-6"/>
          <w:sz w:val="32"/>
          <w:szCs w:val="32"/>
        </w:rPr>
      </w:pPr>
      <w:r>
        <w:rPr>
          <w:rFonts w:hint="eastAsia" w:ascii="黑体" w:hAnsi="仿宋" w:eastAsia="黑体" w:cs="黑体"/>
          <w:spacing w:val="-6"/>
          <w:sz w:val="32"/>
          <w:szCs w:val="32"/>
        </w:rPr>
        <w:t>十六、契税优惠相关规定</w:t>
      </w:r>
    </w:p>
    <w:p>
      <w:pPr>
        <w:spacing w:line="540" w:lineRule="exact"/>
        <w:ind w:firstLine="616" w:firstLineChars="200"/>
        <w:rPr>
          <w:rFonts w:ascii="FangSong_GB2312" w:hAnsi="仿宋" w:eastAsia="FangSong_GB2312" w:cs="Times New Roman"/>
          <w:spacing w:val="-6"/>
          <w:sz w:val="32"/>
          <w:szCs w:val="32"/>
        </w:rPr>
      </w:pPr>
      <w:r>
        <w:rPr>
          <w:rFonts w:hint="eastAsia" w:ascii="FangSong_GB2312" w:hAnsi="仿宋" w:eastAsia="FangSong_GB2312" w:cs="FangSong_GB2312"/>
          <w:spacing w:val="-6"/>
          <w:sz w:val="32"/>
          <w:szCs w:val="32"/>
        </w:rPr>
        <w:t>被征收人在房屋征收补偿协议签订之后在本市范围新购置房屋、产权调换房屋、新受让住宅或商住用地，成交价格未超过被征收房屋补偿价值（含补助）的部分，免征契税；对超过的部分，按国家或浙江省相关规定征收契税。</w:t>
      </w:r>
    </w:p>
    <w:p>
      <w:pPr>
        <w:spacing w:line="540" w:lineRule="exact"/>
        <w:ind w:firstLine="616" w:firstLineChars="200"/>
        <w:rPr>
          <w:rFonts w:ascii="FangSong_GB2312" w:hAnsi="仿宋" w:eastAsia="FangSong_GB2312" w:cs="FangSong_GB2312"/>
          <w:spacing w:val="-6"/>
          <w:sz w:val="32"/>
          <w:szCs w:val="32"/>
        </w:rPr>
      </w:pPr>
      <w:r>
        <w:rPr>
          <w:rFonts w:hint="eastAsia" w:ascii="FangSong_GB2312" w:hAnsi="仿宋" w:eastAsia="FangSong_GB2312" w:cs="FangSong_GB2312"/>
          <w:spacing w:val="-6"/>
          <w:sz w:val="32"/>
          <w:szCs w:val="32"/>
        </w:rPr>
        <w:t>被征收人在房屋征收范围公布之日（2019年11月30日）起，至房屋征收补偿协议签订之前在本市范围内购置房屋、新受让住宅或商住用地的，按照“先征后补”的原则，先按规定缴纳契税，再参照上述规定予以补助。</w:t>
      </w:r>
    </w:p>
    <w:p>
      <w:pPr>
        <w:spacing w:line="540" w:lineRule="exact"/>
        <w:ind w:firstLine="616" w:firstLineChars="200"/>
        <w:rPr>
          <w:rFonts w:ascii="FangSong_GB2312" w:hAnsi="仿宋" w:eastAsia="FangSong_GB2312" w:cs="FangSong_GB2312"/>
          <w:spacing w:val="-6"/>
          <w:sz w:val="32"/>
          <w:szCs w:val="32"/>
        </w:rPr>
      </w:pPr>
      <w:r>
        <w:rPr>
          <w:rFonts w:hint="eastAsia" w:ascii="FangSong_GB2312" w:hAnsi="仿宋" w:eastAsia="FangSong_GB2312" w:cs="FangSong_GB2312"/>
          <w:spacing w:val="-6"/>
          <w:sz w:val="32"/>
          <w:szCs w:val="32"/>
        </w:rPr>
        <w:t>上述购置房屋日期以经备案的合同日期为准，新受让住宅或商住用地的日期以签订出让合同日期为准。</w:t>
      </w:r>
    </w:p>
    <w:p>
      <w:pPr>
        <w:spacing w:line="540" w:lineRule="exact"/>
        <w:ind w:firstLine="616" w:firstLineChars="200"/>
        <w:rPr>
          <w:rFonts w:ascii="黑体" w:hAnsi="仿宋" w:eastAsia="黑体" w:cs="Times New Roman"/>
          <w:spacing w:val="-6"/>
          <w:sz w:val="32"/>
          <w:szCs w:val="32"/>
        </w:rPr>
      </w:pPr>
      <w:r>
        <w:rPr>
          <w:rFonts w:hint="eastAsia" w:ascii="黑体" w:hAnsi="仿宋" w:eastAsia="黑体" w:cs="黑体"/>
          <w:spacing w:val="-6"/>
          <w:sz w:val="32"/>
          <w:szCs w:val="32"/>
        </w:rPr>
        <w:t>十七、土地类型差价及改变用途房屋评估的相关规定</w:t>
      </w:r>
    </w:p>
    <w:p>
      <w:pPr>
        <w:spacing w:line="540" w:lineRule="exact"/>
        <w:ind w:firstLine="616" w:firstLineChars="200"/>
        <w:rPr>
          <w:rFonts w:ascii="FangSong_GB2312" w:hAnsi="仿宋" w:eastAsia="FangSong_GB2312" w:cs="Times New Roman"/>
          <w:spacing w:val="-6"/>
          <w:sz w:val="32"/>
          <w:szCs w:val="32"/>
        </w:rPr>
      </w:pPr>
      <w:r>
        <w:rPr>
          <w:rFonts w:hint="eastAsia" w:ascii="FangSong_GB2312" w:hAnsi="仿宋" w:eastAsia="FangSong_GB2312" w:cs="FangSong_GB2312"/>
          <w:spacing w:val="-6"/>
          <w:sz w:val="32"/>
          <w:szCs w:val="32"/>
        </w:rPr>
        <w:t>对征收范围内国有划拨土地上房屋进行评估时，需在按国有出让评估得出的价格基础上扣减相应的土地类型差价。扣减差价的优惠规定为：个人所有的房屋，差价按义乌市政府</w:t>
      </w:r>
      <w:r>
        <w:rPr>
          <w:rFonts w:ascii="FangSong_GB2312" w:hAnsi="仿宋" w:eastAsia="FangSong_GB2312" w:cs="FangSong_GB2312"/>
          <w:spacing w:val="-6"/>
          <w:sz w:val="32"/>
          <w:szCs w:val="32"/>
        </w:rPr>
        <w:t>6</w:t>
      </w:r>
      <w:r>
        <w:rPr>
          <w:rFonts w:hint="eastAsia" w:ascii="FangSong_GB2312" w:hAnsi="仿宋" w:eastAsia="FangSong_GB2312" w:cs="FangSong_GB2312"/>
          <w:spacing w:val="-6"/>
          <w:sz w:val="32"/>
          <w:szCs w:val="32"/>
        </w:rPr>
        <w:t>号令（</w:t>
      </w:r>
      <w:r>
        <w:rPr>
          <w:rFonts w:ascii="FangSong_GB2312" w:hAnsi="仿宋" w:eastAsia="FangSong_GB2312" w:cs="FangSong_GB2312"/>
          <w:spacing w:val="-6"/>
          <w:sz w:val="32"/>
          <w:szCs w:val="32"/>
        </w:rPr>
        <w:t>2003</w:t>
      </w:r>
      <w:r>
        <w:rPr>
          <w:rFonts w:hint="eastAsia" w:ascii="FangSong_GB2312" w:hAnsi="仿宋" w:eastAsia="FangSong_GB2312" w:cs="FangSong_GB2312"/>
          <w:spacing w:val="-6"/>
          <w:sz w:val="32"/>
          <w:szCs w:val="32"/>
        </w:rPr>
        <w:t>年）规定的缴纳土地出让金额度的</w:t>
      </w:r>
      <w:r>
        <w:rPr>
          <w:rFonts w:ascii="FangSong_GB2312" w:hAnsi="仿宋" w:eastAsia="FangSong_GB2312" w:cs="FangSong_GB2312"/>
          <w:spacing w:val="-6"/>
          <w:sz w:val="32"/>
          <w:szCs w:val="32"/>
        </w:rPr>
        <w:t>30%</w:t>
      </w:r>
      <w:r>
        <w:rPr>
          <w:rFonts w:hint="eastAsia" w:ascii="FangSong_GB2312" w:hAnsi="仿宋" w:eastAsia="FangSong_GB2312" w:cs="FangSong_GB2312"/>
          <w:spacing w:val="-6"/>
          <w:sz w:val="32"/>
          <w:szCs w:val="32"/>
        </w:rPr>
        <w:t>（即标定地价的</w:t>
      </w:r>
      <w:r>
        <w:rPr>
          <w:rFonts w:ascii="FangSong_GB2312" w:hAnsi="仿宋" w:eastAsia="FangSong_GB2312" w:cs="FangSong_GB2312"/>
          <w:spacing w:val="-6"/>
          <w:sz w:val="32"/>
          <w:szCs w:val="32"/>
        </w:rPr>
        <w:t>12%</w:t>
      </w:r>
      <w:r>
        <w:rPr>
          <w:rFonts w:hint="eastAsia" w:ascii="FangSong_GB2312" w:hAnsi="仿宋" w:eastAsia="FangSong_GB2312" w:cs="FangSong_GB2312"/>
          <w:spacing w:val="-6"/>
          <w:sz w:val="32"/>
          <w:szCs w:val="32"/>
        </w:rPr>
        <w:t>）计算；单位所有的房屋，差价按义乌市政府</w:t>
      </w:r>
      <w:r>
        <w:rPr>
          <w:rFonts w:ascii="FangSong_GB2312" w:hAnsi="仿宋" w:eastAsia="FangSong_GB2312" w:cs="FangSong_GB2312"/>
          <w:spacing w:val="-6"/>
          <w:sz w:val="32"/>
          <w:szCs w:val="32"/>
        </w:rPr>
        <w:t>6</w:t>
      </w:r>
      <w:r>
        <w:rPr>
          <w:rFonts w:hint="eastAsia" w:ascii="FangSong_GB2312" w:hAnsi="仿宋" w:eastAsia="FangSong_GB2312" w:cs="FangSong_GB2312"/>
          <w:spacing w:val="-6"/>
          <w:sz w:val="32"/>
          <w:szCs w:val="32"/>
        </w:rPr>
        <w:t>号令（</w:t>
      </w:r>
      <w:r>
        <w:rPr>
          <w:rFonts w:ascii="FangSong_GB2312" w:hAnsi="仿宋" w:eastAsia="FangSong_GB2312" w:cs="FangSong_GB2312"/>
          <w:spacing w:val="-6"/>
          <w:sz w:val="32"/>
          <w:szCs w:val="32"/>
        </w:rPr>
        <w:t>2003</w:t>
      </w:r>
      <w:r>
        <w:rPr>
          <w:rFonts w:hint="eastAsia" w:ascii="FangSong_GB2312" w:hAnsi="仿宋" w:eastAsia="FangSong_GB2312" w:cs="FangSong_GB2312"/>
          <w:spacing w:val="-6"/>
          <w:sz w:val="32"/>
          <w:szCs w:val="32"/>
        </w:rPr>
        <w:t>年）规定的补交土地出让金额度计算。</w:t>
      </w:r>
    </w:p>
    <w:p>
      <w:pPr>
        <w:spacing w:line="540" w:lineRule="exact"/>
        <w:ind w:firstLine="592" w:firstLineChars="200"/>
        <w:rPr>
          <w:rFonts w:ascii="FangSong_GB2312" w:hAnsi="仿宋" w:eastAsia="FangSong_GB2312" w:cs="Times New Roman"/>
          <w:spacing w:val="-12"/>
          <w:sz w:val="32"/>
          <w:szCs w:val="32"/>
        </w:rPr>
      </w:pPr>
      <w:r>
        <w:rPr>
          <w:rFonts w:hint="eastAsia" w:ascii="FangSong_GB2312" w:hAnsi="仿宋" w:eastAsia="FangSong_GB2312" w:cs="FangSong_GB2312"/>
          <w:spacing w:val="-12"/>
          <w:sz w:val="32"/>
          <w:szCs w:val="32"/>
        </w:rPr>
        <w:t>对以优惠价格取得的国有出让土地上个人所有的房屋进行评估时，需在按国有出让评估得出的价格基础上，扣减原出让合同约定的优惠部分。</w:t>
      </w:r>
    </w:p>
    <w:p>
      <w:pPr>
        <w:spacing w:line="540" w:lineRule="exact"/>
        <w:ind w:firstLine="616" w:firstLineChars="200"/>
        <w:rPr>
          <w:rFonts w:ascii="FangSong_GB2312" w:hAnsi="仿宋" w:eastAsia="FangSong_GB2312" w:cs="Times New Roman"/>
          <w:spacing w:val="-6"/>
          <w:sz w:val="32"/>
          <w:szCs w:val="32"/>
        </w:rPr>
      </w:pPr>
      <w:r>
        <w:rPr>
          <w:rFonts w:hint="eastAsia" w:ascii="FangSong_GB2312" w:hAnsi="仿宋" w:eastAsia="FangSong_GB2312" w:cs="FangSong_GB2312"/>
          <w:spacing w:val="-6"/>
          <w:sz w:val="32"/>
          <w:szCs w:val="32"/>
        </w:rPr>
        <w:t>对经审批或认定为改变用途，按改变后用途确定补偿标准的，评估时应扣减相应的土地收益金。</w:t>
      </w:r>
    </w:p>
    <w:p>
      <w:pPr>
        <w:spacing w:line="540" w:lineRule="exact"/>
        <w:ind w:firstLine="616" w:firstLineChars="200"/>
        <w:rPr>
          <w:rFonts w:ascii="黑体" w:hAnsi="仿宋" w:eastAsia="黑体" w:cs="Times New Roman"/>
          <w:spacing w:val="-6"/>
          <w:sz w:val="32"/>
          <w:szCs w:val="32"/>
        </w:rPr>
      </w:pPr>
      <w:r>
        <w:rPr>
          <w:rFonts w:hint="eastAsia" w:ascii="黑体" w:hAnsi="仿宋" w:eastAsia="黑体" w:cs="黑体"/>
          <w:spacing w:val="-6"/>
          <w:sz w:val="32"/>
          <w:szCs w:val="32"/>
        </w:rPr>
        <w:t>十八、其它事项</w:t>
      </w:r>
    </w:p>
    <w:p>
      <w:pPr>
        <w:spacing w:line="540" w:lineRule="exact"/>
        <w:ind w:firstLine="616" w:firstLineChars="200"/>
        <w:rPr>
          <w:rFonts w:ascii="FangSong_GB2312" w:hAnsi="仿宋" w:eastAsia="FangSong_GB2312" w:cs="Times New Roman"/>
          <w:spacing w:val="-6"/>
          <w:sz w:val="32"/>
          <w:szCs w:val="32"/>
        </w:rPr>
      </w:pPr>
      <w:r>
        <w:rPr>
          <w:rFonts w:hint="eastAsia" w:ascii="FangSong_GB2312" w:hAnsi="仿宋" w:eastAsia="FangSong_GB2312" w:cs="FangSong_GB2312"/>
          <w:spacing w:val="-6"/>
          <w:sz w:val="32"/>
          <w:szCs w:val="32"/>
        </w:rPr>
        <w:t>（一）本方案中的“户”以被征收人合法有效的房屋产权证或者经调查、认定出具的产权认定书计户。</w:t>
      </w:r>
    </w:p>
    <w:p>
      <w:pPr>
        <w:spacing w:line="540" w:lineRule="exact"/>
        <w:ind w:firstLine="600" w:firstLineChars="200"/>
        <w:rPr>
          <w:rFonts w:ascii="FangSong_GB2312" w:hAnsi="仿宋" w:eastAsia="FangSong_GB2312" w:cs="Times New Roman"/>
          <w:spacing w:val="-10"/>
          <w:sz w:val="32"/>
          <w:szCs w:val="32"/>
        </w:rPr>
      </w:pPr>
      <w:r>
        <w:rPr>
          <w:rFonts w:hint="eastAsia" w:ascii="FangSong_GB2312" w:hAnsi="仿宋" w:eastAsia="FangSong_GB2312" w:cs="FangSong_GB2312"/>
          <w:spacing w:val="-10"/>
          <w:sz w:val="32"/>
          <w:szCs w:val="32"/>
        </w:rPr>
        <w:t>（二）被征收人在签订协议时，应提供身份证、户口簿、被征收房屋权属证书、土地使用证、工商营业执照、税务登记证明等证明文件，并提交原权属登记证书注销申请书和委托书。</w:t>
      </w:r>
    </w:p>
    <w:p>
      <w:pPr>
        <w:spacing w:line="540" w:lineRule="exact"/>
        <w:ind w:firstLine="616" w:firstLineChars="200"/>
        <w:rPr>
          <w:rFonts w:ascii="FangSong_GB2312" w:hAnsi="仿宋" w:eastAsia="FangSong_GB2312" w:cs="FangSong_GB2312"/>
          <w:spacing w:val="-6"/>
          <w:sz w:val="32"/>
          <w:szCs w:val="32"/>
        </w:rPr>
      </w:pPr>
      <w:r>
        <w:rPr>
          <w:rFonts w:hint="eastAsia" w:ascii="FangSong_GB2312" w:hAnsi="仿宋" w:eastAsia="FangSong_GB2312" w:cs="FangSong_GB2312"/>
          <w:spacing w:val="-6"/>
          <w:sz w:val="32"/>
          <w:szCs w:val="32"/>
        </w:rPr>
        <w:t>（三）被征收人应当在规定期限内签订协议、搬迁完毕及办理房屋腾空移交手续，并将被征收房屋交给房屋征收部门验收接管。被征收人在搬迁时应向水电等相关部门缴清费用。</w:t>
      </w:r>
    </w:p>
    <w:p>
      <w:pPr>
        <w:spacing w:line="540" w:lineRule="exact"/>
        <w:ind w:firstLine="616" w:firstLineChars="200"/>
        <w:rPr>
          <w:rFonts w:ascii="FangSong_GB2312" w:hAnsi="仿宋" w:eastAsia="FangSong_GB2312" w:cs="FangSong_GB2312"/>
          <w:spacing w:val="-6"/>
          <w:sz w:val="32"/>
          <w:szCs w:val="32"/>
        </w:rPr>
      </w:pPr>
      <w:r>
        <w:rPr>
          <w:rFonts w:hint="eastAsia" w:ascii="FangSong_GB2312" w:hAnsi="仿宋" w:eastAsia="FangSong_GB2312" w:cs="FangSong_GB2312"/>
          <w:spacing w:val="-6"/>
          <w:sz w:val="32"/>
          <w:szCs w:val="32"/>
        </w:rPr>
        <w:t>（四）征收公有房屋和非独资国有企业所有的房屋，其补偿标准按市政府有关规定执行。</w:t>
      </w:r>
    </w:p>
    <w:p>
      <w:pPr>
        <w:spacing w:line="540" w:lineRule="exact"/>
        <w:ind w:firstLine="616" w:firstLineChars="200"/>
        <w:rPr>
          <w:rFonts w:ascii="FangSong_GB2312" w:hAnsi="仿宋" w:eastAsia="FangSong_GB2312" w:cs="FangSong_GB2312"/>
          <w:spacing w:val="-6"/>
          <w:sz w:val="32"/>
          <w:szCs w:val="32"/>
        </w:rPr>
      </w:pPr>
      <w:r>
        <w:rPr>
          <w:rFonts w:hint="eastAsia" w:ascii="FangSong_GB2312" w:hAnsi="仿宋" w:eastAsia="FangSong_GB2312" w:cs="FangSong_GB2312"/>
          <w:spacing w:val="-6"/>
          <w:sz w:val="32"/>
          <w:szCs w:val="32"/>
        </w:rPr>
        <w:t>（五）未尽事宜和其他特殊情形，由房屋征收部门会同相关部门根据依法依规、科学合理的原则另行确定。</w:t>
      </w:r>
    </w:p>
    <w:p>
      <w:pPr>
        <w:spacing w:line="540" w:lineRule="exact"/>
        <w:ind w:firstLine="616" w:firstLineChars="200"/>
        <w:rPr>
          <w:rFonts w:ascii="FangSong_GB2312" w:hAnsi="仿宋" w:eastAsia="FangSong_GB2312" w:cs="FangSong_GB2312"/>
          <w:spacing w:val="-6"/>
          <w:sz w:val="32"/>
          <w:szCs w:val="32"/>
        </w:rPr>
      </w:pPr>
    </w:p>
    <w:p>
      <w:pPr>
        <w:widowControl/>
        <w:spacing w:line="540" w:lineRule="exact"/>
        <w:jc w:val="left"/>
        <w:rPr>
          <w:rFonts w:ascii="FangSong_GB2312" w:hAnsi="仿宋" w:eastAsia="FangSong_GB2312" w:cs="FangSong_GB2312"/>
          <w:spacing w:val="-6"/>
          <w:sz w:val="32"/>
          <w:szCs w:val="32"/>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widowControl/>
        <w:spacing w:line="580" w:lineRule="exact"/>
        <w:jc w:val="left"/>
        <w:rPr>
          <w:rFonts w:ascii="黑体" w:hAnsi="仿宋" w:eastAsia="黑体" w:cs="黑体"/>
          <w:spacing w:val="-6"/>
          <w:sz w:val="32"/>
          <w:szCs w:val="32"/>
        </w:rPr>
      </w:pPr>
      <w:r>
        <w:rPr>
          <w:rFonts w:hint="eastAsia" w:ascii="黑体" w:hAnsi="仿宋" w:eastAsia="黑体" w:cs="黑体"/>
          <w:spacing w:val="-6"/>
          <w:sz w:val="32"/>
          <w:szCs w:val="32"/>
        </w:rPr>
        <w:t>附件</w:t>
      </w:r>
    </w:p>
    <w:p>
      <w:pPr>
        <w:widowControl/>
        <w:spacing w:line="580" w:lineRule="exact"/>
        <w:jc w:val="center"/>
        <w:rPr>
          <w:rFonts w:ascii="方正小标宋简体" w:hAnsi="方正小标宋简体" w:eastAsia="方正小标宋简体" w:cs="方正小标宋简体"/>
          <w:spacing w:val="-6"/>
          <w:sz w:val="44"/>
          <w:szCs w:val="44"/>
        </w:rPr>
      </w:pPr>
      <w:r>
        <w:rPr>
          <w:rFonts w:hint="eastAsia" w:ascii="方正小标宋简体" w:hAnsi="方正小标宋简体" w:eastAsia="方正小标宋简体" w:cs="方正小标宋简体"/>
          <w:spacing w:val="-6"/>
          <w:sz w:val="44"/>
          <w:szCs w:val="44"/>
        </w:rPr>
        <w:t>房地产预评估标准价</w:t>
      </w:r>
    </w:p>
    <w:p>
      <w:pPr>
        <w:widowControl/>
        <w:spacing w:line="580" w:lineRule="exact"/>
        <w:jc w:val="center"/>
        <w:rPr>
          <w:rFonts w:ascii="方正小标宋简体" w:hAnsi="方正小标宋简体" w:eastAsia="方正小标宋简体" w:cs="方正小标宋简体"/>
          <w:spacing w:val="-6"/>
          <w:sz w:val="44"/>
          <w:szCs w:val="44"/>
        </w:rPr>
      </w:pPr>
    </w:p>
    <w:p>
      <w:pPr>
        <w:spacing w:line="580" w:lineRule="exact"/>
        <w:rPr>
          <w:rFonts w:ascii="黑体" w:hAnsi="仿宋" w:eastAsia="黑体" w:cs="Times New Roman"/>
          <w:spacing w:val="-6"/>
          <w:sz w:val="32"/>
          <w:szCs w:val="32"/>
        </w:rPr>
      </w:pPr>
      <w:r>
        <w:rPr>
          <w:rFonts w:hint="eastAsia" w:ascii="黑体" w:hAnsi="仿宋" w:eastAsia="黑体" w:cs="黑体"/>
          <w:spacing w:val="-6"/>
          <w:sz w:val="32"/>
          <w:szCs w:val="32"/>
        </w:rPr>
        <w:t>一、被征收房地产标准价</w:t>
      </w:r>
    </w:p>
    <w:p>
      <w:pPr>
        <w:spacing w:line="580" w:lineRule="exact"/>
        <w:rPr>
          <w:rFonts w:ascii="FangSong_GB2312" w:hAnsi="仿宋" w:eastAsia="FangSong_GB2312" w:cs="FangSong_GB2312"/>
          <w:spacing w:val="-6"/>
          <w:sz w:val="32"/>
          <w:szCs w:val="32"/>
        </w:rPr>
      </w:pPr>
      <w:r>
        <w:rPr>
          <w:rFonts w:hint="eastAsia" w:ascii="FangSong_GB2312" w:hAnsi="仿宋" w:eastAsia="FangSong_GB2312" w:cs="FangSong_GB2312"/>
          <w:spacing w:val="-6"/>
          <w:sz w:val="32"/>
          <w:szCs w:val="32"/>
        </w:rPr>
        <w:t>（一）自然成套水平套房标准价为：16800-18600元/平方米。</w:t>
      </w:r>
    </w:p>
    <w:p>
      <w:pPr>
        <w:spacing w:line="580" w:lineRule="exact"/>
        <w:rPr>
          <w:rFonts w:ascii="FangSong_GB2312" w:hAnsi="仿宋" w:eastAsia="FangSong_GB2312" w:cs="FangSong_GB2312"/>
          <w:spacing w:val="-6"/>
          <w:sz w:val="32"/>
          <w:szCs w:val="32"/>
        </w:rPr>
      </w:pPr>
      <w:r>
        <w:rPr>
          <w:rFonts w:hint="eastAsia" w:ascii="FangSong_GB2312" w:hAnsi="仿宋" w:eastAsia="FangSong_GB2312" w:cs="FangSong_GB2312"/>
          <w:spacing w:val="-6"/>
          <w:sz w:val="32"/>
          <w:szCs w:val="32"/>
        </w:rPr>
        <w:t>（二）住宅垂直房的合法建筑占地土地标准价：（元/平方米）</w:t>
      </w:r>
    </w:p>
    <w:tbl>
      <w:tblPr>
        <w:tblStyle w:val="5"/>
        <w:tblW w:w="7491" w:type="dxa"/>
        <w:jc w:val="center"/>
        <w:tblInd w:w="0" w:type="dxa"/>
        <w:tblLayout w:type="fixed"/>
        <w:tblCellMar>
          <w:top w:w="15" w:type="dxa"/>
          <w:left w:w="15" w:type="dxa"/>
          <w:bottom w:w="15" w:type="dxa"/>
          <w:right w:w="15" w:type="dxa"/>
        </w:tblCellMar>
      </w:tblPr>
      <w:tblGrid>
        <w:gridCol w:w="1673"/>
        <w:gridCol w:w="1178"/>
        <w:gridCol w:w="1160"/>
        <w:gridCol w:w="1160"/>
        <w:gridCol w:w="1160"/>
        <w:gridCol w:w="1160"/>
      </w:tblGrid>
      <w:tr>
        <w:tblPrEx>
          <w:tblLayout w:type="fixed"/>
          <w:tblCellMar>
            <w:top w:w="15" w:type="dxa"/>
            <w:left w:w="15" w:type="dxa"/>
            <w:bottom w:w="15" w:type="dxa"/>
            <w:right w:w="15" w:type="dxa"/>
          </w:tblCellMar>
        </w:tblPrEx>
        <w:trPr>
          <w:trHeight w:val="417" w:hRule="atLeast"/>
          <w:jc w:val="center"/>
        </w:trPr>
        <w:tc>
          <w:tcPr>
            <w:tcW w:w="167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黑体"/>
                <w:spacing w:val="-6"/>
                <w:sz w:val="24"/>
                <w:szCs w:val="24"/>
              </w:rPr>
            </w:pPr>
            <w:r>
              <w:rPr>
                <w:rFonts w:hint="eastAsia" w:ascii="黑体" w:hAnsi="黑体" w:eastAsia="黑体" w:cs="黑体"/>
                <w:spacing w:val="-6"/>
                <w:sz w:val="24"/>
                <w:szCs w:val="24"/>
              </w:rPr>
              <w:t>层 数</w:t>
            </w:r>
          </w:p>
        </w:tc>
        <w:tc>
          <w:tcPr>
            <w:tcW w:w="117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黑体"/>
                <w:spacing w:val="-6"/>
                <w:sz w:val="24"/>
                <w:szCs w:val="24"/>
              </w:rPr>
            </w:pPr>
            <w:r>
              <w:rPr>
                <w:rFonts w:hint="eastAsia" w:ascii="黑体" w:hAnsi="黑体" w:eastAsia="黑体" w:cs="黑体"/>
                <w:spacing w:val="-6"/>
                <w:sz w:val="24"/>
                <w:szCs w:val="24"/>
              </w:rPr>
              <w:t>价格</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黑体"/>
                <w:spacing w:val="-6"/>
                <w:sz w:val="24"/>
                <w:szCs w:val="24"/>
              </w:rPr>
            </w:pPr>
            <w:r>
              <w:rPr>
                <w:rFonts w:hint="eastAsia" w:ascii="黑体" w:hAnsi="黑体" w:eastAsia="黑体" w:cs="黑体"/>
                <w:spacing w:val="-6"/>
                <w:sz w:val="24"/>
                <w:szCs w:val="24"/>
              </w:rPr>
              <w:t>层 数</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黑体"/>
                <w:spacing w:val="-6"/>
                <w:sz w:val="24"/>
                <w:szCs w:val="24"/>
              </w:rPr>
            </w:pPr>
            <w:r>
              <w:rPr>
                <w:rFonts w:hint="eastAsia" w:ascii="黑体" w:hAnsi="黑体" w:eastAsia="黑体" w:cs="黑体"/>
                <w:spacing w:val="-6"/>
                <w:sz w:val="24"/>
                <w:szCs w:val="24"/>
              </w:rPr>
              <w:t>价格</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黑体"/>
                <w:spacing w:val="-6"/>
                <w:sz w:val="24"/>
                <w:szCs w:val="24"/>
              </w:rPr>
            </w:pPr>
            <w:r>
              <w:rPr>
                <w:rFonts w:hint="eastAsia" w:ascii="黑体" w:hAnsi="黑体" w:eastAsia="黑体" w:cs="黑体"/>
                <w:spacing w:val="-6"/>
                <w:sz w:val="24"/>
                <w:szCs w:val="24"/>
              </w:rPr>
              <w:t>层 数</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黑体"/>
                <w:spacing w:val="-6"/>
                <w:sz w:val="24"/>
                <w:szCs w:val="24"/>
              </w:rPr>
            </w:pPr>
            <w:r>
              <w:rPr>
                <w:rFonts w:hint="eastAsia" w:ascii="黑体" w:hAnsi="黑体" w:eastAsia="黑体" w:cs="黑体"/>
                <w:spacing w:val="-6"/>
                <w:sz w:val="24"/>
                <w:szCs w:val="24"/>
              </w:rPr>
              <w:t>价格</w:t>
            </w:r>
          </w:p>
        </w:tc>
      </w:tr>
      <w:tr>
        <w:tblPrEx>
          <w:tblLayout w:type="fixed"/>
          <w:tblCellMar>
            <w:top w:w="15" w:type="dxa"/>
            <w:left w:w="15" w:type="dxa"/>
            <w:bottom w:w="15" w:type="dxa"/>
            <w:right w:w="15" w:type="dxa"/>
          </w:tblCellMar>
        </w:tblPrEx>
        <w:trPr>
          <w:trHeight w:val="453" w:hRule="atLeast"/>
          <w:jc w:val="center"/>
        </w:trPr>
        <w:tc>
          <w:tcPr>
            <w:tcW w:w="167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FangSong_GB2312" w:hAnsi="仿宋" w:eastAsia="FangSong_GB2312" w:cs="FangSong_GB2312"/>
                <w:spacing w:val="-6"/>
                <w:sz w:val="24"/>
                <w:szCs w:val="24"/>
              </w:rPr>
            </w:pPr>
            <w:r>
              <w:rPr>
                <w:rFonts w:hint="eastAsia" w:ascii="黑体" w:hAnsi="黑体" w:eastAsia="黑体" w:cs="黑体"/>
                <w:spacing w:val="-6"/>
                <w:sz w:val="24"/>
                <w:szCs w:val="24"/>
              </w:rPr>
              <w:t>1-3层</w:t>
            </w:r>
          </w:p>
        </w:tc>
        <w:tc>
          <w:tcPr>
            <w:tcW w:w="117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FangSong_GB2312" w:hAnsi="仿宋" w:eastAsia="FangSong_GB2312" w:cs="FangSong_GB2312"/>
                <w:spacing w:val="-6"/>
                <w:sz w:val="24"/>
                <w:szCs w:val="24"/>
              </w:rPr>
            </w:pPr>
            <w:r>
              <w:rPr>
                <w:rFonts w:hint="eastAsia" w:ascii="FangSong_GB2312" w:hAnsi="仿宋" w:eastAsia="FangSong_GB2312" w:cs="FangSong_GB2312"/>
                <w:spacing w:val="-6"/>
                <w:sz w:val="24"/>
                <w:szCs w:val="24"/>
              </w:rPr>
              <w:t>54500</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FangSong_GB2312" w:hAnsi="仿宋" w:eastAsia="FangSong_GB2312" w:cs="FangSong_GB2312"/>
                <w:spacing w:val="-6"/>
                <w:sz w:val="24"/>
                <w:szCs w:val="24"/>
              </w:rPr>
            </w:pPr>
            <w:r>
              <w:rPr>
                <w:rFonts w:hint="eastAsia" w:ascii="黑体" w:hAnsi="黑体" w:eastAsia="黑体" w:cs="黑体"/>
                <w:spacing w:val="-6"/>
                <w:sz w:val="24"/>
                <w:szCs w:val="24"/>
              </w:rPr>
              <w:t>4层</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FangSong_GB2312" w:hAnsi="仿宋" w:eastAsia="FangSong_GB2312" w:cs="FangSong_GB2312"/>
                <w:spacing w:val="-6"/>
                <w:sz w:val="24"/>
                <w:szCs w:val="24"/>
              </w:rPr>
            </w:pPr>
            <w:r>
              <w:rPr>
                <w:rFonts w:hint="eastAsia" w:ascii="FangSong_GB2312" w:hAnsi="仿宋" w:eastAsia="FangSong_GB2312" w:cs="FangSong_GB2312"/>
                <w:spacing w:val="-6"/>
                <w:sz w:val="24"/>
                <w:szCs w:val="24"/>
              </w:rPr>
              <w:t>56500</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FangSong_GB2312" w:hAnsi="仿宋" w:eastAsia="FangSong_GB2312" w:cs="FangSong_GB2312"/>
                <w:spacing w:val="-6"/>
                <w:sz w:val="24"/>
                <w:szCs w:val="24"/>
              </w:rPr>
            </w:pPr>
            <w:r>
              <w:rPr>
                <w:rFonts w:hint="eastAsia" w:ascii="黑体" w:hAnsi="黑体" w:eastAsia="黑体" w:cs="黑体"/>
                <w:spacing w:val="-6"/>
                <w:sz w:val="24"/>
                <w:szCs w:val="24"/>
              </w:rPr>
              <w:t>5层</w:t>
            </w:r>
          </w:p>
        </w:tc>
        <w:tc>
          <w:tcPr>
            <w:tcW w:w="11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FangSong_GB2312" w:hAnsi="仿宋" w:eastAsia="FangSong_GB2312" w:cs="FangSong_GB2312"/>
                <w:spacing w:val="-6"/>
                <w:sz w:val="24"/>
                <w:szCs w:val="24"/>
              </w:rPr>
            </w:pPr>
            <w:r>
              <w:rPr>
                <w:rFonts w:hint="eastAsia" w:ascii="FangSong_GB2312" w:hAnsi="仿宋" w:eastAsia="FangSong_GB2312" w:cs="FangSong_GB2312"/>
                <w:spacing w:val="-6"/>
                <w:sz w:val="24"/>
                <w:szCs w:val="24"/>
              </w:rPr>
              <w:t>58500</w:t>
            </w:r>
          </w:p>
        </w:tc>
      </w:tr>
    </w:tbl>
    <w:p>
      <w:pPr>
        <w:spacing w:line="580" w:lineRule="exact"/>
        <w:ind w:firstLine="616" w:firstLineChars="200"/>
        <w:rPr>
          <w:rFonts w:ascii="FangSong_GB2312" w:hAnsi="仿宋" w:eastAsia="FangSong_GB2312" w:cs="FangSong_GB2312"/>
          <w:spacing w:val="-6"/>
          <w:sz w:val="32"/>
          <w:szCs w:val="32"/>
        </w:rPr>
      </w:pPr>
      <w:r>
        <w:rPr>
          <w:rFonts w:hint="eastAsia" w:ascii="FangSong_GB2312" w:hAnsi="仿宋" w:eastAsia="FangSong_GB2312" w:cs="FangSong_GB2312"/>
          <w:spacing w:val="-6"/>
          <w:sz w:val="32"/>
          <w:szCs w:val="32"/>
        </w:rPr>
        <w:t>地上总层数以权属证书或登记簿记载的层数为准。未经登记但经认定为合法建筑的房屋，以认定的层数为准。单独楼梯间不计层数。</w:t>
      </w:r>
    </w:p>
    <w:p>
      <w:pPr>
        <w:spacing w:line="580" w:lineRule="exact"/>
        <w:rPr>
          <w:rFonts w:ascii="FangSong_GB2312" w:hAnsi="仿宋" w:eastAsia="FangSong_GB2312" w:cs="FangSong_GB2312"/>
          <w:spacing w:val="-6"/>
          <w:sz w:val="32"/>
          <w:szCs w:val="32"/>
        </w:rPr>
      </w:pPr>
      <w:r>
        <w:rPr>
          <w:rFonts w:hint="eastAsia" w:ascii="FangSong_GB2312" w:hAnsi="仿宋" w:eastAsia="FangSong_GB2312" w:cs="FangSong_GB2312"/>
          <w:spacing w:val="-6"/>
          <w:sz w:val="32"/>
          <w:szCs w:val="32"/>
        </w:rPr>
        <w:t>（三）</w:t>
      </w:r>
      <w:r>
        <w:rPr>
          <w:rFonts w:hint="eastAsia" w:ascii="FangSong_GB2312" w:hAnsi="仿宋" w:eastAsia="FangSong_GB2312" w:cs="FangSong_GB2312"/>
          <w:b/>
          <w:bCs/>
          <w:spacing w:val="-6"/>
          <w:sz w:val="32"/>
          <w:szCs w:val="32"/>
        </w:rPr>
        <w:t>商业、办公及工业用房、水平分割房</w:t>
      </w:r>
      <w:r>
        <w:rPr>
          <w:rFonts w:hint="eastAsia" w:ascii="FangSong_GB2312" w:hAnsi="仿宋" w:eastAsia="FangSong_GB2312" w:cs="FangSong_GB2312"/>
          <w:spacing w:val="-6"/>
          <w:sz w:val="32"/>
          <w:szCs w:val="32"/>
        </w:rPr>
        <w:t>等因情况复杂，不进行预评估。</w:t>
      </w:r>
    </w:p>
    <w:p>
      <w:pPr>
        <w:spacing w:line="580" w:lineRule="exact"/>
        <w:rPr>
          <w:rFonts w:ascii="黑体" w:hAnsi="仿宋" w:eastAsia="黑体" w:cs="Times New Roman"/>
          <w:spacing w:val="-6"/>
          <w:sz w:val="32"/>
          <w:szCs w:val="32"/>
        </w:rPr>
      </w:pPr>
      <w:r>
        <w:rPr>
          <w:rFonts w:hint="eastAsia" w:ascii="黑体" w:hAnsi="仿宋" w:eastAsia="黑体" w:cs="黑体"/>
          <w:spacing w:val="-6"/>
          <w:sz w:val="32"/>
          <w:szCs w:val="32"/>
        </w:rPr>
        <w:t>二、产权调换住宅房屋标准价</w:t>
      </w:r>
      <w:r>
        <w:rPr>
          <w:rFonts w:hint="eastAsia" w:ascii="FangSong_GB2312" w:hAnsi="仿宋" w:eastAsia="FangSong_GB2312" w:cs="FangSong_GB2312"/>
          <w:spacing w:val="-6"/>
          <w:sz w:val="32"/>
          <w:szCs w:val="32"/>
        </w:rPr>
        <w:t>（元/平方米）</w:t>
      </w:r>
    </w:p>
    <w:tbl>
      <w:tblPr>
        <w:tblStyle w:val="5"/>
        <w:tblW w:w="7651" w:type="dxa"/>
        <w:jc w:val="center"/>
        <w:tblInd w:w="0" w:type="dxa"/>
        <w:tblLayout w:type="fixed"/>
        <w:tblCellMar>
          <w:top w:w="15" w:type="dxa"/>
          <w:left w:w="15" w:type="dxa"/>
          <w:bottom w:w="15" w:type="dxa"/>
          <w:right w:w="15" w:type="dxa"/>
        </w:tblCellMar>
      </w:tblPr>
      <w:tblGrid>
        <w:gridCol w:w="1621"/>
        <w:gridCol w:w="1033"/>
        <w:gridCol w:w="1367"/>
        <w:gridCol w:w="1005"/>
        <w:gridCol w:w="1485"/>
        <w:gridCol w:w="1140"/>
      </w:tblGrid>
      <w:tr>
        <w:tblPrEx>
          <w:tblLayout w:type="fixed"/>
          <w:tblCellMar>
            <w:top w:w="15" w:type="dxa"/>
            <w:left w:w="15" w:type="dxa"/>
            <w:bottom w:w="15" w:type="dxa"/>
            <w:right w:w="15" w:type="dxa"/>
          </w:tblCellMar>
        </w:tblPrEx>
        <w:trPr>
          <w:cantSplit/>
          <w:trHeight w:val="551" w:hRule="atLeast"/>
          <w:jc w:val="center"/>
        </w:trPr>
        <w:tc>
          <w:tcPr>
            <w:tcW w:w="162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黑体"/>
                <w:spacing w:val="-6"/>
                <w:sz w:val="24"/>
                <w:szCs w:val="24"/>
              </w:rPr>
            </w:pPr>
            <w:r>
              <w:rPr>
                <w:rFonts w:hint="eastAsia" w:ascii="黑体" w:hAnsi="黑体" w:eastAsia="黑体" w:cs="黑体"/>
                <w:spacing w:val="-6"/>
                <w:sz w:val="24"/>
                <w:szCs w:val="24"/>
              </w:rPr>
              <w:t>小区名称</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黑体"/>
                <w:spacing w:val="-6"/>
                <w:sz w:val="24"/>
                <w:szCs w:val="24"/>
              </w:rPr>
            </w:pPr>
            <w:r>
              <w:rPr>
                <w:rFonts w:hint="eastAsia" w:ascii="黑体" w:hAnsi="黑体" w:eastAsia="黑体" w:cs="黑体"/>
                <w:spacing w:val="-6"/>
                <w:sz w:val="24"/>
                <w:szCs w:val="24"/>
              </w:rPr>
              <w:t>标准价</w:t>
            </w:r>
          </w:p>
        </w:tc>
        <w:tc>
          <w:tcPr>
            <w:tcW w:w="136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黑体"/>
                <w:spacing w:val="-6"/>
                <w:sz w:val="24"/>
                <w:szCs w:val="24"/>
              </w:rPr>
            </w:pPr>
            <w:r>
              <w:rPr>
                <w:rFonts w:hint="eastAsia" w:ascii="黑体" w:hAnsi="黑体" w:eastAsia="黑体" w:cs="黑体"/>
                <w:spacing w:val="-6"/>
                <w:sz w:val="24"/>
                <w:szCs w:val="24"/>
              </w:rPr>
              <w:t>小区名称</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黑体"/>
                <w:spacing w:val="-6"/>
                <w:sz w:val="24"/>
                <w:szCs w:val="24"/>
              </w:rPr>
            </w:pPr>
            <w:r>
              <w:rPr>
                <w:rFonts w:hint="eastAsia" w:ascii="黑体" w:hAnsi="黑体" w:eastAsia="黑体" w:cs="黑体"/>
                <w:spacing w:val="-6"/>
                <w:sz w:val="24"/>
                <w:szCs w:val="24"/>
              </w:rPr>
              <w:t>标准价</w:t>
            </w:r>
          </w:p>
        </w:tc>
        <w:tc>
          <w:tcPr>
            <w:tcW w:w="148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黑体"/>
                <w:spacing w:val="-6"/>
                <w:sz w:val="24"/>
                <w:szCs w:val="24"/>
              </w:rPr>
            </w:pPr>
            <w:r>
              <w:rPr>
                <w:rFonts w:hint="eastAsia" w:ascii="黑体" w:hAnsi="黑体" w:eastAsia="黑体" w:cs="黑体"/>
                <w:spacing w:val="-6"/>
                <w:sz w:val="24"/>
                <w:szCs w:val="24"/>
              </w:rPr>
              <w:t>小区名称</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黑体"/>
                <w:spacing w:val="-6"/>
                <w:sz w:val="24"/>
                <w:szCs w:val="24"/>
              </w:rPr>
            </w:pPr>
            <w:r>
              <w:rPr>
                <w:rFonts w:hint="eastAsia" w:ascii="黑体" w:hAnsi="黑体" w:eastAsia="黑体" w:cs="黑体"/>
                <w:spacing w:val="-6"/>
                <w:sz w:val="24"/>
                <w:szCs w:val="24"/>
              </w:rPr>
              <w:t>标准价</w:t>
            </w:r>
          </w:p>
        </w:tc>
      </w:tr>
      <w:tr>
        <w:tblPrEx>
          <w:tblLayout w:type="fixed"/>
          <w:tblCellMar>
            <w:top w:w="15" w:type="dxa"/>
            <w:left w:w="15" w:type="dxa"/>
            <w:bottom w:w="15" w:type="dxa"/>
            <w:right w:w="15" w:type="dxa"/>
          </w:tblCellMar>
        </w:tblPrEx>
        <w:trPr>
          <w:cantSplit/>
          <w:trHeight w:val="550" w:hRule="atLeast"/>
          <w:jc w:val="center"/>
        </w:trPr>
        <w:tc>
          <w:tcPr>
            <w:tcW w:w="162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黑体"/>
                <w:spacing w:val="-6"/>
                <w:sz w:val="24"/>
                <w:szCs w:val="24"/>
              </w:rPr>
            </w:pPr>
            <w:r>
              <w:rPr>
                <w:rFonts w:hint="eastAsia" w:ascii="黑体" w:hAnsi="黑体" w:eastAsia="黑体" w:cs="黑体"/>
                <w:spacing w:val="-6"/>
                <w:sz w:val="24"/>
                <w:szCs w:val="24"/>
              </w:rPr>
              <w:t>香悦府西区</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FangSong_GB2312" w:hAnsi="FangSong_GB2312" w:eastAsia="FangSong_GB2312" w:cs="FangSong_GB2312"/>
                <w:sz w:val="24"/>
                <w:szCs w:val="24"/>
              </w:rPr>
            </w:pPr>
            <w:r>
              <w:rPr>
                <w:rFonts w:hint="eastAsia" w:ascii="FangSong_GB2312" w:hAnsi="FangSong_GB2312" w:eastAsia="FangSong_GB2312" w:cs="FangSong_GB2312"/>
                <w:kern w:val="0"/>
                <w:sz w:val="24"/>
                <w:szCs w:val="24"/>
              </w:rPr>
              <w:t>19000</w:t>
            </w:r>
          </w:p>
        </w:tc>
        <w:tc>
          <w:tcPr>
            <w:tcW w:w="136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黑体"/>
                <w:spacing w:val="-6"/>
                <w:sz w:val="24"/>
                <w:szCs w:val="24"/>
              </w:rPr>
            </w:pPr>
            <w:r>
              <w:rPr>
                <w:rFonts w:hint="eastAsia" w:ascii="黑体" w:hAnsi="黑体" w:eastAsia="黑体" w:cs="黑体"/>
                <w:spacing w:val="-6"/>
                <w:sz w:val="24"/>
                <w:szCs w:val="24"/>
              </w:rPr>
              <w:t>文华府</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FangSong_GB2312" w:hAnsi="FangSong_GB2312" w:eastAsia="FangSong_GB2312" w:cs="FangSong_GB2312"/>
                <w:kern w:val="0"/>
                <w:sz w:val="24"/>
                <w:szCs w:val="24"/>
              </w:rPr>
            </w:pPr>
            <w:r>
              <w:rPr>
                <w:rFonts w:hint="eastAsia" w:ascii="FangSong_GB2312" w:hAnsi="FangSong_GB2312" w:eastAsia="FangSong_GB2312" w:cs="FangSong_GB2312"/>
                <w:kern w:val="0"/>
                <w:sz w:val="24"/>
                <w:szCs w:val="24"/>
              </w:rPr>
              <w:t>20200</w:t>
            </w:r>
          </w:p>
        </w:tc>
        <w:tc>
          <w:tcPr>
            <w:tcW w:w="148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黑体"/>
                <w:spacing w:val="-6"/>
                <w:sz w:val="24"/>
                <w:szCs w:val="24"/>
              </w:rPr>
            </w:pPr>
            <w:r>
              <w:rPr>
                <w:rFonts w:hint="eastAsia" w:ascii="黑体" w:hAnsi="黑体" w:eastAsia="黑体" w:cs="黑体"/>
                <w:spacing w:val="-6"/>
                <w:sz w:val="24"/>
                <w:szCs w:val="24"/>
              </w:rPr>
              <w:t>下车门新村</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FangSong_GB2312" w:hAnsi="FangSong_GB2312" w:eastAsia="FangSong_GB2312" w:cs="FangSong_GB2312"/>
                <w:kern w:val="0"/>
                <w:sz w:val="24"/>
                <w:szCs w:val="24"/>
              </w:rPr>
            </w:pPr>
            <w:r>
              <w:rPr>
                <w:rFonts w:hint="eastAsia" w:ascii="FangSong_GB2312" w:hAnsi="仿宋" w:eastAsia="FangSong_GB2312" w:cs="FangSong_GB2312"/>
                <w:spacing w:val="-6"/>
                <w:sz w:val="24"/>
                <w:szCs w:val="24"/>
              </w:rPr>
              <w:t>22800</w:t>
            </w:r>
          </w:p>
        </w:tc>
      </w:tr>
      <w:tr>
        <w:tblPrEx>
          <w:tblLayout w:type="fixed"/>
          <w:tblCellMar>
            <w:top w:w="15" w:type="dxa"/>
            <w:left w:w="15" w:type="dxa"/>
            <w:bottom w:w="15" w:type="dxa"/>
            <w:right w:w="15" w:type="dxa"/>
          </w:tblCellMar>
        </w:tblPrEx>
        <w:trPr>
          <w:cantSplit/>
          <w:trHeight w:val="550" w:hRule="atLeast"/>
          <w:jc w:val="center"/>
        </w:trPr>
        <w:tc>
          <w:tcPr>
            <w:tcW w:w="162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黑体"/>
                <w:spacing w:val="-6"/>
                <w:sz w:val="24"/>
                <w:szCs w:val="24"/>
              </w:rPr>
            </w:pPr>
            <w:r>
              <w:rPr>
                <w:rFonts w:hint="eastAsia" w:ascii="黑体" w:hAnsi="黑体" w:eastAsia="黑体" w:cs="黑体"/>
                <w:spacing w:val="-6"/>
                <w:sz w:val="24"/>
                <w:szCs w:val="24"/>
              </w:rPr>
              <w:t>香悦府东区</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FangSong_GB2312" w:hAnsi="FangSong_GB2312" w:eastAsia="FangSong_GB2312" w:cs="FangSong_GB2312"/>
                <w:kern w:val="0"/>
                <w:sz w:val="24"/>
                <w:szCs w:val="24"/>
              </w:rPr>
            </w:pPr>
            <w:r>
              <w:rPr>
                <w:rFonts w:hint="eastAsia" w:ascii="FangSong_GB2312" w:hAnsi="FangSong_GB2312" w:eastAsia="FangSong_GB2312" w:cs="FangSong_GB2312"/>
                <w:kern w:val="0"/>
                <w:sz w:val="24"/>
                <w:szCs w:val="24"/>
              </w:rPr>
              <w:t>19000</w:t>
            </w:r>
          </w:p>
        </w:tc>
        <w:tc>
          <w:tcPr>
            <w:tcW w:w="136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黑体"/>
                <w:spacing w:val="-6"/>
                <w:sz w:val="24"/>
                <w:szCs w:val="24"/>
              </w:rPr>
            </w:pPr>
            <w:r>
              <w:rPr>
                <w:rFonts w:hint="eastAsia" w:ascii="黑体" w:hAnsi="黑体" w:eastAsia="黑体" w:cs="黑体"/>
                <w:spacing w:val="-6"/>
                <w:sz w:val="24"/>
                <w:szCs w:val="24"/>
              </w:rPr>
              <w:t>华丰府</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FangSong_GB2312" w:hAnsi="FangSong_GB2312" w:eastAsia="FangSong_GB2312" w:cs="FangSong_GB2312"/>
                <w:kern w:val="0"/>
                <w:sz w:val="24"/>
                <w:szCs w:val="24"/>
              </w:rPr>
            </w:pPr>
            <w:r>
              <w:rPr>
                <w:rFonts w:hint="eastAsia" w:ascii="FangSong_GB2312" w:hAnsi="FangSong_GB2312" w:eastAsia="FangSong_GB2312" w:cs="FangSong_GB2312"/>
                <w:kern w:val="0"/>
                <w:sz w:val="24"/>
                <w:szCs w:val="24"/>
              </w:rPr>
              <w:t>20200</w:t>
            </w:r>
          </w:p>
        </w:tc>
        <w:tc>
          <w:tcPr>
            <w:tcW w:w="148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黑体"/>
                <w:spacing w:val="-6"/>
                <w:sz w:val="24"/>
                <w:szCs w:val="24"/>
              </w:rPr>
            </w:pPr>
            <w:r>
              <w:rPr>
                <w:rFonts w:hint="eastAsia" w:ascii="黑体" w:hAnsi="黑体" w:eastAsia="黑体" w:cs="黑体"/>
                <w:spacing w:val="-6"/>
                <w:sz w:val="24"/>
                <w:szCs w:val="24"/>
              </w:rPr>
              <w:t>秦塘府</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FangSong_GB2312" w:hAnsi="FangSong_GB2312" w:eastAsia="FangSong_GB2312" w:cs="FangSong_GB2312"/>
                <w:kern w:val="0"/>
                <w:sz w:val="24"/>
                <w:szCs w:val="24"/>
              </w:rPr>
            </w:pPr>
            <w:r>
              <w:rPr>
                <w:rFonts w:hint="eastAsia" w:ascii="FangSong_GB2312" w:hAnsi="FangSong_GB2312" w:eastAsia="FangSong_GB2312" w:cs="FangSong_GB2312"/>
                <w:kern w:val="0"/>
                <w:sz w:val="24"/>
                <w:szCs w:val="24"/>
              </w:rPr>
              <w:t>20500</w:t>
            </w:r>
          </w:p>
        </w:tc>
      </w:tr>
      <w:tr>
        <w:tblPrEx>
          <w:tblLayout w:type="fixed"/>
          <w:tblCellMar>
            <w:top w:w="15" w:type="dxa"/>
            <w:left w:w="15" w:type="dxa"/>
            <w:bottom w:w="15" w:type="dxa"/>
            <w:right w:w="15" w:type="dxa"/>
          </w:tblCellMar>
        </w:tblPrEx>
        <w:trPr>
          <w:cantSplit/>
          <w:trHeight w:val="580" w:hRule="atLeast"/>
          <w:jc w:val="center"/>
        </w:trPr>
        <w:tc>
          <w:tcPr>
            <w:tcW w:w="162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黑体"/>
                <w:spacing w:val="-6"/>
                <w:sz w:val="24"/>
                <w:szCs w:val="24"/>
              </w:rPr>
            </w:pPr>
            <w:r>
              <w:rPr>
                <w:rFonts w:hint="eastAsia" w:ascii="黑体" w:hAnsi="黑体" w:eastAsia="黑体" w:cs="黑体"/>
                <w:spacing w:val="-6"/>
                <w:sz w:val="24"/>
                <w:szCs w:val="24"/>
              </w:rPr>
              <w:t>香悦府三期</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FangSong_GB2312" w:hAnsi="FangSong_GB2312" w:eastAsia="FangSong_GB2312" w:cs="FangSong_GB2312"/>
                <w:sz w:val="24"/>
                <w:szCs w:val="24"/>
              </w:rPr>
            </w:pPr>
            <w:r>
              <w:rPr>
                <w:rFonts w:hint="eastAsia" w:ascii="FangSong_GB2312" w:hAnsi="FangSong_GB2312" w:eastAsia="FangSong_GB2312" w:cs="FangSong_GB2312"/>
                <w:kern w:val="0"/>
                <w:sz w:val="24"/>
                <w:szCs w:val="24"/>
              </w:rPr>
              <w:t>19000</w:t>
            </w:r>
          </w:p>
        </w:tc>
        <w:tc>
          <w:tcPr>
            <w:tcW w:w="136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黑体"/>
                <w:spacing w:val="-6"/>
                <w:sz w:val="24"/>
                <w:szCs w:val="24"/>
              </w:rPr>
            </w:pPr>
            <w:r>
              <w:rPr>
                <w:rFonts w:hint="eastAsia" w:ascii="黑体" w:hAnsi="黑体" w:eastAsia="黑体" w:cs="黑体"/>
                <w:spacing w:val="-6"/>
                <w:sz w:val="24"/>
                <w:szCs w:val="24"/>
              </w:rPr>
              <w:t>望江府</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FangSong_GB2312" w:hAnsi="FangSong_GB2312" w:eastAsia="FangSong_GB2312" w:cs="FangSong_GB2312"/>
                <w:kern w:val="0"/>
                <w:sz w:val="24"/>
                <w:szCs w:val="24"/>
              </w:rPr>
            </w:pPr>
            <w:r>
              <w:rPr>
                <w:rFonts w:hint="eastAsia" w:ascii="FangSong_GB2312" w:hAnsi="FangSong_GB2312" w:eastAsia="FangSong_GB2312" w:cs="FangSong_GB2312"/>
                <w:kern w:val="0"/>
                <w:sz w:val="24"/>
                <w:szCs w:val="24"/>
              </w:rPr>
              <w:t>22300</w:t>
            </w:r>
          </w:p>
        </w:tc>
        <w:tc>
          <w:tcPr>
            <w:tcW w:w="148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FangSong_GB2312" w:hAnsi="FangSong_GB2312" w:eastAsia="FangSong_GB2312" w:cs="FangSong_GB2312"/>
                <w:sz w:val="24"/>
                <w:szCs w:val="24"/>
                <w:highlight w:val="yellow"/>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FangSong_GB2312" w:hAnsi="FangSong_GB2312" w:eastAsia="FangSong_GB2312" w:cs="FangSong_GB2312"/>
                <w:sz w:val="24"/>
                <w:szCs w:val="24"/>
              </w:rPr>
            </w:pPr>
          </w:p>
        </w:tc>
      </w:tr>
    </w:tbl>
    <w:p>
      <w:pPr>
        <w:tabs>
          <w:tab w:val="left" w:pos="1224"/>
        </w:tabs>
        <w:spacing w:line="580" w:lineRule="exact"/>
        <w:jc w:val="left"/>
        <w:rPr>
          <w:rFonts w:ascii="FangSong_GB2312" w:hAnsi="仿宋" w:eastAsia="FangSong_GB2312" w:cs="FangSong_GB2312"/>
          <w:b/>
          <w:bCs/>
          <w:spacing w:val="-6"/>
          <w:sz w:val="32"/>
          <w:szCs w:val="32"/>
        </w:rPr>
      </w:pPr>
    </w:p>
    <w:p>
      <w:pPr>
        <w:tabs>
          <w:tab w:val="left" w:pos="1224"/>
        </w:tabs>
        <w:spacing w:line="580" w:lineRule="exact"/>
        <w:jc w:val="left"/>
        <w:rPr>
          <w:rFonts w:ascii="FangSong_GB2312" w:hAnsi="仿宋" w:eastAsia="FangSong_GB2312" w:cs="FangSong_GB2312"/>
          <w:b/>
          <w:bCs/>
          <w:spacing w:val="-6"/>
          <w:sz w:val="32"/>
          <w:szCs w:val="32"/>
        </w:rPr>
      </w:pPr>
      <w:r>
        <w:rPr>
          <w:rFonts w:hint="eastAsia" w:ascii="FangSong_GB2312" w:hAnsi="仿宋" w:eastAsia="FangSong_GB2312" w:cs="FangSong_GB2312"/>
          <w:b/>
          <w:bCs/>
          <w:spacing w:val="-6"/>
          <w:sz w:val="32"/>
          <w:szCs w:val="32"/>
        </w:rPr>
        <w:t>说明：</w:t>
      </w:r>
    </w:p>
    <w:p>
      <w:pPr>
        <w:numPr>
          <w:ilvl w:val="0"/>
          <w:numId w:val="1"/>
        </w:numPr>
        <w:spacing w:line="580" w:lineRule="exact"/>
        <w:ind w:firstLine="616" w:firstLineChars="200"/>
        <w:rPr>
          <w:rFonts w:ascii="FangSong_GB2312" w:eastAsia="FangSong_GB2312" w:cs="FangSong_GB2312"/>
          <w:spacing w:val="-6"/>
          <w:sz w:val="32"/>
          <w:szCs w:val="32"/>
        </w:rPr>
      </w:pPr>
      <w:r>
        <w:rPr>
          <w:rFonts w:hint="eastAsia" w:ascii="FangSong_GB2312" w:hAnsi="仿宋" w:eastAsia="FangSong_GB2312" w:cs="FangSong_GB2312"/>
          <w:spacing w:val="-6"/>
          <w:sz w:val="32"/>
          <w:szCs w:val="32"/>
        </w:rPr>
        <w:t>以上标准价均按土地性质为国有出让进行预评估</w:t>
      </w:r>
      <w:r>
        <w:rPr>
          <w:rFonts w:hint="eastAsia" w:ascii="FangSong_GB2312" w:eastAsia="FangSong_GB2312" w:cs="FangSong_GB2312"/>
          <w:spacing w:val="-6"/>
          <w:sz w:val="32"/>
          <w:szCs w:val="32"/>
        </w:rPr>
        <w:t>。</w:t>
      </w:r>
    </w:p>
    <w:p>
      <w:pPr>
        <w:pStyle w:val="9"/>
        <w:numPr>
          <w:ilvl w:val="0"/>
          <w:numId w:val="1"/>
        </w:numPr>
        <w:spacing w:line="580" w:lineRule="exact"/>
        <w:ind w:firstLine="616"/>
        <w:rPr>
          <w:rFonts w:ascii="FangSong_GB2312" w:hAnsi="仿宋" w:eastAsia="FangSong_GB2312" w:cs="FangSong_GB2312"/>
          <w:spacing w:val="-6"/>
          <w:sz w:val="32"/>
          <w:szCs w:val="32"/>
        </w:rPr>
      </w:pPr>
      <w:r>
        <w:rPr>
          <w:rFonts w:hint="eastAsia" w:ascii="FangSong_GB2312" w:hAnsi="仿宋" w:eastAsia="FangSong_GB2312" w:cs="FangSong_GB2312"/>
          <w:spacing w:val="-6"/>
          <w:sz w:val="32"/>
          <w:szCs w:val="32"/>
        </w:rPr>
        <w:t>住宅垂直房建筑占地是指合法建筑物底层围合面积，不含走廊、阳台、天井、庭院等面积。</w:t>
      </w:r>
    </w:p>
    <w:sectPr>
      <w:headerReference r:id="rId5" w:type="default"/>
      <w:footerReference r:id="rId6" w:type="default"/>
      <w:pgSz w:w="11906" w:h="16838"/>
      <w:pgMar w:top="1531" w:right="1361" w:bottom="1531"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FangSong_GB2312">
    <w:altName w:val="仿宋"/>
    <w:panose1 w:val="02010609060101010101"/>
    <w:charset w:val="00"/>
    <w:family w:val="roma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6</w:t>
    </w:r>
    <w:r>
      <w:rPr>
        <w:sz w:val="21"/>
        <w:szCs w:val="21"/>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- 30 -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- 30 -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8BDF2"/>
    <w:multiLevelType w:val="singleLevel"/>
    <w:tmpl w:val="58D8BDF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A10541"/>
    <w:rsid w:val="001446BC"/>
    <w:rsid w:val="00287885"/>
    <w:rsid w:val="003A798F"/>
    <w:rsid w:val="00563BE3"/>
    <w:rsid w:val="00784490"/>
    <w:rsid w:val="00812030"/>
    <w:rsid w:val="0088568C"/>
    <w:rsid w:val="00BC6328"/>
    <w:rsid w:val="00C10B4C"/>
    <w:rsid w:val="00CC09AE"/>
    <w:rsid w:val="00DD1B48"/>
    <w:rsid w:val="00F836D5"/>
    <w:rsid w:val="01DD05B5"/>
    <w:rsid w:val="026A24F7"/>
    <w:rsid w:val="02CE0CF9"/>
    <w:rsid w:val="032C0593"/>
    <w:rsid w:val="03702BA6"/>
    <w:rsid w:val="03AE5BDC"/>
    <w:rsid w:val="03D57BA1"/>
    <w:rsid w:val="050C21A3"/>
    <w:rsid w:val="05ED41FB"/>
    <w:rsid w:val="065961EB"/>
    <w:rsid w:val="065A1E58"/>
    <w:rsid w:val="066F2683"/>
    <w:rsid w:val="06A62116"/>
    <w:rsid w:val="06E63202"/>
    <w:rsid w:val="072C5D07"/>
    <w:rsid w:val="07496830"/>
    <w:rsid w:val="08471E43"/>
    <w:rsid w:val="085A5292"/>
    <w:rsid w:val="086E67B3"/>
    <w:rsid w:val="08793E05"/>
    <w:rsid w:val="08A70311"/>
    <w:rsid w:val="09860CC0"/>
    <w:rsid w:val="0A8D67D4"/>
    <w:rsid w:val="0AC06BDF"/>
    <w:rsid w:val="0B532C4E"/>
    <w:rsid w:val="0B61760E"/>
    <w:rsid w:val="0C24258F"/>
    <w:rsid w:val="0C7B4283"/>
    <w:rsid w:val="0C923C39"/>
    <w:rsid w:val="0CAB598C"/>
    <w:rsid w:val="0CB32D2F"/>
    <w:rsid w:val="0CE3330C"/>
    <w:rsid w:val="0CE51840"/>
    <w:rsid w:val="0D54791D"/>
    <w:rsid w:val="0D896922"/>
    <w:rsid w:val="0E3F2E05"/>
    <w:rsid w:val="0E4B223D"/>
    <w:rsid w:val="0FA424A6"/>
    <w:rsid w:val="0FEB2918"/>
    <w:rsid w:val="105C4AC8"/>
    <w:rsid w:val="10894CBD"/>
    <w:rsid w:val="111003E3"/>
    <w:rsid w:val="11A90E04"/>
    <w:rsid w:val="11CE008B"/>
    <w:rsid w:val="11F0000E"/>
    <w:rsid w:val="121532A5"/>
    <w:rsid w:val="123F54A6"/>
    <w:rsid w:val="12A66AA7"/>
    <w:rsid w:val="12C531CD"/>
    <w:rsid w:val="13493BDA"/>
    <w:rsid w:val="13583FFE"/>
    <w:rsid w:val="13A0062B"/>
    <w:rsid w:val="140069FA"/>
    <w:rsid w:val="140D3B60"/>
    <w:rsid w:val="143871B4"/>
    <w:rsid w:val="14472389"/>
    <w:rsid w:val="14DD2D6E"/>
    <w:rsid w:val="14DE56AE"/>
    <w:rsid w:val="151737B3"/>
    <w:rsid w:val="1524354F"/>
    <w:rsid w:val="156D64FC"/>
    <w:rsid w:val="157F3FB3"/>
    <w:rsid w:val="15BC6315"/>
    <w:rsid w:val="169F6F8F"/>
    <w:rsid w:val="16AF5604"/>
    <w:rsid w:val="17042D3D"/>
    <w:rsid w:val="17165DD1"/>
    <w:rsid w:val="17347FDA"/>
    <w:rsid w:val="17B00542"/>
    <w:rsid w:val="183F1731"/>
    <w:rsid w:val="18E16E2E"/>
    <w:rsid w:val="19BC4E7F"/>
    <w:rsid w:val="1A1D3E3A"/>
    <w:rsid w:val="1AA82C0D"/>
    <w:rsid w:val="1AF47C4C"/>
    <w:rsid w:val="1B0743BB"/>
    <w:rsid w:val="1B1D0FAD"/>
    <w:rsid w:val="1BB52625"/>
    <w:rsid w:val="1BC53438"/>
    <w:rsid w:val="1C3B5F7D"/>
    <w:rsid w:val="1C783C5D"/>
    <w:rsid w:val="1CCE1A83"/>
    <w:rsid w:val="1D515F0F"/>
    <w:rsid w:val="1DFA67AC"/>
    <w:rsid w:val="1E3A4B2B"/>
    <w:rsid w:val="1F6C359B"/>
    <w:rsid w:val="1F8117F8"/>
    <w:rsid w:val="2086664F"/>
    <w:rsid w:val="209F2F79"/>
    <w:rsid w:val="20BB73A4"/>
    <w:rsid w:val="214871CE"/>
    <w:rsid w:val="21503CD7"/>
    <w:rsid w:val="21670000"/>
    <w:rsid w:val="21940F09"/>
    <w:rsid w:val="2214599A"/>
    <w:rsid w:val="224155DB"/>
    <w:rsid w:val="224708B3"/>
    <w:rsid w:val="237C1B8A"/>
    <w:rsid w:val="23D42997"/>
    <w:rsid w:val="23D50FAC"/>
    <w:rsid w:val="23EE64CD"/>
    <w:rsid w:val="242467F8"/>
    <w:rsid w:val="2437090C"/>
    <w:rsid w:val="254C150F"/>
    <w:rsid w:val="25687437"/>
    <w:rsid w:val="26B0228C"/>
    <w:rsid w:val="26C36B45"/>
    <w:rsid w:val="26E17A63"/>
    <w:rsid w:val="27142A43"/>
    <w:rsid w:val="271A18DA"/>
    <w:rsid w:val="271C5765"/>
    <w:rsid w:val="27611B21"/>
    <w:rsid w:val="27753698"/>
    <w:rsid w:val="27986229"/>
    <w:rsid w:val="2835610C"/>
    <w:rsid w:val="28387578"/>
    <w:rsid w:val="28813845"/>
    <w:rsid w:val="28842C21"/>
    <w:rsid w:val="288669CF"/>
    <w:rsid w:val="28B91A7E"/>
    <w:rsid w:val="28E90E7B"/>
    <w:rsid w:val="28EF181B"/>
    <w:rsid w:val="2A4412E2"/>
    <w:rsid w:val="2A6D11DC"/>
    <w:rsid w:val="2AB1431D"/>
    <w:rsid w:val="2AE01976"/>
    <w:rsid w:val="2AE460CF"/>
    <w:rsid w:val="2AFD28E5"/>
    <w:rsid w:val="2B111D09"/>
    <w:rsid w:val="2B123D23"/>
    <w:rsid w:val="2B17110F"/>
    <w:rsid w:val="2B8B042B"/>
    <w:rsid w:val="2B9610E9"/>
    <w:rsid w:val="2BB65BF1"/>
    <w:rsid w:val="2BB705D4"/>
    <w:rsid w:val="2CC61339"/>
    <w:rsid w:val="2CDA7D14"/>
    <w:rsid w:val="2CDF5D51"/>
    <w:rsid w:val="2D283A99"/>
    <w:rsid w:val="2D40010F"/>
    <w:rsid w:val="2D484CF0"/>
    <w:rsid w:val="2DAA3714"/>
    <w:rsid w:val="2E026A01"/>
    <w:rsid w:val="2E3274F0"/>
    <w:rsid w:val="2E37389E"/>
    <w:rsid w:val="2EC80A33"/>
    <w:rsid w:val="306D46E8"/>
    <w:rsid w:val="30CD5319"/>
    <w:rsid w:val="30F15F29"/>
    <w:rsid w:val="313C26B6"/>
    <w:rsid w:val="316733A1"/>
    <w:rsid w:val="320F6177"/>
    <w:rsid w:val="328C29ED"/>
    <w:rsid w:val="33565777"/>
    <w:rsid w:val="33797757"/>
    <w:rsid w:val="33B930AD"/>
    <w:rsid w:val="33D60231"/>
    <w:rsid w:val="33EE5291"/>
    <w:rsid w:val="34274FA4"/>
    <w:rsid w:val="344C67FD"/>
    <w:rsid w:val="34961690"/>
    <w:rsid w:val="350C71C5"/>
    <w:rsid w:val="3513068A"/>
    <w:rsid w:val="35221FB9"/>
    <w:rsid w:val="35A43C6D"/>
    <w:rsid w:val="362F6CB4"/>
    <w:rsid w:val="36337278"/>
    <w:rsid w:val="385A1615"/>
    <w:rsid w:val="387F64FA"/>
    <w:rsid w:val="389A523E"/>
    <w:rsid w:val="38B12AB9"/>
    <w:rsid w:val="39177359"/>
    <w:rsid w:val="39475133"/>
    <w:rsid w:val="39D77E12"/>
    <w:rsid w:val="39EB1DCE"/>
    <w:rsid w:val="3A741CF3"/>
    <w:rsid w:val="3A8141BA"/>
    <w:rsid w:val="3B9F6E51"/>
    <w:rsid w:val="3C345D41"/>
    <w:rsid w:val="3D5430AB"/>
    <w:rsid w:val="3D5457CA"/>
    <w:rsid w:val="3DC96267"/>
    <w:rsid w:val="3DD402F4"/>
    <w:rsid w:val="3DDE6A30"/>
    <w:rsid w:val="3E5F6720"/>
    <w:rsid w:val="3F5404C5"/>
    <w:rsid w:val="40083B67"/>
    <w:rsid w:val="40403CFE"/>
    <w:rsid w:val="405A1470"/>
    <w:rsid w:val="40A42822"/>
    <w:rsid w:val="40CF10AE"/>
    <w:rsid w:val="41715D97"/>
    <w:rsid w:val="419D496B"/>
    <w:rsid w:val="41B34C3F"/>
    <w:rsid w:val="41FB7956"/>
    <w:rsid w:val="41FF6A6D"/>
    <w:rsid w:val="425E49C8"/>
    <w:rsid w:val="426B32D2"/>
    <w:rsid w:val="42850A40"/>
    <w:rsid w:val="429B40DE"/>
    <w:rsid w:val="42D6564F"/>
    <w:rsid w:val="42E164D0"/>
    <w:rsid w:val="42F21D40"/>
    <w:rsid w:val="436371D8"/>
    <w:rsid w:val="43BD25E5"/>
    <w:rsid w:val="43CD28BA"/>
    <w:rsid w:val="442503DF"/>
    <w:rsid w:val="447B7BE1"/>
    <w:rsid w:val="44C405EC"/>
    <w:rsid w:val="45EC0BE1"/>
    <w:rsid w:val="468E0248"/>
    <w:rsid w:val="46BC46F1"/>
    <w:rsid w:val="471D7D00"/>
    <w:rsid w:val="475B0CF7"/>
    <w:rsid w:val="48125CC9"/>
    <w:rsid w:val="48375B85"/>
    <w:rsid w:val="484B6B32"/>
    <w:rsid w:val="48C05C43"/>
    <w:rsid w:val="48CD01B7"/>
    <w:rsid w:val="48CF3C32"/>
    <w:rsid w:val="496C2861"/>
    <w:rsid w:val="4970023B"/>
    <w:rsid w:val="49D53284"/>
    <w:rsid w:val="49E74D4C"/>
    <w:rsid w:val="4A621B5A"/>
    <w:rsid w:val="4A6B282E"/>
    <w:rsid w:val="4AAD1647"/>
    <w:rsid w:val="4BA11851"/>
    <w:rsid w:val="4BC96C64"/>
    <w:rsid w:val="4C0E3EEB"/>
    <w:rsid w:val="4C251C30"/>
    <w:rsid w:val="4C2E2D79"/>
    <w:rsid w:val="4C7A7A4F"/>
    <w:rsid w:val="4D8C32AD"/>
    <w:rsid w:val="4E7932D6"/>
    <w:rsid w:val="4E9163D9"/>
    <w:rsid w:val="4F1634CC"/>
    <w:rsid w:val="5052417B"/>
    <w:rsid w:val="528D4A19"/>
    <w:rsid w:val="534C297D"/>
    <w:rsid w:val="536B7B3F"/>
    <w:rsid w:val="54025B80"/>
    <w:rsid w:val="550901DC"/>
    <w:rsid w:val="550C19D2"/>
    <w:rsid w:val="558423FD"/>
    <w:rsid w:val="559F6AC3"/>
    <w:rsid w:val="55AB1511"/>
    <w:rsid w:val="55C170A9"/>
    <w:rsid w:val="55C77D19"/>
    <w:rsid w:val="55D504BF"/>
    <w:rsid w:val="568D4E33"/>
    <w:rsid w:val="5717656A"/>
    <w:rsid w:val="57212F23"/>
    <w:rsid w:val="57591831"/>
    <w:rsid w:val="57A00BA1"/>
    <w:rsid w:val="57AB4105"/>
    <w:rsid w:val="581707E3"/>
    <w:rsid w:val="58857549"/>
    <w:rsid w:val="5A5C1DFC"/>
    <w:rsid w:val="5A9E4AB1"/>
    <w:rsid w:val="5B364071"/>
    <w:rsid w:val="5B530F19"/>
    <w:rsid w:val="5C1013D7"/>
    <w:rsid w:val="5C1C130F"/>
    <w:rsid w:val="5C1F0ECF"/>
    <w:rsid w:val="5C5E2802"/>
    <w:rsid w:val="5CEC5E98"/>
    <w:rsid w:val="5D2D2D13"/>
    <w:rsid w:val="5D860CAC"/>
    <w:rsid w:val="5DAF2FB8"/>
    <w:rsid w:val="5DD666A3"/>
    <w:rsid w:val="5E6F3E76"/>
    <w:rsid w:val="5F855041"/>
    <w:rsid w:val="5F962E08"/>
    <w:rsid w:val="5FCF16A4"/>
    <w:rsid w:val="600234AC"/>
    <w:rsid w:val="600F470A"/>
    <w:rsid w:val="60BE3643"/>
    <w:rsid w:val="61681BA3"/>
    <w:rsid w:val="620F4BD1"/>
    <w:rsid w:val="624B4C82"/>
    <w:rsid w:val="62635BBD"/>
    <w:rsid w:val="6274579F"/>
    <w:rsid w:val="628868E7"/>
    <w:rsid w:val="629A6F9E"/>
    <w:rsid w:val="62C83E2D"/>
    <w:rsid w:val="639C5100"/>
    <w:rsid w:val="63C24999"/>
    <w:rsid w:val="63D41DB9"/>
    <w:rsid w:val="643F00D6"/>
    <w:rsid w:val="647D41BF"/>
    <w:rsid w:val="64B6595D"/>
    <w:rsid w:val="64E301CF"/>
    <w:rsid w:val="65B550CE"/>
    <w:rsid w:val="65B613B0"/>
    <w:rsid w:val="65D406FD"/>
    <w:rsid w:val="663075F3"/>
    <w:rsid w:val="66583815"/>
    <w:rsid w:val="66DA3816"/>
    <w:rsid w:val="671D0332"/>
    <w:rsid w:val="67290FFE"/>
    <w:rsid w:val="67C87B74"/>
    <w:rsid w:val="67CA4573"/>
    <w:rsid w:val="68447524"/>
    <w:rsid w:val="68796268"/>
    <w:rsid w:val="68EF46CE"/>
    <w:rsid w:val="6932715D"/>
    <w:rsid w:val="699D27B2"/>
    <w:rsid w:val="69AC252D"/>
    <w:rsid w:val="69E40EC7"/>
    <w:rsid w:val="6A0C6928"/>
    <w:rsid w:val="6A1B5131"/>
    <w:rsid w:val="6A504F51"/>
    <w:rsid w:val="6A683CF9"/>
    <w:rsid w:val="6AA9694A"/>
    <w:rsid w:val="6BC5364F"/>
    <w:rsid w:val="6D44524C"/>
    <w:rsid w:val="6D535020"/>
    <w:rsid w:val="6DF02B61"/>
    <w:rsid w:val="6DF151FC"/>
    <w:rsid w:val="6E1933DC"/>
    <w:rsid w:val="6E3B0204"/>
    <w:rsid w:val="6F5871B1"/>
    <w:rsid w:val="6F8E0E8E"/>
    <w:rsid w:val="6FB91766"/>
    <w:rsid w:val="6FC30966"/>
    <w:rsid w:val="70746CD7"/>
    <w:rsid w:val="70855825"/>
    <w:rsid w:val="70CB5174"/>
    <w:rsid w:val="70D035CD"/>
    <w:rsid w:val="70E54127"/>
    <w:rsid w:val="71D326CB"/>
    <w:rsid w:val="720272CD"/>
    <w:rsid w:val="72574769"/>
    <w:rsid w:val="734032CB"/>
    <w:rsid w:val="73E86BCA"/>
    <w:rsid w:val="74AB37C4"/>
    <w:rsid w:val="75EF5D5E"/>
    <w:rsid w:val="765F5DA3"/>
    <w:rsid w:val="76F261A0"/>
    <w:rsid w:val="775B7D9A"/>
    <w:rsid w:val="778D7FD4"/>
    <w:rsid w:val="77A50FA3"/>
    <w:rsid w:val="780B4865"/>
    <w:rsid w:val="784260A3"/>
    <w:rsid w:val="78561E07"/>
    <w:rsid w:val="78F92093"/>
    <w:rsid w:val="79327527"/>
    <w:rsid w:val="79640D95"/>
    <w:rsid w:val="7AA10541"/>
    <w:rsid w:val="7AFF5277"/>
    <w:rsid w:val="7B9F6152"/>
    <w:rsid w:val="7C3F3D9E"/>
    <w:rsid w:val="7C4B4B4C"/>
    <w:rsid w:val="7CDF58E8"/>
    <w:rsid w:val="7D997A80"/>
    <w:rsid w:val="7E243DB5"/>
    <w:rsid w:val="7E8B2A74"/>
    <w:rsid w:val="7E9E48E1"/>
    <w:rsid w:val="7ED9218D"/>
    <w:rsid w:val="7F003EED"/>
    <w:rsid w:val="7F85520F"/>
    <w:rsid w:val="7FA6513A"/>
    <w:rsid w:val="7FED0E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
    <w:name w:val="列出段落2"/>
    <w:basedOn w:val="1"/>
    <w:unhideWhenUsed/>
    <w:qFormat/>
    <w:uiPriority w:val="99"/>
    <w:pPr>
      <w:ind w:firstLine="420" w:firstLineChars="200"/>
    </w:pPr>
  </w:style>
  <w:style w:type="paragraph" w:customStyle="1" w:styleId="9">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中国石油大学</Company>
  <Pages>30</Pages>
  <Words>2068</Words>
  <Characters>11792</Characters>
  <Lines>98</Lines>
  <Paragraphs>27</Paragraphs>
  <TotalTime>4</TotalTime>
  <ScaleCrop>false</ScaleCrop>
  <LinksUpToDate>false</LinksUpToDate>
  <CharactersWithSpaces>13833</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2018-04-27T12:35:00Z</dcterms:created>
  <dc:creator>wowoxing7</dc:creator>
  <cp:lastModifiedBy>Monster_</cp:lastModifiedBy>
  <cp:lastPrinted>2020-03-03T02:42:00Z</cp:lastPrinted>
  <dcterms:modified xsi:type="dcterms:W3CDTF">2020-03-05T07:51:06Z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