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sz w:val="32"/>
          <w:szCs w:val="32"/>
        </w:rPr>
      </w:pPr>
      <w:bookmarkStart w:id="0" w:name="_GoBack"/>
      <w:bookmarkEnd w:id="0"/>
      <w:r>
        <w:rPr>
          <w:rFonts w:ascii="Times New Roman" w:hAnsi="Times New Roman" w:eastAsia="仿宋" w:cs="Times New Roman"/>
          <w:sz w:val="32"/>
          <w:szCs w:val="32"/>
        </w:rPr>
        <w:t>附件1</w:t>
      </w:r>
    </w:p>
    <w:p>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投标人的资格要求、投标文件、评标办法</w:t>
      </w:r>
    </w:p>
    <w:p>
      <w:pPr>
        <w:rPr>
          <w:rFonts w:ascii="Times New Roman" w:hAnsi="Times New Roman" w:eastAsia="仿宋" w:cs="Times New Roman"/>
          <w:sz w:val="32"/>
          <w:szCs w:val="32"/>
        </w:rPr>
      </w:pP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一、投标人的资格要求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符合《中华人民共和国政府采购法》第二十二条供应商应当具备的条件；参加本次政府采购活动前三年内，在经营活动中没有重大违法记录；同时投标人无下列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企业。</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（二）具备建设部颁发的城乡规划甲级资质的设计单位（如资质不在有效期的，需提供书面说明）。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（三）项目负责人要求：项目负责人应具备交通工程相关专业高级工程师及以上职称。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（四）本项目不接受联合体投标。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（五）信誉要求：投标人自2016年1月1日起到中标公告期结束前无行贿犯罪记录（发布中标公告前，采购人将在中国裁判文书网查询中标候选人的行贿犯罪记录，查询结果以网站页面显示内容为准）；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信用要求：根据《关于在全市公共资源交易活动中应用信用报告的通知》（义行服管【2017】17号）规定，投标人义乌市综合信用报告评级为D、E类的投标将被拒绝（无信用评级投标人报名时不受此项条件限制），以开标当天在义乌市信用办平台查询的企业信用等级为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（七）未被“信用中国”网站（www.creditchina.gov.cn）、中国政府采购网（www.ccgp.gov.cn）列入失信被执行人名单、重大税收违法案件当事人名单、政府采购严重违法失信行为记录名单（以开标当天查询结果为准）。</w:t>
      </w:r>
    </w:p>
    <w:p>
      <w:pPr>
        <w:spacing w:line="560" w:lineRule="exact"/>
        <w:ind w:firstLine="640" w:firstLineChars="200"/>
        <w:rPr>
          <w:rFonts w:ascii="Times New Roman" w:hAnsi="Times New Roman" w:eastAsia="仿宋" w:cs="Times New Roman"/>
          <w:color w:val="auto"/>
          <w:sz w:val="32"/>
          <w:szCs w:val="32"/>
        </w:rPr>
      </w:pPr>
      <w:r>
        <w:rPr>
          <w:rFonts w:ascii="Times New Roman" w:hAnsi="Times New Roman" w:eastAsia="仿宋" w:cs="Times New Roman"/>
          <w:sz w:val="32"/>
          <w:szCs w:val="32"/>
        </w:rPr>
        <w:t>（</w:t>
      </w:r>
      <w:r>
        <w:rPr>
          <w:rFonts w:ascii="Times New Roman" w:hAnsi="Times New Roman" w:eastAsia="仿宋" w:cs="Times New Roman"/>
          <w:color w:val="auto"/>
          <w:sz w:val="32"/>
          <w:szCs w:val="32"/>
        </w:rPr>
        <w:t>八）</w:t>
      </w:r>
      <w:r>
        <w:rPr>
          <w:rFonts w:hint="eastAsia" w:ascii="Times New Roman" w:hAnsi="Times New Roman" w:eastAsia="仿宋" w:cs="Times New Roman"/>
          <w:color w:val="auto"/>
          <w:sz w:val="32"/>
          <w:szCs w:val="32"/>
        </w:rPr>
        <w:t>递交</w:t>
      </w:r>
      <w:r>
        <w:rPr>
          <w:rFonts w:ascii="Times New Roman" w:hAnsi="Times New Roman" w:eastAsia="仿宋" w:cs="Times New Roman"/>
          <w:color w:val="auto"/>
          <w:sz w:val="32"/>
          <w:szCs w:val="32"/>
        </w:rPr>
        <w:t>投标文件时所需提供资料：（除开标一览表，其他资料为复印件或扫描件，但都需加盖单位公章，并带原件核对）：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color w:val="auto"/>
          <w:sz w:val="32"/>
          <w:szCs w:val="32"/>
        </w:rPr>
        <w:t>1.单位营业执照副本；2.资质证书副本；3.项目负责人的交通工程相关专业高级工程</w:t>
      </w:r>
      <w:r>
        <w:rPr>
          <w:rFonts w:ascii="Times New Roman" w:hAnsi="Times New Roman" w:eastAsia="仿宋" w:cs="Times New Roman"/>
          <w:sz w:val="32"/>
          <w:szCs w:val="32"/>
        </w:rPr>
        <w:t>师及以上职称证书；4.法定代表人授权书；5.被授权人身份证等资料；6.与评标相关的资料：业绩合同或中标通知书，设计团队人员社保缴费清单、资格证书、人员职称证书，义乌办公场所凭证；7.开标一览表。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二、评标办法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根据《中华人民共和国政府采购法》和《中华人民共和国招标投标法》的有关规定，为更好地做到公开、公平、公正，结合本次招标的特点，特制定本评标办法。</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（一）评审程序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1.对投标人的投标文件进行符合性审查，确定有效单位；</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2.对有效的投标单位的技术标资信部分进行评分；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3.对商务文件进行符合性审查；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4.对商务标符合性审查通过的商务标进行详细评审，计算出各商务标有效的投标单位的商务得分+技术标资信部分的总得分；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5.推荐中标候选人、出具评标报告。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评标小组以开标、评标、询标情况为基本依据，对有效的投标文件分技术标资信部分、商务报价两个部分进行分析、评议，先评技术标资信部分，后评商务标，并作记录。</w:t>
      </w:r>
    </w:p>
    <w:p>
      <w:pPr>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（二）评审办法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评标小组参照相同的程序用综合评分法对招标项目作出评标结论。评审内容如下：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1.技术标资信部分评审，满分60分</w:t>
      </w:r>
    </w:p>
    <w:tbl>
      <w:tblPr>
        <w:tblStyle w:val="6"/>
        <w:tblW w:w="92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53"/>
        <w:gridCol w:w="781"/>
        <w:gridCol w:w="570"/>
        <w:gridCol w:w="4340"/>
        <w:gridCol w:w="32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序号</w:t>
            </w:r>
          </w:p>
        </w:tc>
        <w:tc>
          <w:tcPr>
            <w:tcW w:w="781"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评分细目</w:t>
            </w:r>
          </w:p>
        </w:tc>
        <w:tc>
          <w:tcPr>
            <w:tcW w:w="570" w:type="dxa"/>
            <w:tcBorders>
              <w:top w:val="single" w:color="auto" w:sz="4" w:space="0"/>
              <w:left w:val="single" w:color="auto" w:sz="4" w:space="0"/>
              <w:right w:val="single" w:color="auto" w:sz="4" w:space="0"/>
            </w:tcBorders>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分值</w:t>
            </w:r>
          </w:p>
        </w:tc>
        <w:tc>
          <w:tcPr>
            <w:tcW w:w="434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iCs/>
                <w:color w:val="auto"/>
                <w:sz w:val="24"/>
              </w:rPr>
            </w:pPr>
            <w:r>
              <w:rPr>
                <w:rFonts w:ascii="Times New Roman" w:hAnsi="Times New Roman" w:eastAsia="黑体" w:cs="Times New Roman"/>
                <w:iCs/>
                <w:color w:val="auto"/>
                <w:sz w:val="24"/>
              </w:rPr>
              <w:t>赋分办法</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黑体" w:cs="Times New Roman"/>
                <w:color w:val="auto"/>
                <w:sz w:val="24"/>
              </w:rPr>
            </w:pPr>
            <w:r>
              <w:rPr>
                <w:rFonts w:ascii="Times New Roman" w:hAnsi="Times New Roman" w:eastAsia="黑体"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1</w:t>
            </w:r>
          </w:p>
        </w:tc>
        <w:tc>
          <w:tcPr>
            <w:tcW w:w="781"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kern w:val="0"/>
                <w:sz w:val="24"/>
              </w:rPr>
            </w:pPr>
            <w:r>
              <w:rPr>
                <w:rFonts w:ascii="Times New Roman" w:hAnsi="Times New Roman" w:eastAsia="仿宋" w:cs="Times New Roman"/>
                <w:color w:val="auto"/>
                <w:sz w:val="24"/>
              </w:rPr>
              <w:t>业绩</w:t>
            </w:r>
          </w:p>
        </w:tc>
        <w:tc>
          <w:tcPr>
            <w:tcW w:w="570"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iCs/>
                <w:color w:val="auto"/>
                <w:sz w:val="24"/>
              </w:rPr>
              <w:t>15分</w:t>
            </w:r>
          </w:p>
        </w:tc>
        <w:tc>
          <w:tcPr>
            <w:tcW w:w="43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iCs/>
                <w:color w:val="auto"/>
                <w:sz w:val="24"/>
              </w:rPr>
            </w:pPr>
            <w:r>
              <w:rPr>
                <w:rFonts w:ascii="Times New Roman" w:hAnsi="Times New Roman" w:eastAsia="仿宋" w:cs="Times New Roman"/>
                <w:iCs/>
                <w:color w:val="auto"/>
                <w:sz w:val="24"/>
              </w:rPr>
              <w:t>根据投标人提供的自2015年1月1日以来至今参与过</w:t>
            </w:r>
            <w:r>
              <w:rPr>
                <w:rFonts w:hint="eastAsia" w:ascii="Times New Roman" w:hAnsi="Times New Roman" w:eastAsia="仿宋" w:cs="Times New Roman"/>
                <w:iCs/>
                <w:color w:val="auto"/>
                <w:sz w:val="24"/>
              </w:rPr>
              <w:t>县级及</w:t>
            </w:r>
            <w:r>
              <w:rPr>
                <w:rFonts w:ascii="Times New Roman" w:hAnsi="Times New Roman" w:eastAsia="仿宋" w:cs="Times New Roman"/>
                <w:iCs/>
                <w:color w:val="auto"/>
                <w:sz w:val="24"/>
              </w:rPr>
              <w:t>以上城市全市域相关规划项目的每个得5分</w:t>
            </w:r>
            <w:r>
              <w:rPr>
                <w:rFonts w:hint="eastAsia" w:ascii="Times New Roman" w:hAnsi="Times New Roman" w:eastAsia="仿宋" w:cs="Times New Roman"/>
                <w:iCs/>
                <w:color w:val="auto"/>
                <w:sz w:val="24"/>
              </w:rPr>
              <w:t>，</w:t>
            </w:r>
            <w:r>
              <w:rPr>
                <w:rFonts w:ascii="Times New Roman" w:hAnsi="Times New Roman" w:eastAsia="仿宋" w:cs="Times New Roman"/>
                <w:iCs/>
                <w:color w:val="auto"/>
                <w:sz w:val="24"/>
              </w:rPr>
              <w:t>最高15分。</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以合同或中标通知书为准，原件备查，未提供不得分。</w:t>
            </w:r>
          </w:p>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相关规划项目指加油站或加气站、综合供能站、其他与国土空间相关且需在全市各镇街布局的规划项目。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hint="eastAsia" w:ascii="Times New Roman" w:hAnsi="Times New Roman" w:eastAsia="仿宋" w:cs="Times New Roman"/>
                <w:color w:val="auto"/>
                <w:sz w:val="24"/>
              </w:rPr>
              <w:t>2</w:t>
            </w:r>
          </w:p>
        </w:tc>
        <w:tc>
          <w:tcPr>
            <w:tcW w:w="781"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获奖荣誉</w:t>
            </w:r>
          </w:p>
        </w:tc>
        <w:tc>
          <w:tcPr>
            <w:tcW w:w="570"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iCs/>
                <w:color w:val="auto"/>
                <w:sz w:val="24"/>
              </w:rPr>
            </w:pPr>
            <w:r>
              <w:rPr>
                <w:rFonts w:hint="eastAsia" w:ascii="Times New Roman" w:hAnsi="Times New Roman" w:eastAsia="仿宋" w:cs="Times New Roman"/>
                <w:iCs/>
                <w:color w:val="auto"/>
                <w:sz w:val="24"/>
              </w:rPr>
              <w:t>1</w:t>
            </w:r>
            <w:r>
              <w:rPr>
                <w:rFonts w:ascii="Times New Roman" w:hAnsi="Times New Roman" w:eastAsia="仿宋" w:cs="Times New Roman"/>
                <w:iCs/>
                <w:color w:val="auto"/>
                <w:sz w:val="24"/>
              </w:rPr>
              <w:t>0</w:t>
            </w:r>
          </w:p>
        </w:tc>
        <w:tc>
          <w:tcPr>
            <w:tcW w:w="43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iCs/>
                <w:color w:val="auto"/>
                <w:sz w:val="24"/>
              </w:rPr>
            </w:pPr>
            <w:r>
              <w:rPr>
                <w:rFonts w:hint="eastAsia" w:ascii="Times New Roman" w:hAnsi="Times New Roman" w:eastAsia="仿宋" w:cs="Times New Roman"/>
                <w:iCs/>
                <w:color w:val="auto"/>
                <w:sz w:val="24"/>
              </w:rPr>
              <w:t>20</w:t>
            </w:r>
            <w:r>
              <w:rPr>
                <w:rFonts w:ascii="Times New Roman" w:hAnsi="Times New Roman" w:eastAsia="仿宋" w:cs="Times New Roman"/>
                <w:iCs/>
                <w:color w:val="auto"/>
                <w:sz w:val="24"/>
              </w:rPr>
              <w:t>18</w:t>
            </w:r>
            <w:r>
              <w:rPr>
                <w:rFonts w:hint="eastAsia" w:ascii="Times New Roman" w:hAnsi="Times New Roman" w:eastAsia="仿宋" w:cs="Times New Roman"/>
                <w:iCs/>
                <w:color w:val="auto"/>
                <w:sz w:val="24"/>
              </w:rPr>
              <w:t>年至今获省级城乡规划奖的，一等奖每个得</w:t>
            </w:r>
            <w:r>
              <w:rPr>
                <w:rFonts w:ascii="Times New Roman" w:hAnsi="Times New Roman" w:eastAsia="仿宋" w:cs="Times New Roman"/>
                <w:iCs/>
                <w:color w:val="auto"/>
                <w:sz w:val="24"/>
              </w:rPr>
              <w:t>5</w:t>
            </w:r>
            <w:r>
              <w:rPr>
                <w:rFonts w:hint="eastAsia" w:ascii="Times New Roman" w:hAnsi="Times New Roman" w:eastAsia="仿宋" w:cs="Times New Roman"/>
                <w:iCs/>
                <w:color w:val="auto"/>
                <w:sz w:val="24"/>
              </w:rPr>
              <w:t>分，二等奖每个得</w:t>
            </w:r>
            <w:r>
              <w:rPr>
                <w:rFonts w:ascii="Times New Roman" w:hAnsi="Times New Roman" w:eastAsia="仿宋" w:cs="Times New Roman"/>
                <w:iCs/>
                <w:color w:val="auto"/>
                <w:sz w:val="24"/>
              </w:rPr>
              <w:t>4</w:t>
            </w:r>
            <w:r>
              <w:rPr>
                <w:rFonts w:hint="eastAsia" w:ascii="Times New Roman" w:hAnsi="Times New Roman" w:eastAsia="仿宋" w:cs="Times New Roman"/>
                <w:iCs/>
                <w:color w:val="auto"/>
                <w:sz w:val="24"/>
              </w:rPr>
              <w:t>分，三等奖每个得2分，最高得1</w:t>
            </w:r>
            <w:r>
              <w:rPr>
                <w:rFonts w:ascii="Times New Roman" w:hAnsi="Times New Roman" w:eastAsia="仿宋" w:cs="Times New Roman"/>
                <w:iCs/>
                <w:color w:val="auto"/>
                <w:sz w:val="24"/>
              </w:rPr>
              <w:t>0分</w:t>
            </w:r>
            <w:r>
              <w:rPr>
                <w:rFonts w:hint="eastAsia" w:ascii="Times New Roman" w:hAnsi="Times New Roman" w:eastAsia="仿宋" w:cs="Times New Roman"/>
                <w:iCs/>
                <w:color w:val="auto"/>
                <w:sz w:val="24"/>
              </w:rPr>
              <w:t>。</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hint="eastAsia" w:ascii="Times New Roman" w:hAnsi="Times New Roman" w:eastAsia="仿宋" w:cs="Times New Roman"/>
                <w:iCs/>
                <w:color w:val="auto"/>
                <w:sz w:val="24"/>
              </w:rPr>
              <w:t>以奖项年度、获奖证书为准，需提供获奖证明复印件，同一项目按最高奖项计分，不得重复计算。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3</w:t>
            </w:r>
          </w:p>
        </w:tc>
        <w:tc>
          <w:tcPr>
            <w:tcW w:w="781"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国土空间规划协调能力</w:t>
            </w:r>
          </w:p>
        </w:tc>
        <w:tc>
          <w:tcPr>
            <w:tcW w:w="570"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iCs/>
                <w:color w:val="auto"/>
                <w:sz w:val="24"/>
              </w:rPr>
            </w:pPr>
            <w:r>
              <w:rPr>
                <w:rFonts w:hint="eastAsia" w:ascii="Times New Roman" w:hAnsi="Times New Roman" w:eastAsia="仿宋" w:cs="Times New Roman"/>
                <w:iCs/>
                <w:color w:val="auto"/>
                <w:sz w:val="24"/>
              </w:rPr>
              <w:t>1</w:t>
            </w:r>
            <w:r>
              <w:rPr>
                <w:rFonts w:ascii="Times New Roman" w:hAnsi="Times New Roman" w:eastAsia="仿宋" w:cs="Times New Roman"/>
                <w:iCs/>
                <w:color w:val="auto"/>
                <w:sz w:val="24"/>
              </w:rPr>
              <w:t>0分</w:t>
            </w:r>
          </w:p>
        </w:tc>
        <w:tc>
          <w:tcPr>
            <w:tcW w:w="43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iCs/>
                <w:color w:val="auto"/>
                <w:sz w:val="24"/>
              </w:rPr>
            </w:pPr>
            <w:r>
              <w:rPr>
                <w:rFonts w:ascii="Times New Roman" w:hAnsi="Times New Roman" w:eastAsia="仿宋" w:cs="Times New Roman"/>
                <w:iCs/>
                <w:color w:val="auto"/>
                <w:sz w:val="24"/>
              </w:rPr>
              <w:t>为确保加油气站用地能够落地实施</w:t>
            </w:r>
            <w:r>
              <w:rPr>
                <w:rFonts w:hint="eastAsia" w:ascii="Times New Roman" w:hAnsi="Times New Roman" w:eastAsia="仿宋" w:cs="Times New Roman"/>
                <w:iCs/>
                <w:color w:val="auto"/>
                <w:sz w:val="24"/>
              </w:rPr>
              <w:t>，需</w:t>
            </w:r>
            <w:r>
              <w:rPr>
                <w:rFonts w:ascii="Times New Roman" w:hAnsi="Times New Roman" w:eastAsia="仿宋" w:cs="Times New Roman"/>
                <w:iCs/>
                <w:color w:val="auto"/>
                <w:sz w:val="24"/>
              </w:rPr>
              <w:t>协调与国土空间规划的关系</w:t>
            </w:r>
            <w:r>
              <w:rPr>
                <w:rFonts w:hint="eastAsia" w:ascii="Times New Roman" w:hAnsi="Times New Roman" w:eastAsia="仿宋" w:cs="Times New Roman"/>
                <w:iCs/>
                <w:color w:val="auto"/>
                <w:sz w:val="24"/>
              </w:rPr>
              <w:t>，</w:t>
            </w:r>
            <w:r>
              <w:rPr>
                <w:rFonts w:ascii="Times New Roman" w:hAnsi="Times New Roman" w:eastAsia="仿宋" w:cs="Times New Roman"/>
                <w:iCs/>
                <w:color w:val="auto"/>
                <w:sz w:val="24"/>
              </w:rPr>
              <w:t>具备土地利用规划甲级资质</w:t>
            </w:r>
            <w:r>
              <w:rPr>
                <w:rFonts w:hint="eastAsia" w:ascii="Times New Roman" w:hAnsi="Times New Roman" w:eastAsia="仿宋" w:cs="Times New Roman"/>
                <w:iCs/>
                <w:color w:val="auto"/>
                <w:sz w:val="24"/>
              </w:rPr>
              <w:t>，</w:t>
            </w:r>
            <w:r>
              <w:rPr>
                <w:rFonts w:ascii="Times New Roman" w:hAnsi="Times New Roman" w:eastAsia="仿宋" w:cs="Times New Roman"/>
                <w:iCs/>
                <w:color w:val="auto"/>
                <w:sz w:val="24"/>
              </w:rPr>
              <w:t>得</w:t>
            </w:r>
            <w:r>
              <w:rPr>
                <w:rFonts w:hint="eastAsia" w:ascii="Times New Roman" w:hAnsi="Times New Roman" w:eastAsia="仿宋" w:cs="Times New Roman"/>
                <w:iCs/>
                <w:color w:val="auto"/>
                <w:sz w:val="24"/>
              </w:rPr>
              <w:t>1</w:t>
            </w:r>
            <w:r>
              <w:rPr>
                <w:rFonts w:ascii="Times New Roman" w:hAnsi="Times New Roman" w:eastAsia="仿宋" w:cs="Times New Roman"/>
                <w:iCs/>
                <w:color w:val="auto"/>
                <w:sz w:val="24"/>
              </w:rPr>
              <w:t>0分</w:t>
            </w:r>
            <w:r>
              <w:rPr>
                <w:rFonts w:hint="eastAsia" w:ascii="Times New Roman" w:hAnsi="Times New Roman" w:eastAsia="仿宋" w:cs="Times New Roman"/>
                <w:iCs/>
                <w:color w:val="auto"/>
                <w:sz w:val="24"/>
              </w:rPr>
              <w:t>；</w:t>
            </w:r>
          </w:p>
          <w:p>
            <w:pPr>
              <w:rPr>
                <w:rFonts w:ascii="Times New Roman" w:hAnsi="Times New Roman" w:eastAsia="仿宋" w:cs="Times New Roman"/>
                <w:iCs/>
                <w:color w:val="auto"/>
                <w:sz w:val="24"/>
              </w:rPr>
            </w:pPr>
            <w:r>
              <w:rPr>
                <w:rFonts w:ascii="Times New Roman" w:hAnsi="Times New Roman" w:eastAsia="仿宋" w:cs="Times New Roman"/>
                <w:iCs/>
                <w:color w:val="auto"/>
                <w:sz w:val="24"/>
              </w:rPr>
              <w:t>具备土地利用规划</w:t>
            </w:r>
            <w:r>
              <w:rPr>
                <w:rFonts w:hint="eastAsia" w:ascii="Times New Roman" w:hAnsi="Times New Roman" w:eastAsia="仿宋" w:cs="Times New Roman"/>
                <w:iCs/>
                <w:color w:val="auto"/>
                <w:sz w:val="24"/>
              </w:rPr>
              <w:t>乙</w:t>
            </w:r>
            <w:r>
              <w:rPr>
                <w:rFonts w:ascii="Times New Roman" w:hAnsi="Times New Roman" w:eastAsia="仿宋" w:cs="Times New Roman"/>
                <w:iCs/>
                <w:color w:val="auto"/>
                <w:sz w:val="24"/>
              </w:rPr>
              <w:t>级资质</w:t>
            </w:r>
            <w:r>
              <w:rPr>
                <w:rFonts w:hint="eastAsia" w:ascii="Times New Roman" w:hAnsi="Times New Roman" w:eastAsia="仿宋" w:cs="Times New Roman"/>
                <w:iCs/>
                <w:color w:val="auto"/>
                <w:sz w:val="24"/>
              </w:rPr>
              <w:t>，</w:t>
            </w:r>
            <w:r>
              <w:rPr>
                <w:rFonts w:ascii="Times New Roman" w:hAnsi="Times New Roman" w:eastAsia="仿宋" w:cs="Times New Roman"/>
                <w:iCs/>
                <w:color w:val="auto"/>
                <w:sz w:val="24"/>
              </w:rPr>
              <w:t>得5分</w:t>
            </w:r>
            <w:r>
              <w:rPr>
                <w:rFonts w:hint="eastAsia" w:ascii="Times New Roman" w:hAnsi="Times New Roman" w:eastAsia="仿宋" w:cs="Times New Roman"/>
                <w:iCs/>
                <w:color w:val="auto"/>
                <w:sz w:val="24"/>
              </w:rPr>
              <w:t>；</w:t>
            </w:r>
          </w:p>
          <w:p>
            <w:pPr>
              <w:rPr>
                <w:rFonts w:ascii="Times New Roman" w:hAnsi="Times New Roman" w:eastAsia="仿宋" w:cs="Times New Roman"/>
                <w:iCs/>
                <w:color w:val="auto"/>
                <w:sz w:val="24"/>
              </w:rPr>
            </w:pPr>
            <w:r>
              <w:rPr>
                <w:rFonts w:ascii="Times New Roman" w:hAnsi="Times New Roman" w:eastAsia="仿宋" w:cs="Times New Roman"/>
                <w:iCs/>
                <w:color w:val="auto"/>
                <w:sz w:val="24"/>
              </w:rPr>
              <w:t>无土地利用规划资质不得分</w:t>
            </w:r>
            <w:r>
              <w:rPr>
                <w:rFonts w:hint="eastAsia" w:ascii="Times New Roman" w:hAnsi="Times New Roman" w:eastAsia="仿宋" w:cs="Times New Roman"/>
                <w:iCs/>
                <w:color w:val="auto"/>
                <w:sz w:val="24"/>
              </w:rPr>
              <w:t>。</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以资质证书为准</w:t>
            </w:r>
            <w:r>
              <w:rPr>
                <w:rFonts w:hint="eastAsia" w:ascii="Times New Roman" w:hAnsi="Times New Roman"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4</w:t>
            </w:r>
          </w:p>
        </w:tc>
        <w:tc>
          <w:tcPr>
            <w:tcW w:w="7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kern w:val="0"/>
                <w:sz w:val="24"/>
              </w:rPr>
              <w:t>人员投入情况</w:t>
            </w:r>
          </w:p>
        </w:tc>
        <w:tc>
          <w:tcPr>
            <w:tcW w:w="57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10分</w:t>
            </w:r>
          </w:p>
        </w:tc>
        <w:tc>
          <w:tcPr>
            <w:tcW w:w="43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sz w:val="24"/>
              </w:rPr>
            </w:pPr>
            <w:r>
              <w:rPr>
                <w:rFonts w:ascii="Times New Roman" w:hAnsi="Times New Roman" w:eastAsia="仿宋" w:cs="Times New Roman"/>
                <w:iCs/>
                <w:color w:val="auto"/>
                <w:sz w:val="24"/>
              </w:rPr>
              <w:t>设计团队人员规模要求（不含项目负责人）：具有注册规划师资格或高级职称及以上的每人得2分，本项最高10分。</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以上人员须提供2019年10月起至投标截止时间止（期间中任何一个连续3个月）的在本单位任职的个人社保缴费</w:t>
            </w:r>
            <w:r>
              <w:rPr>
                <w:rFonts w:hint="eastAsia" w:ascii="Times New Roman" w:hAnsi="Times New Roman" w:eastAsia="仿宋" w:cs="Times New Roman"/>
                <w:color w:val="auto"/>
                <w:sz w:val="24"/>
              </w:rPr>
              <w:t>证明</w:t>
            </w:r>
            <w:r>
              <w:rPr>
                <w:rFonts w:ascii="Times New Roman" w:hAnsi="Times New Roman" w:eastAsia="仿宋" w:cs="Times New Roman"/>
                <w:color w:val="auto"/>
                <w:sz w:val="24"/>
              </w:rPr>
              <w:t>。未提供不得分。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33" w:hRule="atLeast"/>
        </w:trPr>
        <w:tc>
          <w:tcPr>
            <w:tcW w:w="353"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5</w:t>
            </w:r>
          </w:p>
        </w:tc>
        <w:tc>
          <w:tcPr>
            <w:tcW w:w="781"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驻地工作计划</w:t>
            </w:r>
          </w:p>
        </w:tc>
        <w:tc>
          <w:tcPr>
            <w:tcW w:w="570" w:type="dxa"/>
            <w:tcBorders>
              <w:top w:val="single" w:color="auto" w:sz="4" w:space="0"/>
              <w:left w:val="single" w:color="auto" w:sz="4" w:space="0"/>
              <w:right w:val="single" w:color="auto" w:sz="4" w:space="0"/>
            </w:tcBorders>
            <w:vAlign w:val="center"/>
          </w:tcPr>
          <w:p>
            <w:pPr>
              <w:jc w:val="center"/>
              <w:rPr>
                <w:rFonts w:ascii="Times New Roman" w:hAnsi="Times New Roman" w:eastAsia="仿宋" w:cs="Times New Roman"/>
                <w:iCs/>
                <w:color w:val="auto"/>
                <w:sz w:val="24"/>
              </w:rPr>
            </w:pPr>
            <w:r>
              <w:rPr>
                <w:rFonts w:ascii="Times New Roman" w:hAnsi="Times New Roman" w:eastAsia="仿宋" w:cs="Times New Roman"/>
                <w:iCs/>
                <w:color w:val="auto"/>
                <w:sz w:val="24"/>
              </w:rPr>
              <w:t>15分</w:t>
            </w:r>
          </w:p>
        </w:tc>
        <w:tc>
          <w:tcPr>
            <w:tcW w:w="434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auto"/>
                <w:sz w:val="24"/>
              </w:rPr>
            </w:pPr>
            <w:r>
              <w:rPr>
                <w:rFonts w:ascii="Times New Roman" w:hAnsi="Times New Roman" w:eastAsia="仿宋" w:cs="Times New Roman"/>
                <w:iCs/>
                <w:color w:val="auto"/>
                <w:sz w:val="24"/>
              </w:rPr>
              <w:t>在义乌本地有注册办公场所，</w:t>
            </w:r>
            <w:r>
              <w:rPr>
                <w:rFonts w:ascii="Times New Roman" w:hAnsi="Times New Roman" w:eastAsia="仿宋" w:cs="Times New Roman"/>
                <w:color w:val="auto"/>
                <w:sz w:val="24"/>
              </w:rPr>
              <w:t>承诺项目负责人驻义乌，并能在半小时内响应委托人要求的，得15分；</w:t>
            </w:r>
          </w:p>
          <w:p>
            <w:pPr>
              <w:rPr>
                <w:rFonts w:ascii="Times New Roman" w:hAnsi="Times New Roman" w:eastAsia="仿宋" w:cs="Times New Roman"/>
                <w:color w:val="auto"/>
              </w:rPr>
            </w:pPr>
            <w:r>
              <w:rPr>
                <w:rFonts w:ascii="Times New Roman" w:hAnsi="Times New Roman" w:eastAsia="仿宋" w:cs="Times New Roman"/>
                <w:iCs/>
                <w:color w:val="auto"/>
                <w:sz w:val="24"/>
              </w:rPr>
              <w:t>在义乌本地有注册办公场所，</w:t>
            </w:r>
            <w:r>
              <w:rPr>
                <w:rFonts w:ascii="Times New Roman" w:hAnsi="Times New Roman" w:eastAsia="仿宋" w:cs="Times New Roman"/>
                <w:color w:val="auto"/>
                <w:sz w:val="24"/>
              </w:rPr>
              <w:t>承诺项目负责人驻义乌，并能在1小时内响应委托人要求的，得10分；</w:t>
            </w:r>
          </w:p>
          <w:p>
            <w:pPr>
              <w:rPr>
                <w:rFonts w:ascii="Times New Roman" w:hAnsi="Times New Roman" w:eastAsia="仿宋" w:cs="Times New Roman"/>
                <w:iCs/>
                <w:color w:val="auto"/>
                <w:sz w:val="24"/>
              </w:rPr>
            </w:pPr>
            <w:r>
              <w:rPr>
                <w:rFonts w:ascii="Times New Roman" w:hAnsi="Times New Roman" w:eastAsia="仿宋" w:cs="Times New Roman"/>
                <w:iCs/>
                <w:color w:val="auto"/>
                <w:sz w:val="24"/>
              </w:rPr>
              <w:t>在义乌本地</w:t>
            </w:r>
            <w:r>
              <w:rPr>
                <w:rFonts w:hint="eastAsia" w:ascii="Times New Roman" w:hAnsi="Times New Roman" w:eastAsia="仿宋" w:cs="Times New Roman"/>
                <w:iCs/>
                <w:color w:val="auto"/>
                <w:sz w:val="24"/>
              </w:rPr>
              <w:t>有</w:t>
            </w:r>
            <w:r>
              <w:rPr>
                <w:rFonts w:ascii="Times New Roman" w:hAnsi="Times New Roman" w:eastAsia="仿宋" w:cs="Times New Roman"/>
                <w:iCs/>
                <w:color w:val="auto"/>
                <w:sz w:val="24"/>
              </w:rPr>
              <w:t>租赁办公场所，</w:t>
            </w:r>
            <w:r>
              <w:rPr>
                <w:rFonts w:ascii="Times New Roman" w:hAnsi="Times New Roman" w:eastAsia="仿宋" w:cs="Times New Roman"/>
                <w:color w:val="auto"/>
                <w:sz w:val="24"/>
              </w:rPr>
              <w:t>承诺项目负责人驻义乌，并能在1小时内响应委托人要求的，得8分；</w:t>
            </w:r>
          </w:p>
          <w:p>
            <w:pPr>
              <w:rPr>
                <w:rFonts w:ascii="Times New Roman" w:hAnsi="Times New Roman" w:eastAsia="仿宋" w:cs="Times New Roman"/>
                <w:color w:val="auto"/>
                <w:sz w:val="24"/>
              </w:rPr>
            </w:pPr>
            <w:r>
              <w:rPr>
                <w:rFonts w:ascii="Times New Roman" w:hAnsi="Times New Roman" w:eastAsia="仿宋" w:cs="Times New Roman"/>
                <w:iCs/>
                <w:color w:val="auto"/>
                <w:sz w:val="24"/>
              </w:rPr>
              <w:t>在义乌本地无办公场所，</w:t>
            </w:r>
            <w:r>
              <w:rPr>
                <w:rFonts w:ascii="Times New Roman" w:hAnsi="Times New Roman" w:eastAsia="仿宋" w:cs="Times New Roman"/>
                <w:color w:val="auto"/>
                <w:sz w:val="24"/>
              </w:rPr>
              <w:t>承诺项目负责人驻义乌，并能在2小时内响应委托人要求的，得6分；</w:t>
            </w:r>
          </w:p>
          <w:p>
            <w:pPr>
              <w:rPr>
                <w:rFonts w:ascii="Times New Roman" w:hAnsi="Times New Roman" w:eastAsia="仿宋" w:cs="Times New Roman"/>
                <w:color w:val="auto"/>
                <w:sz w:val="24"/>
              </w:rPr>
            </w:pPr>
            <w:r>
              <w:rPr>
                <w:rFonts w:ascii="Times New Roman" w:hAnsi="Times New Roman" w:eastAsia="仿宋" w:cs="Times New Roman"/>
                <w:color w:val="auto"/>
                <w:sz w:val="24"/>
              </w:rPr>
              <w:t>无法达到上述要求的，得0分。</w:t>
            </w:r>
          </w:p>
        </w:tc>
        <w:tc>
          <w:tcPr>
            <w:tcW w:w="322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auto"/>
                <w:sz w:val="24"/>
              </w:rPr>
            </w:pPr>
            <w:r>
              <w:rPr>
                <w:rFonts w:ascii="Times New Roman" w:hAnsi="Times New Roman" w:eastAsia="仿宋" w:cs="Times New Roman"/>
                <w:color w:val="auto"/>
                <w:sz w:val="24"/>
              </w:rPr>
              <w:t>注册办公场所凭证</w:t>
            </w:r>
            <w:r>
              <w:rPr>
                <w:rFonts w:hint="eastAsia" w:ascii="Times New Roman" w:hAnsi="Times New Roman" w:eastAsia="仿宋" w:cs="Times New Roman"/>
                <w:color w:val="auto"/>
                <w:sz w:val="24"/>
              </w:rPr>
              <w:t>以</w:t>
            </w:r>
            <w:r>
              <w:rPr>
                <w:rFonts w:ascii="Times New Roman" w:hAnsi="Times New Roman" w:eastAsia="仿宋" w:cs="Times New Roman"/>
                <w:color w:val="auto"/>
                <w:sz w:val="24"/>
              </w:rPr>
              <w:t>营业执照注册地址为准</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租赁办公场所凭证以房产证</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租房合同或其他可用于证明的资料为准。</w:t>
            </w:r>
          </w:p>
        </w:tc>
      </w:tr>
    </w:tbl>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评标小组根据上述评分细目给分，打分时保留小数1位，每人一份评分表，并签名。在统计得分时，如果发现某一单项评分超过评分细则规定的分值范围，则该张评分表无效。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技术标资信得分：最终得分为评标小组成员的有效评分的算术平均值。计算时保留小数2位（四舍五入）。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2.商务标评审，满分40分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2.1甄别异常报价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对出现下列情况之一的，由评标小组认定为异常报价，按无效标处理，不再进行评审：</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2.1.1报价高于最高限价；</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2.1.2评标小组一致认为投标人的报价明显低于其他投标报价或者低于最高限价65%的（即在最高限价的100%～65%以外的报价），有可能影响质量或者不能诚信履约，应当在评标现场合理的时间内提供书面说明，必要时提交相关说明材料；投标人不能说明其报价合理性的，经评标小组取得一致意见后，可确定该投标人无效。</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2.2商务报价分计算方法如下：</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评标基准价的确定办法：以所有有效报价中的最低价为基准价，投标人的价格分统一按下列公式计算：</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商务标得分=（基准价/投标报价）×</w:t>
      </w:r>
      <w:r>
        <w:rPr>
          <w:rFonts w:hint="eastAsia" w:ascii="Times New Roman" w:hAnsi="Times New Roman" w:eastAsia="仿宋" w:cs="Times New Roman"/>
          <w:b w:val="0"/>
          <w:bCs/>
          <w:color w:val="auto"/>
          <w:sz w:val="32"/>
          <w:szCs w:val="32"/>
        </w:rPr>
        <w:t>4</w:t>
      </w:r>
      <w:r>
        <w:rPr>
          <w:rFonts w:ascii="Times New Roman" w:hAnsi="Times New Roman" w:eastAsia="仿宋" w:cs="Times New Roman"/>
          <w:b w:val="0"/>
          <w:bCs/>
          <w:color w:val="auto"/>
          <w:sz w:val="32"/>
          <w:szCs w:val="32"/>
        </w:rPr>
        <w:t>0</w:t>
      </w:r>
      <w:r>
        <w:rPr>
          <w:rFonts w:ascii="Times New Roman" w:hAnsi="Times New Roman" w:eastAsia="仿宋" w:cs="Times New Roman"/>
          <w:sz w:val="32"/>
          <w:szCs w:val="32"/>
        </w:rPr>
        <w:t xml:space="preserve">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计算时保留小数2位（四舍五入）。</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3.计算总得分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总得分=技术标资信得分+商务标得分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计算时保留小数2位（四舍五入）</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三、定标办法</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评标小组完成评标后，评标结果按评审后得分由高到低顺序排列（总得分相同的，按投标报价由低到高顺序排列；得分且投标报价、技术标资信得分也相同的，由采购人代表采用公开摇号方式随机确定排列顺序）。评标小组直接确定排名第一的投标单位为标一中标候选人；排名第二的投标单位为标二中标候选人向采购人推荐，并提交经评标小组成员签字的评标报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（二）其次，确定中标单位：</w:t>
      </w:r>
      <w:r>
        <w:rPr>
          <w:rFonts w:hint="eastAsia" w:ascii="仿宋" w:hAnsi="仿宋" w:eastAsia="仿宋" w:cs="仿宋"/>
          <w:b w:val="0"/>
          <w:bCs/>
          <w:color w:val="auto"/>
          <w:sz w:val="32"/>
          <w:szCs w:val="32"/>
        </w:rPr>
        <w:t>当投标单位小于3家时，本次投标作废标处理。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（三）采购人直接授权评标小组确定中标人。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（四）当确定的中标人放弃中标，或因不可抗力提出不能履行合同，重新组织招标。</w:t>
      </w:r>
    </w:p>
    <w:p>
      <w:pPr>
        <w:rPr>
          <w:rFonts w:ascii="Times New Roman" w:hAnsi="Times New Roman" w:eastAsia="仿宋" w:cs="Times New Roman"/>
          <w:sz w:val="32"/>
          <w:szCs w:val="32"/>
        </w:rPr>
      </w:pPr>
    </w:p>
    <w:sectPr>
      <w:footerReference r:id="rId3" w:type="default"/>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B51BCC"/>
    <w:rsid w:val="000C2032"/>
    <w:rsid w:val="00213663"/>
    <w:rsid w:val="002241A6"/>
    <w:rsid w:val="00282B62"/>
    <w:rsid w:val="002864D8"/>
    <w:rsid w:val="0037646C"/>
    <w:rsid w:val="00573CE9"/>
    <w:rsid w:val="00942CD4"/>
    <w:rsid w:val="00AD4BCD"/>
    <w:rsid w:val="00B84A0A"/>
    <w:rsid w:val="00C4437C"/>
    <w:rsid w:val="00D207FB"/>
    <w:rsid w:val="00D334A4"/>
    <w:rsid w:val="16B51BCC"/>
    <w:rsid w:val="1DDD6409"/>
    <w:rsid w:val="29BB5727"/>
    <w:rsid w:val="30963B16"/>
    <w:rsid w:val="35B70B86"/>
    <w:rsid w:val="61816812"/>
    <w:rsid w:val="618D67B5"/>
    <w:rsid w:val="6BAF73FF"/>
    <w:rsid w:val="7308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unhideWhenUsed/>
    <w:qFormat/>
    <w:uiPriority w:val="99"/>
    <w:rPr>
      <w:color w:val="0000FF"/>
      <w:u w:val="single"/>
    </w:rPr>
  </w:style>
  <w:style w:type="paragraph" w:styleId="10">
    <w:name w:val="No Spacing"/>
    <w:qFormat/>
    <w:uiPriority w:val="1"/>
    <w:pPr>
      <w:widowControl w:val="0"/>
      <w:jc w:val="both"/>
    </w:pPr>
    <w:rPr>
      <w:rFonts w:ascii="Calibri" w:hAnsi="Calibri" w:eastAsia="宋体" w:cs="Times New Roman"/>
      <w:kern w:val="2"/>
      <w:sz w:val="21"/>
      <w:szCs w:val="24"/>
      <w:lang w:val="en-US" w:eastAsia="zh-CN" w:bidi="ar-SA"/>
    </w:r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0"/>
    <w:rPr>
      <w:kern w:val="2"/>
      <w:sz w:val="18"/>
      <w:szCs w:val="18"/>
    </w:rPr>
  </w:style>
  <w:style w:type="character" w:customStyle="1" w:styleId="13">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591</Words>
  <Characters>3374</Characters>
  <Lines>28</Lines>
  <Paragraphs>7</Paragraphs>
  <TotalTime>106</TotalTime>
  <ScaleCrop>false</ScaleCrop>
  <LinksUpToDate>false</LinksUpToDate>
  <CharactersWithSpaces>3958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2020-03-16T01:24:00Z</dcterms:created>
  <dc:creator>Απολλω</dc:creator>
  <cp:lastModifiedBy>araraki</cp:lastModifiedBy>
  <cp:lastPrinted>2020-03-16T05:49:00Z</cp:lastPrinted>
  <dcterms:modified xsi:type="dcterms:W3CDTF">2020-03-16T06:42:00Z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