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000000"/>
          <w:spacing w:val="-6"/>
          <w:sz w:val="32"/>
          <w:szCs w:val="32"/>
        </w:rPr>
      </w:pPr>
      <w:r>
        <w:rPr>
          <w:rFonts w:hint="eastAsia" w:ascii="黑体" w:eastAsia="黑体"/>
          <w:color w:val="000000"/>
          <w:spacing w:val="-6"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方正小标宋简体" w:eastAsia="方正小标宋简体"/>
          <w:color w:val="000000"/>
          <w:spacing w:val="2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pacing w:val="20"/>
          <w:sz w:val="44"/>
          <w:szCs w:val="44"/>
        </w:rPr>
        <w:t>全域分质供水任务工作任务清单</w:t>
      </w:r>
    </w:p>
    <w:tbl>
      <w:tblPr>
        <w:tblStyle w:val="2"/>
        <w:tblpPr w:leftFromText="180" w:rightFromText="180" w:vertAnchor="page" w:horzAnchor="margin" w:tblpXSpec="center" w:tblpY="3390"/>
        <w:tblW w:w="10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530"/>
        <w:gridCol w:w="3300"/>
        <w:gridCol w:w="1290"/>
        <w:gridCol w:w="210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工作清单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主要内容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责任单位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配合单位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完成期限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编制规划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完成《义乌市分质供水规划》编制。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水务局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自然资源和规划局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规划控制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建立规划区用地许可证、土地出让、建设工程规划许可证、规划验收等分质供水规划管控机制。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自然资源和规划局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经信局、建设局、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水务局、相关镇街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建设控制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 w:cs="宋体"/>
                <w:spacing w:val="-6"/>
                <w:szCs w:val="21"/>
              </w:rPr>
              <w:t>建立规划区建设工程施工图审查、验收备案等分质供水建设管控机制。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建设局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相关镇街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招商控制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规划区内的招商引资项目，应引导项目方实施分质供水。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各招商主体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水价体系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 w:cs="宋体"/>
                <w:spacing w:val="-6"/>
                <w:szCs w:val="21"/>
              </w:rPr>
              <w:t>启动水价调整，建立阶梯水价制度。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发改局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财政局、水务局、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水务集团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2020年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运行补助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建立分质水厂运行补助政策。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水务局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财政局、发改局、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水务集团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工业用水管控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建立工业企业分质供水管控机制。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经信局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水务局、水务集团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公共用水管控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建立公共机构分质供水推行措施。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水务局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教育局、国资办、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机关事务管理局、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水务集团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市政用水管控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建立园林绿化、道路环卫、建设施工等市政用水使用中水、河水等生态水替代自来水工作机制。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建设局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执法局、水务集团、环境集团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信用体系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建立分质供水信用体系。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水务集团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金融办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居民试点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完成城市有机更新区</w:t>
            </w:r>
            <w:r>
              <w:rPr>
                <w:rFonts w:hint="eastAsia" w:ascii="仿宋_GB2312" w:eastAsia="仿宋_GB2312"/>
              </w:rPr>
              <w:t>-</w:t>
            </w:r>
            <w:r>
              <w:rPr>
                <w:rFonts w:hint="eastAsia" w:ascii="仿宋_GB2312" w:eastAsia="仿宋_GB2312" w:cs="宋体"/>
              </w:rPr>
              <w:t>卿云府分质供水试点建设。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水务局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建设局、执法局、稠城街道、水务集团、建投集团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2020年底前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工业试点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完成稠江</w:t>
            </w:r>
            <w:r>
              <w:rPr>
                <w:rFonts w:hint="eastAsia" w:ascii="仿宋_GB2312" w:eastAsia="仿宋_GB2312"/>
              </w:rPr>
              <w:t>-</w:t>
            </w:r>
            <w:r>
              <w:rPr>
                <w:rFonts w:hint="eastAsia" w:ascii="仿宋_GB2312" w:eastAsia="仿宋_GB2312" w:cs="宋体"/>
              </w:rPr>
              <w:t>义亭工业区分质供水试点建设。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水务局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经信局、义亭镇、稠江街道、水务集团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2020年底前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宣传引导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对分质供水推广使用进行宣传引导，提高广大企业和居民使用中水的积极性和主动性。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水务局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宋体"/>
              </w:rPr>
              <w:t>宣传部、水务集团、各镇街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5671A"/>
    <w:rsid w:val="05F5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2020-01-02T07:22:00Z</dcterms:created>
  <dc:creator>盒子</dc:creator>
  <cp:lastModifiedBy>盒子</cp:lastModifiedBy>
  <dcterms:modified xsi:type="dcterms:W3CDTF">2020-01-02T07:22:45Z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