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关于编制《金华市网络预约出租汽车经营</w:t>
      </w:r>
    </w:p>
    <w:p>
      <w:pPr>
        <w:spacing w:line="560" w:lineRule="exact"/>
        <w:jc w:val="center"/>
        <w:rPr>
          <w:rFonts w:ascii="方正小标宋简体" w:eastAsia="方正小标宋简体"/>
          <w:b/>
          <w:sz w:val="44"/>
          <w:szCs w:val="44"/>
        </w:rPr>
      </w:pPr>
      <w:r>
        <w:rPr>
          <w:rFonts w:hint="eastAsia" w:ascii="方正小标宋简体" w:eastAsia="方正小标宋简体"/>
          <w:b/>
          <w:sz w:val="44"/>
          <w:szCs w:val="44"/>
        </w:rPr>
        <w:t>服务管理实施细则</w:t>
      </w:r>
      <w:r>
        <w:rPr>
          <w:rFonts w:hint="eastAsia" w:ascii="方正小标宋简体" w:eastAsia="方正小标宋简体"/>
          <w:b/>
          <w:sz w:val="44"/>
          <w:szCs w:val="44"/>
          <w:lang w:eastAsia="zh-CN"/>
        </w:rPr>
        <w:t>（征求意见稿）</w:t>
      </w:r>
      <w:r>
        <w:rPr>
          <w:rFonts w:hint="eastAsia" w:ascii="方正小标宋简体" w:eastAsia="方正小标宋简体"/>
          <w:b/>
          <w:sz w:val="44"/>
          <w:szCs w:val="44"/>
        </w:rPr>
        <w:t>》的说明</w:t>
      </w:r>
    </w:p>
    <w:p>
      <w:pPr>
        <w:spacing w:line="560" w:lineRule="exact"/>
        <w:jc w:val="center"/>
        <w:rPr>
          <w:rFonts w:ascii="方正小标宋简体" w:eastAsia="方正小标宋简体"/>
          <w:b/>
          <w:sz w:val="44"/>
          <w:szCs w:val="44"/>
        </w:rPr>
      </w:pP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为了规范网络预约出租汽车经营行为，保障乘客安全和合法权益，根据《国务院办公厅关于深化改</w:t>
      </w:r>
      <w:bookmarkStart w:id="0" w:name="_GoBack"/>
      <w:bookmarkEnd w:id="0"/>
      <w:r>
        <w:rPr>
          <w:rFonts w:hint="eastAsia" w:ascii="仿宋_GB2312" w:hAnsi="仿宋" w:eastAsia="仿宋_GB2312"/>
          <w:sz w:val="32"/>
          <w:szCs w:val="32"/>
        </w:rPr>
        <w:t>革推进出租汽车行业健康发展的指导意见》（国办发〔2016〕58号）、《网络预约出租汽车经营服务管理暂行办法》（交通运输部等七部委[2016]第60号令）规定，我市于2016年11月1日出台《金华市网络预约出租汽车经营服务管理实施细则（试行）》。该实施细则已施行了四年有余，现根据网约车发展现状及群众需求，依据现行的法律、法规及规章，在合法、合理的基础上对试行的实施细则修订完善并重新发布实施。</w:t>
      </w:r>
    </w:p>
    <w:p>
      <w:pPr>
        <w:numPr>
          <w:ilvl w:val="0"/>
          <w:numId w:val="1"/>
        </w:numPr>
        <w:spacing w:line="560" w:lineRule="exact"/>
        <w:ind w:firstLine="640" w:firstLineChars="200"/>
        <w:rPr>
          <w:rFonts w:ascii="黑体" w:hAnsi="仿宋" w:eastAsia="黑体"/>
          <w:b/>
          <w:bCs/>
          <w:sz w:val="32"/>
          <w:szCs w:val="32"/>
        </w:rPr>
      </w:pPr>
      <w:r>
        <w:rPr>
          <w:rFonts w:hint="eastAsia" w:ascii="黑体" w:hAnsi="仿宋" w:eastAsia="黑体"/>
          <w:sz w:val="32"/>
          <w:szCs w:val="32"/>
        </w:rPr>
        <w:t>制定实施细则的必要性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实施细则试行四年多来，滴滴、易到、曹操专车等52家网约车平台已按实施细则之规定在我市取得许可，网约车驾驶员从业资格证及网约车运输证也在有条不紊地办理当中。实施细则的出台在一定程度上保障了金华市网约车的合法、有序发展。但随着网约车这一新业态的快速发展，群众出行需求不断提高，也逐渐反映出了一定的局限性及滞后性。比如网约车平台需到市本级或各（县）市办理许可的规定不符合“最多跑一次”的精神，驾驶员及车辆的准入门槛过高，也不符合出租车（含网约车）新能源化的政策精神。若不及时修改实施细则将影响新业态的发展和群众的出行需求。综上，根据现阶段本市实际，对实施细则进行修改完善并重新发布势在必行。</w:t>
      </w:r>
    </w:p>
    <w:p>
      <w:pPr>
        <w:spacing w:line="560" w:lineRule="exact"/>
        <w:ind w:firstLine="640" w:firstLineChars="200"/>
        <w:rPr>
          <w:rFonts w:ascii="仿宋" w:hAnsi="仿宋" w:eastAsia="仿宋"/>
          <w:sz w:val="32"/>
          <w:szCs w:val="32"/>
        </w:rPr>
      </w:pPr>
      <w:r>
        <w:rPr>
          <w:rFonts w:hint="eastAsia" w:ascii="黑体" w:hAnsi="仿宋" w:eastAsia="黑体"/>
          <w:sz w:val="32"/>
          <w:szCs w:val="32"/>
        </w:rPr>
        <w:t>二、实施细则修改的主要内容</w:t>
      </w:r>
    </w:p>
    <w:p>
      <w:pPr>
        <w:spacing w:line="560" w:lineRule="exact"/>
        <w:ind w:firstLine="640" w:firstLineChars="200"/>
        <w:rPr>
          <w:rFonts w:ascii="仿宋_GB2312" w:hAnsi="仿宋" w:eastAsia="仿宋_GB2312"/>
          <w:sz w:val="32"/>
          <w:szCs w:val="32"/>
        </w:rPr>
      </w:pPr>
      <w:r>
        <w:rPr>
          <w:rFonts w:hint="eastAsia" w:ascii="仿宋" w:hAnsi="仿宋" w:eastAsia="仿宋"/>
          <w:sz w:val="32"/>
          <w:szCs w:val="32"/>
        </w:rPr>
        <w:t>拟重新发布的</w:t>
      </w:r>
      <w:r>
        <w:rPr>
          <w:rFonts w:hint="eastAsia" w:ascii="仿宋_GB2312" w:hAnsi="仿宋" w:eastAsia="仿宋_GB2312"/>
          <w:sz w:val="32"/>
          <w:szCs w:val="32"/>
        </w:rPr>
        <w:t>实施细则共七部分，分别为：总则、网约车平台公司、网约车车辆和驾驶员、网约车经营行为、监督检查、私人小客车合乘、附则。</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第一部分 总则，明确本细则制定依据、适用范围与网约车管理主体等，并且规定网约车运价市场调节、数量不管控；</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第二部分 网约车平台公司，明确申请从事网约车经营的平台公司需要符合的条件及许可流程；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第三部分 网约车车辆和驾驶员，明确车辆和驾驶员的准入门槛和申请程序；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第四部分 网约车经营行为，明确网约车经营者、车辆及驾驶员在经营服务过程中需遵守的相关规范要求。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第五部分 服务与监督，明确经营过程中网约车经营者的日常管理责任以及有关职能部门的监管责任。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第六部分 私人小客车合乘，明确私人小客车合乘不属于道路运输经营活动，其为各方自愿的民事行为；对小客车合乘与网约车经营行为之间的界限设定了一定的标准；同时，对提供合乘服务平台数据接入提出了一定要求。</w:t>
      </w:r>
    </w:p>
    <w:p>
      <w:pPr>
        <w:spacing w:line="560" w:lineRule="exact"/>
        <w:ind w:firstLine="640" w:firstLineChars="200"/>
        <w:rPr>
          <w:rFonts w:ascii="黑体" w:hAnsi="宋体" w:eastAsia="黑体" w:cs="黑体"/>
          <w:b/>
          <w:kern w:val="0"/>
          <w:sz w:val="32"/>
          <w:szCs w:val="32"/>
        </w:rPr>
      </w:pPr>
      <w:r>
        <w:rPr>
          <w:rFonts w:hint="eastAsia" w:ascii="仿宋_GB2312" w:hAnsi="仿宋" w:eastAsia="仿宋_GB2312"/>
          <w:sz w:val="32"/>
          <w:szCs w:val="32"/>
        </w:rPr>
        <w:t>第七部分 附则，明确巡游出租汽车以网络预约方式提供服务不适用本实施细则；明确违反实则细则相关规定的处罚依据；本实施细则施行前依法颁发的许可证件，在原许可范围内继续有效，被许可人也可按本实施细则重新申请行政许可；并规定本细则自2021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日起实施。</w:t>
      </w:r>
    </w:p>
    <w:p>
      <w:pPr>
        <w:widowControl/>
        <w:tabs>
          <w:tab w:val="left" w:pos="1485"/>
        </w:tabs>
        <w:spacing w:line="500" w:lineRule="exact"/>
        <w:ind w:firstLine="641"/>
        <w:rPr>
          <w:rFonts w:ascii="仿宋_GB2312" w:hAnsi="仿宋" w:eastAsia="仿宋_GB2312"/>
          <w:b/>
          <w:bCs/>
          <w:sz w:val="32"/>
          <w:szCs w:val="32"/>
        </w:rPr>
      </w:pPr>
      <w:r>
        <w:rPr>
          <w:rFonts w:hint="eastAsia" w:ascii="仿宋_GB2312" w:hAnsi="仿宋" w:eastAsia="仿宋_GB2312"/>
          <w:b/>
          <w:bCs/>
          <w:sz w:val="32"/>
          <w:szCs w:val="32"/>
        </w:rPr>
        <w:t>主要修改内容如下：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1、拟将网约车平台资质审查及证件核发统一由金华市交通运输主管部门负责。</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2、拟将网约车平台的经营范围由原来的许可地【即：县（市）区】，修改为金华市行政区域范围内。</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3、拟将《网络预约出租汽车经营许可证》2年的经营期限，修改为4年。</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4、拟将技术参数的要求即：“1．燃油车：轴距不小于2600mm，车辆购置税计税价格在15万元以上的，可不受该车辆参数标准限制；2．新能源汽车：轴距不小于2600mm，纯新能源动力状态下续航里程不低于250千米”，修改为：“车型应为新能源汽车，且轴距不小于2600毫米且综合工况续航里程不小于250千米；车辆计税价高于15万元的，不受车型及技术参数限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5、拟将网约车驾驶员从业资格考试的条件“本市户籍；非本市户籍须在本市取得《浙江省居住证》满</w:t>
      </w:r>
      <w:r>
        <w:rPr>
          <w:rFonts w:ascii="仿宋_GB2312" w:hAnsi="仿宋" w:eastAsia="仿宋_GB2312"/>
          <w:sz w:val="32"/>
          <w:szCs w:val="32"/>
        </w:rPr>
        <w:t>1年或本市在缴且连续缴纳社会保险满2年</w:t>
      </w:r>
      <w:r>
        <w:rPr>
          <w:rFonts w:hint="eastAsia" w:ascii="仿宋_GB2312" w:hAnsi="仿宋" w:eastAsia="仿宋_GB2312"/>
          <w:sz w:val="32"/>
          <w:szCs w:val="32"/>
        </w:rPr>
        <w:t>”修改为：“本市户籍；或持有本市核发的《浙江省居住证》，或在本市已办理居住登记，或在本市已办理身份信息登记”。</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简化实施细则中的私人小客车合乘条款的篇幅。但明确私人小客车合乘不属于道路运输经营活动，其为各方自愿的民事行为；对小客车合乘与网约车经营行为之间的区分设定了一定的标准；同时，对提供合乘服务平台数据接入提出了一定要求。</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7.监督检查部分中，对于各部门职责按照近年行政部门职责的调整予以相应修改。</w:t>
      </w:r>
    </w:p>
    <w:p>
      <w:pPr>
        <w:spacing w:line="560" w:lineRule="exact"/>
        <w:ind w:firstLine="600" w:firstLineChars="200"/>
        <w:rPr>
          <w:rFonts w:ascii="仿宋" w:hAnsi="仿宋" w:eastAsia="仿宋" w:cs="黑体"/>
          <w:b/>
          <w:kern w:val="0"/>
          <w:sz w:val="30"/>
          <w:szCs w:val="30"/>
        </w:rPr>
      </w:pPr>
      <w:r>
        <w:rPr>
          <w:rFonts w:hint="eastAsia" w:ascii="仿宋" w:hAnsi="仿宋" w:eastAsia="仿宋" w:cs="黑体"/>
          <w:b/>
          <w:kern w:val="0"/>
          <w:sz w:val="30"/>
          <w:szCs w:val="30"/>
        </w:rPr>
        <w:t>三、《金华市网络预约出租汽车经营服务管理实施细则》各部门征求意见情况</w:t>
      </w:r>
    </w:p>
    <w:tbl>
      <w:tblPr>
        <w:tblStyle w:val="9"/>
        <w:tblpPr w:leftFromText="180" w:rightFromText="180" w:vertAnchor="text" w:horzAnchor="page" w:tblpX="1160" w:tblpY="306"/>
        <w:tblOverlap w:val="never"/>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3482"/>
        <w:gridCol w:w="852"/>
        <w:gridCol w:w="4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center"/>
          </w:tcPr>
          <w:p>
            <w:pPr>
              <w:ind w:left="420" w:hanging="420" w:hangingChars="150"/>
              <w:jc w:val="both"/>
              <w:rPr>
                <w:rFonts w:ascii="仿宋" w:hAnsi="仿宋" w:eastAsia="仿宋"/>
                <w:sz w:val="28"/>
                <w:szCs w:val="28"/>
              </w:rPr>
            </w:pPr>
            <w:r>
              <w:rPr>
                <w:rFonts w:hint="eastAsia" w:ascii="仿宋" w:hAnsi="仿宋" w:eastAsia="仿宋"/>
                <w:sz w:val="28"/>
                <w:szCs w:val="28"/>
              </w:rPr>
              <w:t>意见反馈单位</w:t>
            </w:r>
          </w:p>
        </w:tc>
        <w:tc>
          <w:tcPr>
            <w:tcW w:w="3482" w:type="dxa"/>
            <w:vAlign w:val="center"/>
          </w:tcPr>
          <w:p>
            <w:pPr>
              <w:ind w:firstLine="1540" w:firstLineChars="550"/>
              <w:rPr>
                <w:rFonts w:ascii="仿宋" w:hAnsi="仿宋" w:eastAsia="仿宋"/>
                <w:sz w:val="28"/>
                <w:szCs w:val="28"/>
              </w:rPr>
            </w:pPr>
            <w:r>
              <w:rPr>
                <w:rFonts w:hint="eastAsia" w:ascii="仿宋" w:hAnsi="仿宋" w:eastAsia="仿宋"/>
                <w:sz w:val="28"/>
                <w:szCs w:val="28"/>
              </w:rPr>
              <w:t>反馈意见</w:t>
            </w:r>
          </w:p>
        </w:tc>
        <w:tc>
          <w:tcPr>
            <w:tcW w:w="852" w:type="dxa"/>
            <w:vAlign w:val="center"/>
          </w:tcPr>
          <w:p>
            <w:pPr>
              <w:jc w:val="center"/>
              <w:rPr>
                <w:rFonts w:ascii="仿宋" w:hAnsi="仿宋" w:eastAsia="仿宋"/>
                <w:sz w:val="28"/>
                <w:szCs w:val="28"/>
              </w:rPr>
            </w:pPr>
            <w:r>
              <w:rPr>
                <w:rFonts w:hint="eastAsia" w:ascii="仿宋" w:hAnsi="仿宋" w:eastAsia="仿宋"/>
                <w:sz w:val="28"/>
                <w:szCs w:val="28"/>
              </w:rPr>
              <w:t>吸收情况</w:t>
            </w:r>
          </w:p>
        </w:tc>
        <w:tc>
          <w:tcPr>
            <w:tcW w:w="4036" w:type="dxa"/>
            <w:vAlign w:val="center"/>
          </w:tcPr>
          <w:p>
            <w:pPr>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center"/>
          </w:tcPr>
          <w:p>
            <w:pPr>
              <w:jc w:val="center"/>
              <w:rPr>
                <w:rFonts w:ascii="仿宋" w:hAnsi="仿宋" w:eastAsia="仿宋"/>
                <w:sz w:val="28"/>
                <w:szCs w:val="28"/>
              </w:rPr>
            </w:pPr>
            <w:r>
              <w:rPr>
                <w:rFonts w:hint="eastAsia" w:ascii="仿宋" w:hAnsi="仿宋" w:eastAsia="仿宋"/>
                <w:sz w:val="28"/>
                <w:szCs w:val="28"/>
              </w:rPr>
              <w:t>金华市公安局</w:t>
            </w:r>
          </w:p>
        </w:tc>
        <w:tc>
          <w:tcPr>
            <w:tcW w:w="3482" w:type="dxa"/>
          </w:tcPr>
          <w:p>
            <w:pPr>
              <w:spacing w:line="420" w:lineRule="exact"/>
              <w:ind w:firstLine="480"/>
              <w:rPr>
                <w:rFonts w:ascii="仿宋" w:hAnsi="仿宋" w:eastAsia="仿宋"/>
                <w:sz w:val="28"/>
                <w:szCs w:val="28"/>
              </w:rPr>
            </w:pPr>
            <w:r>
              <w:rPr>
                <w:rFonts w:hint="eastAsia" w:ascii="仿宋" w:hAnsi="仿宋" w:eastAsia="仿宋"/>
                <w:sz w:val="28"/>
                <w:szCs w:val="28"/>
              </w:rPr>
              <w:t>1.建议向公安等部门开放平台、车辆、驾驶员和卫星定位数据。</w:t>
            </w:r>
          </w:p>
          <w:p>
            <w:pPr>
              <w:spacing w:line="420" w:lineRule="exact"/>
              <w:ind w:firstLine="480"/>
              <w:rPr>
                <w:rFonts w:ascii="仿宋" w:hAnsi="仿宋" w:eastAsia="仿宋"/>
                <w:sz w:val="28"/>
                <w:szCs w:val="28"/>
              </w:rPr>
            </w:pPr>
            <w:r>
              <w:rPr>
                <w:rFonts w:hint="eastAsia" w:ascii="仿宋" w:hAnsi="仿宋" w:eastAsia="仿宋"/>
                <w:sz w:val="28"/>
                <w:szCs w:val="28"/>
              </w:rPr>
              <w:t>2.建议建立网约车平台公司和驾驶员信用记录相关制度和平台，各有关部门负提供数据。</w:t>
            </w:r>
          </w:p>
        </w:tc>
        <w:tc>
          <w:tcPr>
            <w:tcW w:w="852" w:type="dxa"/>
            <w:vAlign w:val="center"/>
          </w:tcPr>
          <w:p>
            <w:pPr>
              <w:jc w:val="center"/>
              <w:rPr>
                <w:rFonts w:ascii="仿宋" w:hAnsi="仿宋" w:eastAsia="仿宋"/>
                <w:sz w:val="28"/>
                <w:szCs w:val="28"/>
              </w:rPr>
            </w:pPr>
            <w:r>
              <w:rPr>
                <w:rFonts w:hint="eastAsia" w:ascii="仿宋" w:hAnsi="仿宋" w:eastAsia="仿宋"/>
                <w:sz w:val="28"/>
                <w:szCs w:val="28"/>
              </w:rPr>
              <w:t>不吸收</w:t>
            </w:r>
          </w:p>
        </w:tc>
        <w:tc>
          <w:tcPr>
            <w:tcW w:w="4036" w:type="dxa"/>
            <w:vAlign w:val="center"/>
          </w:tcPr>
          <w:p>
            <w:pPr>
              <w:jc w:val="left"/>
              <w:rPr>
                <w:rFonts w:ascii="仿宋" w:hAnsi="仿宋" w:eastAsia="仿宋"/>
                <w:sz w:val="28"/>
                <w:szCs w:val="28"/>
              </w:rPr>
            </w:pPr>
            <w:r>
              <w:rPr>
                <w:rFonts w:hint="eastAsia" w:ascii="仿宋" w:hAnsi="仿宋" w:eastAsia="仿宋"/>
                <w:sz w:val="28"/>
                <w:szCs w:val="28"/>
              </w:rPr>
              <w:t>1.不存在上位法依据，并且相关部门若在日常监督管理中确需相关信息的，可根据相关法律法规规章，可向道路交通运输主管部门要求协助调取。</w:t>
            </w:r>
          </w:p>
          <w:p>
            <w:pPr>
              <w:jc w:val="left"/>
              <w:rPr>
                <w:rFonts w:ascii="仿宋" w:hAnsi="仿宋" w:eastAsia="仿宋"/>
                <w:sz w:val="28"/>
                <w:szCs w:val="28"/>
              </w:rPr>
            </w:pPr>
            <w:r>
              <w:rPr>
                <w:rFonts w:hint="eastAsia" w:ascii="仿宋" w:hAnsi="仿宋" w:eastAsia="仿宋"/>
                <w:sz w:val="28"/>
                <w:szCs w:val="28"/>
              </w:rPr>
              <w:t>2.不存在上位法依据。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vAlign w:val="center"/>
          </w:tcPr>
          <w:p>
            <w:pPr>
              <w:jc w:val="center"/>
              <w:rPr>
                <w:rFonts w:ascii="仿宋" w:hAnsi="仿宋" w:eastAsia="仿宋"/>
                <w:sz w:val="28"/>
                <w:szCs w:val="28"/>
              </w:rPr>
            </w:pPr>
            <w:r>
              <w:rPr>
                <w:rFonts w:hint="eastAsia" w:ascii="仿宋" w:hAnsi="仿宋" w:eastAsia="仿宋"/>
                <w:sz w:val="28"/>
                <w:szCs w:val="28"/>
              </w:rPr>
              <w:t>金华市商务局</w:t>
            </w:r>
          </w:p>
        </w:tc>
        <w:tc>
          <w:tcPr>
            <w:tcW w:w="3482" w:type="dxa"/>
          </w:tcPr>
          <w:p>
            <w:pPr>
              <w:rPr>
                <w:rFonts w:ascii="仿宋" w:hAnsi="仿宋" w:eastAsia="仿宋"/>
                <w:sz w:val="28"/>
                <w:szCs w:val="28"/>
              </w:rPr>
            </w:pPr>
            <w:r>
              <w:rPr>
                <w:rFonts w:hint="eastAsia" w:ascii="仿宋" w:hAnsi="仿宋" w:eastAsia="仿宋"/>
                <w:sz w:val="28"/>
                <w:szCs w:val="28"/>
              </w:rPr>
              <w:t xml:space="preserve">    鉴于上位法已对商务局的职能进行调整，外商投资网约车经营企业的审核、审批及变更应目前是市场监督管部门的职责</w:t>
            </w:r>
          </w:p>
        </w:tc>
        <w:tc>
          <w:tcPr>
            <w:tcW w:w="852" w:type="dxa"/>
            <w:vAlign w:val="center"/>
          </w:tcPr>
          <w:p>
            <w:pPr>
              <w:jc w:val="center"/>
              <w:rPr>
                <w:rFonts w:ascii="仿宋" w:hAnsi="仿宋" w:eastAsia="仿宋"/>
                <w:sz w:val="28"/>
                <w:szCs w:val="28"/>
              </w:rPr>
            </w:pPr>
            <w:r>
              <w:rPr>
                <w:rFonts w:hint="eastAsia" w:ascii="仿宋" w:hAnsi="仿宋" w:eastAsia="仿宋"/>
                <w:sz w:val="28"/>
                <w:szCs w:val="28"/>
              </w:rPr>
              <w:t>吸收</w:t>
            </w:r>
          </w:p>
        </w:tc>
        <w:tc>
          <w:tcPr>
            <w:tcW w:w="4036" w:type="dxa"/>
            <w:vAlign w:val="center"/>
          </w:tcPr>
          <w:p>
            <w:pPr>
              <w:pStyle w:val="4"/>
              <w:widowControl/>
              <w:spacing w:before="300" w:beforeAutospacing="0" w:after="0" w:afterAutospacing="0" w:line="420" w:lineRule="atLeast"/>
              <w:rPr>
                <w:rFonts w:ascii="仿宋" w:hAnsi="仿宋" w:eastAsia="仿宋"/>
                <w:sz w:val="28"/>
                <w:szCs w:val="28"/>
              </w:rPr>
            </w:pPr>
            <w:r>
              <w:rPr>
                <w:rFonts w:hint="eastAsia" w:ascii="仿宋" w:hAnsi="仿宋" w:eastAsia="仿宋"/>
                <w:sz w:val="28"/>
                <w:szCs w:val="28"/>
              </w:rPr>
              <w:t>相关条款已调整，外商投资网约车经营企业的审核、审批及变更明确属于市场监督管理部门的职责范围</w:t>
            </w:r>
          </w:p>
        </w:tc>
      </w:tr>
    </w:tbl>
    <w:p>
      <w:pPr>
        <w:rPr>
          <w:rFonts w:ascii="宋体" w:hAnsi="宋体"/>
          <w:szCs w:val="21"/>
        </w:rPr>
      </w:pPr>
    </w:p>
    <w:p>
      <w:pPr>
        <w:widowControl/>
        <w:tabs>
          <w:tab w:val="left" w:pos="1485"/>
        </w:tabs>
        <w:spacing w:line="500" w:lineRule="exact"/>
        <w:ind w:firstLine="600" w:firstLineChars="200"/>
        <w:rPr>
          <w:rFonts w:ascii="仿宋" w:hAnsi="仿宋" w:eastAsia="仿宋" w:cs="黑体"/>
          <w:b/>
          <w:kern w:val="0"/>
          <w:sz w:val="30"/>
          <w:szCs w:val="30"/>
        </w:rPr>
      </w:pPr>
      <w:r>
        <w:rPr>
          <w:rFonts w:hint="eastAsia" w:ascii="仿宋" w:hAnsi="仿宋" w:eastAsia="仿宋"/>
          <w:b/>
          <w:sz w:val="30"/>
          <w:szCs w:val="30"/>
        </w:rPr>
        <w:t>四、</w:t>
      </w:r>
      <w:r>
        <w:rPr>
          <w:rFonts w:hint="eastAsia" w:ascii="仿宋" w:hAnsi="仿宋" w:eastAsia="仿宋" w:cs="黑体"/>
          <w:b/>
          <w:kern w:val="0"/>
          <w:sz w:val="30"/>
          <w:szCs w:val="30"/>
        </w:rPr>
        <w:t>《金华市网络预约出租汽车经营服务管理实施细则》社会公开征求意见情况</w:t>
      </w:r>
    </w:p>
    <w:p>
      <w:pPr>
        <w:widowControl/>
        <w:tabs>
          <w:tab w:val="left" w:pos="1485"/>
        </w:tabs>
        <w:spacing w:line="500" w:lineRule="exact"/>
        <w:ind w:firstLine="600" w:firstLineChars="200"/>
        <w:rPr>
          <w:rFonts w:ascii="仿宋" w:hAnsi="仿宋" w:eastAsia="仿宋" w:cs="黑体"/>
          <w:kern w:val="0"/>
          <w:sz w:val="30"/>
          <w:szCs w:val="30"/>
        </w:rPr>
      </w:pPr>
      <w:r>
        <w:rPr>
          <w:rFonts w:hint="eastAsia" w:ascii="仿宋" w:hAnsi="仿宋" w:eastAsia="仿宋" w:cs="黑体"/>
          <w:kern w:val="0"/>
          <w:sz w:val="30"/>
          <w:szCs w:val="30"/>
        </w:rPr>
        <w:t>2016年11月1日，试行的实施细则公布实施后，相关职能部门一直不断听取各界的意见。2017年底，实施细则修订启动时便已通过各种渠道向网约车平台、驾驶员以及社会公众征询修改建议，而本次所涉及到的关于平台、驾驶员及车辆许可条件适当放宽的内容，就是基于社会意见的反馈，可以说社会公开征求意见是贯穿本次实施细则制定的全过程。征求意见稿完成后，于2021年7月28日至2021年8月6日正式通过金华市交通局网站公开向社会征求意见，基于前期工作的公开、透明以及意见的及时吸收采纳，故无论是网约车群体还是其他社会群体都未提出意见，满意度较高。</w:t>
      </w:r>
    </w:p>
    <w:p>
      <w:pPr>
        <w:widowControl/>
        <w:tabs>
          <w:tab w:val="left" w:pos="1485"/>
        </w:tabs>
        <w:spacing w:line="500" w:lineRule="exact"/>
        <w:rPr>
          <w:rFonts w:ascii="宋体" w:hAnsi="宋体" w:cs="黑体"/>
          <w:b/>
          <w:kern w:val="0"/>
          <w:sz w:val="30"/>
          <w:szCs w:val="30"/>
        </w:rPr>
      </w:pPr>
    </w:p>
    <w:p>
      <w:pPr>
        <w:spacing w:line="100" w:lineRule="exact"/>
        <w:rPr>
          <w:sz w:val="24"/>
        </w:rPr>
      </w:pPr>
    </w:p>
    <w:sectPr>
      <w:footerReference r:id="rId3" w:type="default"/>
      <w:pgSz w:w="11906" w:h="16838"/>
      <w:pgMar w:top="1440" w:right="1797" w:bottom="1440"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roman"/>
    <w:pitch w:val="default"/>
    <w:sig w:usb0="A00002BF" w:usb1="38CF7CFA" w:usb2="00000016" w:usb3="00000000" w:csb0="0004000F" w:csb1="00000000"/>
  </w:font>
  <w:font w:name="等线">
    <w:panose1 w:val="02010600030101010101"/>
    <w:charset w:val="86"/>
    <w:family w:val="roman"/>
    <w:pitch w:val="default"/>
    <w:sig w:usb0="A00002BF" w:usb1="38CF7CFA" w:usb2="00000016" w:usb3="00000000" w:csb0="0004000F"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5</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B4AE4F"/>
    <w:multiLevelType w:val="singleLevel"/>
    <w:tmpl w:val="95B4AE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AD"/>
    <w:rsid w:val="0008710F"/>
    <w:rsid w:val="000933DC"/>
    <w:rsid w:val="000C1144"/>
    <w:rsid w:val="00112AC6"/>
    <w:rsid w:val="001138D6"/>
    <w:rsid w:val="00115553"/>
    <w:rsid w:val="0017450A"/>
    <w:rsid w:val="00192D98"/>
    <w:rsid w:val="001E2647"/>
    <w:rsid w:val="001F0BEF"/>
    <w:rsid w:val="001F1364"/>
    <w:rsid w:val="002013EF"/>
    <w:rsid w:val="00287281"/>
    <w:rsid w:val="002D7697"/>
    <w:rsid w:val="002F0116"/>
    <w:rsid w:val="002F0448"/>
    <w:rsid w:val="00342E3B"/>
    <w:rsid w:val="003518AD"/>
    <w:rsid w:val="00362352"/>
    <w:rsid w:val="003A27D8"/>
    <w:rsid w:val="003F4F7E"/>
    <w:rsid w:val="00414B4D"/>
    <w:rsid w:val="00446188"/>
    <w:rsid w:val="00464B4F"/>
    <w:rsid w:val="004A3C7D"/>
    <w:rsid w:val="00513541"/>
    <w:rsid w:val="00530CE1"/>
    <w:rsid w:val="0056224D"/>
    <w:rsid w:val="00576729"/>
    <w:rsid w:val="005A49B7"/>
    <w:rsid w:val="005E1242"/>
    <w:rsid w:val="005E2134"/>
    <w:rsid w:val="00600C82"/>
    <w:rsid w:val="00614FA9"/>
    <w:rsid w:val="006420A0"/>
    <w:rsid w:val="00657B45"/>
    <w:rsid w:val="00670E53"/>
    <w:rsid w:val="0067197F"/>
    <w:rsid w:val="00704F4B"/>
    <w:rsid w:val="00772379"/>
    <w:rsid w:val="00774B7E"/>
    <w:rsid w:val="007E3427"/>
    <w:rsid w:val="008324DA"/>
    <w:rsid w:val="0084779E"/>
    <w:rsid w:val="00876EAB"/>
    <w:rsid w:val="00930D11"/>
    <w:rsid w:val="00952F22"/>
    <w:rsid w:val="00990356"/>
    <w:rsid w:val="00995E17"/>
    <w:rsid w:val="0099754A"/>
    <w:rsid w:val="009E7674"/>
    <w:rsid w:val="00A365DD"/>
    <w:rsid w:val="00A66EFC"/>
    <w:rsid w:val="00A77F31"/>
    <w:rsid w:val="00AC5DB2"/>
    <w:rsid w:val="00B07479"/>
    <w:rsid w:val="00BE39BC"/>
    <w:rsid w:val="00C30810"/>
    <w:rsid w:val="00C32941"/>
    <w:rsid w:val="00D65050"/>
    <w:rsid w:val="00DE0FC0"/>
    <w:rsid w:val="00E33531"/>
    <w:rsid w:val="00EE58B4"/>
    <w:rsid w:val="00F00990"/>
    <w:rsid w:val="00F16168"/>
    <w:rsid w:val="00F97D2D"/>
    <w:rsid w:val="00FA49E7"/>
    <w:rsid w:val="013B3C0B"/>
    <w:rsid w:val="03D64BE6"/>
    <w:rsid w:val="088B56F2"/>
    <w:rsid w:val="09450A00"/>
    <w:rsid w:val="0EB70919"/>
    <w:rsid w:val="13D73D38"/>
    <w:rsid w:val="1A9249FB"/>
    <w:rsid w:val="1F3B64AB"/>
    <w:rsid w:val="24EC0975"/>
    <w:rsid w:val="25C900B4"/>
    <w:rsid w:val="25DF193D"/>
    <w:rsid w:val="267C5A0D"/>
    <w:rsid w:val="2A5128D7"/>
    <w:rsid w:val="2A9964C5"/>
    <w:rsid w:val="2AA83A81"/>
    <w:rsid w:val="2B563CFF"/>
    <w:rsid w:val="31686767"/>
    <w:rsid w:val="321747FC"/>
    <w:rsid w:val="32E0492A"/>
    <w:rsid w:val="3B571B9B"/>
    <w:rsid w:val="3C545EF8"/>
    <w:rsid w:val="41EB4BBC"/>
    <w:rsid w:val="448917A4"/>
    <w:rsid w:val="44E06571"/>
    <w:rsid w:val="47D825FD"/>
    <w:rsid w:val="503169A9"/>
    <w:rsid w:val="504D641D"/>
    <w:rsid w:val="51C771B5"/>
    <w:rsid w:val="51E50B6F"/>
    <w:rsid w:val="528F3553"/>
    <w:rsid w:val="59A34BDB"/>
    <w:rsid w:val="5B6D7214"/>
    <w:rsid w:val="5BB56F34"/>
    <w:rsid w:val="5D8D4204"/>
    <w:rsid w:val="6AA7505C"/>
    <w:rsid w:val="6C1E25E6"/>
    <w:rsid w:val="701E7C94"/>
    <w:rsid w:val="70F152EB"/>
    <w:rsid w:val="71235D5E"/>
    <w:rsid w:val="73552F0F"/>
    <w:rsid w:val="77BE1A95"/>
    <w:rsid w:val="786D5CBD"/>
    <w:rsid w:val="7875083F"/>
    <w:rsid w:val="7D9660A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2"/>
    <w:uiPriority w:val="99"/>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jc w:val="left"/>
    </w:pPr>
    <w:rPr>
      <w:kern w:val="0"/>
      <w:sz w:val="24"/>
    </w:rPr>
  </w:style>
  <w:style w:type="character" w:styleId="6">
    <w:name w:val="Strong"/>
    <w:basedOn w:val="5"/>
    <w:qFormat/>
    <w:uiPriority w:val="0"/>
    <w:rPr>
      <w:b/>
    </w:rPr>
  </w:style>
  <w:style w:type="character" w:styleId="7">
    <w:name w:val="FollowedHyperlink"/>
    <w:basedOn w:val="5"/>
    <w:uiPriority w:val="0"/>
    <w:rPr>
      <w:color w:val="656668"/>
      <w:u w:val="none"/>
    </w:rPr>
  </w:style>
  <w:style w:type="character" w:styleId="8">
    <w:name w:val="Hyperlink"/>
    <w:basedOn w:val="5"/>
    <w:qFormat/>
    <w:uiPriority w:val="0"/>
    <w:rPr>
      <w:color w:val="656668"/>
      <w:u w:val="none"/>
    </w:rPr>
  </w:style>
  <w:style w:type="character" w:customStyle="1" w:styleId="10">
    <w:name w:val="页眉 Char"/>
    <w:basedOn w:val="5"/>
    <w:link w:val="3"/>
    <w:uiPriority w:val="0"/>
    <w:rPr>
      <w:kern w:val="2"/>
      <w:sz w:val="18"/>
      <w:szCs w:val="18"/>
    </w:rPr>
  </w:style>
  <w:style w:type="character" w:customStyle="1" w:styleId="11">
    <w:name w:val="bsharetext"/>
    <w:basedOn w:val="5"/>
    <w:uiPriority w:val="0"/>
  </w:style>
  <w:style w:type="character" w:customStyle="1" w:styleId="12">
    <w:name w:val="页脚 Char"/>
    <w:basedOn w:val="5"/>
    <w:link w:val="2"/>
    <w:uiPriority w:val="99"/>
    <w:rPr>
      <w:kern w:val="2"/>
      <w:sz w:val="18"/>
      <w:szCs w:val="18"/>
    </w:rPr>
  </w:style>
  <w:style w:type="character" w:customStyle="1" w:styleId="13">
    <w:name w:val="disabled"/>
    <w:basedOn w:val="5"/>
    <w:qFormat/>
    <w:uiPriority w:val="0"/>
    <w:rPr>
      <w:color w:val="AAAAAA"/>
      <w:bdr w:val="single" w:color="AAAAAA" w:sz="6" w:space="0"/>
    </w:rPr>
  </w:style>
  <w:style w:type="character" w:customStyle="1" w:styleId="14">
    <w:name w:val="cut1"/>
    <w:basedOn w:val="5"/>
    <w:qFormat/>
    <w:uiPriority w:val="0"/>
  </w:style>
  <w:style w:type="character" w:customStyle="1" w:styleId="15">
    <w:name w:val="cut"/>
    <w:basedOn w:val="5"/>
    <w:qFormat/>
    <w:uiPriority w:val="0"/>
  </w:style>
  <w:style w:type="character" w:customStyle="1" w:styleId="16">
    <w:name w:val="current"/>
    <w:basedOn w:val="5"/>
    <w:qFormat/>
    <w:uiPriority w:val="0"/>
    <w:rPr>
      <w:b/>
      <w:color w:val="333333"/>
      <w:bdr w:val="single" w:color="777777" w:sz="6" w:space="0"/>
      <w:shd w:val="clear" w:color="auto" w:fill="EEEEE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348</Words>
  <Characters>1987</Characters>
  <Lines>16</Lines>
  <Paragraphs>4</Paragraphs>
  <ScaleCrop>false</ScaleCrop>
  <LinksUpToDate>false</LinksUpToDate>
  <CharactersWithSpaces>2331</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2021-08-08T04:55:00Z</dcterms:created>
  <dc:creator>Microsoft Office 用户</dc:creator>
  <cp:lastModifiedBy>jtj605ac</cp:lastModifiedBy>
  <cp:lastPrinted>2021-11-08T00:59:00Z</cp:lastPrinted>
  <dcterms:modified xsi:type="dcterms:W3CDTF">2021-12-15T07:59:38Z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F591F0EF34324ED99A0CA8D0424F5692</vt:lpwstr>
  </property>
</Properties>
</file>