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10" w:lineRule="exact"/>
        <w:rPr>
          <w:rFonts w:ascii="方正小标宋简体" w:eastAsia="方正小标宋简体"/>
          <w:bCs/>
          <w:color w:val="000000"/>
          <w:sz w:val="40"/>
          <w:szCs w:val="40"/>
        </w:rPr>
      </w:pPr>
    </w:p>
    <w:p>
      <w:pPr>
        <w:adjustRightInd w:val="0"/>
        <w:snapToGrid w:val="0"/>
        <w:spacing w:line="610" w:lineRule="exact"/>
        <w:jc w:val="center"/>
        <w:rPr>
          <w:rFonts w:ascii="方正小标宋简体" w:eastAsia="方正小标宋简体"/>
          <w:bCs/>
          <w:color w:val="000000"/>
          <w:sz w:val="40"/>
          <w:szCs w:val="40"/>
        </w:rPr>
      </w:pPr>
      <w:bookmarkStart w:id="0" w:name="_GoBack"/>
      <w:r>
        <w:rPr>
          <w:rFonts w:hint="eastAsia" w:ascii="方正小标宋简体" w:eastAsia="方正小标宋简体"/>
          <w:bCs/>
          <w:color w:val="000000"/>
          <w:sz w:val="40"/>
          <w:szCs w:val="40"/>
        </w:rPr>
        <w:t>台州市档案事业发展“十四五”规划</w:t>
      </w:r>
    </w:p>
    <w:bookmarkEnd w:id="0"/>
    <w:p>
      <w:pPr>
        <w:adjustRightInd w:val="0"/>
        <w:snapToGrid w:val="0"/>
        <w:spacing w:line="610" w:lineRule="exact"/>
        <w:jc w:val="center"/>
        <w:rPr>
          <w:rFonts w:ascii="楷体_GB2312" w:eastAsia="楷体_GB2312"/>
          <w:bCs/>
          <w:color w:val="000000"/>
          <w:sz w:val="32"/>
          <w:szCs w:val="32"/>
        </w:rPr>
      </w:pPr>
      <w:r>
        <w:rPr>
          <w:rFonts w:hint="eastAsia" w:ascii="楷体_GB2312" w:eastAsia="楷体_GB2312"/>
          <w:bCs/>
          <w:color w:val="000000"/>
          <w:sz w:val="32"/>
          <w:szCs w:val="32"/>
        </w:rPr>
        <w:t>（征求意见稿）</w:t>
      </w:r>
    </w:p>
    <w:p>
      <w:pPr>
        <w:adjustRightInd w:val="0"/>
        <w:snapToGrid w:val="0"/>
        <w:spacing w:line="610" w:lineRule="exact"/>
        <w:rPr>
          <w:rFonts w:ascii="仿宋_GB2312"/>
          <w:bCs/>
          <w:color w:val="000000"/>
        </w:rPr>
      </w:pPr>
    </w:p>
    <w:p>
      <w:pPr>
        <w:widowControl w:val="0"/>
        <w:spacing w:line="610" w:lineRule="exact"/>
        <w:ind w:firstLine="640" w:firstLineChars="200"/>
        <w:rPr>
          <w:rStyle w:val="12"/>
          <w:rFonts w:ascii="仿宋_GB2312" w:hAnsi="楷体_GB2312" w:eastAsia="仿宋_GB2312" w:cs="楷体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时期是我省在高水平全面建成小康社会的基础上，忠实践行</w:t>
      </w:r>
      <w:r>
        <w:rPr>
          <w:rFonts w:ascii="Times New Roman" w:hAnsi="Times New Roman" w:eastAsia="仿宋_GB2312"/>
          <w:sz w:val="32"/>
          <w:szCs w:val="32"/>
        </w:rPr>
        <w:t>“</w:t>
      </w:r>
      <w:r>
        <w:rPr>
          <w:rFonts w:hint="eastAsia" w:ascii="Times New Roman" w:hAnsi="Times New Roman" w:eastAsia="仿宋_GB2312"/>
          <w:sz w:val="32"/>
          <w:szCs w:val="32"/>
        </w:rPr>
        <w:t>八八战略</w:t>
      </w:r>
      <w:r>
        <w:rPr>
          <w:rFonts w:ascii="Times New Roman" w:hAnsi="Times New Roman" w:eastAsia="仿宋_GB2312"/>
          <w:sz w:val="32"/>
          <w:szCs w:val="32"/>
        </w:rPr>
        <w:t>”</w:t>
      </w:r>
      <w:r>
        <w:rPr>
          <w:rFonts w:hint="eastAsia" w:ascii="Times New Roman" w:hAnsi="Times New Roman" w:eastAsia="仿宋_GB2312"/>
          <w:sz w:val="32"/>
          <w:szCs w:val="32"/>
        </w:rPr>
        <w:t>、奋力打造</w:t>
      </w:r>
      <w:r>
        <w:rPr>
          <w:rFonts w:ascii="Times New Roman" w:hAnsi="Times New Roman" w:eastAsia="仿宋_GB2312"/>
          <w:sz w:val="32"/>
          <w:szCs w:val="32"/>
        </w:rPr>
        <w:t>“</w:t>
      </w:r>
      <w:r>
        <w:rPr>
          <w:rFonts w:hint="eastAsia" w:ascii="Times New Roman" w:hAnsi="Times New Roman" w:eastAsia="仿宋_GB2312"/>
          <w:sz w:val="32"/>
          <w:szCs w:val="32"/>
        </w:rPr>
        <w:t>重要窗口</w:t>
      </w:r>
      <w:r>
        <w:rPr>
          <w:rFonts w:ascii="Times New Roman" w:hAnsi="Times New Roman" w:eastAsia="仿宋_GB2312"/>
          <w:sz w:val="32"/>
          <w:szCs w:val="32"/>
        </w:rPr>
        <w:t>”</w:t>
      </w:r>
      <w:r>
        <w:rPr>
          <w:rFonts w:hint="eastAsia" w:ascii="Times New Roman" w:hAnsi="Times New Roman" w:eastAsia="仿宋_GB2312"/>
          <w:sz w:val="32"/>
          <w:szCs w:val="32"/>
        </w:rPr>
        <w:t>，乘势而上开启高水平全面建设社会主义现代化新征程的第一个五年；</w:t>
      </w:r>
      <w:r>
        <w:rPr>
          <w:rStyle w:val="12"/>
          <w:rFonts w:hint="eastAsia" w:ascii="仿宋_GB2312" w:hAnsi="楷体_GB2312" w:eastAsia="仿宋_GB2312" w:cs="楷体_GB2312"/>
          <w:sz w:val="32"/>
          <w:szCs w:val="32"/>
        </w:rPr>
        <w:t>是我市践行“三立三进三突围”新时代发展路径，建设新时代民营经济高质量发展强市，争创社会主义现代化先行市的关键时期。为推动全市档案事业高质量发展，更好地为我市经济社会改革发展服务，根据《台州市国民经济和社会发展第十四个五年规划和</w:t>
      </w:r>
      <w:r>
        <w:rPr>
          <w:rStyle w:val="12"/>
          <w:rFonts w:ascii="仿宋_GB2312" w:hAnsi="楷体_GB2312" w:eastAsia="仿宋_GB2312" w:cs="楷体_GB2312"/>
          <w:sz w:val="32"/>
          <w:szCs w:val="32"/>
        </w:rPr>
        <w:t>2035</w:t>
      </w:r>
      <w:r>
        <w:rPr>
          <w:rStyle w:val="12"/>
          <w:rFonts w:hint="eastAsia" w:ascii="仿宋_GB2312" w:hAnsi="楷体_GB2312" w:eastAsia="仿宋_GB2312" w:cs="楷体_GB2312"/>
          <w:sz w:val="32"/>
          <w:szCs w:val="32"/>
        </w:rPr>
        <w:t>年远景目标的纲要》和《浙江省档案事业发展“十四五”规划》，结合我市档案事业发展实际，制定本规划。</w:t>
      </w:r>
    </w:p>
    <w:p>
      <w:pPr>
        <w:widowControl w:val="0"/>
        <w:spacing w:line="610" w:lineRule="exact"/>
        <w:ind w:firstLine="640" w:firstLineChars="200"/>
        <w:rPr>
          <w:rStyle w:val="12"/>
          <w:rFonts w:ascii="黑体" w:hAnsi="黑体" w:eastAsia="黑体" w:cs="楷体_GB2312"/>
          <w:sz w:val="32"/>
          <w:szCs w:val="32"/>
        </w:rPr>
      </w:pPr>
      <w:r>
        <w:rPr>
          <w:rStyle w:val="12"/>
          <w:rFonts w:hint="eastAsia" w:ascii="黑体" w:hAnsi="黑体" w:eastAsia="黑体" w:cs="楷体_GB2312"/>
          <w:sz w:val="32"/>
          <w:szCs w:val="32"/>
        </w:rPr>
        <w:t>一、发展环境</w:t>
      </w:r>
    </w:p>
    <w:p>
      <w:pPr>
        <w:widowControl w:val="0"/>
        <w:spacing w:line="610" w:lineRule="exact"/>
        <w:ind w:firstLine="640" w:firstLineChars="200"/>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（一）“十三五”时期发展情况</w:t>
      </w:r>
    </w:p>
    <w:p>
      <w:pPr>
        <w:widowControl w:val="0"/>
        <w:spacing w:line="610" w:lineRule="exact"/>
        <w:ind w:firstLine="640" w:firstLineChars="200"/>
        <w:rPr>
          <w:rStyle w:val="12"/>
          <w:rFonts w:ascii="仿宋_GB2312" w:hAnsi="楷体_GB2312" w:eastAsia="仿宋_GB2312" w:cs="楷体_GB2312"/>
          <w:sz w:val="32"/>
          <w:szCs w:val="32"/>
        </w:rPr>
      </w:pPr>
      <w:r>
        <w:rPr>
          <w:rStyle w:val="12"/>
          <w:rFonts w:hint="eastAsia" w:ascii="仿宋_GB2312" w:hAnsi="楷体_GB2312" w:eastAsia="仿宋_GB2312" w:cs="楷体_GB2312"/>
          <w:sz w:val="32"/>
          <w:szCs w:val="32"/>
        </w:rPr>
        <w:t>“十三五”期间，全市档案部门坚持以习近平新时代中国特色社会主义思想为指导，紧扣市委市政府中心工作，坚持以档案工作“走向依法治理、走向开放、走向现代化”为根本遵循，以“五档共建”为主抓手，以“三个推进”为着力点，以“三个示范区”建设为重要目标，加强基层基础，突出改革创新，加快转型发展，各项指标任务如期完成，多项工作在全省全国出亮点有影响，为我市经济社会发展作出了积极贡献。</w:t>
      </w:r>
    </w:p>
    <w:p>
      <w:pPr>
        <w:widowControl w:val="0"/>
        <w:spacing w:line="610" w:lineRule="exact"/>
        <w:ind w:firstLine="643" w:firstLineChars="200"/>
        <w:rPr>
          <w:rStyle w:val="12"/>
          <w:rFonts w:ascii="仿宋_GB2312" w:eastAsia="仿宋_GB2312"/>
          <w:sz w:val="32"/>
          <w:szCs w:val="32"/>
        </w:rPr>
      </w:pPr>
      <w:r>
        <w:rPr>
          <w:rStyle w:val="12"/>
          <w:rFonts w:ascii="仿宋_GB2312" w:hAnsi="楷体_GB2312" w:eastAsia="仿宋_GB2312" w:cs="楷体_GB2312"/>
          <w:b/>
          <w:sz w:val="32"/>
          <w:szCs w:val="32"/>
        </w:rPr>
        <w:t>1.</w:t>
      </w:r>
      <w:r>
        <w:rPr>
          <w:rStyle w:val="12"/>
          <w:rFonts w:hint="eastAsia" w:ascii="仿宋_GB2312" w:hAnsi="楷体_GB2312" w:eastAsia="仿宋_GB2312" w:cs="楷体_GB2312"/>
          <w:b/>
          <w:sz w:val="32"/>
          <w:szCs w:val="32"/>
        </w:rPr>
        <w:t>服务中心大局精准有力</w:t>
      </w:r>
      <w:r>
        <w:rPr>
          <w:rStyle w:val="12"/>
          <w:rFonts w:hint="eastAsia" w:ascii="仿宋_GB2312" w:hAnsi="楷体_GB2312" w:eastAsia="仿宋_GB2312" w:cs="楷体_GB2312"/>
          <w:sz w:val="32"/>
          <w:szCs w:val="32"/>
        </w:rPr>
        <w:t>。主动融入忠实践行“八八战略”、奋力打造“重要窗口”和新时代民营经济高质量发展强市建设，</w:t>
      </w:r>
      <w:r>
        <w:rPr>
          <w:rFonts w:hint="eastAsia" w:ascii="仿宋_GB2312" w:eastAsia="仿宋_GB2312"/>
          <w:sz w:val="32"/>
          <w:szCs w:val="32"/>
        </w:rPr>
        <w:t>在政府数字化转型、“最多跑一次”改革、“五水共治”“三改一拆”等重点工作中发挥档案作用，在新冠肺炎疫情防控、村级组织换届中展现档案作为，在庆祝改革开放</w:t>
      </w:r>
      <w:r>
        <w:rPr>
          <w:rFonts w:ascii="仿宋_GB2312" w:eastAsia="仿宋_GB2312"/>
          <w:sz w:val="32"/>
          <w:szCs w:val="32"/>
        </w:rPr>
        <w:t>40</w:t>
      </w:r>
      <w:r>
        <w:rPr>
          <w:rFonts w:hint="eastAsia" w:ascii="仿宋_GB2312" w:eastAsia="仿宋_GB2312"/>
          <w:sz w:val="32"/>
          <w:szCs w:val="32"/>
        </w:rPr>
        <w:t>周年、新中国成立</w:t>
      </w:r>
      <w:r>
        <w:rPr>
          <w:rFonts w:ascii="仿宋_GB2312" w:eastAsia="仿宋_GB2312"/>
          <w:sz w:val="32"/>
          <w:szCs w:val="32"/>
        </w:rPr>
        <w:t>70</w:t>
      </w:r>
      <w:r>
        <w:rPr>
          <w:rFonts w:hint="eastAsia" w:ascii="仿宋_GB2312" w:eastAsia="仿宋_GB2312"/>
          <w:sz w:val="32"/>
          <w:szCs w:val="32"/>
        </w:rPr>
        <w:t>周年、</w:t>
      </w:r>
      <w:r>
        <w:rPr>
          <w:rStyle w:val="12"/>
          <w:rFonts w:hint="eastAsia" w:ascii="仿宋_GB2312" w:hAnsi="楷体_GB2312" w:eastAsia="仿宋_GB2312" w:cs="楷体_GB2312"/>
          <w:sz w:val="32"/>
          <w:szCs w:val="32"/>
        </w:rPr>
        <w:t>“两学一做”学习教育和“不忘初心、牢记使命”主题教育等重大活动中</w:t>
      </w:r>
      <w:r>
        <w:rPr>
          <w:rFonts w:hint="eastAsia" w:ascii="仿宋_GB2312" w:eastAsia="仿宋_GB2312"/>
          <w:sz w:val="32"/>
          <w:szCs w:val="32"/>
        </w:rPr>
        <w:t>提供档案服务。民营经济档案工作走在全省前列，建成全省第二家民营企业档案馆。台州古村落数字记忆建设项目获得两项国家级奖项。</w:t>
      </w:r>
    </w:p>
    <w:p>
      <w:pPr>
        <w:widowControl w:val="0"/>
        <w:spacing w:line="610" w:lineRule="exact"/>
        <w:ind w:firstLine="643" w:firstLineChars="200"/>
        <w:rPr>
          <w:rStyle w:val="12"/>
          <w:rFonts w:eastAsia="仿宋_GB2312"/>
          <w:color w:val="000000"/>
          <w:sz w:val="32"/>
          <w:szCs w:val="32"/>
        </w:rPr>
      </w:pPr>
      <w:r>
        <w:rPr>
          <w:rStyle w:val="12"/>
          <w:rFonts w:ascii="仿宋_GB2312" w:hAnsi="楷体_GB2312" w:eastAsia="仿宋_GB2312" w:cs="楷体_GB2312"/>
          <w:b/>
          <w:sz w:val="32"/>
          <w:szCs w:val="32"/>
        </w:rPr>
        <w:t>2.</w:t>
      </w:r>
      <w:r>
        <w:rPr>
          <w:rStyle w:val="12"/>
          <w:rFonts w:hint="eastAsia" w:ascii="仿宋_GB2312" w:hAnsi="楷体_GB2312" w:eastAsia="仿宋_GB2312" w:cs="楷体_GB2312"/>
          <w:b/>
          <w:sz w:val="32"/>
          <w:szCs w:val="32"/>
        </w:rPr>
        <w:t>档案治理体系更加完善</w:t>
      </w:r>
      <w:r>
        <w:rPr>
          <w:rStyle w:val="12"/>
          <w:rFonts w:hint="eastAsia" w:ascii="仿宋_GB2312" w:hAnsi="楷体_GB2312" w:eastAsia="仿宋_GB2312" w:cs="楷体_GB2312"/>
          <w:sz w:val="32"/>
          <w:szCs w:val="32"/>
        </w:rPr>
        <w:t>。档案部门机构改革顺利完成，党委领导、局馆协同的</w:t>
      </w:r>
      <w:r>
        <w:rPr>
          <w:rFonts w:hint="eastAsia" w:ascii="仿宋_GB2312" w:eastAsia="仿宋_GB2312"/>
          <w:sz w:val="32"/>
          <w:szCs w:val="32"/>
        </w:rPr>
        <w:t>工作体系进一步完善，“一盘棋、双加强”的治理新格局初步形成。</w:t>
      </w:r>
      <w:r>
        <w:rPr>
          <w:rStyle w:val="12"/>
          <w:rFonts w:hint="eastAsia" w:ascii="仿宋_GB2312" w:hAnsi="楷体_GB2312" w:eastAsia="仿宋_GB2312" w:cs="楷体_GB2312"/>
          <w:sz w:val="32"/>
          <w:szCs w:val="32"/>
        </w:rPr>
        <w:t>扎实开展新修订《档案法》宣贯工作，线上线下有机结合，</w:t>
      </w:r>
      <w:r>
        <w:rPr>
          <w:rFonts w:hint="eastAsia" w:ascii="仿宋_GB2312" w:eastAsia="仿宋_GB2312"/>
          <w:sz w:val="32"/>
          <w:szCs w:val="32"/>
        </w:rPr>
        <w:t>“三进三送”广泛深入，机关企事业单位全面覆盖，切实做到领导干部熟知、档案人员精通、社会群众知晓。深入推进</w:t>
      </w:r>
      <w:r>
        <w:rPr>
          <w:rFonts w:hint="eastAsia" w:eastAsia="仿宋_GB2312"/>
          <w:color w:val="000000"/>
          <w:sz w:val="32"/>
          <w:szCs w:val="32"/>
        </w:rPr>
        <w:t>“互联网</w:t>
      </w:r>
      <w:r>
        <w:rPr>
          <w:rFonts w:eastAsia="仿宋_GB2312"/>
          <w:color w:val="000000"/>
          <w:sz w:val="32"/>
          <w:szCs w:val="32"/>
        </w:rPr>
        <w:t>+</w:t>
      </w:r>
      <w:r>
        <w:rPr>
          <w:rFonts w:hint="eastAsia" w:eastAsia="仿宋_GB2312"/>
          <w:color w:val="000000"/>
          <w:sz w:val="32"/>
          <w:szCs w:val="32"/>
        </w:rPr>
        <w:t>监管”和“双随机”执法检查，综合运用平时抽查、专项检查、联合执法和市委督查等手</w:t>
      </w:r>
      <w:r>
        <w:rPr>
          <w:rFonts w:hint="eastAsia" w:ascii="仿宋_GB2312" w:eastAsia="仿宋_GB2312"/>
          <w:sz w:val="32"/>
          <w:szCs w:val="32"/>
        </w:rPr>
        <w:t>段，监管事项覆盖率、任务完成率等均达</w:t>
      </w:r>
      <w:r>
        <w:rPr>
          <w:rFonts w:ascii="仿宋_GB2312" w:eastAsia="仿宋_GB2312"/>
          <w:sz w:val="32"/>
          <w:szCs w:val="32"/>
        </w:rPr>
        <w:t>100%</w:t>
      </w:r>
      <w:r>
        <w:rPr>
          <w:rFonts w:hint="eastAsia" w:ascii="仿宋_GB2312" w:eastAsia="仿宋_GB2312"/>
          <w:sz w:val="32"/>
          <w:szCs w:val="32"/>
        </w:rPr>
        <w:t>。对</w:t>
      </w:r>
      <w:r>
        <w:rPr>
          <w:rFonts w:ascii="仿宋_GB2312" w:eastAsia="仿宋_GB2312"/>
          <w:sz w:val="32"/>
          <w:szCs w:val="32"/>
        </w:rPr>
        <w:t>54</w:t>
      </w:r>
      <w:r>
        <w:rPr>
          <w:rFonts w:hint="eastAsia" w:ascii="仿宋_GB2312" w:eastAsia="仿宋_GB2312"/>
          <w:sz w:val="32"/>
          <w:szCs w:val="32"/>
        </w:rPr>
        <w:t>家档案服务</w:t>
      </w:r>
      <w:r>
        <w:rPr>
          <w:rFonts w:hint="eastAsia" w:eastAsia="仿宋_GB2312"/>
          <w:color w:val="000000"/>
          <w:sz w:val="32"/>
          <w:szCs w:val="32"/>
        </w:rPr>
        <w:t>机构进行了备案。</w:t>
      </w:r>
    </w:p>
    <w:p>
      <w:pPr>
        <w:widowControl w:val="0"/>
        <w:spacing w:line="610" w:lineRule="exact"/>
        <w:ind w:firstLine="643" w:firstLineChars="200"/>
        <w:rPr>
          <w:rStyle w:val="12"/>
          <w:rFonts w:ascii="仿宋_GB2312" w:eastAsia="仿宋_GB2312"/>
          <w:sz w:val="32"/>
          <w:szCs w:val="32"/>
        </w:rPr>
      </w:pPr>
      <w:r>
        <w:rPr>
          <w:rStyle w:val="12"/>
          <w:rFonts w:ascii="仿宋_GB2312" w:hAnsi="楷体_GB2312" w:eastAsia="仿宋_GB2312" w:cs="楷体_GB2312"/>
          <w:b/>
          <w:sz w:val="32"/>
          <w:szCs w:val="32"/>
        </w:rPr>
        <w:t>3.</w:t>
      </w:r>
      <w:r>
        <w:rPr>
          <w:rStyle w:val="12"/>
          <w:rFonts w:hint="eastAsia" w:ascii="仿宋_GB2312" w:hAnsi="楷体_GB2312" w:eastAsia="仿宋_GB2312" w:cs="楷体_GB2312"/>
          <w:b/>
          <w:sz w:val="32"/>
          <w:szCs w:val="32"/>
        </w:rPr>
        <w:t>基层基础建设实现跨越</w:t>
      </w:r>
      <w:r>
        <w:rPr>
          <w:rStyle w:val="12"/>
          <w:rFonts w:hint="eastAsia" w:ascii="仿宋_GB2312" w:hAnsi="楷体_GB2312" w:eastAsia="仿宋_GB2312" w:cs="楷体_GB2312"/>
          <w:sz w:val="32"/>
          <w:szCs w:val="32"/>
        </w:rPr>
        <w:t>。</w:t>
      </w:r>
      <w:r>
        <w:rPr>
          <w:rFonts w:ascii="仿宋_GB2312" w:eastAsia="仿宋_GB2312"/>
          <w:sz w:val="32"/>
          <w:szCs w:val="32"/>
        </w:rPr>
        <w:t>9</w:t>
      </w:r>
      <w:r>
        <w:rPr>
          <w:rFonts w:hint="eastAsia" w:ascii="仿宋_GB2312" w:eastAsia="仿宋_GB2312"/>
          <w:sz w:val="32"/>
          <w:szCs w:val="32"/>
        </w:rPr>
        <w:t>个县（市、区）档案馆新馆总体建成，面积比“十二五”末增加</w:t>
      </w:r>
      <w:r>
        <w:rPr>
          <w:rFonts w:ascii="仿宋_GB2312" w:eastAsia="仿宋_GB2312"/>
          <w:sz w:val="32"/>
          <w:szCs w:val="32"/>
        </w:rPr>
        <w:t>7</w:t>
      </w:r>
      <w:r>
        <w:rPr>
          <w:rFonts w:hint="eastAsia" w:ascii="仿宋_GB2312" w:eastAsia="仿宋_GB2312"/>
          <w:sz w:val="32"/>
          <w:szCs w:val="32"/>
        </w:rPr>
        <w:t>倍。</w:t>
      </w:r>
      <w:r>
        <w:rPr>
          <w:rStyle w:val="12"/>
          <w:rFonts w:hint="eastAsia" w:ascii="仿宋_GB2312" w:hAnsi="楷体_GB2312" w:eastAsia="仿宋_GB2312" w:cs="楷体_GB2312"/>
          <w:sz w:val="32"/>
          <w:szCs w:val="32"/>
        </w:rPr>
        <w:t>全面完成国家综合档案馆业务建设评价，其中示范档案馆</w:t>
      </w:r>
      <w:r>
        <w:rPr>
          <w:rStyle w:val="12"/>
          <w:rFonts w:ascii="仿宋_GB2312" w:hAnsi="楷体_GB2312" w:eastAsia="仿宋_GB2312" w:cs="楷体_GB2312"/>
          <w:sz w:val="32"/>
          <w:szCs w:val="32"/>
        </w:rPr>
        <w:t>4</w:t>
      </w:r>
      <w:r>
        <w:rPr>
          <w:rStyle w:val="12"/>
          <w:rFonts w:hint="eastAsia" w:ascii="仿宋_GB2312" w:hAnsi="楷体_GB2312" w:eastAsia="仿宋_GB2312" w:cs="楷体_GB2312"/>
          <w:sz w:val="32"/>
          <w:szCs w:val="32"/>
        </w:rPr>
        <w:t>家。</w:t>
      </w:r>
      <w:r>
        <w:rPr>
          <w:rFonts w:hint="eastAsia" w:ascii="仿宋_GB2312" w:eastAsia="仿宋_GB2312"/>
          <w:sz w:val="32"/>
          <w:szCs w:val="32"/>
        </w:rPr>
        <w:t>全市</w:t>
      </w:r>
      <w:r>
        <w:rPr>
          <w:rFonts w:ascii="仿宋_GB2312" w:eastAsia="仿宋_GB2312"/>
          <w:sz w:val="32"/>
          <w:szCs w:val="32"/>
        </w:rPr>
        <w:t>475</w:t>
      </w:r>
      <w:r>
        <w:rPr>
          <w:rFonts w:hint="eastAsia" w:ascii="仿宋_GB2312" w:eastAsia="仿宋_GB2312"/>
          <w:sz w:val="32"/>
          <w:szCs w:val="32"/>
        </w:rPr>
        <w:t>家单位</w:t>
      </w:r>
      <w:r>
        <w:rPr>
          <w:rStyle w:val="12"/>
          <w:rFonts w:hint="eastAsia" w:ascii="仿宋_GB2312" w:hAnsi="楷体_GB2312" w:eastAsia="仿宋_GB2312" w:cs="楷体_GB2312"/>
          <w:sz w:val="32"/>
          <w:szCs w:val="32"/>
        </w:rPr>
        <w:t>创成规范化档案室。各级各类档案馆馆藏档案</w:t>
      </w:r>
      <w:r>
        <w:rPr>
          <w:rStyle w:val="12"/>
          <w:rFonts w:ascii="仿宋_GB2312" w:hAnsi="楷体_GB2312" w:eastAsia="仿宋_GB2312" w:cs="楷体_GB2312"/>
          <w:sz w:val="32"/>
          <w:szCs w:val="32"/>
        </w:rPr>
        <w:t>414.2</w:t>
      </w:r>
      <w:r>
        <w:rPr>
          <w:rStyle w:val="12"/>
          <w:rFonts w:hint="eastAsia" w:ascii="仿宋_GB2312" w:hAnsi="楷体_GB2312" w:eastAsia="仿宋_GB2312" w:cs="楷体_GB2312"/>
          <w:sz w:val="32"/>
          <w:szCs w:val="32"/>
        </w:rPr>
        <w:t>万卷（件），比“十二五”末增长</w:t>
      </w:r>
      <w:r>
        <w:rPr>
          <w:rStyle w:val="12"/>
          <w:rFonts w:ascii="仿宋_GB2312" w:hAnsi="楷体_GB2312" w:eastAsia="仿宋_GB2312" w:cs="楷体_GB2312"/>
          <w:sz w:val="32"/>
          <w:szCs w:val="32"/>
        </w:rPr>
        <w:t>105%</w:t>
      </w:r>
      <w:r>
        <w:rPr>
          <w:rStyle w:val="12"/>
          <w:rFonts w:hint="eastAsia" w:hAnsi="楷体_GB2312" w:cs="楷体_GB2312"/>
        </w:rPr>
        <w:t>。</w:t>
      </w:r>
      <w:r>
        <w:rPr>
          <w:rFonts w:hint="eastAsia" w:ascii="仿宋_GB2312" w:eastAsia="仿宋_GB2312"/>
          <w:sz w:val="32"/>
          <w:szCs w:val="32"/>
        </w:rPr>
        <w:t>在全省率先开展机关文档集中管理。建成乡镇档案馆</w:t>
      </w:r>
      <w:r>
        <w:rPr>
          <w:rFonts w:ascii="仿宋_GB2312" w:eastAsia="仿宋_GB2312"/>
          <w:sz w:val="32"/>
          <w:szCs w:val="32"/>
        </w:rPr>
        <w:t>4</w:t>
      </w:r>
      <w:r>
        <w:rPr>
          <w:rFonts w:hint="eastAsia" w:ascii="仿宋_GB2312" w:eastAsia="仿宋_GB2312"/>
          <w:sz w:val="32"/>
          <w:szCs w:val="32"/>
        </w:rPr>
        <w:t>家，“村档乡管”模式初见成效。持续开展平安浙江档案安全考核，常态化推进档案登记备份和重要档案异地备份，市县档案馆</w:t>
      </w:r>
      <w:r>
        <w:rPr>
          <w:rFonts w:ascii="仿宋_GB2312" w:eastAsia="仿宋_GB2312"/>
          <w:sz w:val="32"/>
          <w:szCs w:val="32"/>
        </w:rPr>
        <w:t>23</w:t>
      </w:r>
      <w:r>
        <w:rPr>
          <w:rFonts w:hint="eastAsia" w:ascii="仿宋_GB2312" w:eastAsia="仿宋_GB2312"/>
          <w:sz w:val="32"/>
          <w:szCs w:val="32"/>
        </w:rPr>
        <w:t>套信息系统通过二级等级保护测评。</w:t>
      </w:r>
    </w:p>
    <w:p>
      <w:pPr>
        <w:widowControl w:val="0"/>
        <w:spacing w:line="610" w:lineRule="exact"/>
        <w:ind w:firstLine="643" w:firstLineChars="200"/>
        <w:rPr>
          <w:rStyle w:val="12"/>
          <w:rFonts w:ascii="仿宋_GB2312" w:eastAsia="仿宋_GB2312"/>
          <w:sz w:val="32"/>
          <w:szCs w:val="32"/>
        </w:rPr>
      </w:pPr>
      <w:r>
        <w:rPr>
          <w:rStyle w:val="12"/>
          <w:rFonts w:ascii="仿宋_GB2312" w:hAnsi="楷体_GB2312" w:eastAsia="仿宋_GB2312" w:cs="楷体_GB2312"/>
          <w:b/>
          <w:sz w:val="32"/>
          <w:szCs w:val="32"/>
        </w:rPr>
        <w:t>4.</w:t>
      </w:r>
      <w:r>
        <w:rPr>
          <w:rStyle w:val="12"/>
          <w:rFonts w:hint="eastAsia" w:ascii="仿宋_GB2312" w:hAnsi="楷体_GB2312" w:eastAsia="仿宋_GB2312" w:cs="楷体_GB2312"/>
          <w:b/>
          <w:sz w:val="32"/>
          <w:szCs w:val="32"/>
        </w:rPr>
        <w:t>档案信息化水平不断提升</w:t>
      </w:r>
      <w:r>
        <w:rPr>
          <w:rStyle w:val="12"/>
          <w:rFonts w:hint="eastAsia" w:ascii="仿宋_GB2312" w:hAnsi="楷体_GB2312" w:eastAsia="仿宋_GB2312" w:cs="楷体_GB2312"/>
          <w:sz w:val="32"/>
          <w:szCs w:val="32"/>
        </w:rPr>
        <w:t>。主动对接政府数字化转型，服务</w:t>
      </w:r>
      <w:r>
        <w:rPr>
          <w:rFonts w:hint="eastAsia" w:ascii="仿宋_GB2312" w:eastAsia="仿宋_GB2312"/>
          <w:sz w:val="32"/>
          <w:szCs w:val="32"/>
        </w:rPr>
        <w:t>“最多跑一次”行政审批事项电子化归档，归档量达</w:t>
      </w:r>
      <w:r>
        <w:rPr>
          <w:rFonts w:ascii="仿宋_GB2312" w:eastAsia="仿宋_GB2312"/>
          <w:sz w:val="32"/>
          <w:szCs w:val="32"/>
        </w:rPr>
        <w:t>282</w:t>
      </w:r>
      <w:r>
        <w:rPr>
          <w:rFonts w:hint="eastAsia" w:ascii="仿宋_GB2312" w:eastAsia="仿宋_GB2312"/>
          <w:sz w:val="32"/>
          <w:szCs w:val="32"/>
        </w:rPr>
        <w:t>万件。设计开发党政机关协同办公系统电子公文归档模块，积极推进部门试点工作，实现电子公文从办文到归档的全流程闭环管理。全面开展数字档案馆（室）创建，</w:t>
      </w:r>
      <w:r>
        <w:rPr>
          <w:rFonts w:ascii="仿宋_GB2312" w:eastAsia="仿宋_GB2312"/>
          <w:sz w:val="32"/>
          <w:szCs w:val="32"/>
        </w:rPr>
        <w:t>9</w:t>
      </w:r>
      <w:r>
        <w:rPr>
          <w:rFonts w:hint="eastAsia" w:ascii="仿宋_GB2312" w:eastAsia="仿宋_GB2312"/>
          <w:sz w:val="32"/>
          <w:szCs w:val="32"/>
        </w:rPr>
        <w:t>个县（市、区）档案馆全部创成省级数字档案馆，市馆和椒江区馆创成国家级数字档案馆，全市累计</w:t>
      </w:r>
      <w:r>
        <w:rPr>
          <w:rFonts w:ascii="仿宋_GB2312" w:eastAsia="仿宋_GB2312"/>
          <w:sz w:val="32"/>
          <w:szCs w:val="32"/>
        </w:rPr>
        <w:t>1032</w:t>
      </w:r>
      <w:r>
        <w:rPr>
          <w:rFonts w:hint="eastAsia" w:ascii="仿宋_GB2312" w:eastAsia="仿宋_GB2312"/>
          <w:sz w:val="32"/>
          <w:szCs w:val="32"/>
        </w:rPr>
        <w:t>家单位创成数字档案室。</w:t>
      </w:r>
    </w:p>
    <w:p>
      <w:pPr>
        <w:widowControl w:val="0"/>
        <w:spacing w:line="610" w:lineRule="exact"/>
        <w:ind w:firstLine="643" w:firstLineChars="200"/>
        <w:rPr>
          <w:rStyle w:val="12"/>
          <w:rFonts w:ascii="仿宋_GB2312" w:eastAsia="仿宋_GB2312"/>
          <w:sz w:val="32"/>
          <w:szCs w:val="32"/>
        </w:rPr>
      </w:pPr>
      <w:r>
        <w:rPr>
          <w:rStyle w:val="12"/>
          <w:rFonts w:ascii="仿宋_GB2312" w:hAnsi="楷体_GB2312" w:eastAsia="仿宋_GB2312" w:cs="楷体_GB2312"/>
          <w:b/>
          <w:sz w:val="32"/>
          <w:szCs w:val="32"/>
        </w:rPr>
        <w:t>5.</w:t>
      </w:r>
      <w:r>
        <w:rPr>
          <w:rStyle w:val="12"/>
          <w:rFonts w:hint="eastAsia" w:ascii="仿宋_GB2312" w:hAnsi="楷体_GB2312" w:eastAsia="仿宋_GB2312" w:cs="楷体_GB2312"/>
          <w:b/>
          <w:sz w:val="32"/>
          <w:szCs w:val="32"/>
        </w:rPr>
        <w:t>档案文化工作成果丰硕。</w:t>
      </w:r>
      <w:r>
        <w:rPr>
          <w:rFonts w:hint="eastAsia" w:ascii="仿宋_GB2312" w:eastAsia="仿宋_GB2312"/>
          <w:sz w:val="32"/>
          <w:szCs w:val="32"/>
        </w:rPr>
        <w:t>积极弘扬大陈岛垦荒精神，深入推进大陈岛垦荒史料的征编研展工作。举办“大陈岛垦荒记忆史料影像展”“红色经典著作展览”等专题展览</w:t>
      </w:r>
      <w:r>
        <w:rPr>
          <w:rFonts w:ascii="仿宋_GB2312" w:eastAsia="仿宋_GB2312"/>
          <w:sz w:val="32"/>
          <w:szCs w:val="32"/>
        </w:rPr>
        <w:t>82</w:t>
      </w:r>
      <w:r>
        <w:rPr>
          <w:rFonts w:hint="eastAsia" w:ascii="仿宋_GB2312" w:eastAsia="仿宋_GB2312"/>
          <w:sz w:val="32"/>
          <w:szCs w:val="32"/>
        </w:rPr>
        <w:t>场，开设网上展厅</w:t>
      </w:r>
      <w:r>
        <w:rPr>
          <w:rFonts w:ascii="仿宋_GB2312" w:eastAsia="仿宋_GB2312"/>
          <w:sz w:val="32"/>
          <w:szCs w:val="32"/>
        </w:rPr>
        <w:t>4</w:t>
      </w:r>
      <w:r>
        <w:rPr>
          <w:rFonts w:hint="eastAsia" w:ascii="仿宋_GB2312" w:eastAsia="仿宋_GB2312"/>
          <w:sz w:val="32"/>
          <w:szCs w:val="32"/>
        </w:rPr>
        <w:t>个，引发社会各界广泛关注。编纂年鉴系列、院士系列、名字系列、地方特色系列“四大丛书”</w:t>
      </w:r>
      <w:r>
        <w:rPr>
          <w:rFonts w:ascii="仿宋_GB2312" w:eastAsia="仿宋_GB2312"/>
          <w:sz w:val="32"/>
          <w:szCs w:val="32"/>
        </w:rPr>
        <w:t>38</w:t>
      </w:r>
      <w:r>
        <w:rPr>
          <w:rFonts w:hint="eastAsia" w:ascii="仿宋_GB2312" w:eastAsia="仿宋_GB2312"/>
          <w:sz w:val="32"/>
          <w:szCs w:val="32"/>
        </w:rPr>
        <w:t>本，其中《台州馆藏档案精粹》《台州新农村》等编研成果斩获多项省级奖项，《温岭民国地籍档案》入选浙江档案文献遗产名录。</w:t>
      </w:r>
    </w:p>
    <w:p>
      <w:pPr>
        <w:widowControl w:val="0"/>
        <w:spacing w:line="610" w:lineRule="exact"/>
        <w:ind w:firstLine="643" w:firstLineChars="200"/>
        <w:rPr>
          <w:rStyle w:val="12"/>
          <w:rFonts w:ascii="仿宋_GB2312" w:hAnsi="楷体_GB2312" w:eastAsia="仿宋_GB2312" w:cs="楷体_GB2312"/>
          <w:sz w:val="32"/>
          <w:szCs w:val="32"/>
        </w:rPr>
      </w:pPr>
      <w:r>
        <w:rPr>
          <w:rStyle w:val="12"/>
          <w:rFonts w:ascii="仿宋_GB2312" w:hAnsi="楷体_GB2312" w:eastAsia="仿宋_GB2312" w:cs="楷体_GB2312"/>
          <w:b/>
          <w:sz w:val="32"/>
          <w:szCs w:val="32"/>
        </w:rPr>
        <w:t>6.</w:t>
      </w:r>
      <w:r>
        <w:rPr>
          <w:rStyle w:val="12"/>
          <w:rFonts w:hint="eastAsia" w:ascii="仿宋_GB2312" w:hAnsi="楷体_GB2312" w:eastAsia="仿宋_GB2312" w:cs="楷体_GB2312"/>
          <w:b/>
          <w:sz w:val="32"/>
          <w:szCs w:val="32"/>
        </w:rPr>
        <w:t>公共服务能力明显增强</w:t>
      </w:r>
      <w:r>
        <w:rPr>
          <w:rStyle w:val="12"/>
          <w:rFonts w:hint="eastAsia" w:ascii="仿宋_GB2312" w:hAnsi="楷体_GB2312" w:eastAsia="仿宋_GB2312" w:cs="楷体_GB2312"/>
          <w:sz w:val="32"/>
          <w:szCs w:val="32"/>
        </w:rPr>
        <w:t>。深化“异地查档、跨馆服务”，与省内、长三角地区</w:t>
      </w:r>
      <w:r>
        <w:rPr>
          <w:rStyle w:val="12"/>
          <w:rFonts w:ascii="仿宋_GB2312" w:hAnsi="楷体_GB2312" w:eastAsia="仿宋_GB2312" w:cs="楷体_GB2312"/>
          <w:sz w:val="32"/>
          <w:szCs w:val="32"/>
        </w:rPr>
        <w:t>340</w:t>
      </w:r>
      <w:r>
        <w:rPr>
          <w:rStyle w:val="12"/>
          <w:rFonts w:hint="eastAsia" w:ascii="仿宋_GB2312" w:hAnsi="楷体_GB2312" w:eastAsia="仿宋_GB2312" w:cs="楷体_GB2312"/>
          <w:sz w:val="32"/>
          <w:szCs w:val="32"/>
        </w:rPr>
        <w:t>家档案馆实现跨馆查档。开通网上查档和掌上查档，在全省首次成功受理省外、国外网上查档申请。建成全市民生档案馆际共享平台，推动婚姻登记、国土等民生档案的馆（室）共建共享，基本实现乡镇（街道）便民服务中心档案查阅窗口全覆盖。</w:t>
      </w:r>
      <w:r>
        <w:rPr>
          <w:rFonts w:hint="eastAsia" w:ascii="仿宋_GB2312" w:eastAsia="仿宋_GB2312"/>
          <w:sz w:val="32"/>
          <w:szCs w:val="32"/>
        </w:rPr>
        <w:t>依法开展档案开放，全市共完成馆藏档案开放审核</w:t>
      </w:r>
      <w:r>
        <w:rPr>
          <w:rFonts w:ascii="仿宋_GB2312" w:eastAsia="仿宋_GB2312"/>
          <w:sz w:val="32"/>
          <w:szCs w:val="32"/>
        </w:rPr>
        <w:t>16</w:t>
      </w:r>
      <w:r>
        <w:rPr>
          <w:rFonts w:hint="eastAsia" w:ascii="仿宋_GB2312" w:eastAsia="仿宋_GB2312"/>
          <w:sz w:val="32"/>
          <w:szCs w:val="32"/>
        </w:rPr>
        <w:t>万卷、</w:t>
      </w:r>
      <w:r>
        <w:rPr>
          <w:rFonts w:ascii="仿宋_GB2312" w:eastAsia="仿宋_GB2312"/>
          <w:sz w:val="32"/>
          <w:szCs w:val="32"/>
        </w:rPr>
        <w:t>29.5</w:t>
      </w:r>
      <w:r>
        <w:rPr>
          <w:rFonts w:hint="eastAsia" w:ascii="仿宋_GB2312" w:eastAsia="仿宋_GB2312"/>
          <w:sz w:val="32"/>
          <w:szCs w:val="32"/>
        </w:rPr>
        <w:t>万件。</w:t>
      </w:r>
      <w:r>
        <w:rPr>
          <w:rStyle w:val="12"/>
          <w:rFonts w:hint="eastAsia" w:ascii="仿宋_GB2312" w:hAnsi="楷体_GB2312" w:eastAsia="仿宋_GB2312" w:cs="楷体_GB2312"/>
          <w:sz w:val="32"/>
          <w:szCs w:val="32"/>
        </w:rPr>
        <w:t>全市档案查阅利用量年均超</w:t>
      </w:r>
      <w:r>
        <w:rPr>
          <w:rStyle w:val="12"/>
          <w:rFonts w:ascii="仿宋_GB2312" w:hAnsi="楷体_GB2312" w:eastAsia="仿宋_GB2312" w:cs="楷体_GB2312"/>
          <w:sz w:val="32"/>
          <w:szCs w:val="32"/>
        </w:rPr>
        <w:t>4</w:t>
      </w:r>
      <w:r>
        <w:rPr>
          <w:rStyle w:val="12"/>
          <w:rFonts w:hint="eastAsia" w:ascii="仿宋_GB2312" w:hAnsi="楷体_GB2312" w:eastAsia="仿宋_GB2312" w:cs="楷体_GB2312"/>
          <w:sz w:val="32"/>
          <w:szCs w:val="32"/>
        </w:rPr>
        <w:t>万人次，查阅利用满意度居全省前列。</w:t>
      </w:r>
    </w:p>
    <w:p>
      <w:pPr>
        <w:widowControl w:val="0"/>
        <w:spacing w:line="610" w:lineRule="exact"/>
        <w:ind w:firstLine="643" w:firstLineChars="200"/>
        <w:rPr>
          <w:rFonts w:ascii="仿宋_GB2312" w:eastAsia="仿宋_GB2312"/>
          <w:sz w:val="32"/>
          <w:szCs w:val="32"/>
        </w:rPr>
      </w:pPr>
      <w:r>
        <w:rPr>
          <w:rStyle w:val="12"/>
          <w:rFonts w:ascii="仿宋_GB2312" w:hAnsi="楷体_GB2312" w:eastAsia="仿宋_GB2312" w:cs="楷体_GB2312"/>
          <w:b/>
          <w:sz w:val="32"/>
          <w:szCs w:val="32"/>
        </w:rPr>
        <w:t>7.</w:t>
      </w:r>
      <w:r>
        <w:rPr>
          <w:rStyle w:val="12"/>
          <w:rFonts w:hint="eastAsia" w:ascii="仿宋_GB2312" w:hAnsi="楷体_GB2312" w:eastAsia="仿宋_GB2312" w:cs="楷体_GB2312"/>
          <w:b/>
          <w:sz w:val="32"/>
          <w:szCs w:val="32"/>
        </w:rPr>
        <w:t>档案人才建设持续加强</w:t>
      </w:r>
      <w:r>
        <w:rPr>
          <w:rStyle w:val="12"/>
          <w:rFonts w:hint="eastAsia" w:ascii="仿宋_GB2312" w:hAnsi="楷体_GB2312" w:eastAsia="仿宋_GB2312" w:cs="楷体_GB2312"/>
          <w:sz w:val="32"/>
          <w:szCs w:val="32"/>
        </w:rPr>
        <w:t>。</w:t>
      </w:r>
      <w:r>
        <w:rPr>
          <w:rFonts w:hint="eastAsia" w:ascii="仿宋_GB2312" w:eastAsia="仿宋_GB2312"/>
          <w:sz w:val="32"/>
          <w:szCs w:val="32"/>
        </w:rPr>
        <w:t>在全市档案系统开展“三传三进”党建创建活动，打造“红色档案、兰台先锋、闪亮窗口”特色党建品牌，实行档案工作项目化、清单式管理，推动党建与业务双融双促。整合档案系统专业力量，组建业务建设、信息化建设、征集编研</w:t>
      </w:r>
      <w:r>
        <w:rPr>
          <w:rFonts w:ascii="仿宋_GB2312" w:eastAsia="仿宋_GB2312"/>
          <w:sz w:val="32"/>
          <w:szCs w:val="32"/>
        </w:rPr>
        <w:t>3</w:t>
      </w:r>
      <w:r>
        <w:rPr>
          <w:rFonts w:hint="eastAsia" w:ascii="仿宋_GB2312" w:eastAsia="仿宋_GB2312"/>
          <w:sz w:val="32"/>
          <w:szCs w:val="32"/>
        </w:rPr>
        <w:t>个专业组共</w:t>
      </w:r>
      <w:r>
        <w:rPr>
          <w:rFonts w:ascii="仿宋_GB2312" w:eastAsia="仿宋_GB2312"/>
          <w:sz w:val="32"/>
          <w:szCs w:val="32"/>
        </w:rPr>
        <w:t>62</w:t>
      </w:r>
      <w:r>
        <w:rPr>
          <w:rFonts w:hint="eastAsia" w:ascii="仿宋_GB2312" w:eastAsia="仿宋_GB2312"/>
          <w:sz w:val="32"/>
          <w:szCs w:val="32"/>
        </w:rPr>
        <w:t>人。加强业务培训，</w:t>
      </w:r>
      <w:r>
        <w:rPr>
          <w:rFonts w:hint="eastAsia" w:ascii="仿宋_GB2312" w:hAnsi="楷体_GB2312" w:eastAsia="仿宋_GB2312" w:cs="楷体_GB2312"/>
          <w:sz w:val="32"/>
          <w:szCs w:val="32"/>
        </w:rPr>
        <w:t>与中国人民大学、浙江大学、南京大学、上海交通大学等合作培训档案骨干近</w:t>
      </w:r>
      <w:r>
        <w:rPr>
          <w:rFonts w:ascii="仿宋_GB2312" w:hAnsi="楷体_GB2312" w:eastAsia="仿宋_GB2312" w:cs="楷体_GB2312"/>
          <w:sz w:val="32"/>
          <w:szCs w:val="32"/>
        </w:rPr>
        <w:t>250</w:t>
      </w:r>
      <w:r>
        <w:rPr>
          <w:rFonts w:hint="eastAsia" w:ascii="仿宋_GB2312" w:hAnsi="楷体_GB2312" w:eastAsia="仿宋_GB2312" w:cs="楷体_GB2312"/>
          <w:sz w:val="32"/>
          <w:szCs w:val="32"/>
        </w:rPr>
        <w:t>人次。全市组织各类档案培训</w:t>
      </w:r>
      <w:r>
        <w:rPr>
          <w:rFonts w:ascii="仿宋_GB2312" w:hAnsi="楷体_GB2312" w:eastAsia="仿宋_GB2312" w:cs="楷体_GB2312"/>
          <w:sz w:val="32"/>
          <w:szCs w:val="32"/>
        </w:rPr>
        <w:t>72</w:t>
      </w:r>
      <w:r>
        <w:rPr>
          <w:rFonts w:hint="eastAsia" w:ascii="仿宋_GB2312" w:hAnsi="楷体_GB2312" w:eastAsia="仿宋_GB2312" w:cs="楷体_GB2312"/>
          <w:sz w:val="32"/>
          <w:szCs w:val="32"/>
        </w:rPr>
        <w:t>场次，</w:t>
      </w:r>
      <w:r>
        <w:rPr>
          <w:rFonts w:ascii="仿宋_GB2312" w:hAnsi="楷体_GB2312" w:eastAsia="仿宋_GB2312" w:cs="楷体_GB2312"/>
          <w:sz w:val="32"/>
          <w:szCs w:val="32"/>
        </w:rPr>
        <w:t>8390</w:t>
      </w:r>
      <w:r>
        <w:rPr>
          <w:rFonts w:hint="eastAsia" w:ascii="仿宋_GB2312" w:hAnsi="楷体_GB2312" w:eastAsia="仿宋_GB2312" w:cs="楷体_GB2312"/>
          <w:sz w:val="32"/>
          <w:szCs w:val="32"/>
        </w:rPr>
        <w:t>人次接受了专业培训和继续教育。新增研究馆员</w:t>
      </w:r>
      <w:r>
        <w:rPr>
          <w:rFonts w:ascii="仿宋_GB2312" w:hAnsi="楷体_GB2312" w:eastAsia="仿宋_GB2312" w:cs="楷体_GB2312"/>
          <w:sz w:val="32"/>
          <w:szCs w:val="32"/>
        </w:rPr>
        <w:t>1</w:t>
      </w:r>
      <w:r>
        <w:rPr>
          <w:rFonts w:hint="eastAsia" w:ascii="仿宋_GB2312" w:hAnsi="楷体_GB2312" w:eastAsia="仿宋_GB2312" w:cs="楷体_GB2312"/>
          <w:sz w:val="32"/>
          <w:szCs w:val="32"/>
        </w:rPr>
        <w:t>人、副研究馆员</w:t>
      </w:r>
      <w:r>
        <w:rPr>
          <w:rFonts w:ascii="仿宋_GB2312" w:hAnsi="楷体_GB2312" w:eastAsia="仿宋_GB2312" w:cs="楷体_GB2312"/>
          <w:sz w:val="32"/>
          <w:szCs w:val="32"/>
        </w:rPr>
        <w:t>17</w:t>
      </w:r>
      <w:r>
        <w:rPr>
          <w:rFonts w:hint="eastAsia" w:ascii="仿宋_GB2312" w:hAnsi="楷体_GB2312" w:eastAsia="仿宋_GB2312" w:cs="楷体_GB2312"/>
          <w:sz w:val="32"/>
          <w:szCs w:val="32"/>
        </w:rPr>
        <w:t>人、初中级职称</w:t>
      </w:r>
      <w:r>
        <w:rPr>
          <w:rFonts w:ascii="仿宋_GB2312" w:hAnsi="楷体_GB2312" w:eastAsia="仿宋_GB2312" w:cs="楷体_GB2312"/>
          <w:sz w:val="32"/>
          <w:szCs w:val="32"/>
        </w:rPr>
        <w:t>156</w:t>
      </w:r>
      <w:r>
        <w:rPr>
          <w:rFonts w:hint="eastAsia" w:ascii="仿宋_GB2312" w:hAnsi="楷体_GB2312" w:eastAsia="仿宋_GB2312" w:cs="楷体_GB2312"/>
          <w:sz w:val="32"/>
          <w:szCs w:val="32"/>
        </w:rPr>
        <w:t>人，</w:t>
      </w:r>
      <w:r>
        <w:rPr>
          <w:rFonts w:ascii="仿宋_GB2312" w:eastAsia="仿宋_GB2312"/>
          <w:sz w:val="32"/>
          <w:szCs w:val="32"/>
        </w:rPr>
        <w:t>54</w:t>
      </w:r>
      <w:r>
        <w:rPr>
          <w:rFonts w:hint="eastAsia" w:ascii="仿宋_GB2312" w:eastAsia="仿宋_GB2312"/>
          <w:sz w:val="32"/>
          <w:szCs w:val="32"/>
        </w:rPr>
        <w:t>人入选省“</w:t>
      </w:r>
      <w:r>
        <w:rPr>
          <w:rFonts w:ascii="仿宋_GB2312" w:eastAsia="仿宋_GB2312"/>
          <w:sz w:val="32"/>
          <w:szCs w:val="32"/>
        </w:rPr>
        <w:t>115</w:t>
      </w:r>
      <w:r>
        <w:rPr>
          <w:rFonts w:hint="eastAsia" w:ascii="仿宋_GB2312" w:eastAsia="仿宋_GB2312"/>
          <w:sz w:val="32"/>
          <w:szCs w:val="32"/>
        </w:rPr>
        <w:t>”</w:t>
      </w:r>
      <w:r>
        <w:rPr>
          <w:rFonts w:hint="eastAsia" w:ascii="Times New Roman" w:hAnsi="Times New Roman" w:eastAsia="仿宋_GB2312"/>
          <w:sz w:val="32"/>
          <w:szCs w:val="32"/>
        </w:rPr>
        <w:t>档案人才库。</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（二）面临的形势与挑战</w:t>
      </w:r>
    </w:p>
    <w:p>
      <w:pPr>
        <w:widowControl w:val="0"/>
        <w:spacing w:line="610" w:lineRule="exact"/>
        <w:ind w:firstLine="645"/>
        <w:rPr>
          <w:rFonts w:ascii="仿宋_GB2312" w:hAnsi="楷体_GB2312" w:eastAsia="仿宋_GB2312" w:cs="楷体_GB2312"/>
          <w:sz w:val="32"/>
          <w:szCs w:val="32"/>
        </w:rPr>
      </w:pPr>
      <w:r>
        <w:rPr>
          <w:rFonts w:hint="eastAsia" w:ascii="仿宋_GB2312" w:hAnsi="楷体_GB2312" w:eastAsia="仿宋_GB2312" w:cs="楷体_GB2312"/>
          <w:sz w:val="32"/>
          <w:szCs w:val="32"/>
        </w:rPr>
        <w:t>“十四五”时期是“两个百年”奋斗目标承上启下、“两个大局”加速演进、科技革命加快孕育、区域竞争越发激烈的五年；是浙江扛起新发展阶段“五大历史使命”，书写忠实践行“八八战略”新篇章，展示奋力打造“重要窗口”新成果，开启争创社会主义现代化先行省新征程的五年；是台州以争创社会主义现代化先行市为战略牵引，以建设新时代民营经济高质量发展强市为总体目标，以“三立三进三突围”为新时代发展路径，努力打造“六个城市”，实现跨越赶超发展的五年。</w:t>
      </w:r>
    </w:p>
    <w:p>
      <w:pPr>
        <w:widowControl w:val="0"/>
        <w:spacing w:line="610" w:lineRule="exact"/>
        <w:ind w:firstLine="645"/>
        <w:rPr>
          <w:rFonts w:ascii="仿宋_GB2312" w:hAnsi="楷体_GB2312" w:eastAsia="仿宋_GB2312" w:cs="楷体_GB2312"/>
          <w:sz w:val="32"/>
          <w:szCs w:val="32"/>
        </w:rPr>
      </w:pPr>
      <w:r>
        <w:rPr>
          <w:rFonts w:hint="eastAsia" w:ascii="仿宋_GB2312" w:hAnsi="楷体_GB2312" w:eastAsia="仿宋_GB2312" w:cs="楷体_GB2312"/>
          <w:sz w:val="32"/>
          <w:szCs w:val="32"/>
        </w:rPr>
        <w:t>档案工作作为基础性、战略性工作，在全市发展大局中承担着</w:t>
      </w:r>
      <w:r>
        <w:rPr>
          <w:rStyle w:val="12"/>
          <w:rFonts w:hint="eastAsia" w:ascii="仿宋_GB2312" w:hAnsi="楷体_GB2312" w:eastAsia="仿宋_GB2312" w:cs="楷体_GB2312"/>
          <w:sz w:val="32"/>
          <w:szCs w:val="32"/>
        </w:rPr>
        <w:t>参与者、服务者、记录者、展示者的重要角色</w:t>
      </w:r>
      <w:r>
        <w:rPr>
          <w:rFonts w:hint="eastAsia" w:ascii="仿宋_GB2312" w:hAnsi="楷体_GB2312" w:eastAsia="仿宋_GB2312" w:cs="楷体_GB2312"/>
          <w:sz w:val="32"/>
          <w:szCs w:val="32"/>
        </w:rPr>
        <w:t>，负有重要的职责使命</w:t>
      </w:r>
      <w:r>
        <w:rPr>
          <w:rStyle w:val="12"/>
          <w:rFonts w:hint="eastAsia" w:ascii="仿宋_GB2312" w:hAnsi="楷体_GB2312" w:eastAsia="仿宋_GB2312" w:cs="楷体_GB2312"/>
          <w:sz w:val="32"/>
          <w:szCs w:val="32"/>
        </w:rPr>
        <w:t>。档案部门要主动识变求变应变，准确把握世情国情省情新变化，在发展新格局中找准档案定位；准确把握档案事业“十四五”发展新要求，在全面贯彻落实习近平总书记关于档案工作的重要论述和新修订《档案法》，全面推进档案“四个体系”建设和“五档共建”迭代升级中理清思路重点。</w:t>
      </w:r>
      <w:r>
        <w:rPr>
          <w:rFonts w:hint="eastAsia" w:ascii="仿宋_GB2312" w:hAnsi="楷体_GB2312" w:eastAsia="仿宋_GB2312" w:cs="楷体_GB2312"/>
          <w:sz w:val="32"/>
          <w:szCs w:val="32"/>
        </w:rPr>
        <w:t>要加快由“国家模式”向“社会模式”的转变，在聚焦政治领域的同时，更多辐射经济、科技、文化、民生等领域；打破档案部门“单打独斗”的封闭模式，建立健全部门联动、市县协同、社会参与的共治共享新格局；进一步加大档案接收力度、扩大征集范围，提升公共服务能力，发挥社会教育功能，推动档案工作社会化，更加便民利民惠民。要加快由档案管理向系统治理的转变，将法治思维和法治方式贯穿档案事业发展的全过程和各方面，推动档案工作规范化、制度化，强化依法治档，坚持依法行政，加强执法监督；进一步突破“重建管、轻利用”的传统思维，加强档案开放和资源开发，实现档案“收建管用”一体化，持续推进档案治理体系和治理能力的现代化。要加快档案信息化向数字化的转变，破除档案信息化传统路径依赖，通过档案数据资源整合和系统迭代升级，推进馆内信息互通向馆际之间、馆室之间跨区域和跨层级数据共享迈进；加快数字赋能，通过档案业务数字化重构和智能场景应用，推动信息化档案馆向数字档案馆、智慧档案馆的跃升；探索运用云计算、大数据、人工智能、区块链等新技术在档案工作中的应用，不断提升档案工作整体智治水平。</w:t>
      </w:r>
    </w:p>
    <w:p>
      <w:pPr>
        <w:widowControl w:val="0"/>
        <w:spacing w:line="610" w:lineRule="exact"/>
        <w:ind w:firstLine="645"/>
        <w:rPr>
          <w:rStyle w:val="12"/>
          <w:rFonts w:ascii="仿宋_GB2312" w:hAnsi="楷体_GB2312" w:eastAsia="仿宋_GB2312" w:cs="楷体_GB2312"/>
          <w:sz w:val="32"/>
          <w:szCs w:val="32"/>
        </w:rPr>
      </w:pPr>
      <w:r>
        <w:rPr>
          <w:rFonts w:hint="eastAsia" w:ascii="仿宋_GB2312" w:hAnsi="楷体_GB2312" w:eastAsia="仿宋_GB2312" w:cs="楷体_GB2312"/>
          <w:sz w:val="32"/>
          <w:szCs w:val="32"/>
        </w:rPr>
        <w:t>对照新形势新任务新要求，全市档案工作还存在一些问题和短板，</w:t>
      </w:r>
      <w:r>
        <w:rPr>
          <w:rFonts w:hint="eastAsia" w:ascii="仿宋_GB2312" w:eastAsia="仿宋_GB2312"/>
          <w:sz w:val="32"/>
          <w:szCs w:val="32"/>
        </w:rPr>
        <w:t>如构建局馆融合、各方齐抓共管的档案治理体系还有待深化，对照档案工作数字化、现代化的要求还有明显差距，区域间、部门行业间档案工作推进还不够平衡，档案行政管理力量、基层基础业务建设还有待加强，新形势下档案干部的能力素质、专业化水平还有待提升等。面对机遇与挑战，必须进一步强化政治自觉和使命担当，保持战略定力，聚焦重点难点，全力破难赶超，奋力谱写我市档案现代化先行新篇章。</w:t>
      </w:r>
    </w:p>
    <w:p>
      <w:pPr>
        <w:widowControl w:val="0"/>
        <w:spacing w:line="610" w:lineRule="exact"/>
        <w:ind w:firstLine="645"/>
        <w:rPr>
          <w:rStyle w:val="12"/>
          <w:rFonts w:ascii="黑体" w:hAnsi="黑体" w:eastAsia="黑体" w:cs="楷体_GB2312"/>
          <w:sz w:val="32"/>
          <w:szCs w:val="32"/>
        </w:rPr>
      </w:pPr>
      <w:r>
        <w:rPr>
          <w:rStyle w:val="12"/>
          <w:rFonts w:hint="eastAsia" w:ascii="黑体" w:hAnsi="黑体" w:eastAsia="黑体" w:cs="楷体_GB2312"/>
          <w:sz w:val="32"/>
          <w:szCs w:val="32"/>
        </w:rPr>
        <w:t>二、总体要求</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（一）指导思想</w:t>
      </w:r>
    </w:p>
    <w:p>
      <w:pPr>
        <w:widowControl w:val="0"/>
        <w:spacing w:line="610" w:lineRule="exact"/>
        <w:ind w:firstLine="645"/>
        <w:rPr>
          <w:rStyle w:val="12"/>
          <w:rFonts w:ascii="仿宋_GB2312" w:hAnsi="楷体_GB2312" w:eastAsia="仿宋_GB2312" w:cs="楷体_GB2312"/>
          <w:sz w:val="32"/>
          <w:szCs w:val="32"/>
        </w:rPr>
      </w:pPr>
      <w:r>
        <w:rPr>
          <w:rStyle w:val="12"/>
          <w:rFonts w:hint="eastAsia" w:ascii="仿宋_GB2312" w:hAnsi="楷体_GB2312" w:eastAsia="仿宋_GB2312" w:cs="楷体_GB2312"/>
          <w:sz w:val="32"/>
          <w:szCs w:val="32"/>
        </w:rPr>
        <w:t>高举习近平新时代中国特色社会主义思想伟大旗帜，全面贯彻党的十九大和十九届二中、三中、四中、五中全会精神，省委十四届历次全会和</w:t>
      </w:r>
      <w:r>
        <w:rPr>
          <w:rFonts w:hint="eastAsia" w:ascii="仿宋_GB2312" w:hAnsi="楷体_GB2312" w:eastAsia="仿宋_GB2312" w:cs="楷体_GB2312"/>
          <w:sz w:val="32"/>
          <w:szCs w:val="32"/>
        </w:rPr>
        <w:t>市五届五次党代会精神</w:t>
      </w:r>
      <w:r>
        <w:rPr>
          <w:rStyle w:val="12"/>
          <w:rFonts w:hint="eastAsia" w:ascii="仿宋_GB2312" w:hAnsi="楷体_GB2312" w:eastAsia="仿宋_GB2312" w:cs="楷体_GB2312"/>
          <w:sz w:val="32"/>
          <w:szCs w:val="32"/>
        </w:rPr>
        <w:t>，深入贯彻习近平总书记对档案工作的重要论述，围绕统筹推进“五位一体”总体布局、协调推进“四个全面”战略布局，</w:t>
      </w:r>
      <w:r>
        <w:rPr>
          <w:rFonts w:hint="eastAsia" w:ascii="仿宋_GB2312" w:hAnsi="楷体_GB2312" w:eastAsia="仿宋_GB2312" w:cs="楷体_GB2312"/>
          <w:sz w:val="32"/>
          <w:szCs w:val="32"/>
        </w:rPr>
        <w:t>以“三个走向”为根本遵循，把握新发展阶段、贯彻新发展理念、构建新发展格局，坚持稳中求进工作总基调，以高质量发展为主题，以档案强市建设为主线，坚持党的领导、为民服务、依法治档、改革创新、系统观念和安全底线“六大思维”，深入贯彻新修订《档案法》，全面推进档案治理、资源、利用、安全体系建设，迭代升级“五档共建”，推动档案工作高质量高水平发展，为我市争创社会主义现代化先行市贡献档案力量。</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（二）发展目标</w:t>
      </w:r>
    </w:p>
    <w:p>
      <w:pPr>
        <w:widowControl w:val="0"/>
        <w:spacing w:line="610" w:lineRule="exact"/>
        <w:ind w:firstLine="645"/>
        <w:rPr>
          <w:rStyle w:val="12"/>
          <w:rFonts w:ascii="仿宋_GB2312" w:hAnsi="楷体_GB2312" w:eastAsia="仿宋_GB2312" w:cs="楷体_GB2312"/>
          <w:sz w:val="32"/>
          <w:szCs w:val="32"/>
        </w:rPr>
      </w:pPr>
      <w:r>
        <w:rPr>
          <w:rStyle w:val="12"/>
          <w:rFonts w:hint="eastAsia" w:ascii="仿宋_GB2312" w:hAnsi="楷体_GB2312" w:eastAsia="仿宋_GB2312" w:cs="楷体_GB2312"/>
          <w:sz w:val="32"/>
          <w:szCs w:val="32"/>
        </w:rPr>
        <w:t>到</w:t>
      </w:r>
      <w:r>
        <w:rPr>
          <w:rStyle w:val="12"/>
          <w:rFonts w:ascii="仿宋_GB2312" w:hAnsi="楷体_GB2312" w:eastAsia="仿宋_GB2312" w:cs="楷体_GB2312"/>
          <w:sz w:val="32"/>
          <w:szCs w:val="32"/>
        </w:rPr>
        <w:t>2025</w:t>
      </w:r>
      <w:r>
        <w:rPr>
          <w:rStyle w:val="12"/>
          <w:rFonts w:hint="eastAsia" w:ascii="仿宋_GB2312" w:hAnsi="楷体_GB2312" w:eastAsia="仿宋_GB2312" w:cs="楷体_GB2312"/>
          <w:sz w:val="32"/>
          <w:szCs w:val="32"/>
        </w:rPr>
        <w:t>年，</w:t>
      </w:r>
      <w:r>
        <w:rPr>
          <w:rFonts w:hint="eastAsia" w:ascii="仿宋_GB2312" w:hAnsi="楷体_GB2312" w:eastAsia="仿宋_GB2312" w:cs="楷体_GB2312"/>
          <w:sz w:val="32"/>
          <w:szCs w:val="32"/>
        </w:rPr>
        <w:t>以“五档共建”</w:t>
      </w:r>
      <w:r>
        <w:rPr>
          <w:rFonts w:ascii="仿宋_GB2312" w:hAnsi="楷体_GB2312" w:eastAsia="仿宋_GB2312" w:cs="楷体_GB2312"/>
          <w:sz w:val="32"/>
          <w:szCs w:val="32"/>
        </w:rPr>
        <w:t>2.0</w:t>
      </w:r>
      <w:r>
        <w:rPr>
          <w:rFonts w:hint="eastAsia" w:ascii="仿宋_GB2312" w:hAnsi="楷体_GB2312" w:eastAsia="仿宋_GB2312" w:cs="楷体_GB2312"/>
          <w:sz w:val="32"/>
          <w:szCs w:val="32"/>
        </w:rPr>
        <w:t>为主抓手，建成“一窗口、六个区”，基本形成</w:t>
      </w:r>
      <w:r>
        <w:rPr>
          <w:rStyle w:val="12"/>
          <w:rFonts w:hint="eastAsia" w:ascii="仿宋_GB2312" w:hAnsi="楷体_GB2312" w:eastAsia="仿宋_GB2312" w:cs="楷体_GB2312"/>
          <w:sz w:val="32"/>
          <w:szCs w:val="32"/>
        </w:rPr>
        <w:t>档案依法治理效能、整体智治能力、开放利用率、基层基础业务水平、队伍专业化程度、安全防控体系稳固性大幅提升，区域和部门行业间档案工作高质量均衡推进，服务大局、服务社会、服务民生成效显著，与社会主义现代化先行市相匹配、相适应的档案事业发展新格局。</w:t>
      </w:r>
    </w:p>
    <w:p>
      <w:pPr>
        <w:widowControl w:val="0"/>
        <w:spacing w:line="610" w:lineRule="exact"/>
        <w:ind w:firstLine="640" w:firstLineChars="200"/>
        <w:textAlignment w:val="auto"/>
        <w:rPr>
          <w:rStyle w:val="12"/>
          <w:rFonts w:ascii="仿宋_GB2312" w:hAnsi="楷体_GB2312" w:eastAsia="仿宋_GB2312" w:cs="楷体_GB2312"/>
          <w:sz w:val="32"/>
          <w:szCs w:val="32"/>
        </w:rPr>
      </w:pPr>
      <w:r>
        <w:rPr>
          <w:rStyle w:val="12"/>
          <w:rFonts w:ascii="仿宋_GB2312" w:hAnsi="楷体_GB2312" w:eastAsia="仿宋_GB2312" w:cs="楷体_GB2312"/>
          <w:sz w:val="32"/>
          <w:szCs w:val="32"/>
        </w:rPr>
        <w:t>1.</w:t>
      </w:r>
      <w:r>
        <w:rPr>
          <w:rStyle w:val="12"/>
          <w:rFonts w:hint="eastAsia" w:ascii="仿宋_GB2312" w:hAnsi="楷体_GB2312" w:eastAsia="仿宋_GB2312" w:cs="楷体_GB2312"/>
          <w:sz w:val="32"/>
          <w:szCs w:val="32"/>
        </w:rPr>
        <w:t>档案治理体系更加完善。党管档案工作体制机制更加健全，档案工作责任制全面落实，项目化、清单化、标准化的工作模式全面推行。依法治档能力不断增强，档案违法行为处置率达</w:t>
      </w:r>
      <w:r>
        <w:rPr>
          <w:rStyle w:val="12"/>
          <w:rFonts w:ascii="仿宋_GB2312" w:hAnsi="楷体_GB2312" w:eastAsia="仿宋_GB2312" w:cs="楷体_GB2312"/>
          <w:sz w:val="32"/>
          <w:szCs w:val="32"/>
        </w:rPr>
        <w:t>100%</w:t>
      </w:r>
      <w:r>
        <w:rPr>
          <w:rStyle w:val="12"/>
          <w:rFonts w:hint="eastAsia" w:ascii="仿宋_GB2312" w:hAnsi="楷体_GB2312" w:eastAsia="仿宋_GB2312" w:cs="楷体_GB2312"/>
          <w:sz w:val="32"/>
          <w:szCs w:val="32"/>
        </w:rPr>
        <w:t>。档案工作融入基层治理的途径和方式不断拓展，在推进市域治理体系和治理能力现代化中的基础性、支撑性作用更加明显。</w:t>
      </w:r>
    </w:p>
    <w:p>
      <w:pPr>
        <w:widowControl w:val="0"/>
        <w:spacing w:line="610" w:lineRule="exact"/>
        <w:ind w:firstLine="640" w:firstLineChars="200"/>
        <w:textAlignment w:val="auto"/>
        <w:rPr>
          <w:rFonts w:ascii="仿宋_GB2312" w:hAnsi="楷体_GB2312" w:eastAsia="仿宋_GB2312" w:cs="楷体_GB2312"/>
          <w:sz w:val="32"/>
          <w:szCs w:val="32"/>
        </w:rPr>
      </w:pPr>
      <w:r>
        <w:rPr>
          <w:rStyle w:val="12"/>
          <w:rFonts w:ascii="仿宋_GB2312" w:hAnsi="楷体_GB2312" w:eastAsia="仿宋_GB2312" w:cs="楷体_GB2312"/>
          <w:sz w:val="32"/>
          <w:szCs w:val="32"/>
        </w:rPr>
        <w:t>2.</w:t>
      </w:r>
      <w:r>
        <w:rPr>
          <w:rStyle w:val="12"/>
          <w:rFonts w:hint="eastAsia" w:ascii="仿宋_GB2312" w:hAnsi="楷体_GB2312" w:eastAsia="仿宋_GB2312" w:cs="楷体_GB2312"/>
          <w:sz w:val="32"/>
          <w:szCs w:val="32"/>
        </w:rPr>
        <w:t>档案整体智治更加成熟。在数字化改革中先行一步，以数字化手段推进档案工作实现全方位、系统性、重塑性变革，全面运用档案工作智能监管应用系统，协同推进全省档案数据共享中心建设，建成全市数字档案管理服务一体化平台，档案核心业务</w:t>
      </w:r>
      <w:r>
        <w:rPr>
          <w:rStyle w:val="12"/>
          <w:rFonts w:ascii="仿宋_GB2312" w:hAnsi="楷体_GB2312" w:eastAsia="仿宋_GB2312" w:cs="楷体_GB2312"/>
          <w:sz w:val="32"/>
          <w:szCs w:val="32"/>
        </w:rPr>
        <w:t>100%</w:t>
      </w:r>
      <w:r>
        <w:rPr>
          <w:rStyle w:val="12"/>
          <w:rFonts w:hint="eastAsia" w:ascii="仿宋_GB2312" w:hAnsi="楷体_GB2312" w:eastAsia="仿宋_GB2312" w:cs="楷体_GB2312"/>
          <w:sz w:val="32"/>
          <w:szCs w:val="32"/>
        </w:rPr>
        <w:t>实现网上协同，构建形成数字治理、科学精准、协同高效的档案工作运行体系</w:t>
      </w:r>
      <w:r>
        <w:rPr>
          <w:rFonts w:hint="eastAsia" w:ascii="Times New Roman" w:hAnsi="Times New Roman" w:eastAsia="仿宋_GB2312"/>
          <w:sz w:val="32"/>
          <w:szCs w:val="32"/>
        </w:rPr>
        <w:t>。</w:t>
      </w:r>
    </w:p>
    <w:p>
      <w:pPr>
        <w:widowControl w:val="0"/>
        <w:spacing w:line="61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档案开放服务更加优质。档案依法开放力度持续加大，全市国家综合档案馆开放档案总量达到</w:t>
      </w:r>
      <w:r>
        <w:rPr>
          <w:rFonts w:ascii="Times New Roman" w:hAnsi="Times New Roman" w:eastAsia="仿宋_GB2312"/>
          <w:sz w:val="32"/>
          <w:szCs w:val="32"/>
        </w:rPr>
        <w:t>80</w:t>
      </w:r>
      <w:r>
        <w:rPr>
          <w:rFonts w:hint="eastAsia" w:ascii="Times New Roman" w:hAnsi="Times New Roman" w:eastAsia="仿宋_GB2312"/>
          <w:sz w:val="32"/>
          <w:szCs w:val="32"/>
        </w:rPr>
        <w:t>万卷（件），档案资源跨部门、跨层级、跨区域的互联互通程度明显提高，档案查阅更加便捷，档案基本公共服务均等化水平大幅提升，优质高效的档案利用服务体系进一步健全。</w:t>
      </w:r>
    </w:p>
    <w:p>
      <w:pPr>
        <w:widowControl w:val="0"/>
        <w:spacing w:line="610" w:lineRule="exact"/>
        <w:ind w:firstLine="640" w:firstLineChars="200"/>
        <w:textAlignment w:val="auto"/>
        <w:rPr>
          <w:rFonts w:ascii="Times New Roman" w:hAnsi="Times New Roman" w:eastAsia="仿宋_GB2312"/>
          <w:sz w:val="32"/>
          <w:szCs w:val="32"/>
        </w:rPr>
      </w:pPr>
      <w:r>
        <w:rPr>
          <w:rStyle w:val="12"/>
          <w:rFonts w:ascii="仿宋_GB2312" w:hAnsi="楷体_GB2312" w:eastAsia="仿宋_GB2312" w:cs="楷体_GB2312"/>
          <w:sz w:val="32"/>
          <w:szCs w:val="32"/>
        </w:rPr>
        <w:t>4.</w:t>
      </w:r>
      <w:r>
        <w:rPr>
          <w:rStyle w:val="12"/>
          <w:rFonts w:hint="eastAsia" w:ascii="仿宋_GB2312" w:hAnsi="楷体_GB2312" w:eastAsia="仿宋_GB2312" w:cs="楷体_GB2312"/>
          <w:sz w:val="32"/>
          <w:szCs w:val="32"/>
        </w:rPr>
        <w:t>档案基础支撑更加有力。各级档案馆（室）</w:t>
      </w:r>
      <w:r>
        <w:rPr>
          <w:rFonts w:hint="eastAsia" w:ascii="仿宋_GB2312" w:hAnsi="楷体_GB2312" w:eastAsia="仿宋_GB2312" w:cs="楷体_GB2312"/>
          <w:sz w:val="32"/>
          <w:szCs w:val="32"/>
        </w:rPr>
        <w:t>软硬件条件明显改善，新技术新成果在档案领域广泛转化应用。</w:t>
      </w:r>
      <w:r>
        <w:rPr>
          <w:rFonts w:hint="eastAsia" w:ascii="Times New Roman" w:hAnsi="Times New Roman" w:eastAsia="仿宋_GB2312"/>
          <w:sz w:val="32"/>
          <w:szCs w:val="32"/>
        </w:rPr>
        <w:t>档案馆（室）业务能力全面增强，标准化、规范化水平进一步提升，“收建管用”一体推进，档案资源体系更加完备、涵盖领域更广，全市国家综合档案馆馆藏总量增长</w:t>
      </w:r>
      <w:r>
        <w:rPr>
          <w:rFonts w:ascii="Times New Roman" w:hAnsi="Times New Roman" w:eastAsia="仿宋_GB2312"/>
          <w:sz w:val="32"/>
          <w:szCs w:val="32"/>
        </w:rPr>
        <w:t>50%</w:t>
      </w:r>
      <w:r>
        <w:rPr>
          <w:rFonts w:hint="eastAsia" w:ascii="Times New Roman" w:hAnsi="Times New Roman" w:eastAsia="仿宋_GB2312"/>
          <w:sz w:val="32"/>
          <w:szCs w:val="32"/>
        </w:rPr>
        <w:t>以上。</w:t>
      </w:r>
    </w:p>
    <w:p>
      <w:pPr>
        <w:widowControl w:val="0"/>
        <w:spacing w:line="610" w:lineRule="exact"/>
        <w:ind w:firstLine="640" w:firstLineChars="200"/>
        <w:textAlignment w:val="auto"/>
        <w:rPr>
          <w:rFonts w:ascii="Times New Roman" w:hAnsi="Times New Roman" w:eastAsia="仿宋_GB2312"/>
          <w:sz w:val="32"/>
          <w:szCs w:val="32"/>
        </w:rPr>
      </w:pPr>
      <w:r>
        <w:rPr>
          <w:rStyle w:val="12"/>
          <w:rFonts w:ascii="仿宋_GB2312" w:hAnsi="楷体_GB2312" w:eastAsia="仿宋_GB2312" w:cs="楷体_GB2312"/>
          <w:sz w:val="32"/>
          <w:szCs w:val="32"/>
        </w:rPr>
        <w:t>5.</w:t>
      </w:r>
      <w:r>
        <w:rPr>
          <w:rStyle w:val="12"/>
          <w:rFonts w:hint="eastAsia" w:ascii="仿宋_GB2312" w:hAnsi="楷体_GB2312" w:eastAsia="仿宋_GB2312" w:cs="楷体_GB2312"/>
          <w:sz w:val="32"/>
          <w:szCs w:val="32"/>
        </w:rPr>
        <w:t>档案工作影响更加凸显。</w:t>
      </w:r>
      <w:r>
        <w:rPr>
          <w:rFonts w:hint="eastAsia" w:ascii="Times New Roman" w:hAnsi="Times New Roman" w:eastAsia="仿宋_GB2312"/>
          <w:sz w:val="32"/>
          <w:szCs w:val="32"/>
        </w:rPr>
        <w:t>档案服务中心大局更加精准，服务人民群众更加高效，得到广泛认可。档案工作品牌建设取得新突破，民营经济档案工作、古村落数字记忆建设等形成标志性成果。档案宣传和文化工作影响力持续扩大，优秀历史文化和社会主义核心价值观教育功能更加彰显，在全社会形成关心、支持档案工作的良好氛围。</w:t>
      </w:r>
    </w:p>
    <w:p>
      <w:pPr>
        <w:widowControl w:val="0"/>
        <w:spacing w:line="610" w:lineRule="exact"/>
        <w:ind w:firstLine="645"/>
        <w:rPr>
          <w:rStyle w:val="12"/>
          <w:rFonts w:ascii="仿宋_GB2312" w:hAnsi="楷体_GB2312" w:eastAsia="仿宋_GB2312" w:cs="楷体_GB2312"/>
          <w:sz w:val="32"/>
          <w:szCs w:val="32"/>
        </w:rPr>
      </w:pPr>
      <w:r>
        <w:rPr>
          <w:rStyle w:val="12"/>
          <w:rFonts w:ascii="仿宋_GB2312" w:hAnsi="楷体_GB2312" w:eastAsia="仿宋_GB2312" w:cs="楷体_GB2312"/>
          <w:sz w:val="32"/>
          <w:szCs w:val="32"/>
        </w:rPr>
        <w:t>6.</w:t>
      </w:r>
      <w:r>
        <w:rPr>
          <w:rStyle w:val="12"/>
          <w:rFonts w:hint="eastAsia" w:ascii="仿宋_GB2312" w:hAnsi="楷体_GB2312" w:eastAsia="仿宋_GB2312" w:cs="楷体_GB2312"/>
          <w:sz w:val="32"/>
          <w:szCs w:val="32"/>
        </w:rPr>
        <w:t>档案安全体系更加稳固。档案安全管理制度和工作机制更加完善，安全责任全面落实，</w:t>
      </w:r>
      <w:r>
        <w:rPr>
          <w:rFonts w:hint="eastAsia" w:ascii="仿宋_GB2312" w:hAnsi="楷体_GB2312" w:eastAsia="仿宋_GB2312" w:cs="楷体_GB2312"/>
          <w:sz w:val="32"/>
          <w:szCs w:val="32"/>
        </w:rPr>
        <w:t>馆库建设和设施设备配置</w:t>
      </w:r>
      <w:r>
        <w:rPr>
          <w:rFonts w:ascii="仿宋_GB2312" w:hAnsi="楷体_GB2312" w:eastAsia="仿宋_GB2312" w:cs="楷体_GB2312"/>
          <w:sz w:val="32"/>
          <w:szCs w:val="32"/>
        </w:rPr>
        <w:t>100%</w:t>
      </w:r>
      <w:r>
        <w:rPr>
          <w:rFonts w:hint="eastAsia" w:ascii="仿宋_GB2312" w:hAnsi="楷体_GB2312" w:eastAsia="仿宋_GB2312" w:cs="楷体_GB2312"/>
          <w:sz w:val="32"/>
          <w:szCs w:val="32"/>
        </w:rPr>
        <w:t>达到标准规范要求，风险识别管控和应急管理能力显著提升，安全防控的科学性、主动性、预见性显著增强。</w:t>
      </w:r>
    </w:p>
    <w:p>
      <w:pPr>
        <w:widowControl w:val="0"/>
        <w:spacing w:line="610" w:lineRule="exact"/>
        <w:ind w:firstLine="640" w:firstLineChars="200"/>
        <w:textAlignment w:val="auto"/>
        <w:rPr>
          <w:rStyle w:val="12"/>
          <w:rFonts w:ascii="仿宋_GB2312" w:hAnsi="楷体_GB2312" w:eastAsia="仿宋_GB2312" w:cs="楷体_GB2312"/>
          <w:sz w:val="32"/>
          <w:szCs w:val="32"/>
        </w:rPr>
      </w:pPr>
      <w:r>
        <w:rPr>
          <w:rStyle w:val="12"/>
          <w:rFonts w:ascii="仿宋_GB2312" w:hAnsi="楷体_GB2312" w:eastAsia="仿宋_GB2312" w:cs="楷体_GB2312"/>
          <w:sz w:val="32"/>
          <w:szCs w:val="32"/>
        </w:rPr>
        <w:t>7.</w:t>
      </w:r>
      <w:r>
        <w:rPr>
          <w:rStyle w:val="12"/>
          <w:rFonts w:hint="eastAsia" w:ascii="仿宋_GB2312" w:hAnsi="楷体_GB2312" w:eastAsia="仿宋_GB2312" w:cs="楷体_GB2312"/>
          <w:sz w:val="32"/>
          <w:szCs w:val="32"/>
        </w:rPr>
        <w:t>档案人才队伍更加专业。档案人才引进和培养力度持续加大，档案队伍年龄结构、知识结构不断优化，专家人才、业务骨干、档案工匠等队伍进一步壮大，各方面档案力量有效整合，形成一支符合现代化发展需要的过硬档案人才队伍。</w:t>
      </w:r>
    </w:p>
    <w:p>
      <w:pPr>
        <w:widowControl w:val="0"/>
        <w:spacing w:line="610" w:lineRule="exact"/>
        <w:ind w:firstLine="645"/>
        <w:rPr>
          <w:rStyle w:val="12"/>
          <w:rFonts w:ascii="仿宋_GB2312" w:hAnsi="楷体_GB2312" w:eastAsia="仿宋_GB2312" w:cs="楷体_GB2312"/>
          <w:sz w:val="32"/>
          <w:szCs w:val="32"/>
        </w:rPr>
      </w:pPr>
      <w:r>
        <w:rPr>
          <w:rStyle w:val="12"/>
          <w:rFonts w:hint="eastAsia" w:ascii="仿宋_GB2312" w:hAnsi="楷体_GB2312" w:eastAsia="仿宋_GB2312" w:cs="楷体_GB2312"/>
          <w:sz w:val="32"/>
          <w:szCs w:val="32"/>
        </w:rPr>
        <w:t>展望</w:t>
      </w:r>
      <w:r>
        <w:rPr>
          <w:rStyle w:val="12"/>
          <w:rFonts w:ascii="仿宋_GB2312" w:hAnsi="楷体_GB2312" w:eastAsia="仿宋_GB2312" w:cs="楷体_GB2312"/>
          <w:sz w:val="32"/>
          <w:szCs w:val="32"/>
        </w:rPr>
        <w:t>2035</w:t>
      </w:r>
      <w:r>
        <w:rPr>
          <w:rStyle w:val="12"/>
          <w:rFonts w:hint="eastAsia" w:ascii="仿宋_GB2312" w:hAnsi="楷体_GB2312" w:eastAsia="仿宋_GB2312" w:cs="楷体_GB2312"/>
          <w:sz w:val="32"/>
          <w:szCs w:val="32"/>
        </w:rPr>
        <w:t>年，基本实现高水平的档案现代化，在全省档案工作中走在前列，成为全面展示台州社会主义现代化先行市建设成果的档案工作重要窗口。</w:t>
      </w:r>
    </w:p>
    <w:p>
      <w:pPr>
        <w:widowControl w:val="0"/>
        <w:spacing w:line="610" w:lineRule="exact"/>
        <w:ind w:firstLine="645"/>
        <w:rPr>
          <w:rStyle w:val="12"/>
          <w:rFonts w:ascii="黑体" w:hAnsi="黑体" w:eastAsia="黑体" w:cs="楷体_GB2312"/>
          <w:sz w:val="32"/>
          <w:szCs w:val="32"/>
        </w:rPr>
      </w:pPr>
      <w:r>
        <w:rPr>
          <w:rStyle w:val="12"/>
          <w:rFonts w:hint="eastAsia" w:ascii="黑体" w:hAnsi="黑体" w:eastAsia="黑体" w:cs="楷体_GB2312"/>
          <w:sz w:val="32"/>
          <w:szCs w:val="32"/>
        </w:rPr>
        <w:t>三、主要任务</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（一）服务中心大局，打造现代化先行市的档案窗口</w:t>
      </w:r>
    </w:p>
    <w:p>
      <w:pPr>
        <w:widowControl w:val="0"/>
        <w:spacing w:line="610" w:lineRule="exact"/>
        <w:ind w:firstLine="640" w:firstLineChars="200"/>
        <w:rPr>
          <w:rStyle w:val="12"/>
          <w:rFonts w:ascii="仿宋_GB2312" w:hAnsi="楷体_GB2312" w:eastAsia="仿宋_GB2312" w:cs="楷体_GB2312"/>
          <w:sz w:val="32"/>
          <w:szCs w:val="32"/>
        </w:rPr>
      </w:pPr>
      <w:r>
        <w:rPr>
          <w:rFonts w:hint="eastAsia" w:ascii="仿宋_GB2312" w:hAnsi="楷体_GB2312" w:eastAsia="仿宋_GB2312" w:cs="楷体_GB2312"/>
          <w:sz w:val="32"/>
          <w:szCs w:val="32"/>
        </w:rPr>
        <w:t>坚持党管档案，忠实践行为党管档、为国守史、为民服务的神圣使命，紧扣党委政府中心工作和重大决策部署，变被动等待为主动跟进，变事后归集为全程服务，积极探索档案资源服务领导科学决策、发挥存史资政作用的新机制新模式，以高质高效的档案工作</w:t>
      </w:r>
      <w:r>
        <w:rPr>
          <w:rFonts w:hint="eastAsia" w:ascii="Times New Roman" w:hAnsi="Times New Roman" w:eastAsia="仿宋_GB2312"/>
          <w:sz w:val="32"/>
          <w:szCs w:val="32"/>
        </w:rPr>
        <w:t>助力先行、记录先行、展示先行。</w:t>
      </w:r>
    </w:p>
    <w:p>
      <w:pPr>
        <w:widowControl w:val="0"/>
        <w:spacing w:line="610" w:lineRule="exact"/>
        <w:ind w:firstLine="645"/>
        <w:rPr>
          <w:rStyle w:val="12"/>
          <w:rFonts w:ascii="Times New Roman" w:hAnsi="Times New Roman" w:eastAsia="仿宋_GB2312"/>
          <w:sz w:val="32"/>
          <w:szCs w:val="32"/>
        </w:rPr>
      </w:pPr>
      <w:r>
        <w:rPr>
          <w:rStyle w:val="12"/>
          <w:rFonts w:ascii="仿宋_GB2312" w:hAnsi="楷体_GB2312" w:eastAsia="仿宋_GB2312" w:cs="楷体_GB2312"/>
          <w:sz w:val="32"/>
          <w:szCs w:val="32"/>
        </w:rPr>
        <w:t>1.</w:t>
      </w:r>
      <w:r>
        <w:rPr>
          <w:rStyle w:val="12"/>
          <w:rFonts w:hint="eastAsia" w:ascii="仿宋_GB2312" w:hAnsi="楷体_GB2312" w:eastAsia="仿宋_GB2312" w:cs="楷体_GB2312"/>
          <w:sz w:val="32"/>
          <w:szCs w:val="32"/>
        </w:rPr>
        <w:t>全面系统记录建设“重要窗口”的奋斗历程。</w:t>
      </w:r>
      <w:r>
        <w:rPr>
          <w:rFonts w:hint="eastAsia" w:ascii="Times New Roman" w:hAnsi="Times New Roman" w:eastAsia="仿宋_GB2312"/>
          <w:sz w:val="32"/>
          <w:szCs w:val="32"/>
        </w:rPr>
        <w:t>广泛收集保存全市各级在忠实践行“八八战略”、奋力打造“重要窗口”，以及深入贯彻习近平总书记对台州的八个方面要求过程中形成的各种载体档案，建好</w:t>
      </w:r>
      <w:r>
        <w:rPr>
          <w:rFonts w:ascii="Times New Roman" w:hAnsi="Times New Roman" w:eastAsia="仿宋_GB2312"/>
          <w:sz w:val="32"/>
          <w:szCs w:val="32"/>
        </w:rPr>
        <w:t>“</w:t>
      </w:r>
      <w:r>
        <w:rPr>
          <w:rFonts w:hint="eastAsia" w:ascii="Times New Roman" w:hAnsi="Times New Roman" w:eastAsia="仿宋_GB2312"/>
          <w:sz w:val="32"/>
          <w:szCs w:val="32"/>
        </w:rPr>
        <w:t>三个地</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重要窗口</w:t>
      </w:r>
      <w:r>
        <w:rPr>
          <w:rFonts w:ascii="Times New Roman" w:hAnsi="Times New Roman" w:eastAsia="仿宋_GB2312"/>
          <w:sz w:val="32"/>
          <w:szCs w:val="32"/>
        </w:rPr>
        <w:t>”</w:t>
      </w:r>
      <w:r>
        <w:rPr>
          <w:rFonts w:hint="eastAsia" w:ascii="Times New Roman" w:hAnsi="Times New Roman" w:eastAsia="仿宋_GB2312"/>
          <w:sz w:val="32"/>
          <w:szCs w:val="32"/>
        </w:rPr>
        <w:t>档案资源专题数据库并开展指数评价。聚焦高质量发展共同富裕先行市建设，强化教育现代化、就业增收、住房保障、社保体系等领域的民生档案支撑。系统展现台州践行“三立三进三突围”新时代发展路径、推进跨越赶超发展的生动实践，激发全市人民投身</w:t>
      </w:r>
      <w:r>
        <w:rPr>
          <w:rStyle w:val="12"/>
          <w:rFonts w:hint="eastAsia" w:ascii="仿宋_GB2312" w:hAnsi="楷体_GB2312" w:eastAsia="仿宋_GB2312" w:cs="楷体_GB2312"/>
          <w:sz w:val="32"/>
          <w:szCs w:val="32"/>
        </w:rPr>
        <w:t>现代化</w:t>
      </w:r>
      <w:r>
        <w:rPr>
          <w:rFonts w:hint="eastAsia" w:ascii="Times New Roman" w:hAnsi="Times New Roman" w:eastAsia="仿宋_GB2312"/>
          <w:sz w:val="32"/>
          <w:szCs w:val="32"/>
        </w:rPr>
        <w:t>建设的热情。</w:t>
      </w:r>
    </w:p>
    <w:p>
      <w:pPr>
        <w:widowControl w:val="0"/>
        <w:spacing w:line="610" w:lineRule="exact"/>
        <w:ind w:firstLine="645"/>
        <w:rPr>
          <w:rFonts w:ascii="仿宋_GB2312" w:hAnsi="楷体_GB2312" w:eastAsia="仿宋_GB2312" w:cs="楷体_GB2312"/>
          <w:sz w:val="32"/>
          <w:szCs w:val="32"/>
        </w:rPr>
      </w:pPr>
      <w:r>
        <w:rPr>
          <w:rStyle w:val="12"/>
          <w:rFonts w:ascii="仿宋_GB2312" w:hAnsi="楷体_GB2312" w:eastAsia="仿宋_GB2312" w:cs="楷体_GB2312"/>
          <w:sz w:val="32"/>
          <w:szCs w:val="32"/>
        </w:rPr>
        <w:t>2.</w:t>
      </w:r>
      <w:r>
        <w:rPr>
          <w:rStyle w:val="12"/>
          <w:rFonts w:hint="eastAsia" w:ascii="仿宋_GB2312" w:hAnsi="楷体_GB2312" w:eastAsia="仿宋_GB2312" w:cs="楷体_GB2312"/>
          <w:sz w:val="32"/>
          <w:szCs w:val="32"/>
        </w:rPr>
        <w:t>融入服务“六个城市”建设。聚焦中国民营经济示范城市、工业</w:t>
      </w:r>
      <w:r>
        <w:rPr>
          <w:rStyle w:val="12"/>
          <w:rFonts w:ascii="仿宋_GB2312" w:hAnsi="楷体_GB2312" w:eastAsia="仿宋_GB2312" w:cs="楷体_GB2312"/>
          <w:sz w:val="32"/>
          <w:szCs w:val="32"/>
        </w:rPr>
        <w:t>4.0</w:t>
      </w:r>
      <w:r>
        <w:rPr>
          <w:rStyle w:val="12"/>
          <w:rFonts w:hint="eastAsia" w:ascii="仿宋_GB2312" w:hAnsi="楷体_GB2312" w:eastAsia="仿宋_GB2312" w:cs="楷体_GB2312"/>
          <w:sz w:val="32"/>
          <w:szCs w:val="32"/>
        </w:rPr>
        <w:t>标杆城市、国家创新型城市、“双循环”节点城市、省域开放型高能级中心城市、全国市域社会治理现代化试点城市建设，找准档案工作切入点，加大对民营经济档案工作、档案数字化赋能发展、知识产权档案管理工作、</w:t>
      </w:r>
      <w:r>
        <w:rPr>
          <w:rFonts w:hint="eastAsia" w:ascii="仿宋_GB2312" w:hAnsi="楷体_GB2312" w:eastAsia="仿宋_GB2312" w:cs="楷体_GB2312"/>
          <w:sz w:val="32"/>
          <w:szCs w:val="32"/>
        </w:rPr>
        <w:t>长三角档案交流合作、档案开放利用、档案服务基层治理等的探索创新力度。主动对接市委市政府重点工作专班，及时收集重大活动和专项档案资源。</w:t>
      </w:r>
    </w:p>
    <w:p>
      <w:pPr>
        <w:widowControl w:val="0"/>
        <w:spacing w:line="610" w:lineRule="exact"/>
        <w:ind w:firstLine="645"/>
        <w:rPr>
          <w:rStyle w:val="12"/>
          <w:rFonts w:ascii="仿宋_GB2312" w:hAnsi="楷体_GB2312" w:eastAsia="仿宋_GB2312" w:cs="楷体_GB2312"/>
          <w:sz w:val="32"/>
          <w:szCs w:val="32"/>
        </w:rPr>
      </w:pPr>
      <w:r>
        <w:rPr>
          <w:rStyle w:val="12"/>
          <w:rFonts w:ascii="仿宋_GB2312" w:hAnsi="楷体_GB2312" w:eastAsia="仿宋_GB2312" w:cs="楷体_GB2312"/>
          <w:sz w:val="32"/>
          <w:szCs w:val="32"/>
        </w:rPr>
        <w:t>3.</w:t>
      </w:r>
      <w:r>
        <w:rPr>
          <w:rStyle w:val="12"/>
          <w:rFonts w:hint="eastAsia" w:ascii="仿宋_GB2312" w:hAnsi="楷体_GB2312" w:eastAsia="仿宋_GB2312" w:cs="楷体_GB2312"/>
          <w:sz w:val="32"/>
          <w:szCs w:val="32"/>
        </w:rPr>
        <w:t>聚焦重要节点和重大事件。</w:t>
      </w:r>
      <w:r>
        <w:rPr>
          <w:rFonts w:hint="eastAsia" w:ascii="Times New Roman" w:hAnsi="Times New Roman" w:eastAsia="仿宋_GB2312"/>
          <w:sz w:val="32"/>
          <w:szCs w:val="32"/>
        </w:rPr>
        <w:t>精心组织档案征集、整理、展陈等工作，</w:t>
      </w:r>
      <w:r>
        <w:rPr>
          <w:rFonts w:hint="eastAsia" w:ascii="仿宋_GB2312" w:hAnsi="楷体_GB2312" w:eastAsia="仿宋_GB2312" w:cs="楷体_GB2312"/>
          <w:sz w:val="32"/>
          <w:szCs w:val="32"/>
        </w:rPr>
        <w:t>重点聚焦</w:t>
      </w:r>
      <w:r>
        <w:rPr>
          <w:rFonts w:ascii="仿宋_GB2312" w:hAnsi="楷体_GB2312" w:eastAsia="仿宋_GB2312" w:cs="楷体_GB2312"/>
          <w:sz w:val="32"/>
          <w:szCs w:val="32"/>
        </w:rPr>
        <w:t>2021</w:t>
      </w:r>
      <w:r>
        <w:rPr>
          <w:rFonts w:hint="eastAsia" w:ascii="仿宋_GB2312" w:hAnsi="楷体_GB2312" w:eastAsia="仿宋_GB2312" w:cs="楷体_GB2312"/>
          <w:sz w:val="32"/>
          <w:szCs w:val="32"/>
        </w:rPr>
        <w:t>年建党</w:t>
      </w:r>
      <w:r>
        <w:rPr>
          <w:rFonts w:ascii="仿宋_GB2312" w:hAnsi="楷体_GB2312" w:eastAsia="仿宋_GB2312" w:cs="楷体_GB2312"/>
          <w:sz w:val="32"/>
          <w:szCs w:val="32"/>
        </w:rPr>
        <w:t>100</w:t>
      </w:r>
      <w:r>
        <w:rPr>
          <w:rFonts w:hint="eastAsia" w:ascii="仿宋_GB2312" w:hAnsi="楷体_GB2312" w:eastAsia="仿宋_GB2312" w:cs="楷体_GB2312"/>
          <w:sz w:val="32"/>
          <w:szCs w:val="32"/>
        </w:rPr>
        <w:t>周年，</w:t>
      </w:r>
      <w:r>
        <w:rPr>
          <w:rFonts w:ascii="仿宋_GB2312" w:hAnsi="楷体_GB2312" w:eastAsia="仿宋_GB2312" w:cs="楷体_GB2312"/>
          <w:sz w:val="32"/>
          <w:szCs w:val="32"/>
        </w:rPr>
        <w:t>2022</w:t>
      </w:r>
      <w:r>
        <w:rPr>
          <w:rFonts w:hint="eastAsia" w:ascii="仿宋_GB2312" w:hAnsi="楷体_GB2312" w:eastAsia="仿宋_GB2312" w:cs="楷体_GB2312"/>
          <w:sz w:val="32"/>
          <w:szCs w:val="32"/>
        </w:rPr>
        <w:t>年党的二十大，</w:t>
      </w:r>
      <w:r>
        <w:rPr>
          <w:rFonts w:ascii="仿宋_GB2312" w:hAnsi="楷体_GB2312" w:eastAsia="仿宋_GB2312" w:cs="楷体_GB2312"/>
          <w:sz w:val="32"/>
          <w:szCs w:val="32"/>
        </w:rPr>
        <w:t>2023</w:t>
      </w:r>
      <w:r>
        <w:rPr>
          <w:rFonts w:hint="eastAsia" w:ascii="仿宋_GB2312" w:hAnsi="楷体_GB2312" w:eastAsia="仿宋_GB2312" w:cs="楷体_GB2312"/>
          <w:sz w:val="32"/>
          <w:szCs w:val="32"/>
        </w:rPr>
        <w:t>年“八八战略”实施</w:t>
      </w:r>
      <w:r>
        <w:rPr>
          <w:rFonts w:ascii="仿宋_GB2312" w:hAnsi="楷体_GB2312" w:eastAsia="仿宋_GB2312" w:cs="楷体_GB2312"/>
          <w:sz w:val="32"/>
          <w:szCs w:val="32"/>
        </w:rPr>
        <w:t>20</w:t>
      </w:r>
      <w:r>
        <w:rPr>
          <w:rFonts w:hint="eastAsia" w:ascii="仿宋_GB2312" w:hAnsi="楷体_GB2312" w:eastAsia="仿宋_GB2312" w:cs="楷体_GB2312"/>
          <w:sz w:val="32"/>
          <w:szCs w:val="32"/>
        </w:rPr>
        <w:t>周年，</w:t>
      </w:r>
      <w:r>
        <w:rPr>
          <w:rFonts w:ascii="仿宋_GB2312" w:hAnsi="楷体_GB2312" w:eastAsia="仿宋_GB2312" w:cs="楷体_GB2312"/>
          <w:sz w:val="32"/>
          <w:szCs w:val="32"/>
        </w:rPr>
        <w:t>2024</w:t>
      </w:r>
      <w:r>
        <w:rPr>
          <w:rFonts w:hint="eastAsia" w:ascii="仿宋_GB2312" w:hAnsi="楷体_GB2312" w:eastAsia="仿宋_GB2312" w:cs="楷体_GB2312"/>
          <w:sz w:val="32"/>
          <w:szCs w:val="32"/>
        </w:rPr>
        <w:t>年新中国成立</w:t>
      </w:r>
      <w:r>
        <w:rPr>
          <w:rFonts w:ascii="仿宋_GB2312" w:hAnsi="楷体_GB2312" w:eastAsia="仿宋_GB2312" w:cs="楷体_GB2312"/>
          <w:sz w:val="32"/>
          <w:szCs w:val="32"/>
        </w:rPr>
        <w:t>75</w:t>
      </w:r>
      <w:r>
        <w:rPr>
          <w:rFonts w:hint="eastAsia" w:ascii="仿宋_GB2312" w:hAnsi="楷体_GB2312" w:eastAsia="仿宋_GB2312" w:cs="楷体_GB2312"/>
          <w:sz w:val="32"/>
          <w:szCs w:val="32"/>
        </w:rPr>
        <w:t>周年、台州撤地设市</w:t>
      </w:r>
      <w:r>
        <w:rPr>
          <w:rFonts w:ascii="仿宋_GB2312" w:hAnsi="楷体_GB2312" w:eastAsia="仿宋_GB2312" w:cs="楷体_GB2312"/>
          <w:sz w:val="32"/>
          <w:szCs w:val="32"/>
        </w:rPr>
        <w:t>30</w:t>
      </w:r>
      <w:r>
        <w:rPr>
          <w:rFonts w:hint="eastAsia" w:ascii="仿宋_GB2312" w:hAnsi="楷体_GB2312" w:eastAsia="仿宋_GB2312" w:cs="楷体_GB2312"/>
          <w:sz w:val="32"/>
          <w:szCs w:val="32"/>
        </w:rPr>
        <w:t>周年，</w:t>
      </w:r>
      <w:r>
        <w:rPr>
          <w:rFonts w:ascii="仿宋_GB2312" w:hAnsi="楷体_GB2312" w:eastAsia="仿宋_GB2312" w:cs="楷体_GB2312"/>
          <w:sz w:val="32"/>
          <w:szCs w:val="32"/>
        </w:rPr>
        <w:t>2025</w:t>
      </w:r>
      <w:r>
        <w:rPr>
          <w:rFonts w:hint="eastAsia" w:ascii="仿宋_GB2312" w:hAnsi="楷体_GB2312" w:eastAsia="仿宋_GB2312" w:cs="楷体_GB2312"/>
          <w:sz w:val="32"/>
          <w:szCs w:val="32"/>
        </w:rPr>
        <w:t>年纪念中国人民抗日战争暨世界反法西斯战争胜利</w:t>
      </w:r>
      <w:r>
        <w:rPr>
          <w:rFonts w:ascii="仿宋_GB2312" w:hAnsi="楷体_GB2312" w:eastAsia="仿宋_GB2312" w:cs="楷体_GB2312"/>
          <w:sz w:val="32"/>
          <w:szCs w:val="32"/>
        </w:rPr>
        <w:t>80</w:t>
      </w:r>
      <w:r>
        <w:rPr>
          <w:rFonts w:hint="eastAsia" w:ascii="仿宋_GB2312" w:hAnsi="楷体_GB2312" w:eastAsia="仿宋_GB2312" w:cs="楷体_GB2312"/>
          <w:sz w:val="32"/>
          <w:szCs w:val="32"/>
        </w:rPr>
        <w:t>周年和“十四五”收官之年等，提前组织档案征集活动，建立专题档案库，开展重要档案资源编研，策划举办各类展览展示，推动媒体深度宣传、广泛报道，记录光辉历程、反映伟大成就、</w:t>
      </w:r>
      <w:r>
        <w:rPr>
          <w:rFonts w:hint="eastAsia" w:ascii="Times New Roman" w:hAnsi="Times New Roman" w:eastAsia="仿宋_GB2312"/>
          <w:sz w:val="32"/>
          <w:szCs w:val="32"/>
        </w:rPr>
        <w:t>展现时代风采、传递主流声音。</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（二）深化法治档案建设，打造依法治档示范区</w:t>
      </w:r>
    </w:p>
    <w:p>
      <w:pPr>
        <w:widowControl w:val="0"/>
        <w:spacing w:line="610" w:lineRule="exact"/>
        <w:ind w:firstLine="645"/>
        <w:rPr>
          <w:rFonts w:ascii="仿宋_GB2312" w:hAnsi="楷体_GB2312" w:eastAsia="仿宋_GB2312" w:cs="楷体_GB2312"/>
          <w:sz w:val="32"/>
          <w:szCs w:val="32"/>
        </w:rPr>
      </w:pPr>
      <w:r>
        <w:rPr>
          <w:rFonts w:hint="eastAsia" w:ascii="仿宋_GB2312" w:hAnsi="楷体_GB2312" w:eastAsia="仿宋_GB2312" w:cs="楷体_GB2312"/>
          <w:sz w:val="32"/>
          <w:szCs w:val="32"/>
        </w:rPr>
        <w:t>深入贯彻习近平法治思想，坚持档案法治建设与服务法治台州有机统一，在档案工作领域全面推进科学立法、严格执法、公正司法、全民守法，建立健全档案工作责任体系、制度体系、标准体系、执法监督体系，加快行政管理向依法治理转变，不断提升档案工作制度化、规范化、法治化水平。</w:t>
      </w:r>
    </w:p>
    <w:p>
      <w:pPr>
        <w:widowControl w:val="0"/>
        <w:spacing w:line="610" w:lineRule="exact"/>
        <w:ind w:firstLine="645"/>
        <w:rPr>
          <w:rFonts w:ascii="仿宋_GB2312" w:hAnsi="楷体_GB2312" w:eastAsia="仿宋_GB2312" w:cs="楷体_GB2312"/>
          <w:sz w:val="32"/>
          <w:szCs w:val="32"/>
          <w:u w:val="single"/>
        </w:rPr>
      </w:pPr>
      <w:r>
        <w:rPr>
          <w:rFonts w:ascii="仿宋_GB2312" w:hAnsi="楷体_GB2312" w:eastAsia="仿宋_GB2312" w:cs="楷体_GB2312"/>
          <w:sz w:val="32"/>
          <w:szCs w:val="32"/>
        </w:rPr>
        <w:t>1.</w:t>
      </w:r>
      <w:r>
        <w:rPr>
          <w:rFonts w:hint="eastAsia" w:ascii="仿宋_GB2312" w:hAnsi="楷体_GB2312" w:eastAsia="仿宋_GB2312" w:cs="楷体_GB2312"/>
          <w:sz w:val="32"/>
          <w:szCs w:val="32"/>
        </w:rPr>
        <w:t>全面落实档案工作责任制。健全完善党委领导、党办（档案局）负责、局馆协同、齐抓共治的档案工作格局，推行局馆长“一肩挑”、工作联动、考核跟同、专班运作的局馆工作机制，</w:t>
      </w:r>
      <w:r>
        <w:rPr>
          <w:rFonts w:hint="eastAsia" w:ascii="仿宋_GB2312" w:eastAsia="仿宋_GB2312"/>
          <w:sz w:val="32"/>
          <w:szCs w:val="32"/>
        </w:rPr>
        <w:t>全面落实各级档案工作责任清单、任务清单。切实加强档案领域意识形态工作，防范政治风险。</w:t>
      </w:r>
    </w:p>
    <w:p>
      <w:pPr>
        <w:widowControl w:val="0"/>
        <w:spacing w:line="610" w:lineRule="exact"/>
        <w:ind w:firstLine="645"/>
        <w:rPr>
          <w:rFonts w:ascii="仿宋_GB2312" w:hAnsi="楷体_GB2312" w:eastAsia="仿宋_GB2312" w:cs="楷体_GB2312"/>
          <w:sz w:val="32"/>
          <w:szCs w:val="32"/>
        </w:rPr>
      </w:pPr>
      <w:r>
        <w:rPr>
          <w:rFonts w:ascii="仿宋_GB2312" w:hAnsi="楷体_GB2312" w:eastAsia="仿宋_GB2312" w:cs="楷体_GB2312"/>
          <w:sz w:val="32"/>
          <w:szCs w:val="32"/>
        </w:rPr>
        <w:t>2.</w:t>
      </w:r>
      <w:r>
        <w:rPr>
          <w:rFonts w:hint="eastAsia" w:ascii="仿宋_GB2312" w:hAnsi="楷体_GB2312" w:eastAsia="仿宋_GB2312" w:cs="楷体_GB2312"/>
          <w:sz w:val="32"/>
          <w:szCs w:val="32"/>
        </w:rPr>
        <w:t>建立健全档案制度规范。及时清理与新修订《档案法》及浙江省实施办法相抵触、与新时期档案工作要求不相适应的政策文件，推动《台州市重大活动档案管理办法》《台州市机关档案工作管理办法》等政府规章的修订工作，建立健全档案接收征集、开放审核、降解密、电子档案管理等制度规范。按照档案工作现代化的要求，更新档案业务规范和技术标准。加强对档案工作制度落实情况的监督检查。</w:t>
      </w:r>
    </w:p>
    <w:p>
      <w:pPr>
        <w:widowControl w:val="0"/>
        <w:spacing w:line="610" w:lineRule="exact"/>
        <w:ind w:firstLine="645"/>
        <w:rPr>
          <w:rFonts w:ascii="仿宋_GB2312" w:hAnsi="楷体_GB2312" w:eastAsia="仿宋_GB2312" w:cs="楷体_GB2312"/>
          <w:sz w:val="32"/>
          <w:szCs w:val="32"/>
        </w:rPr>
      </w:pPr>
      <w:r>
        <w:rPr>
          <w:rFonts w:ascii="仿宋_GB2312" w:hAnsi="楷体_GB2312" w:eastAsia="仿宋_GB2312" w:cs="楷体_GB2312"/>
          <w:sz w:val="32"/>
          <w:szCs w:val="32"/>
        </w:rPr>
        <w:t>3.</w:t>
      </w:r>
      <w:r>
        <w:rPr>
          <w:rFonts w:hint="eastAsia" w:ascii="仿宋_GB2312" w:hAnsi="楷体_GB2312" w:eastAsia="仿宋_GB2312" w:cs="楷体_GB2312"/>
          <w:sz w:val="32"/>
          <w:szCs w:val="32"/>
        </w:rPr>
        <w:t>强化档案普法执法。以新修订《档案法》配套制度为重点，每年制定档案普法计划，推动档案法治宣传进机关、进企业、进基层。加大档案执法检查力度，进一步完善执法计划清单制度，重大专项纳入党委督查项目。深化“互联网</w:t>
      </w:r>
      <w:r>
        <w:rPr>
          <w:rFonts w:ascii="仿宋_GB2312" w:hAnsi="楷体_GB2312" w:eastAsia="仿宋_GB2312" w:cs="楷体_GB2312"/>
          <w:sz w:val="32"/>
          <w:szCs w:val="32"/>
        </w:rPr>
        <w:t>+</w:t>
      </w:r>
      <w:r>
        <w:rPr>
          <w:rFonts w:hint="eastAsia" w:ascii="仿宋_GB2312" w:hAnsi="楷体_GB2312" w:eastAsia="仿宋_GB2312" w:cs="楷体_GB2312"/>
          <w:sz w:val="32"/>
          <w:szCs w:val="32"/>
        </w:rPr>
        <w:t>档案监管”，建立健全与财税、司法、市场监管等行业主管部门联合执法机制，组织重点领域跨区域跨层级执法行动，切实提升执法检查效能。全市档案政务事项网办率、监管事项覆盖率、掌上执法率达到</w:t>
      </w:r>
      <w:r>
        <w:rPr>
          <w:rFonts w:ascii="仿宋_GB2312" w:hAnsi="楷体_GB2312" w:eastAsia="仿宋_GB2312" w:cs="楷体_GB2312"/>
          <w:sz w:val="32"/>
          <w:szCs w:val="32"/>
        </w:rPr>
        <w:t>100%</w:t>
      </w:r>
      <w:r>
        <w:rPr>
          <w:rFonts w:hint="eastAsia" w:ascii="仿宋_GB2312" w:hAnsi="楷体_GB2312" w:eastAsia="仿宋_GB2312" w:cs="楷体_GB2312"/>
          <w:sz w:val="32"/>
          <w:szCs w:val="32"/>
        </w:rPr>
        <w:t>。建立科学合理的档案违法责任认定和追究制度，探索警示通报、责任约谈等督促机制，依法严肃查处违法行为。</w:t>
      </w:r>
    </w:p>
    <w:p>
      <w:pPr>
        <w:widowControl w:val="0"/>
        <w:spacing w:line="610" w:lineRule="exact"/>
        <w:ind w:firstLine="645"/>
        <w:rPr>
          <w:rFonts w:ascii="仿宋_GB2312" w:hAnsi="楷体_GB2312" w:eastAsia="仿宋_GB2312" w:cs="楷体_GB2312"/>
          <w:sz w:val="32"/>
          <w:szCs w:val="32"/>
        </w:rPr>
      </w:pPr>
      <w:r>
        <w:rPr>
          <w:rFonts w:ascii="仿宋_GB2312" w:hAnsi="楷体_GB2312" w:eastAsia="仿宋_GB2312" w:cs="楷体_GB2312"/>
          <w:sz w:val="32"/>
          <w:szCs w:val="32"/>
        </w:rPr>
        <w:t>4.</w:t>
      </w:r>
      <w:r>
        <w:rPr>
          <w:rFonts w:hint="eastAsia" w:ascii="仿宋_GB2312" w:hAnsi="楷体_GB2312" w:eastAsia="仿宋_GB2312" w:cs="楷体_GB2312"/>
          <w:sz w:val="32"/>
          <w:szCs w:val="32"/>
        </w:rPr>
        <w:t>服务法治台州建设。实施重大行政决策档案管理办法，落实重大行政决策全过程记录、材料归档和档案管理制度，推进政府科学、民主、依法决策。联合司法行政部门研究建立综合执法档案管理制度和档案数据共享机制。服务政法一体化办案体系，深化数字卷宗单轨制应用，实现卷宗源头数字化。协同推进发票（票据）电子化，</w:t>
      </w:r>
      <w:r>
        <w:rPr>
          <w:rFonts w:hint="eastAsia" w:ascii="Times New Roman" w:hAnsi="Times New Roman" w:eastAsia="仿宋_GB2312"/>
          <w:sz w:val="32"/>
          <w:szCs w:val="32"/>
        </w:rPr>
        <w:t>规范退出市场企业档案处置，助力营商环境优化。</w:t>
      </w:r>
      <w:r>
        <w:rPr>
          <w:rFonts w:hint="eastAsia" w:ascii="仿宋_GB2312" w:hAnsi="楷体_GB2312" w:eastAsia="仿宋_GB2312" w:cs="楷体_GB2312"/>
          <w:sz w:val="32"/>
          <w:szCs w:val="32"/>
        </w:rPr>
        <w:t>注重关于台州法治建设历程的档案资源收集，开展法治档案文献研究，为加强法治文化建设提供档案服务。</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（三）深化智慧档案建设，打造整体智治先行区</w:t>
      </w:r>
    </w:p>
    <w:p>
      <w:pPr>
        <w:widowControl w:val="0"/>
        <w:spacing w:line="610" w:lineRule="exact"/>
        <w:ind w:firstLine="645"/>
        <w:rPr>
          <w:rFonts w:ascii="仿宋_GB2312" w:hAnsi="楷体_GB2312" w:eastAsia="仿宋_GB2312" w:cs="楷体_GB2312"/>
          <w:sz w:val="32"/>
          <w:szCs w:val="32"/>
        </w:rPr>
      </w:pPr>
      <w:r>
        <w:rPr>
          <w:rFonts w:hint="eastAsia" w:ascii="仿宋_GB2312" w:hAnsi="楷体_GB2312" w:eastAsia="仿宋_GB2312" w:cs="楷体_GB2312"/>
          <w:sz w:val="32"/>
          <w:szCs w:val="32"/>
        </w:rPr>
        <w:t>抢抓数字化改革先机，主动融入和服务全市数字化改革总体部署，发挥档案工作的基础支撑作用。加快档案工作与新技术深度融合，推进档案资源和档案管理数字化、智能化转型，提升档案工作整体智治水平。</w:t>
      </w:r>
    </w:p>
    <w:p>
      <w:pPr>
        <w:ind w:firstLine="640" w:firstLineChars="200"/>
        <w:rPr>
          <w:rFonts w:ascii="仿宋_GB2312" w:hAnsi="楷体_GB2312" w:eastAsia="仿宋_GB2312" w:cs="楷体_GB2312"/>
          <w:sz w:val="32"/>
          <w:szCs w:val="32"/>
        </w:rPr>
      </w:pPr>
      <w:r>
        <w:rPr>
          <w:rFonts w:ascii="仿宋_GB2312" w:hAnsi="楷体_GB2312" w:eastAsia="仿宋_GB2312" w:cs="楷体_GB2312"/>
          <w:sz w:val="32"/>
          <w:szCs w:val="32"/>
        </w:rPr>
        <w:t>1.</w:t>
      </w:r>
      <w:r>
        <w:rPr>
          <w:rFonts w:hint="eastAsia" w:ascii="仿宋_GB2312" w:hAnsi="楷体_GB2312" w:eastAsia="仿宋_GB2312" w:cs="楷体_GB2312"/>
          <w:sz w:val="32"/>
          <w:szCs w:val="32"/>
        </w:rPr>
        <w:t>服务全市数字化改革。紧紧围绕数字化改革“</w:t>
      </w:r>
      <w:r>
        <w:rPr>
          <w:rFonts w:ascii="仿宋_GB2312" w:hAnsi="楷体_GB2312" w:eastAsia="仿宋_GB2312" w:cs="楷体_GB2312"/>
          <w:sz w:val="32"/>
          <w:szCs w:val="32"/>
        </w:rPr>
        <w:t>1+5+2</w:t>
      </w:r>
      <w:r>
        <w:rPr>
          <w:rFonts w:hint="eastAsia" w:ascii="仿宋_GB2312" w:hAnsi="楷体_GB2312" w:eastAsia="仿宋_GB2312" w:cs="楷体_GB2312"/>
          <w:sz w:val="32"/>
          <w:szCs w:val="32"/>
        </w:rPr>
        <w:t>”工作体系，强化档案数据服务，推动电子归档纳入党政机关各项核心业务数字化运行的流程闭环，夯实党政机关整体智治的档案基础应用支撑。持续推进行政权力事项电子化归档，基本实现政务服务网各类电子文件应归尽归、安全保管、有效利用。加快推进电子文件在线归档，全面推行电子文件单套制归档和电子档案单套管理，逐步实现“归档零纸件”。全面开通“机关查档直通车”，进馆单位向档案馆申请网上查档开通率达</w:t>
      </w:r>
      <w:r>
        <w:rPr>
          <w:rFonts w:ascii="仿宋_GB2312" w:hAnsi="楷体_GB2312" w:eastAsia="仿宋_GB2312" w:cs="楷体_GB2312"/>
          <w:sz w:val="32"/>
          <w:szCs w:val="32"/>
        </w:rPr>
        <w:t>100%</w:t>
      </w:r>
      <w:r>
        <w:rPr>
          <w:rFonts w:hint="eastAsia" w:ascii="仿宋_GB2312" w:hAnsi="楷体_GB2312" w:eastAsia="仿宋_GB2312" w:cs="楷体_GB2312"/>
          <w:sz w:val="32"/>
          <w:szCs w:val="32"/>
        </w:rPr>
        <w:t>，加强档案馆（室）数字资源共享利用，推动机关内部“最多跑一次”“一件事”集成改革迭代升级、延伸扩面。</w:t>
      </w:r>
    </w:p>
    <w:p>
      <w:pPr>
        <w:ind w:firstLine="640" w:firstLineChars="200"/>
        <w:rPr>
          <w:rFonts w:ascii="仿宋_GB2312" w:hAnsi="楷体_GB2312" w:eastAsia="仿宋_GB2312" w:cs="楷体_GB2312"/>
          <w:sz w:val="32"/>
          <w:szCs w:val="32"/>
        </w:rPr>
      </w:pPr>
      <w:r>
        <w:rPr>
          <w:rFonts w:ascii="仿宋_GB2312" w:hAnsi="楷体_GB2312" w:eastAsia="仿宋_GB2312" w:cs="楷体_GB2312"/>
          <w:sz w:val="32"/>
          <w:szCs w:val="32"/>
        </w:rPr>
        <w:t>2.</w:t>
      </w:r>
      <w:r>
        <w:rPr>
          <w:rFonts w:hint="eastAsia" w:ascii="仿宋_GB2312" w:hAnsi="楷体_GB2312" w:eastAsia="仿宋_GB2312" w:cs="楷体_GB2312"/>
          <w:sz w:val="32"/>
          <w:szCs w:val="32"/>
        </w:rPr>
        <w:t>提升档案工作数字化水平。全面梳理档案工作核心业务，以资源共享化、管理智慧化、利用高效化为目标，加强档案数据管理与应用，到</w:t>
      </w:r>
      <w:r>
        <w:rPr>
          <w:rFonts w:ascii="仿宋_GB2312" w:hAnsi="楷体_GB2312" w:eastAsia="仿宋_GB2312" w:cs="楷体_GB2312"/>
          <w:sz w:val="32"/>
          <w:szCs w:val="32"/>
        </w:rPr>
        <w:t>2022</w:t>
      </w:r>
      <w:r>
        <w:rPr>
          <w:rFonts w:hint="eastAsia" w:ascii="仿宋_GB2312" w:hAnsi="楷体_GB2312" w:eastAsia="仿宋_GB2312" w:cs="楷体_GB2312"/>
          <w:sz w:val="32"/>
          <w:szCs w:val="32"/>
        </w:rPr>
        <w:t>年，</w:t>
      </w:r>
      <w:r>
        <w:rPr>
          <w:rFonts w:ascii="仿宋_GB2312" w:hAnsi="楷体_GB2312" w:eastAsia="仿宋_GB2312" w:cs="楷体_GB2312"/>
          <w:sz w:val="32"/>
          <w:szCs w:val="32"/>
        </w:rPr>
        <w:t>80%</w:t>
      </w:r>
      <w:r>
        <w:rPr>
          <w:rFonts w:hint="eastAsia" w:ascii="仿宋_GB2312" w:hAnsi="楷体_GB2312" w:eastAsia="仿宋_GB2312" w:cs="楷体_GB2312"/>
          <w:sz w:val="32"/>
          <w:szCs w:val="32"/>
        </w:rPr>
        <w:t>核心业务实现网上协同，建立档案业务和资源基础数据库。到</w:t>
      </w:r>
      <w:r>
        <w:rPr>
          <w:rFonts w:ascii="仿宋_GB2312" w:hAnsi="楷体_GB2312" w:eastAsia="仿宋_GB2312" w:cs="楷体_GB2312"/>
          <w:sz w:val="32"/>
          <w:szCs w:val="32"/>
        </w:rPr>
        <w:t>2025</w:t>
      </w:r>
      <w:r>
        <w:rPr>
          <w:rFonts w:hint="eastAsia" w:ascii="仿宋_GB2312" w:hAnsi="楷体_GB2312" w:eastAsia="仿宋_GB2312" w:cs="楷体_GB2312"/>
          <w:sz w:val="32"/>
          <w:szCs w:val="32"/>
        </w:rPr>
        <w:t>年，档案工作数字化协同场景广泛应用，整体智治新格局全面形成。用好全省档案工作智能监管应用系统，加强档案行政监管。加快数字档案系统流程重构、技术融合和平台整合，开展智慧档案馆建设试点，加快全国示范和国家级数字档案馆创建，推进数字档案室建设拓面提质。对接省档案数据共享中心，到</w:t>
      </w:r>
      <w:r>
        <w:rPr>
          <w:rFonts w:ascii="仿宋_GB2312" w:hAnsi="楷体_GB2312" w:eastAsia="仿宋_GB2312" w:cs="楷体_GB2312"/>
          <w:sz w:val="32"/>
          <w:szCs w:val="32"/>
        </w:rPr>
        <w:t>2023</w:t>
      </w:r>
      <w:r>
        <w:rPr>
          <w:rFonts w:hint="eastAsia" w:ascii="仿宋_GB2312" w:hAnsi="楷体_GB2312" w:eastAsia="仿宋_GB2312" w:cs="楷体_GB2312"/>
          <w:sz w:val="32"/>
          <w:szCs w:val="32"/>
        </w:rPr>
        <w:t>年底，建成全市互联互通的数字档案管理服务一体化平台，推进档案数字资源全域共享利用。</w:t>
      </w:r>
    </w:p>
    <w:p>
      <w:pPr>
        <w:ind w:firstLine="640" w:firstLineChars="200"/>
        <w:rPr>
          <w:rFonts w:ascii="仿宋_GB2312" w:hAnsi="楷体_GB2312" w:eastAsia="仿宋_GB2312" w:cs="楷体_GB2312"/>
          <w:sz w:val="32"/>
          <w:szCs w:val="32"/>
        </w:rPr>
      </w:pPr>
      <w:r>
        <w:rPr>
          <w:rFonts w:ascii="仿宋_GB2312" w:hAnsi="楷体_GB2312" w:eastAsia="仿宋_GB2312" w:cs="楷体_GB2312"/>
          <w:sz w:val="32"/>
          <w:szCs w:val="32"/>
        </w:rPr>
        <w:t>3.</w:t>
      </w:r>
      <w:r>
        <w:rPr>
          <w:rFonts w:hint="eastAsia" w:ascii="仿宋_GB2312" w:hAnsi="楷体_GB2312" w:eastAsia="仿宋_GB2312" w:cs="楷体_GB2312"/>
          <w:sz w:val="32"/>
          <w:szCs w:val="32"/>
        </w:rPr>
        <w:t>推动档案资源数字化转型。完善电子文件归档机制，优化电子档案管理流程，加强数据治理，提升档案数据质量。加快推进馆藏档案数字化加工和党政机关各类专业档案、民生档案的数字化、数据化，建设覆盖全面、分类科学、服务高效的档案数据仓。聚焦数字经济、数字乡村、未来社区建设，引导推动企业、村（社区）数字建档，深化古村落数字记忆项目建设。推进网页信息、社交媒体、新闻报道等数字资源的采集，建立以电子档案为主导的档案数字资源体系。运用人工智能、大数据挖掘和分析等技术，对档案数字资源进行合理开发和利用。</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（四）深化民生档案建设，打造开放服务引领区</w:t>
      </w:r>
    </w:p>
    <w:p>
      <w:pPr>
        <w:widowControl w:val="0"/>
        <w:spacing w:line="610" w:lineRule="exact"/>
        <w:ind w:firstLine="645"/>
        <w:rPr>
          <w:rFonts w:ascii="仿宋_GB2312" w:hAnsi="楷体_GB2312" w:eastAsia="仿宋_GB2312" w:cs="楷体_GB2312"/>
          <w:sz w:val="32"/>
          <w:szCs w:val="32"/>
        </w:rPr>
      </w:pPr>
      <w:r>
        <w:rPr>
          <w:rFonts w:hint="eastAsia" w:ascii="仿宋_GB2312" w:hAnsi="楷体_GB2312" w:eastAsia="仿宋_GB2312" w:cs="楷体_GB2312"/>
          <w:sz w:val="32"/>
          <w:szCs w:val="32"/>
        </w:rPr>
        <w:t>坚持以人民为中心的发展思想，聚焦民生档案“收得齐、管得好、用得上”，加强档案资源体系和利用体系建设，积极推进档案供给侧改革，不断提升档案开放的广度和深度，不断提升档案公共服务的覆盖面、精准度和便捷化水平，真正让人民群众共享档案事业发展成果。</w:t>
      </w:r>
    </w:p>
    <w:p>
      <w:pPr>
        <w:widowControl w:val="0"/>
        <w:spacing w:line="610" w:lineRule="exact"/>
        <w:ind w:firstLine="640" w:firstLineChars="200"/>
        <w:rPr>
          <w:rFonts w:ascii="仿宋_GB2312" w:hAnsi="楷体_GB2312" w:eastAsia="仿宋_GB2312" w:cs="楷体_GB2312"/>
          <w:sz w:val="32"/>
          <w:szCs w:val="32"/>
        </w:rPr>
      </w:pPr>
      <w:r>
        <w:rPr>
          <w:rFonts w:ascii="仿宋_GB2312" w:hAnsi="楷体_GB2312" w:eastAsia="仿宋_GB2312" w:cs="楷体_GB2312"/>
          <w:sz w:val="32"/>
          <w:szCs w:val="32"/>
        </w:rPr>
        <w:t>1.</w:t>
      </w:r>
      <w:r>
        <w:rPr>
          <w:rFonts w:hint="eastAsia" w:ascii="仿宋_GB2312" w:hAnsi="楷体_GB2312" w:eastAsia="仿宋_GB2312" w:cs="楷体_GB2312"/>
          <w:sz w:val="32"/>
          <w:szCs w:val="32"/>
        </w:rPr>
        <w:t>丰富民生档案资源。加强教育、就业、卫生、社保、住房等民生领域档案的收集工作，建立健全进馆民生档案推荐种类清单，接收永久长期的民生档案和数字化副本。加强民生档案建档指导，推动涉民部门建立健全档案工作和主要业务活动的融合机制。加强机关、团体、企事业单位各门类档案集中统一管理，推行分类方案、归档范围和保管期限三合一制度。规范民生档案数据标准体系，加强民生档案专题数据库建设，全市形成</w:t>
      </w:r>
      <w:r>
        <w:rPr>
          <w:rFonts w:ascii="仿宋_GB2312" w:hAnsi="楷体_GB2312" w:eastAsia="仿宋_GB2312" w:cs="楷体_GB2312"/>
          <w:sz w:val="32"/>
          <w:szCs w:val="32"/>
        </w:rPr>
        <w:t>15</w:t>
      </w:r>
      <w:r>
        <w:rPr>
          <w:rFonts w:hint="eastAsia" w:ascii="仿宋_GB2312" w:hAnsi="楷体_GB2312" w:eastAsia="仿宋_GB2312" w:cs="楷体_GB2312"/>
          <w:sz w:val="32"/>
          <w:szCs w:val="32"/>
        </w:rPr>
        <w:t>种左右标准的民生档案专题数据库。</w:t>
      </w:r>
      <w:r>
        <w:rPr>
          <w:rStyle w:val="12"/>
          <w:rFonts w:hint="eastAsia" w:ascii="仿宋_GB2312" w:hAnsi="楷体_GB2312" w:eastAsia="仿宋_GB2312" w:cs="楷体_GB2312"/>
          <w:sz w:val="32"/>
          <w:szCs w:val="32"/>
        </w:rPr>
        <w:t>及时跟进做好机构改革、企业产权变动、行政区划调整等档案处置，严防档案资源流失。</w:t>
      </w:r>
    </w:p>
    <w:p>
      <w:pPr>
        <w:widowControl w:val="0"/>
        <w:spacing w:line="610" w:lineRule="exact"/>
        <w:ind w:firstLine="645"/>
        <w:rPr>
          <w:rFonts w:ascii="仿宋_GB2312" w:hAnsi="楷体_GB2312" w:eastAsia="仿宋_GB2312" w:cs="楷体_GB2312"/>
          <w:sz w:val="32"/>
          <w:szCs w:val="32"/>
        </w:rPr>
      </w:pPr>
      <w:r>
        <w:rPr>
          <w:rFonts w:ascii="仿宋_GB2312" w:hAnsi="楷体_GB2312" w:eastAsia="仿宋_GB2312" w:cs="楷体_GB2312"/>
          <w:sz w:val="32"/>
          <w:szCs w:val="32"/>
        </w:rPr>
        <w:t>2.</w:t>
      </w:r>
      <w:r>
        <w:rPr>
          <w:rFonts w:hint="eastAsia" w:ascii="仿宋_GB2312" w:hAnsi="楷体_GB2312" w:eastAsia="仿宋_GB2312" w:cs="楷体_GB2312"/>
          <w:sz w:val="32"/>
          <w:szCs w:val="32"/>
        </w:rPr>
        <w:t>提升档案开放利用水平。健全完善机关、团体、企事业单位和各级国家综合档案馆共同开展档案解密和开放审核机制，实现档案开放审核工作法治化、规范化、常态化。加大到期档案开放审核力度，依法依规落实期满</w:t>
      </w:r>
      <w:r>
        <w:rPr>
          <w:rFonts w:ascii="仿宋_GB2312" w:hAnsi="楷体_GB2312" w:eastAsia="仿宋_GB2312" w:cs="楷体_GB2312"/>
          <w:sz w:val="32"/>
          <w:szCs w:val="32"/>
        </w:rPr>
        <w:t>25</w:t>
      </w:r>
      <w:r>
        <w:rPr>
          <w:rFonts w:hint="eastAsia" w:ascii="仿宋_GB2312" w:hAnsi="楷体_GB2312" w:eastAsia="仿宋_GB2312" w:cs="楷体_GB2312"/>
          <w:sz w:val="32"/>
          <w:szCs w:val="32"/>
        </w:rPr>
        <w:t>年档案开放要求</w:t>
      </w:r>
      <w:r>
        <w:rPr>
          <w:rStyle w:val="12"/>
          <w:rFonts w:hint="eastAsia" w:ascii="仿宋_GB2312" w:hAnsi="楷体_GB2312" w:eastAsia="仿宋_GB2312" w:cs="楷体_GB2312"/>
          <w:sz w:val="32"/>
          <w:szCs w:val="32"/>
        </w:rPr>
        <w:t>。</w:t>
      </w:r>
      <w:r>
        <w:rPr>
          <w:rFonts w:hint="eastAsia" w:ascii="仿宋_GB2312" w:hAnsi="楷体_GB2312" w:eastAsia="仿宋_GB2312" w:cs="楷体_GB2312"/>
          <w:sz w:val="32"/>
          <w:szCs w:val="32"/>
        </w:rPr>
        <w:t>完善进馆单位档案预开放制度。</w:t>
      </w:r>
      <w:r>
        <w:rPr>
          <w:rStyle w:val="12"/>
          <w:rFonts w:hint="eastAsia" w:ascii="仿宋_GB2312" w:hAnsi="楷体_GB2312" w:eastAsia="仿宋_GB2312" w:cs="楷体_GB2312"/>
          <w:sz w:val="32"/>
          <w:szCs w:val="32"/>
        </w:rPr>
        <w:t>逐步提升通过网站或其他方式公布开放档案目录的数量，稳步推进开放档案全文上网。</w:t>
      </w:r>
      <w:r>
        <w:rPr>
          <w:rFonts w:hint="eastAsia" w:ascii="仿宋_GB2312" w:hAnsi="楷体_GB2312" w:eastAsia="仿宋_GB2312" w:cs="楷体_GB2312"/>
          <w:sz w:val="32"/>
          <w:szCs w:val="32"/>
        </w:rPr>
        <w:t>鼓励引导各单位档案机构结合工作实际和社会需求，积极开展室（馆）藏档案对外开放利用服务工作。</w:t>
      </w:r>
    </w:p>
    <w:p>
      <w:pPr>
        <w:widowControl w:val="0"/>
        <w:spacing w:line="610" w:lineRule="exact"/>
        <w:ind w:firstLine="645"/>
        <w:rPr>
          <w:rFonts w:ascii="仿宋_GB2312" w:hAnsi="楷体_GB2312" w:eastAsia="仿宋_GB2312" w:cs="楷体_GB2312"/>
          <w:sz w:val="32"/>
          <w:szCs w:val="32"/>
        </w:rPr>
      </w:pPr>
      <w:r>
        <w:rPr>
          <w:rFonts w:ascii="仿宋_GB2312" w:hAnsi="楷体_GB2312" w:eastAsia="仿宋_GB2312" w:cs="楷体_GB2312"/>
          <w:sz w:val="32"/>
          <w:szCs w:val="32"/>
        </w:rPr>
        <w:t>3.</w:t>
      </w:r>
      <w:r>
        <w:rPr>
          <w:rFonts w:hint="eastAsia" w:ascii="仿宋_GB2312" w:hAnsi="楷体_GB2312" w:eastAsia="仿宋_GB2312" w:cs="楷体_GB2312"/>
          <w:sz w:val="32"/>
          <w:szCs w:val="32"/>
        </w:rPr>
        <w:t>推进档案公共服务均等化。进一步规范档案馆功能分区，统一档案查询利用服务标准，简化办理手续。持续推动档案公共服务向基层延伸，到“十四五”末，档案查询利用服务覆盖</w:t>
      </w:r>
      <w:r>
        <w:rPr>
          <w:rFonts w:ascii="仿宋_GB2312" w:hAnsi="楷体_GB2312" w:eastAsia="仿宋_GB2312" w:cs="楷体_GB2312"/>
          <w:sz w:val="32"/>
          <w:szCs w:val="32"/>
        </w:rPr>
        <w:t>100%</w:t>
      </w:r>
      <w:r>
        <w:rPr>
          <w:rFonts w:hint="eastAsia" w:ascii="仿宋_GB2312" w:hAnsi="楷体_GB2312" w:eastAsia="仿宋_GB2312" w:cs="楷体_GB2312"/>
          <w:sz w:val="32"/>
          <w:szCs w:val="32"/>
        </w:rPr>
        <w:t>乡镇（街道）、</w:t>
      </w:r>
      <w:r>
        <w:rPr>
          <w:rFonts w:ascii="仿宋_GB2312" w:hAnsi="楷体_GB2312" w:eastAsia="仿宋_GB2312" w:cs="楷体_GB2312"/>
          <w:sz w:val="32"/>
          <w:szCs w:val="32"/>
        </w:rPr>
        <w:t>80%</w:t>
      </w:r>
      <w:r>
        <w:rPr>
          <w:rFonts w:hint="eastAsia" w:ascii="仿宋_GB2312" w:hAnsi="楷体_GB2312" w:eastAsia="仿宋_GB2312" w:cs="楷体_GB2312"/>
          <w:sz w:val="32"/>
          <w:szCs w:val="32"/>
        </w:rPr>
        <w:t>行政村（社区）党群（便民）服务中心，以及重点民营企业。对接浙江档案服务网，实现全程网办、电子出证。深化长三角区域民生档案一网查档、掌上查档。加强国家综合档案馆与部门档案数据对接共享，开通“民生查档直通车”，推动实现档案数据在行政服务中心、社会矛盾纠纷调处化解中心和一线工作现场的推送应用，解决民生办事“多头跑”问题。</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（五）深化平安档案建设，打造全域防控样板区</w:t>
      </w:r>
    </w:p>
    <w:p>
      <w:pPr>
        <w:widowControl w:val="0"/>
        <w:spacing w:line="610" w:lineRule="exact"/>
        <w:ind w:firstLine="645"/>
        <w:rPr>
          <w:rStyle w:val="12"/>
          <w:rFonts w:ascii="楷体_GB2312" w:hAnsi="楷体_GB2312" w:eastAsia="楷体_GB2312" w:cs="楷体_GB2312"/>
          <w:sz w:val="32"/>
          <w:szCs w:val="32"/>
        </w:rPr>
      </w:pPr>
      <w:r>
        <w:rPr>
          <w:rFonts w:hint="eastAsia" w:ascii="仿宋_GB2312" w:hAnsi="楷体_GB2312" w:eastAsia="仿宋_GB2312" w:cs="楷体_GB2312"/>
          <w:sz w:val="32"/>
          <w:szCs w:val="32"/>
        </w:rPr>
        <w:t>贯彻总体国家安全观，把档案安全作为底线和红线，完善安全工作责任制，全面落实人防、物防、技防措施，</w:t>
      </w:r>
      <w:r>
        <w:rPr>
          <w:rFonts w:hint="eastAsia" w:ascii="Times New Roman" w:hAnsi="Times New Roman" w:eastAsia="仿宋_GB2312"/>
          <w:sz w:val="32"/>
          <w:szCs w:val="32"/>
        </w:rPr>
        <w:t>切实增强常态化风险防范和应急处置能力，</w:t>
      </w:r>
      <w:r>
        <w:rPr>
          <w:rFonts w:hint="eastAsia" w:ascii="仿宋_GB2312" w:hAnsi="楷体_GB2312" w:eastAsia="仿宋_GB2312" w:cs="楷体_GB2312"/>
          <w:sz w:val="32"/>
          <w:szCs w:val="32"/>
        </w:rPr>
        <w:t>加强全域档案安全工作监管和责任追究，筑牢档案安全的铜墙铁壁</w:t>
      </w:r>
      <w:r>
        <w:rPr>
          <w:rFonts w:hint="eastAsia" w:ascii="Times New Roman" w:hAnsi="Times New Roman" w:eastAsia="仿宋_GB2312"/>
          <w:sz w:val="32"/>
          <w:szCs w:val="32"/>
        </w:rPr>
        <w:t>。</w:t>
      </w:r>
    </w:p>
    <w:p>
      <w:pPr>
        <w:widowControl w:val="0"/>
        <w:spacing w:line="610" w:lineRule="exact"/>
        <w:ind w:firstLine="645"/>
        <w:rPr>
          <w:rFonts w:ascii="仿宋_GB2312" w:hAnsi="楷体_GB2312" w:eastAsia="仿宋_GB2312" w:cs="楷体_GB2312"/>
          <w:sz w:val="32"/>
          <w:szCs w:val="32"/>
        </w:rPr>
      </w:pPr>
      <w:r>
        <w:rPr>
          <w:rFonts w:ascii="仿宋_GB2312" w:hAnsi="楷体_GB2312" w:eastAsia="仿宋_GB2312" w:cs="楷体_GB2312"/>
          <w:sz w:val="32"/>
          <w:szCs w:val="32"/>
        </w:rPr>
        <w:t>1.</w:t>
      </w:r>
      <w:r>
        <w:rPr>
          <w:rFonts w:hint="eastAsia" w:ascii="仿宋_GB2312" w:hAnsi="楷体_GB2312" w:eastAsia="仿宋_GB2312" w:cs="楷体_GB2312"/>
          <w:sz w:val="32"/>
          <w:szCs w:val="32"/>
        </w:rPr>
        <w:t>加强档案实体信息安全保障。持续推进国家综合档案馆基础设施建设，以绿色发展理念引领馆舍有机更新，开展绿色档案馆自评工作。高度重视档案实体安全，落实关键基础设施安全保护制度，规范档案保管、档案流转等业务工作流程，提升档案库房精细化、智能化管理水平。高度重视档案信息安全，逐步推进档案信息化核心基础设施设备和系统软件自主可控，加强对重要档案信息管理系统的安全测试，落实网络安全等级保护制度。严格执行档案保密管理、上网档案信息审查和档案利用制度。强化档案安全技术支撑，</w:t>
      </w:r>
      <w:r>
        <w:rPr>
          <w:rFonts w:hint="eastAsia" w:ascii="Times New Roman" w:hAnsi="Times New Roman" w:eastAsia="仿宋_GB2312"/>
          <w:sz w:val="32"/>
          <w:szCs w:val="32"/>
        </w:rPr>
        <w:t>合理运用防灾减灾、数据存储、信息安全等方面的前沿理论和技术成果，</w:t>
      </w:r>
      <w:r>
        <w:rPr>
          <w:rFonts w:hint="eastAsia" w:ascii="仿宋_GB2312" w:hAnsi="楷体_GB2312" w:eastAsia="仿宋_GB2312" w:cs="楷体_GB2312"/>
          <w:sz w:val="32"/>
          <w:szCs w:val="32"/>
        </w:rPr>
        <w:t>推广应用“低氧含氨气档案消毒灭菌”等安全技术。</w:t>
      </w:r>
    </w:p>
    <w:p>
      <w:pPr>
        <w:widowControl w:val="0"/>
        <w:spacing w:line="610" w:lineRule="exact"/>
        <w:ind w:firstLine="645"/>
        <w:rPr>
          <w:rFonts w:ascii="仿宋_GB2312" w:hAnsi="楷体_GB2312" w:eastAsia="仿宋_GB2312" w:cs="楷体_GB2312"/>
          <w:sz w:val="32"/>
          <w:szCs w:val="32"/>
        </w:rPr>
      </w:pPr>
      <w:r>
        <w:rPr>
          <w:rFonts w:ascii="仿宋_GB2312" w:hAnsi="楷体_GB2312" w:eastAsia="仿宋_GB2312" w:cs="楷体_GB2312"/>
          <w:sz w:val="32"/>
          <w:szCs w:val="32"/>
        </w:rPr>
        <w:t>2.</w:t>
      </w:r>
      <w:r>
        <w:rPr>
          <w:rFonts w:hint="eastAsia" w:ascii="仿宋_GB2312" w:hAnsi="楷体_GB2312" w:eastAsia="仿宋_GB2312" w:cs="楷体_GB2312"/>
          <w:sz w:val="32"/>
          <w:szCs w:val="32"/>
        </w:rPr>
        <w:t>强化安全风险防控。落实各级各部门档案安全责任，建立健全档案安全事故问责机制，加强对安全事故的事前预防、事中管控、事后追责。构建档案行政执法检查、安全风险评估、安全自查等一体化、常态化的档案安全检查工作体系，组织开展国家综合档案馆安全风险评估，推动机关、团体、企事业单位定期开展档案安全自查，到“十四五”末，实现各级国家综合档案馆、机关、团体、企事业单位安全检查</w:t>
      </w:r>
      <w:r>
        <w:rPr>
          <w:rFonts w:ascii="仿宋_GB2312" w:hAnsi="楷体_GB2312" w:eastAsia="仿宋_GB2312" w:cs="楷体_GB2312"/>
          <w:sz w:val="32"/>
          <w:szCs w:val="32"/>
        </w:rPr>
        <w:t>100%</w:t>
      </w:r>
      <w:r>
        <w:rPr>
          <w:rFonts w:hint="eastAsia" w:ascii="仿宋_GB2312" w:hAnsi="楷体_GB2312" w:eastAsia="仿宋_GB2312" w:cs="楷体_GB2312"/>
          <w:sz w:val="32"/>
          <w:szCs w:val="32"/>
        </w:rPr>
        <w:t>覆盖。高度重视汛期档案安全工作，建立健全档案安全应急管理制度和应急预案，常态化开展应急演练，提升突发事件处置能力。继续开展机关文档集中管理，为暂不具备保管条件的机关单位档案提供安全保障。规范档案服务外包工作，对涉及档案安全的寄存托管、数字化加工、信息系统建设等重点领域实施监管。</w:t>
      </w:r>
    </w:p>
    <w:p>
      <w:pPr>
        <w:widowControl w:val="0"/>
        <w:spacing w:line="610" w:lineRule="exact"/>
        <w:ind w:firstLine="645"/>
        <w:rPr>
          <w:rFonts w:ascii="仿宋_GB2312" w:hAnsi="楷体_GB2312" w:eastAsia="仿宋_GB2312" w:cs="楷体_GB2312"/>
          <w:sz w:val="32"/>
          <w:szCs w:val="32"/>
        </w:rPr>
      </w:pPr>
      <w:r>
        <w:rPr>
          <w:rFonts w:ascii="仿宋_GB2312" w:hAnsi="楷体_GB2312" w:eastAsia="仿宋_GB2312" w:cs="楷体_GB2312"/>
          <w:sz w:val="32"/>
          <w:szCs w:val="32"/>
        </w:rPr>
        <w:t>3.</w:t>
      </w:r>
      <w:r>
        <w:rPr>
          <w:rFonts w:hint="eastAsia" w:ascii="仿宋_GB2312" w:hAnsi="楷体_GB2312" w:eastAsia="仿宋_GB2312" w:cs="楷体_GB2312"/>
          <w:sz w:val="32"/>
          <w:szCs w:val="32"/>
        </w:rPr>
        <w:t>服务平安台州建设。深化档案登记备份制度，常态化开展电子业务数据、纸质档案数字化成果登记备份工作，各级国家综合档案馆全部实现馆藏重要档案数字资源异地备份，建立行政村（社区）档案数字资源县级国家综合档案馆备份制度。对照平安浙江档案安全监管考核标准，推动相关单位加强安全档案建设，科学利用档案资源进行安全风险分析、研判和处置，发挥档案在风险闭环管控中积极作用。探索构建档案数据安全风险预警与防控体系，健全重大公共安全事件档案数据应急采集和应用管理机制。坚决杜绝因档案安全责任不落实导致的群体性事件发生，或敏感信息泄露引发舆情。</w:t>
      </w:r>
    </w:p>
    <w:p>
      <w:pPr>
        <w:widowControl w:val="0"/>
        <w:spacing w:line="610" w:lineRule="exact"/>
        <w:ind w:firstLine="645"/>
        <w:rPr>
          <w:rStyle w:val="12"/>
          <w:rFonts w:ascii="楷体_GB2312" w:hAnsi="楷体_GB2312" w:eastAsia="楷体_GB2312" w:cs="楷体_GB2312"/>
          <w:sz w:val="32"/>
          <w:szCs w:val="32"/>
        </w:rPr>
      </w:pPr>
      <w:r>
        <w:rPr>
          <w:rStyle w:val="12"/>
          <w:rFonts w:hint="eastAsia" w:ascii="楷体_GB2312" w:hAnsi="楷体_GB2312" w:eastAsia="楷体_GB2312" w:cs="楷体_GB2312"/>
          <w:sz w:val="32"/>
          <w:szCs w:val="32"/>
        </w:rPr>
        <w:t>（六）深化活力档案建设，打造宣传文化创新区</w:t>
      </w:r>
    </w:p>
    <w:p>
      <w:pPr>
        <w:widowControl w:val="0"/>
        <w:spacing w:line="61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积极推动档案工作与时俱进，打破旧观念、开拓新思路，在档案科技创新、宣传创新、文化创新、人才培养创新等方面大胆探索，增强档案工作创造性张力，在新时代绽放新活力。</w:t>
      </w:r>
    </w:p>
    <w:p>
      <w:pPr>
        <w:widowControl w:val="0"/>
        <w:spacing w:line="610" w:lineRule="exact"/>
        <w:ind w:firstLine="640" w:firstLineChars="200"/>
        <w:textAlignment w:val="auto"/>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推动档案科技创新。坚持科技兴档，围绕档案工作数字化转型、智慧档案建设、档案安全保护、档案资源建设和开发利用、档案治理现代化等重点课题，开展创新性、先进性、实用性的科技项目研究，积极申报国家、省级档案科技项目。注重借智借力，探索档案科研“揭榜挂帅”制度，积极支持和推动高校、科研院所、档案服务企业等社会力量参与先进、前沿的档案科学研究和技术创新，进一步深化与中国人民大学的科研合作。加强对档案科技项目的绩效管理和成果转化应用。</w:t>
      </w:r>
    </w:p>
    <w:p>
      <w:pPr>
        <w:widowControl w:val="0"/>
        <w:spacing w:line="610" w:lineRule="exact"/>
        <w:ind w:firstLine="645"/>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推动档案宣传创新。聚焦“</w:t>
      </w:r>
      <w:r>
        <w:rPr>
          <w:rFonts w:ascii="仿宋_GB2312" w:hAnsi="Times New Roman" w:eastAsia="仿宋_GB2312"/>
          <w:sz w:val="32"/>
          <w:szCs w:val="32"/>
        </w:rPr>
        <w:t>6</w:t>
      </w:r>
      <w:r>
        <w:rPr>
          <w:rFonts w:hint="eastAsia" w:ascii="仿宋_GB2312" w:hAnsi="Times New Roman" w:eastAsia="仿宋_GB2312"/>
          <w:sz w:val="32"/>
          <w:szCs w:val="32"/>
        </w:rPr>
        <w:t>·</w:t>
      </w:r>
      <w:r>
        <w:rPr>
          <w:rFonts w:ascii="仿宋_GB2312" w:hAnsi="Times New Roman" w:eastAsia="仿宋_GB2312"/>
          <w:sz w:val="32"/>
          <w:szCs w:val="32"/>
        </w:rPr>
        <w:t>9</w:t>
      </w:r>
      <w:r>
        <w:rPr>
          <w:rFonts w:hint="eastAsia" w:ascii="仿宋_GB2312" w:hAnsi="Times New Roman" w:eastAsia="仿宋_GB2312"/>
          <w:sz w:val="32"/>
          <w:szCs w:val="32"/>
        </w:rPr>
        <w:t>国际档案日”、法治宣传月和重要历史节点、重大纪念活动，精心设计主题宣传，加强市县档案部门和相关单位联动，营造宣传声势和舆论氛围。创新宣传方式，加强与新兴媒体、融媒体中心等合作，运用公众号传播、网络直播、短视频展播等新技术，增强宣传的时代性和吸引力。注重平时宣传，常态化开展档案开放日活动，与中小学校、企业、村（社区）等建立长期的结对关系，持续深化档案“三进三送”服务。加强专题宣传，对重要档案资源开展征集、编研和展览一体策划，充分发挥档案的价值作用。</w:t>
      </w:r>
    </w:p>
    <w:p>
      <w:pPr>
        <w:widowControl w:val="0"/>
        <w:spacing w:line="610" w:lineRule="exact"/>
        <w:ind w:firstLine="640" w:firstLineChars="200"/>
        <w:rPr>
          <w:rFonts w:ascii="仿宋_GB2312" w:hAnsi="楷体_GB2312" w:eastAsia="仿宋_GB2312" w:cs="楷体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推动档案文化创新。坚持档案文化工作系列化、品牌化、特色化的导向，着力打造红色系列、乡土文化系列、“名”字系列、馆藏精品系列等重点项目，形成一批档案文化精品。加强重大事件口述历史建档工作，挖掘地方特色档案文献资源，打造“一县一品”档案文化品牌。积极申报国家和省级重点档案保护开发项目、社科类项目，争取专项资金。加强各类档案文化阵地建设，</w:t>
      </w:r>
      <w:r>
        <w:rPr>
          <w:rStyle w:val="12"/>
          <w:rFonts w:hint="eastAsia" w:ascii="仿宋_GB2312" w:hAnsi="楷体_GB2312" w:eastAsia="仿宋_GB2312" w:cs="楷体_GB2312"/>
          <w:sz w:val="32"/>
          <w:szCs w:val="32"/>
        </w:rPr>
        <w:t>推进档案文化走进新时代文明实践中心、农村文化礼堂、学校思政课堂等，</w:t>
      </w:r>
      <w:r>
        <w:rPr>
          <w:rFonts w:hint="eastAsia" w:ascii="仿宋_GB2312" w:hAnsi="Times New Roman" w:eastAsia="仿宋_GB2312"/>
          <w:sz w:val="32"/>
          <w:szCs w:val="32"/>
        </w:rPr>
        <w:t>服务开展党史、新中国史、改革开放史、社会主义发展史的学习和爱国主义教育。坚持开门办馆，加强与宣传、文广旅体、党史等部门文化合作，加强与</w:t>
      </w:r>
      <w:r>
        <w:rPr>
          <w:rStyle w:val="12"/>
          <w:rFonts w:hint="eastAsia" w:ascii="仿宋_GB2312" w:hAnsi="楷体_GB2312" w:eastAsia="仿宋_GB2312" w:cs="楷体_GB2312"/>
          <w:sz w:val="32"/>
          <w:szCs w:val="32"/>
        </w:rPr>
        <w:t>博物馆、图书馆、纪念馆等单位资源交流共享，加强市外、省外、境外珍贵档案资源征集。</w:t>
      </w:r>
      <w:r>
        <w:rPr>
          <w:rFonts w:hint="eastAsia" w:ascii="仿宋_GB2312" w:hAnsi="Times New Roman" w:eastAsia="仿宋_GB2312"/>
          <w:sz w:val="32"/>
          <w:szCs w:val="32"/>
        </w:rPr>
        <w:t>拓宽社会参与档案事务的途径，通过政府购买服务等形式吸收高校、文化团体、专家学者等社会力量，充分发挥档案征集员的作用，</w:t>
      </w:r>
      <w:r>
        <w:rPr>
          <w:rStyle w:val="12"/>
          <w:rFonts w:hint="eastAsia" w:ascii="仿宋_GB2312" w:hAnsi="楷体_GB2312" w:eastAsia="仿宋_GB2312" w:cs="楷体_GB2312"/>
          <w:sz w:val="32"/>
          <w:szCs w:val="32"/>
        </w:rPr>
        <w:t>鼓励社会各界向国家综合档案馆捐赠档案或委托保管，</w:t>
      </w:r>
      <w:r>
        <w:rPr>
          <w:rFonts w:hint="eastAsia" w:ascii="仿宋_GB2312" w:hAnsi="Times New Roman" w:eastAsia="仿宋_GB2312"/>
          <w:sz w:val="32"/>
          <w:szCs w:val="32"/>
        </w:rPr>
        <w:t>不断提升档案文化挖掘、开发和输出能力。</w:t>
      </w:r>
    </w:p>
    <w:p>
      <w:pPr>
        <w:widowControl w:val="0"/>
        <w:spacing w:line="610" w:lineRule="exact"/>
        <w:ind w:firstLine="640" w:firstLineChars="200"/>
        <w:textAlignment w:val="auto"/>
        <w:rPr>
          <w:rStyle w:val="12"/>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推动档案专业人才培养创新。弘扬大陈岛垦荒精神、浙江档案人职业精神，实施新时代人才强档工程，加大对高层次领军人才、科研人才的柔性引进力度，对计算机、信息化和档案专业人才的招考选录力度，对中青年骨干人才的培养力度，进一步扩充</w:t>
      </w:r>
      <w:r>
        <w:rPr>
          <w:rFonts w:hint="eastAsia" w:ascii="仿宋_GB2312" w:eastAsia="仿宋_GB2312"/>
          <w:sz w:val="32"/>
          <w:szCs w:val="32"/>
        </w:rPr>
        <w:t>业务建设、信息化建设、征集编研等专业组，</w:t>
      </w:r>
      <w:r>
        <w:rPr>
          <w:rFonts w:hint="eastAsia" w:ascii="仿宋_GB2312" w:hAnsi="Times New Roman" w:eastAsia="仿宋_GB2312"/>
          <w:sz w:val="32"/>
          <w:szCs w:val="32"/>
        </w:rPr>
        <w:t>建设符合现代化档案工作需要的台州档案人才千人库，争取更多优秀人才入选省级人才库。创新优化档案人才培养、使用、激励机制。分层分类开展上挂下派、顶岗锻炼、师徒结对等人才培养工作，加大档案系统岗位培训和继续教育力度，推进乡镇（街道）、行政村（社区）档案人员每</w:t>
      </w:r>
      <w:r>
        <w:rPr>
          <w:rFonts w:ascii="仿宋_GB2312" w:hAnsi="Times New Roman" w:eastAsia="仿宋_GB2312"/>
          <w:sz w:val="32"/>
          <w:szCs w:val="32"/>
        </w:rPr>
        <w:t>2-3</w:t>
      </w:r>
      <w:r>
        <w:rPr>
          <w:rFonts w:hint="eastAsia" w:ascii="仿宋_GB2312" w:hAnsi="Times New Roman" w:eastAsia="仿宋_GB2312"/>
          <w:sz w:val="32"/>
          <w:szCs w:val="32"/>
        </w:rPr>
        <w:t>年轮训全覆盖。鼓励和支持档案人才在做精做专的基础上，参加各类综合能力培训和锻炼，成为多面手。深化与中国人民大学、台州职业技术学院等校地合作，建设档案人才实训基地。开展岗位练兵和技能比武，培育一批台州“档案工匠”和职业技能人才。对在档案工作中做出突出贡献的集体和个人，依据有关规定给予表彰、表扬。按照档案职称制度改革要求，推动档案职称工作规范化、科学化。注重发挥档案学会在人才培养、专家智库、业务交流等方面的积极作用。</w:t>
      </w:r>
    </w:p>
    <w:p>
      <w:pPr>
        <w:widowControl w:val="0"/>
        <w:spacing w:line="610" w:lineRule="exact"/>
        <w:ind w:firstLine="645"/>
        <w:rPr>
          <w:rStyle w:val="12"/>
          <w:rFonts w:ascii="楷体_GB2312" w:hAnsi="楷体_GB2312" w:eastAsia="楷体_GB2312" w:cs="楷体_GB2312"/>
          <w:spacing w:val="-4"/>
          <w:sz w:val="32"/>
          <w:szCs w:val="32"/>
        </w:rPr>
      </w:pPr>
      <w:r>
        <w:rPr>
          <w:rStyle w:val="12"/>
          <w:rFonts w:hint="eastAsia" w:ascii="楷体_GB2312" w:hAnsi="楷体_GB2312" w:eastAsia="楷体_GB2312" w:cs="楷体_GB2312"/>
          <w:spacing w:val="-4"/>
          <w:sz w:val="32"/>
          <w:szCs w:val="32"/>
        </w:rPr>
        <w:t>（七）加强基层基础建设，打造档案服务基层治理试验区</w:t>
      </w:r>
    </w:p>
    <w:p>
      <w:pPr>
        <w:widowControl w:val="0"/>
        <w:spacing w:line="610" w:lineRule="exact"/>
        <w:ind w:firstLine="645"/>
        <w:rPr>
          <w:rFonts w:ascii="仿宋_GB2312" w:hAnsi="Times New Roman" w:eastAsia="仿宋_GB2312"/>
          <w:sz w:val="32"/>
          <w:szCs w:val="32"/>
        </w:rPr>
      </w:pPr>
      <w:r>
        <w:rPr>
          <w:rFonts w:hint="eastAsia" w:ascii="仿宋_GB2312" w:hAnsi="Times New Roman" w:eastAsia="仿宋_GB2312"/>
          <w:sz w:val="32"/>
          <w:szCs w:val="32"/>
        </w:rPr>
        <w:t>贯彻落实省“两办”《关于全面推进新时代基层档案工作的实施意见》，健全基层档案工作机制，着力提升基层档案业务水平和服务能力，有效发挥档案工作在基层社会治理现代化中的重要基础支撑作用。</w:t>
      </w:r>
    </w:p>
    <w:p>
      <w:pPr>
        <w:widowControl w:val="0"/>
        <w:spacing w:line="610" w:lineRule="exact"/>
        <w:ind w:firstLine="645"/>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完善基层档案工作责任体系。充分发挥各级党委办公室牵头作用，建立档案、组织、民政、农业农村、大数据管理等部门参加的基层档案工作协调联动机制。充分发挥市县两级档案主管部门作用，对行政区域内机关、团体、企事业单位和其他组织加强监督和指导。充分发挥市直单位的示范带头作用，强化对所属单位、系统（行业）档案工作的业务指导。充分发挥乡镇（街道）的职能作用，健全乡镇档案管理制度，加强对所属单位、行政村（社区）等档案工作的监督和指导。完善档案监督指导工作机制，迭代升级档案年检制度。</w:t>
      </w:r>
    </w:p>
    <w:p>
      <w:pPr>
        <w:widowControl w:val="0"/>
        <w:spacing w:line="610" w:lineRule="exact"/>
        <w:ind w:firstLine="645"/>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推进基层档案工作规范化。</w:t>
      </w:r>
      <w:r>
        <w:rPr>
          <w:rFonts w:hint="eastAsia" w:ascii="仿宋_GB2312" w:hAnsi="楷体_GB2312" w:eastAsia="仿宋_GB2312" w:cs="楷体_GB2312"/>
          <w:sz w:val="32"/>
          <w:szCs w:val="32"/>
        </w:rPr>
        <w:t>认真抓好市县国家综合档案馆业务建设评价，全面提升档案馆基础设施建设和业务水平。以档案室业务建设评价为抓手</w:t>
      </w:r>
      <w:r>
        <w:rPr>
          <w:rFonts w:hint="eastAsia" w:ascii="仿宋_GB2312" w:hAnsi="Times New Roman" w:eastAsia="仿宋_GB2312"/>
          <w:sz w:val="32"/>
          <w:szCs w:val="32"/>
        </w:rPr>
        <w:t>，</w:t>
      </w:r>
      <w:r>
        <w:rPr>
          <w:rStyle w:val="12"/>
          <w:rFonts w:hint="eastAsia" w:ascii="仿宋_GB2312" w:hAnsi="楷体_GB2312" w:eastAsia="仿宋_GB2312" w:cs="楷体_GB2312"/>
          <w:sz w:val="32"/>
          <w:szCs w:val="32"/>
        </w:rPr>
        <w:t>实施基层档案工作“十百千”示范工程</w:t>
      </w:r>
      <w:r>
        <w:rPr>
          <w:rFonts w:hint="eastAsia" w:ascii="仿宋_GB2312" w:hAnsi="楷体_GB2312" w:eastAsia="仿宋_GB2312" w:cs="楷体_GB2312"/>
          <w:sz w:val="32"/>
          <w:szCs w:val="32"/>
        </w:rPr>
        <w:t>，</w:t>
      </w:r>
      <w:r>
        <w:rPr>
          <w:rFonts w:hint="eastAsia" w:ascii="仿宋_GB2312" w:hAnsi="Times New Roman" w:eastAsia="仿宋_GB2312"/>
          <w:sz w:val="32"/>
          <w:szCs w:val="32"/>
        </w:rPr>
        <w:t>全面推进党政机关、国有企事业单位、民营企业、行政村（社区）等档案工作规范化建设</w:t>
      </w:r>
      <w:r>
        <w:rPr>
          <w:rStyle w:val="12"/>
          <w:rFonts w:hint="eastAsia" w:ascii="仿宋_GB2312" w:hAnsi="楷体_GB2312" w:eastAsia="仿宋_GB2312" w:cs="楷体_GB2312"/>
          <w:sz w:val="32"/>
          <w:szCs w:val="32"/>
        </w:rPr>
        <w:t>，</w:t>
      </w:r>
      <w:r>
        <w:rPr>
          <w:rFonts w:hint="eastAsia" w:ascii="仿宋_GB2312" w:hAnsi="Times New Roman" w:eastAsia="仿宋_GB2312"/>
          <w:sz w:val="32"/>
          <w:szCs w:val="32"/>
        </w:rPr>
        <w:t>引导行业协会、商会、民办非企业单位等社会组织规范建档</w:t>
      </w:r>
      <w:r>
        <w:rPr>
          <w:rStyle w:val="12"/>
          <w:rFonts w:hint="eastAsia" w:ascii="仿宋_GB2312" w:hAnsi="楷体_GB2312" w:eastAsia="仿宋_GB2312" w:cs="楷体_GB2312"/>
          <w:sz w:val="32"/>
          <w:szCs w:val="32"/>
        </w:rPr>
        <w:t>。</w:t>
      </w:r>
      <w:r>
        <w:rPr>
          <w:rFonts w:hint="eastAsia" w:ascii="仿宋_GB2312" w:hAnsi="Times New Roman" w:eastAsia="仿宋_GB2312"/>
          <w:sz w:val="32"/>
          <w:szCs w:val="32"/>
        </w:rPr>
        <w:t>实行村级重要档案报备制度，全面推行“村档乡管”模式，鼓励有条件的行政村（社区）创建档案管理示范点，建成一批有示范作用的乡镇（街道）档案馆。全面建立机关单位、民营企业等各领域档案工作协作组，充分发挥协作组的互学互助作用。</w:t>
      </w:r>
    </w:p>
    <w:p>
      <w:pPr>
        <w:widowControl w:val="0"/>
        <w:spacing w:line="610" w:lineRule="exact"/>
        <w:ind w:firstLine="645"/>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强化基层档案服务功能。全面推进档案工作服务农村基层社会治理，在高质量完成温岭市全域和三门县海润街道省级试点任务的基础上，在全市进行推广，建立镇村两级权力事项基本档案目录，加强对村社组织换届、村社规模调整档案交接的监督管理。配合党委组织部门推进农村（社区）党员档案规范化管理。加强深化农村土地和集体产权制度改革中的档案管理，引导新型农业经营主体规范建档。指导企业完善上市融资、境外经营合规管理档案工作，建立与现代企业制度相适应的档案工作体系，支持建设企业档案馆。建立健全各类开发区（园区）档案工作体系。加强重点建设项目档案工作指导和事中事后监督管理，规范重点建设项目档案自主验收。</w:t>
      </w:r>
    </w:p>
    <w:p>
      <w:pPr>
        <w:widowControl w:val="0"/>
        <w:spacing w:line="610" w:lineRule="exact"/>
        <w:ind w:firstLine="645"/>
        <w:rPr>
          <w:rFonts w:ascii="仿宋_GB2312" w:hAnsi="楷体_GB2312" w:eastAsia="仿宋_GB2312" w:cs="楷体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加强对档案服务机构的培育监管。落实档案经营和管理彻底分离的要求，支持和规范档案服务</w:t>
      </w:r>
      <w:r>
        <w:rPr>
          <w:rFonts w:hint="eastAsia" w:ascii="仿宋_GB2312" w:hAnsi="楷体_GB2312" w:eastAsia="仿宋_GB2312" w:cs="楷体_GB2312"/>
          <w:sz w:val="32"/>
          <w:szCs w:val="32"/>
        </w:rPr>
        <w:t>业健康发展。发挥档案主管部门的监督职责，完善档案服务机构信息备案和服务质量评价机制，加大日常检查力度，确保档案服务机构严格落实安全保密责任，守法诚信经营；发挥国家综合档案馆的业务指导作用，指导档案服务机构按照进馆要求提升工作规范化、标准化水平；发挥档案学会的交流培训作用，支持档案服务机构招引和培养专业人才、参加职称评定；发挥行业自治作用，成立档案服务机构专业组，支持组建行业协会。通过各方合力，营造公平竞争的营商环境，引进和培育与现代化档案工作相适应的档案服务示范机构</w:t>
      </w:r>
      <w:r>
        <w:rPr>
          <w:rFonts w:ascii="仿宋_GB2312" w:hAnsi="楷体_GB2312" w:eastAsia="仿宋_GB2312" w:cs="楷体_GB2312"/>
          <w:sz w:val="32"/>
          <w:szCs w:val="32"/>
        </w:rPr>
        <w:t>20</w:t>
      </w:r>
      <w:r>
        <w:rPr>
          <w:rFonts w:hint="eastAsia" w:ascii="仿宋_GB2312" w:hAnsi="楷体_GB2312" w:eastAsia="仿宋_GB2312" w:cs="楷体_GB2312"/>
          <w:sz w:val="32"/>
          <w:szCs w:val="32"/>
        </w:rPr>
        <w:t>家。</w:t>
      </w:r>
    </w:p>
    <w:p>
      <w:pPr>
        <w:widowControl w:val="0"/>
        <w:spacing w:line="610" w:lineRule="exact"/>
        <w:ind w:firstLine="645"/>
        <w:rPr>
          <w:rStyle w:val="12"/>
          <w:rFonts w:ascii="黑体" w:hAnsi="黑体" w:eastAsia="黑体" w:cs="楷体_GB2312"/>
          <w:sz w:val="32"/>
          <w:szCs w:val="32"/>
        </w:rPr>
      </w:pPr>
      <w:r>
        <w:rPr>
          <w:rStyle w:val="12"/>
          <w:rFonts w:hint="eastAsia" w:ascii="黑体" w:hAnsi="黑体" w:eastAsia="黑体" w:cs="楷体_GB2312"/>
          <w:sz w:val="32"/>
          <w:szCs w:val="32"/>
        </w:rPr>
        <w:t>四、重点工程</w:t>
      </w:r>
    </w:p>
    <w:p>
      <w:pPr>
        <w:widowControl w:val="0"/>
        <w:spacing w:line="610" w:lineRule="exact"/>
        <w:ind w:firstLine="645"/>
        <w:rPr>
          <w:rFonts w:ascii="仿宋_GB2312" w:hAnsi="Times New Roman" w:eastAsia="仿宋_GB2312"/>
          <w:sz w:val="32"/>
          <w:szCs w:val="32"/>
        </w:rPr>
      </w:pPr>
      <w:r>
        <w:rPr>
          <w:rFonts w:hint="eastAsia" w:ascii="仿宋_GB2312" w:hAnsi="Times New Roman" w:eastAsia="仿宋_GB2312"/>
          <w:sz w:val="32"/>
          <w:szCs w:val="32"/>
        </w:rPr>
        <w:t>围绕“十四五”档案工作主要任务，以“九大工程”为主要抓手，加强重点攻坚力度，形成</w:t>
      </w:r>
      <w:r>
        <w:rPr>
          <w:rStyle w:val="12"/>
          <w:rFonts w:hint="eastAsia" w:ascii="仿宋_GB2312" w:hAnsi="楷体_GB2312" w:eastAsia="仿宋_GB2312" w:cs="楷体_GB2312"/>
          <w:sz w:val="32"/>
          <w:szCs w:val="32"/>
        </w:rPr>
        <w:t>全市数字档案管理服务一体化平台、</w:t>
      </w:r>
      <w:r>
        <w:rPr>
          <w:rFonts w:hint="eastAsia" w:ascii="仿宋_GB2312" w:hAnsi="Times New Roman" w:eastAsia="仿宋_GB2312"/>
          <w:sz w:val="32"/>
          <w:szCs w:val="32"/>
        </w:rPr>
        <w:t>古村落数字档案资源中心、民营经济展示馆、国家级数字档案馆全覆盖</w:t>
      </w:r>
      <w:r>
        <w:rPr>
          <w:rStyle w:val="12"/>
          <w:rFonts w:hint="eastAsia" w:ascii="仿宋_GB2312" w:hAnsi="楷体_GB2312" w:eastAsia="仿宋_GB2312" w:cs="楷体_GB2312"/>
          <w:sz w:val="32"/>
          <w:szCs w:val="32"/>
        </w:rPr>
        <w:t>等一批标志性成果，以点上突破带动面上提升，切实增强档案工作整体水平。</w:t>
      </w:r>
    </w:p>
    <w:p>
      <w:pPr>
        <w:widowControl w:val="0"/>
        <w:spacing w:line="610" w:lineRule="exact"/>
        <w:ind w:firstLine="640" w:firstLineChars="200"/>
        <w:rPr>
          <w:rStyle w:val="12"/>
          <w:rFonts w:ascii="仿宋_GB2312" w:hAnsi="楷体_GB2312" w:eastAsia="仿宋_GB2312" w:cs="楷体_GB2312"/>
          <w:sz w:val="32"/>
          <w:szCs w:val="32"/>
        </w:rPr>
      </w:pPr>
      <w:r>
        <w:rPr>
          <w:rStyle w:val="12"/>
          <w:rFonts w:hint="eastAsia" w:ascii="楷体_GB2312" w:hAnsi="楷体_GB2312" w:eastAsia="楷体_GB2312" w:cs="楷体_GB2312"/>
          <w:sz w:val="32"/>
          <w:szCs w:val="32"/>
        </w:rPr>
        <w:t>（一）台州市档案中心建设工程</w:t>
      </w:r>
      <w:r>
        <w:rPr>
          <w:rStyle w:val="12"/>
          <w:rFonts w:hint="eastAsia" w:ascii="仿宋_GB2312" w:hAnsi="楷体_GB2312" w:eastAsia="仿宋_GB2312" w:cs="楷体_GB2312"/>
          <w:sz w:val="32"/>
          <w:szCs w:val="32"/>
        </w:rPr>
        <w:t>。借鉴杭州、威海等地规划和建设经验，以“大档案、大数据、大文化、大服务”为理念，</w:t>
      </w:r>
      <w:r>
        <w:rPr>
          <w:rFonts w:hint="eastAsia" w:ascii="仿宋_GB2312" w:hAnsi="楷体_GB2312" w:eastAsia="仿宋_GB2312" w:cs="楷体_GB2312"/>
          <w:sz w:val="32"/>
          <w:szCs w:val="32"/>
        </w:rPr>
        <w:t>整合城建、规划、不动产、市场监管、司法等重要部门档案资源，建设集档案保管、查阅利用、展览教育、社会课堂、学术交流、文化休闲等多功能于一体的市档案中心。</w:t>
      </w:r>
      <w:r>
        <w:rPr>
          <w:rStyle w:val="12"/>
          <w:rFonts w:hint="eastAsia" w:ascii="仿宋_GB2312" w:hAnsi="楷体_GB2312" w:eastAsia="仿宋_GB2312" w:cs="楷体_GB2312"/>
          <w:sz w:val="32"/>
          <w:szCs w:val="32"/>
        </w:rPr>
        <w:t>制定实施方案，完成项目立项，争取启动建设。鼓励和支持有条件的县（市、区）建设档案中心。</w:t>
      </w:r>
      <w:r>
        <w:rPr>
          <w:rFonts w:hint="eastAsia" w:ascii="仿宋_GB2312" w:hAnsi="楷体_GB2312" w:eastAsia="仿宋_GB2312" w:cs="楷体_GB2312"/>
          <w:sz w:val="32"/>
          <w:szCs w:val="32"/>
        </w:rPr>
        <w:t>临海市、仙居县要加快国家综合档案馆新馆建设。</w:t>
      </w:r>
    </w:p>
    <w:p>
      <w:pPr>
        <w:widowControl w:val="0"/>
        <w:spacing w:line="610" w:lineRule="exact"/>
        <w:ind w:firstLine="645"/>
        <w:rPr>
          <w:rStyle w:val="12"/>
          <w:rFonts w:ascii="仿宋_GB2312" w:hAnsi="楷体_GB2312" w:eastAsia="仿宋_GB2312" w:cs="楷体_GB2312"/>
          <w:sz w:val="32"/>
          <w:szCs w:val="32"/>
        </w:rPr>
      </w:pPr>
      <w:r>
        <w:rPr>
          <w:rStyle w:val="12"/>
          <w:rFonts w:hint="eastAsia" w:ascii="楷体_GB2312" w:hAnsi="楷体_GB2312" w:eastAsia="楷体_GB2312" w:cs="楷体_GB2312"/>
          <w:sz w:val="32"/>
          <w:szCs w:val="32"/>
        </w:rPr>
        <w:t>（二）档案工作数字化转型工程。</w:t>
      </w:r>
      <w:r>
        <w:rPr>
          <w:rStyle w:val="12"/>
          <w:rFonts w:hint="eastAsia" w:ascii="仿宋_GB2312" w:hAnsi="楷体_GB2312" w:eastAsia="仿宋_GB2312" w:cs="楷体_GB2312"/>
          <w:sz w:val="32"/>
          <w:szCs w:val="32"/>
        </w:rPr>
        <w:t>按照省定档案工作数字化转型示范区建设指南和测评办法，市本级建成数字化转型示范区，县（市、区）建成示范区</w:t>
      </w:r>
      <w:r>
        <w:rPr>
          <w:rStyle w:val="12"/>
          <w:rFonts w:ascii="仿宋_GB2312" w:hAnsi="楷体_GB2312" w:eastAsia="仿宋_GB2312" w:cs="楷体_GB2312"/>
          <w:sz w:val="32"/>
          <w:szCs w:val="32"/>
        </w:rPr>
        <w:t>1</w:t>
      </w:r>
      <w:r>
        <w:rPr>
          <w:rStyle w:val="12"/>
          <w:rFonts w:hint="eastAsia" w:ascii="仿宋_GB2312" w:hAnsi="楷体_GB2312" w:eastAsia="仿宋_GB2312" w:cs="楷体_GB2312"/>
          <w:sz w:val="32"/>
          <w:szCs w:val="32"/>
        </w:rPr>
        <w:t>个，先行区</w:t>
      </w:r>
      <w:r>
        <w:rPr>
          <w:rStyle w:val="12"/>
          <w:rFonts w:ascii="仿宋_GB2312" w:hAnsi="楷体_GB2312" w:eastAsia="仿宋_GB2312" w:cs="楷体_GB2312"/>
          <w:sz w:val="32"/>
          <w:szCs w:val="32"/>
        </w:rPr>
        <w:t>3</w:t>
      </w:r>
      <w:r>
        <w:rPr>
          <w:rStyle w:val="12"/>
          <w:rFonts w:hint="eastAsia" w:ascii="仿宋_GB2312" w:hAnsi="楷体_GB2312" w:eastAsia="仿宋_GB2312" w:cs="楷体_GB2312"/>
          <w:sz w:val="32"/>
          <w:szCs w:val="32"/>
        </w:rPr>
        <w:t>个。台州市档案馆开展智慧档案馆建设，各县（市、区）国家综合档案馆全部建成国家级数字档案馆，台州市、椒江区、黄岩区、温岭市、玉环市档案馆创建全国示范数字档案馆，市县两级机关和国有企事业单位</w:t>
      </w:r>
      <w:r>
        <w:rPr>
          <w:rStyle w:val="12"/>
          <w:rFonts w:ascii="仿宋_GB2312" w:hAnsi="楷体_GB2312" w:eastAsia="仿宋_GB2312" w:cs="楷体_GB2312"/>
          <w:sz w:val="32"/>
          <w:szCs w:val="32"/>
        </w:rPr>
        <w:t>90%</w:t>
      </w:r>
      <w:r>
        <w:rPr>
          <w:rStyle w:val="12"/>
          <w:rFonts w:hint="eastAsia" w:ascii="仿宋_GB2312" w:hAnsi="楷体_GB2312" w:eastAsia="仿宋_GB2312" w:cs="楷体_GB2312"/>
          <w:sz w:val="32"/>
          <w:szCs w:val="32"/>
        </w:rPr>
        <w:t>建成省级规范化数字档案室。全市行政权力事项电子文件归档率达到</w:t>
      </w:r>
      <w:r>
        <w:rPr>
          <w:rStyle w:val="12"/>
          <w:rFonts w:ascii="仿宋_GB2312" w:hAnsi="楷体_GB2312" w:eastAsia="仿宋_GB2312" w:cs="楷体_GB2312"/>
          <w:sz w:val="32"/>
          <w:szCs w:val="32"/>
        </w:rPr>
        <w:t>90%</w:t>
      </w:r>
      <w:r>
        <w:rPr>
          <w:rStyle w:val="12"/>
          <w:rFonts w:hint="eastAsia" w:ascii="仿宋_GB2312" w:hAnsi="楷体_GB2312" w:eastAsia="仿宋_GB2312" w:cs="楷体_GB2312"/>
          <w:sz w:val="32"/>
          <w:szCs w:val="32"/>
        </w:rPr>
        <w:t>以上。各地新增电子档案占新增档案数量的</w:t>
      </w:r>
      <w:r>
        <w:rPr>
          <w:rStyle w:val="12"/>
          <w:rFonts w:ascii="仿宋_GB2312" w:hAnsi="楷体_GB2312" w:eastAsia="仿宋_GB2312" w:cs="楷体_GB2312"/>
          <w:sz w:val="32"/>
          <w:szCs w:val="32"/>
        </w:rPr>
        <w:t>60%</w:t>
      </w:r>
      <w:r>
        <w:rPr>
          <w:rStyle w:val="12"/>
          <w:rFonts w:hint="eastAsia" w:ascii="仿宋_GB2312" w:hAnsi="楷体_GB2312" w:eastAsia="仿宋_GB2312" w:cs="楷体_GB2312"/>
          <w:sz w:val="32"/>
          <w:szCs w:val="32"/>
        </w:rPr>
        <w:t>以上，馆（室）藏传统载体档案实现电子目录全覆盖，保管期限</w:t>
      </w:r>
      <w:r>
        <w:rPr>
          <w:rStyle w:val="12"/>
          <w:rFonts w:ascii="仿宋_GB2312" w:hAnsi="楷体_GB2312" w:eastAsia="仿宋_GB2312" w:cs="楷体_GB2312"/>
          <w:sz w:val="32"/>
          <w:szCs w:val="32"/>
        </w:rPr>
        <w:t>30</w:t>
      </w:r>
      <w:r>
        <w:rPr>
          <w:rStyle w:val="12"/>
          <w:rFonts w:hint="eastAsia" w:ascii="仿宋_GB2312" w:hAnsi="楷体_GB2312" w:eastAsia="仿宋_GB2312" w:cs="楷体_GB2312"/>
          <w:sz w:val="32"/>
          <w:szCs w:val="32"/>
        </w:rPr>
        <w:t>年（长期）以上档案</w:t>
      </w:r>
      <w:r>
        <w:rPr>
          <w:rStyle w:val="12"/>
          <w:rFonts w:ascii="仿宋_GB2312" w:hAnsi="楷体_GB2312" w:eastAsia="仿宋_GB2312" w:cs="楷体_GB2312"/>
          <w:sz w:val="32"/>
          <w:szCs w:val="32"/>
        </w:rPr>
        <w:t>100%</w:t>
      </w:r>
      <w:r>
        <w:rPr>
          <w:rStyle w:val="12"/>
          <w:rFonts w:hint="eastAsia" w:ascii="仿宋_GB2312" w:hAnsi="楷体_GB2312" w:eastAsia="仿宋_GB2312" w:cs="楷体_GB2312"/>
          <w:sz w:val="32"/>
          <w:szCs w:val="32"/>
        </w:rPr>
        <w:t>数字化、</w:t>
      </w:r>
      <w:r>
        <w:rPr>
          <w:rStyle w:val="12"/>
          <w:rFonts w:ascii="仿宋_GB2312" w:hAnsi="楷体_GB2312" w:eastAsia="仿宋_GB2312" w:cs="楷体_GB2312"/>
          <w:sz w:val="32"/>
          <w:szCs w:val="32"/>
        </w:rPr>
        <w:t>50%</w:t>
      </w:r>
      <w:r>
        <w:rPr>
          <w:rStyle w:val="12"/>
          <w:rFonts w:hint="eastAsia" w:ascii="仿宋_GB2312" w:hAnsi="楷体_GB2312" w:eastAsia="仿宋_GB2312" w:cs="楷体_GB2312"/>
          <w:sz w:val="32"/>
          <w:szCs w:val="32"/>
        </w:rPr>
        <w:t>数据化。</w:t>
      </w:r>
    </w:p>
    <w:p>
      <w:pPr>
        <w:widowControl w:val="0"/>
        <w:spacing w:line="610" w:lineRule="exact"/>
        <w:ind w:firstLine="645"/>
        <w:rPr>
          <w:rStyle w:val="12"/>
          <w:rFonts w:ascii="仿宋_GB2312" w:hAnsi="楷体_GB2312" w:eastAsia="仿宋_GB2312" w:cs="楷体_GB2312"/>
          <w:sz w:val="32"/>
          <w:szCs w:val="32"/>
        </w:rPr>
      </w:pPr>
      <w:r>
        <w:rPr>
          <w:rStyle w:val="12"/>
          <w:rFonts w:hint="eastAsia" w:ascii="楷体_GB2312" w:hAnsi="楷体_GB2312" w:eastAsia="楷体_GB2312" w:cs="楷体_GB2312"/>
          <w:sz w:val="32"/>
          <w:szCs w:val="32"/>
        </w:rPr>
        <w:t>（三）民营经济档案示范工程</w:t>
      </w:r>
      <w:r>
        <w:rPr>
          <w:rStyle w:val="12"/>
          <w:rFonts w:hint="eastAsia" w:ascii="仿宋_GB2312" w:hAnsi="楷体_GB2312" w:eastAsia="仿宋_GB2312" w:cs="楷体_GB2312"/>
          <w:sz w:val="32"/>
          <w:szCs w:val="32"/>
        </w:rPr>
        <w:t>。深入贯彻落实</w:t>
      </w:r>
      <w:r>
        <w:rPr>
          <w:rFonts w:hint="eastAsia" w:ascii="仿宋_GB2312" w:eastAsia="仿宋_GB2312"/>
          <w:sz w:val="32"/>
          <w:szCs w:val="32"/>
        </w:rPr>
        <w:t>《关于进一步加强和改进民营经济档案工作的十二条意见》，认真执行联系和服务民营企业机制，常态化联系服务企业</w:t>
      </w:r>
      <w:r>
        <w:rPr>
          <w:rFonts w:ascii="仿宋_GB2312" w:eastAsia="仿宋_GB2312"/>
          <w:sz w:val="32"/>
          <w:szCs w:val="32"/>
        </w:rPr>
        <w:t>50</w:t>
      </w:r>
      <w:r>
        <w:rPr>
          <w:rFonts w:hint="eastAsia" w:ascii="仿宋_GB2312" w:eastAsia="仿宋_GB2312"/>
          <w:sz w:val="32"/>
          <w:szCs w:val="32"/>
        </w:rPr>
        <w:t>家以上，指导建成民营企业档案馆</w:t>
      </w:r>
      <w:r>
        <w:rPr>
          <w:rFonts w:ascii="仿宋_GB2312" w:eastAsia="仿宋_GB2312"/>
          <w:sz w:val="32"/>
          <w:szCs w:val="32"/>
        </w:rPr>
        <w:t>10</w:t>
      </w:r>
      <w:r>
        <w:rPr>
          <w:rFonts w:hint="eastAsia" w:ascii="仿宋_GB2312" w:eastAsia="仿宋_GB2312"/>
          <w:sz w:val="32"/>
          <w:szCs w:val="32"/>
        </w:rPr>
        <w:t>家、民营企业示范点</w:t>
      </w:r>
      <w:r>
        <w:rPr>
          <w:rFonts w:ascii="仿宋_GB2312" w:eastAsia="仿宋_GB2312"/>
          <w:sz w:val="32"/>
          <w:szCs w:val="32"/>
        </w:rPr>
        <w:t>20</w:t>
      </w:r>
      <w:r>
        <w:rPr>
          <w:rFonts w:hint="eastAsia" w:ascii="仿宋_GB2312" w:eastAsia="仿宋_GB2312"/>
          <w:sz w:val="32"/>
          <w:szCs w:val="32"/>
        </w:rPr>
        <w:t>家。</w:t>
      </w:r>
      <w:r>
        <w:rPr>
          <w:rFonts w:hint="eastAsia" w:ascii="仿宋_GB2312" w:hAnsi="楷体_GB2312" w:eastAsia="仿宋_GB2312" w:cs="楷体_GB2312"/>
          <w:sz w:val="32"/>
          <w:szCs w:val="32"/>
        </w:rPr>
        <w:t>建立健全市县民营企业档案工作协作组，吸收</w:t>
      </w:r>
      <w:r>
        <w:rPr>
          <w:rFonts w:ascii="仿宋_GB2312" w:hAnsi="楷体_GB2312" w:eastAsia="仿宋_GB2312" w:cs="楷体_GB2312"/>
          <w:sz w:val="32"/>
          <w:szCs w:val="32"/>
        </w:rPr>
        <w:t>80</w:t>
      </w:r>
      <w:r>
        <w:rPr>
          <w:rFonts w:hint="eastAsia" w:ascii="仿宋_GB2312" w:hAnsi="楷体_GB2312" w:eastAsia="仿宋_GB2312" w:cs="楷体_GB2312"/>
          <w:sz w:val="32"/>
          <w:szCs w:val="32"/>
        </w:rPr>
        <w:t>家以上协作组成员。</w:t>
      </w:r>
      <w:r>
        <w:rPr>
          <w:rFonts w:hint="eastAsia" w:ascii="仿宋_GB2312" w:hAnsi="Times New Roman" w:eastAsia="仿宋_GB2312"/>
          <w:sz w:val="32"/>
          <w:szCs w:val="32"/>
        </w:rPr>
        <w:t>开展民营企业查档直通车和重要档案备份工作，</w:t>
      </w:r>
      <w:r>
        <w:rPr>
          <w:rFonts w:hint="eastAsia" w:ascii="仿宋_GB2312" w:eastAsia="仿宋_GB2312"/>
          <w:sz w:val="32"/>
          <w:szCs w:val="32"/>
        </w:rPr>
        <w:t>建立进馆保存样本单位</w:t>
      </w:r>
      <w:r>
        <w:rPr>
          <w:rFonts w:ascii="仿宋_GB2312" w:eastAsia="仿宋_GB2312"/>
          <w:sz w:val="32"/>
          <w:szCs w:val="32"/>
        </w:rPr>
        <w:t>20</w:t>
      </w:r>
      <w:r>
        <w:rPr>
          <w:rFonts w:hint="eastAsia" w:ascii="仿宋_GB2312" w:eastAsia="仿宋_GB2312"/>
          <w:sz w:val="32"/>
          <w:szCs w:val="32"/>
        </w:rPr>
        <w:t>家，</w:t>
      </w:r>
      <w:r>
        <w:rPr>
          <w:rFonts w:hint="eastAsia" w:ascii="仿宋_GB2312" w:hAnsi="楷体_GB2312" w:eastAsia="仿宋_GB2312" w:cs="楷体_GB2312"/>
          <w:sz w:val="32"/>
          <w:szCs w:val="32"/>
        </w:rPr>
        <w:t>建成民营企业档案资源专题库和台州民营经济展示馆</w:t>
      </w:r>
      <w:r>
        <w:rPr>
          <w:rStyle w:val="12"/>
          <w:rFonts w:hint="eastAsia" w:ascii="仿宋_GB2312" w:hAnsi="楷体_GB2312" w:eastAsia="仿宋_GB2312" w:cs="楷体_GB2312"/>
          <w:sz w:val="32"/>
          <w:szCs w:val="32"/>
        </w:rPr>
        <w:t>。</w:t>
      </w:r>
    </w:p>
    <w:p>
      <w:pPr>
        <w:widowControl w:val="0"/>
        <w:spacing w:line="610" w:lineRule="exact"/>
        <w:ind w:firstLine="640" w:firstLineChars="200"/>
        <w:rPr>
          <w:rStyle w:val="12"/>
          <w:rFonts w:ascii="仿宋_GB2312" w:hAnsi="楷体_GB2312" w:eastAsia="仿宋_GB2312" w:cs="楷体_GB2312"/>
          <w:sz w:val="32"/>
          <w:szCs w:val="32"/>
        </w:rPr>
      </w:pPr>
      <w:r>
        <w:rPr>
          <w:rStyle w:val="12"/>
          <w:rFonts w:hint="eastAsia" w:ascii="楷体_GB2312" w:hAnsi="楷体_GB2312" w:eastAsia="楷体_GB2312" w:cs="楷体_GB2312"/>
          <w:sz w:val="32"/>
          <w:szCs w:val="32"/>
        </w:rPr>
        <w:t>（四）古村落数字记忆深化工程</w:t>
      </w:r>
      <w:r>
        <w:rPr>
          <w:rStyle w:val="12"/>
          <w:rFonts w:hint="eastAsia" w:ascii="仿宋_GB2312" w:hAnsi="楷体_GB2312" w:eastAsia="仿宋_GB2312" w:cs="楷体_GB2312"/>
          <w:sz w:val="32"/>
          <w:szCs w:val="32"/>
        </w:rPr>
        <w:t>。深化与中国人民大学合作，建设“古村落数字资源采集与管理系统”、古村落数字档案资源中心、古村落数字记忆体验馆。</w:t>
      </w:r>
    </w:p>
    <w:p>
      <w:pPr>
        <w:widowControl w:val="0"/>
        <w:spacing w:line="610" w:lineRule="exact"/>
        <w:ind w:firstLine="640" w:firstLineChars="200"/>
        <w:rPr>
          <w:rStyle w:val="12"/>
          <w:rFonts w:ascii="仿宋_GB2312" w:hAnsi="楷体_GB2312" w:eastAsia="仿宋_GB2312" w:cs="楷体_GB2312"/>
          <w:sz w:val="32"/>
          <w:szCs w:val="32"/>
        </w:rPr>
      </w:pPr>
      <w:r>
        <w:rPr>
          <w:rStyle w:val="12"/>
          <w:rFonts w:hint="eastAsia" w:ascii="楷体_GB2312" w:hAnsi="楷体_GB2312" w:eastAsia="楷体_GB2312" w:cs="楷体_GB2312"/>
          <w:sz w:val="32"/>
          <w:szCs w:val="32"/>
        </w:rPr>
        <w:t>（五）档案宣传文化品牌建设工程</w:t>
      </w:r>
      <w:r>
        <w:rPr>
          <w:rStyle w:val="12"/>
          <w:rFonts w:hint="eastAsia" w:ascii="仿宋_GB2312" w:hAnsi="楷体_GB2312" w:eastAsia="仿宋_GB2312" w:cs="楷体_GB2312"/>
          <w:sz w:val="32"/>
          <w:szCs w:val="32"/>
        </w:rPr>
        <w:t>。以“四大丛书”系列档案文化项目为抓手，重点编纂完成《大陈岛垦荒史料汇编》、闻邦椿院士传略、“古村之美”系列丛书等一批文化精品。深挖民国档案、家庭档案等工作，争创特色亮点。打响“记忆台州”等网宣品牌，推出档案</w:t>
      </w:r>
      <w:r>
        <w:rPr>
          <w:rStyle w:val="12"/>
          <w:rFonts w:ascii="仿宋_GB2312" w:hAnsi="楷体_GB2312" w:eastAsia="仿宋_GB2312" w:cs="楷体_GB2312"/>
          <w:sz w:val="32"/>
          <w:szCs w:val="32"/>
        </w:rPr>
        <w:t>IP</w:t>
      </w:r>
      <w:r>
        <w:rPr>
          <w:rStyle w:val="12"/>
          <w:rFonts w:hint="eastAsia" w:ascii="仿宋_GB2312" w:hAnsi="楷体_GB2312" w:eastAsia="仿宋_GB2312" w:cs="楷体_GB2312"/>
          <w:sz w:val="32"/>
          <w:szCs w:val="32"/>
        </w:rPr>
        <w:t>形象和系列文创产品，持续扩大档案工作影响力。加强文化阵地建设，全市</w:t>
      </w:r>
      <w:r>
        <w:rPr>
          <w:rStyle w:val="12"/>
          <w:rFonts w:ascii="仿宋_GB2312" w:hAnsi="楷体_GB2312" w:eastAsia="仿宋_GB2312" w:cs="楷体_GB2312"/>
          <w:sz w:val="32"/>
          <w:szCs w:val="32"/>
        </w:rPr>
        <w:t>3</w:t>
      </w:r>
      <w:r>
        <w:rPr>
          <w:rStyle w:val="12"/>
          <w:rFonts w:hint="eastAsia" w:ascii="仿宋_GB2312" w:hAnsi="楷体_GB2312" w:eastAsia="仿宋_GB2312" w:cs="楷体_GB2312"/>
          <w:sz w:val="32"/>
          <w:szCs w:val="32"/>
        </w:rPr>
        <w:t>家国家综合档案馆建成爱国主义教育基地，建设</w:t>
      </w:r>
      <w:r>
        <w:rPr>
          <w:rStyle w:val="12"/>
          <w:rFonts w:ascii="仿宋_GB2312" w:hAnsi="楷体_GB2312" w:eastAsia="仿宋_GB2312" w:cs="楷体_GB2312"/>
          <w:sz w:val="32"/>
          <w:szCs w:val="32"/>
        </w:rPr>
        <w:t>9</w:t>
      </w:r>
      <w:r>
        <w:rPr>
          <w:rStyle w:val="12"/>
          <w:rFonts w:hint="eastAsia" w:ascii="仿宋_GB2312" w:hAnsi="楷体_GB2312" w:eastAsia="仿宋_GB2312" w:cs="楷体_GB2312"/>
          <w:sz w:val="32"/>
          <w:szCs w:val="32"/>
        </w:rPr>
        <w:t>个基层档案文化阵地。</w:t>
      </w:r>
    </w:p>
    <w:p>
      <w:pPr>
        <w:widowControl w:val="0"/>
        <w:spacing w:line="610" w:lineRule="exact"/>
        <w:ind w:firstLine="640" w:firstLineChars="200"/>
        <w:rPr>
          <w:rStyle w:val="12"/>
          <w:rFonts w:ascii="仿宋_GB2312" w:hAnsi="楷体_GB2312" w:eastAsia="仿宋_GB2312" w:cs="楷体_GB2312"/>
          <w:sz w:val="32"/>
          <w:szCs w:val="32"/>
        </w:rPr>
      </w:pPr>
      <w:r>
        <w:rPr>
          <w:rStyle w:val="12"/>
          <w:rFonts w:hint="eastAsia" w:ascii="楷体_GB2312" w:hAnsi="楷体_GB2312" w:eastAsia="楷体_GB2312" w:cs="楷体_GB2312"/>
          <w:sz w:val="32"/>
          <w:szCs w:val="32"/>
        </w:rPr>
        <w:t>（六）档案资源建设拓展工程</w:t>
      </w:r>
      <w:r>
        <w:rPr>
          <w:rStyle w:val="12"/>
          <w:rFonts w:hint="eastAsia" w:ascii="仿宋_GB2312" w:hAnsi="楷体_GB2312" w:eastAsia="仿宋_GB2312" w:cs="楷体_GB2312"/>
          <w:sz w:val="32"/>
          <w:szCs w:val="32"/>
        </w:rPr>
        <w:t>。开展档案资源大接收、大征集，聚焦</w:t>
      </w:r>
      <w:r>
        <w:rPr>
          <w:rFonts w:hint="eastAsia" w:ascii="仿宋_GB2312" w:hAnsi="楷体_GB2312" w:eastAsia="仿宋_GB2312" w:cs="楷体_GB2312"/>
          <w:sz w:val="32"/>
          <w:szCs w:val="32"/>
        </w:rPr>
        <w:t>“三个地”和“重要窗口”档案资源建设，建成馆藏国家重点档案文件级目录数据库，建立</w:t>
      </w:r>
      <w:r>
        <w:rPr>
          <w:rStyle w:val="12"/>
          <w:rFonts w:hint="eastAsia" w:ascii="仿宋_GB2312" w:hAnsi="楷体_GB2312" w:eastAsia="仿宋_GB2312" w:cs="楷体_GB2312"/>
          <w:sz w:val="32"/>
          <w:szCs w:val="32"/>
        </w:rPr>
        <w:t>“八八战略”、脱贫攻坚、小微金改等专题数据库；聚焦“三重一特”档案资源建设，建立建党</w:t>
      </w:r>
      <w:r>
        <w:rPr>
          <w:rStyle w:val="12"/>
          <w:rFonts w:ascii="仿宋_GB2312" w:hAnsi="楷体_GB2312" w:eastAsia="仿宋_GB2312" w:cs="楷体_GB2312"/>
          <w:sz w:val="32"/>
          <w:szCs w:val="32"/>
        </w:rPr>
        <w:t>100</w:t>
      </w:r>
      <w:r>
        <w:rPr>
          <w:rStyle w:val="12"/>
          <w:rFonts w:hint="eastAsia" w:ascii="仿宋_GB2312" w:hAnsi="楷体_GB2312" w:eastAsia="仿宋_GB2312" w:cs="楷体_GB2312"/>
          <w:sz w:val="32"/>
          <w:szCs w:val="32"/>
        </w:rPr>
        <w:t>周年、台州</w:t>
      </w:r>
      <w:r>
        <w:rPr>
          <w:rFonts w:hint="eastAsia" w:ascii="仿宋_GB2312" w:hAnsi="楷体_GB2312" w:eastAsia="仿宋_GB2312" w:cs="楷体_GB2312"/>
          <w:sz w:val="32"/>
          <w:szCs w:val="32"/>
        </w:rPr>
        <w:t>撤地设市</w:t>
      </w:r>
      <w:r>
        <w:rPr>
          <w:rFonts w:ascii="仿宋_GB2312" w:hAnsi="楷体_GB2312" w:eastAsia="仿宋_GB2312" w:cs="楷体_GB2312"/>
          <w:sz w:val="32"/>
          <w:szCs w:val="32"/>
        </w:rPr>
        <w:t>30</w:t>
      </w:r>
      <w:r>
        <w:rPr>
          <w:rFonts w:hint="eastAsia" w:ascii="仿宋_GB2312" w:hAnsi="楷体_GB2312" w:eastAsia="仿宋_GB2312" w:cs="楷体_GB2312"/>
          <w:sz w:val="32"/>
          <w:szCs w:val="32"/>
        </w:rPr>
        <w:t>周年等专题数据库；聚焦突发事件档案资源建设，建立</w:t>
      </w:r>
      <w:r>
        <w:rPr>
          <w:rStyle w:val="12"/>
          <w:rFonts w:hint="eastAsia" w:ascii="仿宋_GB2312" w:hAnsi="楷体_GB2312" w:eastAsia="仿宋_GB2312" w:cs="楷体_GB2312"/>
          <w:sz w:val="32"/>
          <w:szCs w:val="32"/>
        </w:rPr>
        <w:t>疫情防控等专题数据库。</w:t>
      </w:r>
    </w:p>
    <w:p>
      <w:pPr>
        <w:widowControl w:val="0"/>
        <w:spacing w:line="610" w:lineRule="exact"/>
        <w:ind w:firstLine="640" w:firstLineChars="200"/>
        <w:rPr>
          <w:rFonts w:ascii="仿宋_GB2312" w:hAnsi="楷体_GB2312" w:eastAsia="仿宋_GB2312" w:cs="楷体_GB2312"/>
          <w:sz w:val="32"/>
          <w:szCs w:val="32"/>
        </w:rPr>
      </w:pPr>
      <w:r>
        <w:rPr>
          <w:rStyle w:val="12"/>
          <w:rFonts w:hint="eastAsia" w:ascii="楷体_GB2312" w:hAnsi="楷体_GB2312" w:eastAsia="楷体_GB2312" w:cs="楷体_GB2312"/>
          <w:sz w:val="32"/>
          <w:szCs w:val="32"/>
        </w:rPr>
        <w:t>（七）基层档案工作“十百千”示范工程</w:t>
      </w:r>
      <w:r>
        <w:rPr>
          <w:rStyle w:val="12"/>
          <w:rFonts w:hint="eastAsia" w:ascii="仿宋_GB2312" w:hAnsi="楷体_GB2312" w:eastAsia="仿宋_GB2312" w:cs="楷体_GB2312"/>
          <w:sz w:val="32"/>
          <w:szCs w:val="32"/>
        </w:rPr>
        <w:t>。建设乡镇档案馆</w:t>
      </w:r>
      <w:r>
        <w:rPr>
          <w:rStyle w:val="12"/>
          <w:rFonts w:ascii="仿宋_GB2312" w:hAnsi="楷体_GB2312" w:eastAsia="仿宋_GB2312" w:cs="楷体_GB2312"/>
          <w:sz w:val="32"/>
          <w:szCs w:val="32"/>
        </w:rPr>
        <w:t>20</w:t>
      </w:r>
      <w:r>
        <w:rPr>
          <w:rStyle w:val="12"/>
          <w:rFonts w:hint="eastAsia" w:ascii="仿宋_GB2312" w:hAnsi="楷体_GB2312" w:eastAsia="仿宋_GB2312" w:cs="楷体_GB2312"/>
          <w:sz w:val="32"/>
          <w:szCs w:val="32"/>
        </w:rPr>
        <w:t>家，建设</w:t>
      </w:r>
      <w:r>
        <w:rPr>
          <w:rFonts w:hint="eastAsia" w:ascii="仿宋_GB2312" w:hAnsi="Times New Roman" w:eastAsia="仿宋_GB2312"/>
          <w:sz w:val="32"/>
          <w:szCs w:val="32"/>
        </w:rPr>
        <w:t>党政机关、国有企事业单位、</w:t>
      </w:r>
      <w:r>
        <w:rPr>
          <w:rStyle w:val="12"/>
          <w:rFonts w:hint="eastAsia" w:ascii="仿宋_GB2312" w:hAnsi="楷体_GB2312" w:eastAsia="仿宋_GB2312" w:cs="楷体_GB2312"/>
          <w:sz w:val="32"/>
          <w:szCs w:val="32"/>
        </w:rPr>
        <w:t>民营企业、行政村（社区）、社会组织、档案服务机构等档案工作示范点</w:t>
      </w:r>
      <w:r>
        <w:rPr>
          <w:rStyle w:val="12"/>
          <w:rFonts w:ascii="仿宋_GB2312" w:hAnsi="楷体_GB2312" w:eastAsia="仿宋_GB2312" w:cs="楷体_GB2312"/>
          <w:sz w:val="32"/>
          <w:szCs w:val="32"/>
        </w:rPr>
        <w:t>200</w:t>
      </w:r>
      <w:r>
        <w:rPr>
          <w:rStyle w:val="12"/>
          <w:rFonts w:hint="eastAsia" w:ascii="仿宋_GB2312" w:hAnsi="楷体_GB2312" w:eastAsia="仿宋_GB2312" w:cs="楷体_GB2312"/>
          <w:sz w:val="32"/>
          <w:szCs w:val="32"/>
        </w:rPr>
        <w:t>家以上，建设档案工作规范化单位</w:t>
      </w:r>
      <w:r>
        <w:rPr>
          <w:rStyle w:val="12"/>
          <w:rFonts w:ascii="仿宋_GB2312" w:hAnsi="楷体_GB2312" w:eastAsia="仿宋_GB2312" w:cs="楷体_GB2312"/>
          <w:sz w:val="32"/>
          <w:szCs w:val="32"/>
        </w:rPr>
        <w:t>3000</w:t>
      </w:r>
      <w:r>
        <w:rPr>
          <w:rStyle w:val="12"/>
          <w:rFonts w:hint="eastAsia" w:ascii="仿宋_GB2312" w:hAnsi="楷体_GB2312" w:eastAsia="仿宋_GB2312" w:cs="楷体_GB2312"/>
          <w:sz w:val="32"/>
          <w:szCs w:val="32"/>
        </w:rPr>
        <w:t>家以上。</w:t>
      </w:r>
      <w:r>
        <w:rPr>
          <w:rFonts w:hint="eastAsia" w:ascii="仿宋_GB2312" w:hAnsi="楷体_GB2312" w:eastAsia="仿宋_GB2312" w:cs="楷体_GB2312"/>
          <w:sz w:val="32"/>
          <w:szCs w:val="32"/>
        </w:rPr>
        <w:t>到“十四五”末，市直单位档案工作规范化率达</w:t>
      </w:r>
      <w:r>
        <w:rPr>
          <w:rFonts w:ascii="仿宋_GB2312" w:hAnsi="楷体_GB2312" w:eastAsia="仿宋_GB2312" w:cs="楷体_GB2312"/>
          <w:sz w:val="32"/>
          <w:szCs w:val="32"/>
        </w:rPr>
        <w:t>100%</w:t>
      </w:r>
      <w:r>
        <w:rPr>
          <w:rFonts w:hint="eastAsia" w:ascii="仿宋_GB2312" w:hAnsi="楷体_GB2312" w:eastAsia="仿宋_GB2312" w:cs="楷体_GB2312"/>
          <w:sz w:val="32"/>
          <w:szCs w:val="32"/>
        </w:rPr>
        <w:t>，县直单位、乡镇（街道）档案工作规范化率达</w:t>
      </w:r>
      <w:r>
        <w:rPr>
          <w:rFonts w:ascii="仿宋_GB2312" w:hAnsi="楷体_GB2312" w:eastAsia="仿宋_GB2312" w:cs="楷体_GB2312"/>
          <w:sz w:val="32"/>
          <w:szCs w:val="32"/>
        </w:rPr>
        <w:t>90%</w:t>
      </w:r>
      <w:r>
        <w:rPr>
          <w:rFonts w:hint="eastAsia" w:ascii="仿宋_GB2312" w:hAnsi="楷体_GB2312" w:eastAsia="仿宋_GB2312" w:cs="楷体_GB2312"/>
          <w:sz w:val="32"/>
          <w:szCs w:val="32"/>
        </w:rPr>
        <w:t>以上，行政村（社区）档案工作规范化率达</w:t>
      </w:r>
      <w:r>
        <w:rPr>
          <w:rFonts w:ascii="仿宋_GB2312" w:hAnsi="楷体_GB2312" w:eastAsia="仿宋_GB2312" w:cs="楷体_GB2312"/>
          <w:sz w:val="32"/>
          <w:szCs w:val="32"/>
        </w:rPr>
        <w:t>80%</w:t>
      </w:r>
      <w:r>
        <w:rPr>
          <w:rFonts w:hint="eastAsia" w:ascii="仿宋_GB2312" w:hAnsi="楷体_GB2312" w:eastAsia="仿宋_GB2312" w:cs="楷体_GB2312"/>
          <w:sz w:val="32"/>
          <w:szCs w:val="32"/>
        </w:rPr>
        <w:t>以上。</w:t>
      </w:r>
    </w:p>
    <w:p>
      <w:pPr>
        <w:widowControl w:val="0"/>
        <w:spacing w:line="610" w:lineRule="exact"/>
        <w:ind w:firstLine="640" w:firstLineChars="200"/>
        <w:rPr>
          <w:rFonts w:ascii="仿宋_GB2312" w:hAnsi="Times New Roman" w:eastAsia="仿宋_GB2312"/>
          <w:sz w:val="32"/>
          <w:szCs w:val="32"/>
        </w:rPr>
      </w:pPr>
      <w:r>
        <w:rPr>
          <w:rFonts w:hint="eastAsia" w:ascii="楷体_GB2312" w:hAnsi="楷体_GB2312" w:eastAsia="楷体_GB2312" w:cs="楷体_GB2312"/>
          <w:sz w:val="32"/>
          <w:szCs w:val="32"/>
        </w:rPr>
        <w:t>（八）档案人才千人计划建设工程</w:t>
      </w:r>
      <w:r>
        <w:rPr>
          <w:rFonts w:hint="eastAsia" w:ascii="仿宋_GB2312" w:hAnsi="楷体_GB2312" w:eastAsia="仿宋_GB2312" w:cs="楷体_GB2312"/>
          <w:sz w:val="32"/>
          <w:szCs w:val="32"/>
        </w:rPr>
        <w:t>。</w:t>
      </w:r>
      <w:r>
        <w:rPr>
          <w:rFonts w:hint="eastAsia" w:ascii="仿宋_GB2312" w:hAnsi="Times New Roman" w:eastAsia="仿宋_GB2312"/>
          <w:sz w:val="32"/>
          <w:szCs w:val="32"/>
        </w:rPr>
        <w:t>配合全省人才强档工程</w:t>
      </w:r>
      <w:r>
        <w:rPr>
          <w:rFonts w:hint="eastAsia" w:ascii="仿宋_GB2312" w:eastAsia="仿宋_GB2312"/>
          <w:sz w:val="32"/>
          <w:szCs w:val="32"/>
        </w:rPr>
        <w:t>，</w:t>
      </w:r>
      <w:r>
        <w:rPr>
          <w:rFonts w:hint="eastAsia" w:ascii="仿宋_GB2312" w:hAnsi="Times New Roman" w:eastAsia="仿宋_GB2312"/>
          <w:sz w:val="32"/>
          <w:szCs w:val="32"/>
        </w:rPr>
        <w:t>建立一支</w:t>
      </w:r>
      <w:r>
        <w:rPr>
          <w:rFonts w:ascii="仿宋_GB2312" w:hAnsi="Times New Roman" w:eastAsia="仿宋_GB2312"/>
          <w:sz w:val="32"/>
          <w:szCs w:val="32"/>
        </w:rPr>
        <w:t>15</w:t>
      </w:r>
      <w:r>
        <w:rPr>
          <w:rFonts w:hint="eastAsia" w:ascii="仿宋_GB2312" w:hAnsi="Times New Roman" w:eastAsia="仿宋_GB2312"/>
          <w:sz w:val="32"/>
          <w:szCs w:val="32"/>
        </w:rPr>
        <w:t>名左右省级档案专家、</w:t>
      </w:r>
      <w:r>
        <w:rPr>
          <w:rFonts w:ascii="仿宋_GB2312" w:hAnsi="Times New Roman" w:eastAsia="仿宋_GB2312"/>
          <w:sz w:val="32"/>
          <w:szCs w:val="32"/>
        </w:rPr>
        <w:t>80</w:t>
      </w:r>
      <w:r>
        <w:rPr>
          <w:rFonts w:hint="eastAsia" w:ascii="仿宋_GB2312" w:hAnsi="Times New Roman" w:eastAsia="仿宋_GB2312"/>
          <w:sz w:val="32"/>
          <w:szCs w:val="32"/>
        </w:rPr>
        <w:t>名左右市级档案专家队伍，一支</w:t>
      </w:r>
      <w:r>
        <w:rPr>
          <w:rFonts w:ascii="仿宋_GB2312" w:hAnsi="Times New Roman" w:eastAsia="仿宋_GB2312"/>
          <w:sz w:val="32"/>
          <w:szCs w:val="32"/>
        </w:rPr>
        <w:t>5</w:t>
      </w:r>
      <w:r>
        <w:rPr>
          <w:rFonts w:hint="eastAsia" w:ascii="仿宋_GB2312" w:hAnsi="Times New Roman" w:eastAsia="仿宋_GB2312"/>
          <w:sz w:val="32"/>
          <w:szCs w:val="32"/>
        </w:rPr>
        <w:t>名左右省级中青年业务骨干人才、</w:t>
      </w:r>
      <w:r>
        <w:rPr>
          <w:rFonts w:ascii="仿宋_GB2312" w:hAnsi="Times New Roman" w:eastAsia="仿宋_GB2312"/>
          <w:sz w:val="32"/>
          <w:szCs w:val="32"/>
        </w:rPr>
        <w:t>40</w:t>
      </w:r>
      <w:r>
        <w:rPr>
          <w:rFonts w:hint="eastAsia" w:ascii="仿宋_GB2312" w:hAnsi="Times New Roman" w:eastAsia="仿宋_GB2312"/>
          <w:sz w:val="32"/>
          <w:szCs w:val="32"/>
        </w:rPr>
        <w:t>名左右市级中青年业务骨干人才队伍。开展台州档案工匠培育，培育省级档案工匠</w:t>
      </w:r>
      <w:r>
        <w:rPr>
          <w:rFonts w:ascii="仿宋_GB2312" w:hAnsi="Times New Roman" w:eastAsia="仿宋_GB2312"/>
          <w:sz w:val="32"/>
          <w:szCs w:val="32"/>
        </w:rPr>
        <w:t>5</w:t>
      </w:r>
      <w:r>
        <w:rPr>
          <w:rFonts w:hint="eastAsia" w:ascii="仿宋_GB2312" w:hAnsi="Times New Roman" w:eastAsia="仿宋_GB2312"/>
          <w:sz w:val="32"/>
          <w:szCs w:val="32"/>
        </w:rPr>
        <w:t>名左右、市级档案工匠</w:t>
      </w:r>
      <w:r>
        <w:rPr>
          <w:rFonts w:ascii="仿宋_GB2312" w:hAnsi="Times New Roman" w:eastAsia="仿宋_GB2312"/>
          <w:sz w:val="32"/>
          <w:szCs w:val="32"/>
        </w:rPr>
        <w:t>40</w:t>
      </w:r>
      <w:r>
        <w:rPr>
          <w:rFonts w:hint="eastAsia" w:ascii="仿宋_GB2312" w:hAnsi="Times New Roman" w:eastAsia="仿宋_GB2312"/>
          <w:sz w:val="32"/>
          <w:szCs w:val="32"/>
        </w:rPr>
        <w:t>名左右。整合档案服务机构、民营企业、社会组织等档案人员力量，建立</w:t>
      </w:r>
      <w:r>
        <w:rPr>
          <w:rFonts w:ascii="仿宋_GB2312" w:hAnsi="Times New Roman" w:eastAsia="仿宋_GB2312"/>
          <w:sz w:val="32"/>
          <w:szCs w:val="32"/>
        </w:rPr>
        <w:t>600</w:t>
      </w:r>
      <w:r>
        <w:rPr>
          <w:rFonts w:hint="eastAsia" w:ascii="仿宋_GB2312" w:hAnsi="Times New Roman" w:eastAsia="仿宋_GB2312"/>
          <w:sz w:val="32"/>
          <w:szCs w:val="32"/>
        </w:rPr>
        <w:t>名左右基层从业人员队伍。整合民间档案文献收藏研究人员、档案志愿者力量，建立</w:t>
      </w:r>
      <w:r>
        <w:rPr>
          <w:rFonts w:ascii="仿宋_GB2312" w:hAnsi="Times New Roman" w:eastAsia="仿宋_GB2312"/>
          <w:sz w:val="32"/>
          <w:szCs w:val="32"/>
        </w:rPr>
        <w:t>200</w:t>
      </w:r>
      <w:r>
        <w:rPr>
          <w:rFonts w:hint="eastAsia" w:ascii="仿宋_GB2312" w:hAnsi="Times New Roman" w:eastAsia="仿宋_GB2312"/>
          <w:sz w:val="32"/>
          <w:szCs w:val="32"/>
        </w:rPr>
        <w:t>名左右档案社会人才队伍。</w:t>
      </w:r>
    </w:p>
    <w:p>
      <w:pPr>
        <w:widowControl w:val="0"/>
        <w:spacing w:line="610" w:lineRule="exact"/>
        <w:ind w:firstLine="640" w:firstLineChars="200"/>
        <w:rPr>
          <w:rFonts w:ascii="仿宋_GB2312" w:eastAsia="仿宋_GB2312"/>
          <w:sz w:val="32"/>
          <w:szCs w:val="32"/>
        </w:rPr>
      </w:pPr>
      <w:r>
        <w:rPr>
          <w:rFonts w:hint="eastAsia" w:ascii="楷体_GB2312" w:eastAsia="楷体_GB2312"/>
          <w:sz w:val="32"/>
          <w:szCs w:val="32"/>
        </w:rPr>
        <w:t>（九）档案工作市县协同工程</w:t>
      </w:r>
      <w:r>
        <w:rPr>
          <w:rFonts w:hint="eastAsia" w:ascii="仿宋_GB2312" w:eastAsia="仿宋_GB2312"/>
          <w:sz w:val="32"/>
          <w:szCs w:val="32"/>
        </w:rPr>
        <w:t>。建立健全市县档案部门上下协同联动机制，开展建党百年、撤地设市</w:t>
      </w:r>
      <w:r>
        <w:rPr>
          <w:rFonts w:ascii="仿宋_GB2312" w:eastAsia="仿宋_GB2312"/>
          <w:sz w:val="32"/>
          <w:szCs w:val="32"/>
        </w:rPr>
        <w:t>30</w:t>
      </w:r>
      <w:r>
        <w:rPr>
          <w:rFonts w:hint="eastAsia" w:ascii="仿宋_GB2312" w:eastAsia="仿宋_GB2312"/>
          <w:sz w:val="32"/>
          <w:szCs w:val="32"/>
        </w:rPr>
        <w:t>周年等重大主题宣传活动联办，民国档案、古村落档案等重要档案资源联征联编联展，数字一体化平台等建设工程联合招标开发，重大档案科研项目、重点档案保护开发项目等联合申报，党建品牌联合创建，进一步统筹人力物力财力，有效整合资源，形成规模效应，进一步增强档案系统凝聚力，扩大档案工作影响力。</w:t>
      </w:r>
    </w:p>
    <w:p>
      <w:pPr>
        <w:widowControl w:val="0"/>
        <w:spacing w:line="610" w:lineRule="exact"/>
        <w:ind w:firstLine="640" w:firstLineChars="200"/>
        <w:rPr>
          <w:rStyle w:val="12"/>
          <w:rFonts w:ascii="仿宋_GB2312" w:hAnsi="楷体_GB2312" w:eastAsia="仿宋_GB2312" w:cs="楷体_GB2312"/>
          <w:sz w:val="32"/>
          <w:szCs w:val="32"/>
        </w:rPr>
      </w:pPr>
      <w:r>
        <w:rPr>
          <w:rFonts w:hint="eastAsia" w:ascii="黑体" w:hAnsi="黑体" w:eastAsia="黑体" w:cs="楷体_GB2312"/>
          <w:sz w:val="32"/>
          <w:szCs w:val="32"/>
        </w:rPr>
        <w:t>五、保障措施</w:t>
      </w:r>
    </w:p>
    <w:p>
      <w:pPr>
        <w:widowControl w:val="0"/>
        <w:spacing w:line="610" w:lineRule="exact"/>
        <w:ind w:firstLine="640" w:firstLineChars="200"/>
        <w:textAlignment w:val="auto"/>
        <w:rPr>
          <w:rFonts w:ascii="Times New Roman" w:hAnsi="Times New Roman" w:eastAsia="仿宋_GB2312"/>
          <w:sz w:val="32"/>
          <w:szCs w:val="32"/>
        </w:rPr>
      </w:pPr>
      <w:r>
        <w:rPr>
          <w:rFonts w:hint="eastAsia" w:ascii="楷体_GB2312" w:hAnsi="楷体" w:eastAsia="楷体_GB2312" w:cs="楷体"/>
          <w:sz w:val="32"/>
          <w:szCs w:val="32"/>
        </w:rPr>
        <w:t>（一）加强组织领导，完善推进机制。</w:t>
      </w:r>
      <w:r>
        <w:rPr>
          <w:rFonts w:hint="eastAsia" w:ascii="Times New Roman" w:hAnsi="Times New Roman" w:eastAsia="仿宋_GB2312"/>
          <w:sz w:val="32"/>
          <w:szCs w:val="32"/>
        </w:rPr>
        <w:t>坚持和完善党对档案工作的全面领导，将党的领导始终贯穿档案事业发展</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规划实施全过程。各级党委政府要全面落实规划实施组织领导责任，建立统筹协调的工作机制，将档案事业纳入本地经济社会发展规划和工作计划，及时研究部署和协调解决档案工作的重大问题。各县（市、区）要积极推动将档案工作纳入目标考核、专项督查内容。</w:t>
      </w:r>
    </w:p>
    <w:p>
      <w:pPr>
        <w:widowControl w:val="0"/>
        <w:spacing w:line="610" w:lineRule="exact"/>
        <w:ind w:firstLine="640" w:firstLineChars="200"/>
        <w:textAlignment w:val="auto"/>
        <w:rPr>
          <w:rFonts w:ascii="Times New Roman" w:hAnsi="Times New Roman" w:eastAsia="仿宋_GB2312"/>
          <w:sz w:val="32"/>
          <w:szCs w:val="32"/>
        </w:rPr>
      </w:pPr>
      <w:r>
        <w:rPr>
          <w:rFonts w:hint="eastAsia" w:ascii="楷体_GB2312" w:hAnsi="楷体" w:eastAsia="楷体_GB2312" w:cs="楷体"/>
          <w:sz w:val="32"/>
          <w:szCs w:val="32"/>
        </w:rPr>
        <w:t>（二）强化组织实施，层层落实责任。</w:t>
      </w:r>
      <w:r>
        <w:rPr>
          <w:rFonts w:hint="eastAsia" w:ascii="Times New Roman" w:hAnsi="Times New Roman" w:eastAsia="仿宋_GB2312"/>
          <w:sz w:val="32"/>
          <w:szCs w:val="32"/>
        </w:rPr>
        <w:t>市级档案主管部门要建立规划执行情况的监督、检查和评估机制，开展规划实施年度监测，组织规划实施中期评估和终期评估，鼓励开展第三方评估，将监测评估结果作为改进档案工作和加强绩效考评的重要依据。县级档案主管部门要细化落实本规划提出的各项目标任务，加强对本规划实施的组织、协调和督导，确保规划顺利实施。</w:t>
      </w:r>
    </w:p>
    <w:p>
      <w:pPr>
        <w:widowControl w:val="0"/>
        <w:spacing w:line="610" w:lineRule="exact"/>
        <w:ind w:firstLine="640" w:firstLineChars="200"/>
        <w:textAlignment w:val="auto"/>
        <w:rPr>
          <w:rFonts w:ascii="Times New Roman" w:hAnsi="Times New Roman" w:eastAsia="仿宋_GB2312"/>
          <w:sz w:val="32"/>
          <w:szCs w:val="32"/>
        </w:rPr>
      </w:pPr>
      <w:r>
        <w:rPr>
          <w:rFonts w:hint="eastAsia" w:ascii="楷体_GB2312" w:hAnsi="楷体" w:eastAsia="楷体_GB2312" w:cs="楷体"/>
          <w:sz w:val="32"/>
          <w:szCs w:val="32"/>
        </w:rPr>
        <w:t>（三）落实经费保障，提高使用绩效。</w:t>
      </w:r>
      <w:r>
        <w:rPr>
          <w:rFonts w:hint="eastAsia" w:ascii="Times New Roman" w:hAnsi="Times New Roman" w:eastAsia="仿宋_GB2312"/>
          <w:sz w:val="32"/>
          <w:szCs w:val="32"/>
        </w:rPr>
        <w:t>各级政府要将档案工作所需经费列入年度财政预算，加大对档案工作的支持力度，建立同当地经济社会发展相匹配、与档案工作相适应的经费保障机制。加强档案资金监管，提高资金使用效益。科学合理使用档案保护和开发专项资金，加大对重大项目、重点任务的资金支持。机关、团体、企事业单位要确保本单位档案工作所需经费，鼓励社会力量参与和支持档案事业发展，引导社会资金投入档案科研创新领域。</w:t>
      </w:r>
    </w:p>
    <w:p>
      <w:pPr>
        <w:widowControl w:val="0"/>
        <w:spacing w:line="610" w:lineRule="exact"/>
        <w:ind w:firstLine="640" w:firstLineChars="200"/>
        <w:rPr>
          <w:rStyle w:val="12"/>
          <w:rFonts w:ascii="仿宋_GB2312" w:hAnsi="楷体_GB2312" w:eastAsia="仿宋_GB2312" w:cs="楷体_GB2312"/>
        </w:rPr>
      </w:pPr>
      <w:r>
        <w:rPr>
          <w:rFonts w:hint="eastAsia" w:ascii="楷体_GB2312" w:hAnsi="楷体" w:eastAsia="楷体_GB2312" w:cs="楷体"/>
          <w:sz w:val="32"/>
          <w:szCs w:val="32"/>
        </w:rPr>
        <w:t>（四）加强档案宣传，营造良好氛围。</w:t>
      </w:r>
      <w:r>
        <w:rPr>
          <w:rFonts w:hint="eastAsia" w:ascii="Times New Roman" w:hAnsi="Times New Roman" w:eastAsia="仿宋_GB2312"/>
          <w:sz w:val="32"/>
          <w:szCs w:val="32"/>
        </w:rPr>
        <w:t>创新档案宣传工作方式方法，融合运用传统媒体和新媒体，对服务中心工作、社会民生，事关档案事业发展大局的重大项目、重点任务、重要成绩等进行全方位宣传展示，积极宣扬档案工作中的先进典型和感人事迹，持续扩大档案工作社会影响力，激发全社会参与支持档案工作的积极性、主动性，营造良好的档案事业发展环境。</w:t>
      </w:r>
    </w:p>
    <w:p>
      <w:pPr>
        <w:adjustRightInd w:val="0"/>
        <w:snapToGrid w:val="0"/>
        <w:spacing w:line="610" w:lineRule="exact"/>
        <w:ind w:firstLine="640" w:firstLineChars="200"/>
        <w:rPr>
          <w:rFonts w:ascii="Times New Roman" w:hAnsi="Times New Roman" w:eastAsia="仿宋_GB2312"/>
          <w:sz w:val="32"/>
          <w:szCs w:val="32"/>
        </w:rPr>
      </w:pPr>
    </w:p>
    <w:p>
      <w:pPr>
        <w:widowControl w:val="0"/>
        <w:spacing w:line="610"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附件：</w:t>
      </w:r>
      <w:r>
        <w:rPr>
          <w:rFonts w:ascii="仿宋_GB2312" w:hAnsi="Times New Roman" w:eastAsia="仿宋_GB2312"/>
          <w:sz w:val="32"/>
          <w:szCs w:val="32"/>
        </w:rPr>
        <w:t>1.</w:t>
      </w:r>
      <w:r>
        <w:rPr>
          <w:rFonts w:hint="eastAsia" w:ascii="仿宋_GB2312" w:hAnsi="Times New Roman" w:eastAsia="仿宋_GB2312"/>
          <w:sz w:val="32"/>
          <w:szCs w:val="32"/>
        </w:rPr>
        <w:t>档案数字化转型项目规划表</w:t>
      </w:r>
    </w:p>
    <w:p>
      <w:pPr>
        <w:adjustRightInd w:val="0"/>
        <w:snapToGrid w:val="0"/>
        <w:spacing w:line="600" w:lineRule="exact"/>
        <w:ind w:left="638" w:leftChars="304" w:firstLine="960" w:firstLineChars="3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省级数字档案室建设规划表</w:t>
      </w:r>
    </w:p>
    <w:p>
      <w:pPr>
        <w:adjustRightInd w:val="0"/>
        <w:snapToGrid w:val="0"/>
        <w:spacing w:line="600" w:lineRule="exact"/>
        <w:ind w:left="638" w:leftChars="304" w:firstLine="960" w:firstLineChars="3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档案文化项目规划表</w:t>
      </w:r>
    </w:p>
    <w:p>
      <w:pPr>
        <w:widowControl w:val="0"/>
        <w:spacing w:line="620" w:lineRule="exact"/>
        <w:ind w:firstLine="1600" w:firstLineChars="500"/>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基层档案工作</w:t>
      </w:r>
      <w:r>
        <w:rPr>
          <w:rFonts w:ascii="仿宋_GB2312" w:hAnsi="Times New Roman" w:eastAsia="仿宋_GB2312"/>
          <w:sz w:val="32"/>
          <w:szCs w:val="32"/>
        </w:rPr>
        <w:t>“</w:t>
      </w:r>
      <w:r>
        <w:rPr>
          <w:rFonts w:hint="eastAsia" w:ascii="仿宋_GB2312" w:hAnsi="Times New Roman" w:eastAsia="仿宋_GB2312"/>
          <w:sz w:val="32"/>
          <w:szCs w:val="32"/>
        </w:rPr>
        <w:t>十百千</w:t>
      </w:r>
      <w:r>
        <w:rPr>
          <w:rFonts w:ascii="仿宋_GB2312" w:hAnsi="Times New Roman" w:eastAsia="仿宋_GB2312"/>
          <w:sz w:val="32"/>
          <w:szCs w:val="32"/>
        </w:rPr>
        <w:t>”</w:t>
      </w:r>
      <w:r>
        <w:rPr>
          <w:rFonts w:hint="eastAsia" w:ascii="仿宋_GB2312" w:hAnsi="Times New Roman" w:eastAsia="仿宋_GB2312"/>
          <w:sz w:val="32"/>
          <w:szCs w:val="32"/>
        </w:rPr>
        <w:t>示范工程规划表</w:t>
      </w:r>
    </w:p>
    <w:p>
      <w:pPr>
        <w:widowControl w:val="0"/>
        <w:spacing w:line="620" w:lineRule="exact"/>
        <w:ind w:firstLine="640" w:firstLineChars="200"/>
        <w:rPr>
          <w:rStyle w:val="12"/>
          <w:rFonts w:ascii="仿宋_GB2312" w:hAnsi="楷体_GB2312" w:eastAsia="仿宋_GB2312" w:cs="楷体_GB2312"/>
          <w:sz w:val="32"/>
          <w:szCs w:val="32"/>
        </w:rPr>
      </w:pPr>
    </w:p>
    <w:p>
      <w:pPr>
        <w:widowControl w:val="0"/>
        <w:spacing w:line="620" w:lineRule="exact"/>
        <w:rPr>
          <w:rStyle w:val="12"/>
          <w:rFonts w:ascii="仿宋_GB2312" w:hAnsi="楷体_GB2312" w:eastAsia="仿宋_GB2312" w:cs="楷体_GB2312"/>
          <w:sz w:val="32"/>
          <w:szCs w:val="32"/>
        </w:rPr>
        <w:sectPr>
          <w:footerReference r:id="rId3" w:type="default"/>
          <w:footerReference r:id="rId4" w:type="even"/>
          <w:pgSz w:w="11906" w:h="16838"/>
          <w:pgMar w:top="1701" w:right="1701" w:bottom="1701" w:left="1701" w:header="851" w:footer="1418" w:gutter="0"/>
          <w:pgNumType w:fmt="numberInDash"/>
          <w:cols w:space="425" w:num="1"/>
          <w:docGrid w:type="lines" w:linePitch="312" w:charSpace="0"/>
        </w:sectPr>
      </w:pPr>
    </w:p>
    <w:p>
      <w:pPr>
        <w:adjustRightInd w:val="0"/>
        <w:snapToGrid w:val="0"/>
        <w:spacing w:line="600" w:lineRule="exact"/>
        <w:rPr>
          <w:rFonts w:ascii="黑体" w:hAnsi="黑体" w:eastAsia="黑体"/>
          <w:bCs/>
          <w:color w:val="000000"/>
          <w:sz w:val="32"/>
          <w:szCs w:val="32"/>
        </w:rPr>
      </w:pPr>
      <w:r>
        <w:rPr>
          <w:rFonts w:hint="eastAsia" w:ascii="黑体" w:hAnsi="黑体" w:eastAsia="黑体"/>
          <w:bCs/>
          <w:color w:val="000000"/>
          <w:sz w:val="32"/>
          <w:szCs w:val="32"/>
        </w:rPr>
        <w:t>附件</w:t>
      </w:r>
      <w:r>
        <w:rPr>
          <w:rFonts w:ascii="黑体" w:hAnsi="黑体" w:eastAsia="黑体"/>
          <w:bCs/>
          <w:color w:val="000000"/>
          <w:sz w:val="32"/>
          <w:szCs w:val="32"/>
        </w:rPr>
        <w:t>1</w:t>
      </w:r>
    </w:p>
    <w:p>
      <w:pPr>
        <w:adjustRightInd w:val="0"/>
        <w:snapToGrid w:val="0"/>
        <w:spacing w:line="60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档案数字化转型项目规划表</w:t>
      </w:r>
    </w:p>
    <w:p>
      <w:pPr>
        <w:spacing w:line="240" w:lineRule="exact"/>
        <w:jc w:val="right"/>
        <w:rPr>
          <w:rFonts w:ascii="宋体"/>
          <w:szCs w:val="21"/>
        </w:rPr>
      </w:pPr>
    </w:p>
    <w:tbl>
      <w:tblPr>
        <w:tblStyle w:val="6"/>
        <w:tblW w:w="13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78"/>
        <w:gridCol w:w="2340"/>
        <w:gridCol w:w="2700"/>
        <w:gridCol w:w="270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50" w:type="dxa"/>
            <w:vAlign w:val="center"/>
          </w:tcPr>
          <w:p>
            <w:pPr>
              <w:spacing w:line="240" w:lineRule="exact"/>
              <w:jc w:val="center"/>
              <w:rPr>
                <w:rFonts w:ascii="宋体" w:cs="楷体_GB2312"/>
                <w:b/>
                <w:szCs w:val="21"/>
              </w:rPr>
            </w:pPr>
          </w:p>
        </w:tc>
        <w:tc>
          <w:tcPr>
            <w:tcW w:w="2678" w:type="dxa"/>
            <w:vAlign w:val="center"/>
          </w:tcPr>
          <w:p>
            <w:pPr>
              <w:spacing w:line="240" w:lineRule="exact"/>
              <w:jc w:val="center"/>
              <w:rPr>
                <w:rFonts w:ascii="宋体" w:cs="楷体_GB2312"/>
                <w:b/>
                <w:szCs w:val="21"/>
              </w:rPr>
            </w:pPr>
            <w:r>
              <w:rPr>
                <w:rFonts w:ascii="宋体" w:hAnsi="宋体" w:cs="楷体_GB2312"/>
                <w:b/>
                <w:szCs w:val="21"/>
              </w:rPr>
              <w:t>2021</w:t>
            </w:r>
            <w:r>
              <w:rPr>
                <w:rFonts w:hint="eastAsia" w:ascii="宋体" w:hAnsi="宋体" w:cs="楷体_GB2312"/>
                <w:b/>
                <w:szCs w:val="21"/>
              </w:rPr>
              <w:t>年</w:t>
            </w:r>
          </w:p>
        </w:tc>
        <w:tc>
          <w:tcPr>
            <w:tcW w:w="2340" w:type="dxa"/>
            <w:vAlign w:val="center"/>
          </w:tcPr>
          <w:p>
            <w:pPr>
              <w:spacing w:line="240" w:lineRule="exact"/>
              <w:jc w:val="center"/>
              <w:rPr>
                <w:rFonts w:ascii="宋体" w:cs="楷体_GB2312"/>
                <w:b/>
                <w:szCs w:val="21"/>
              </w:rPr>
            </w:pPr>
            <w:r>
              <w:rPr>
                <w:rFonts w:ascii="宋体" w:hAnsi="宋体" w:cs="楷体_GB2312"/>
                <w:b/>
                <w:szCs w:val="21"/>
              </w:rPr>
              <w:t>2022</w:t>
            </w:r>
            <w:r>
              <w:rPr>
                <w:rFonts w:hint="eastAsia" w:ascii="宋体" w:hAnsi="宋体" w:cs="楷体_GB2312"/>
                <w:b/>
                <w:szCs w:val="21"/>
              </w:rPr>
              <w:t>年</w:t>
            </w:r>
          </w:p>
        </w:tc>
        <w:tc>
          <w:tcPr>
            <w:tcW w:w="2700" w:type="dxa"/>
            <w:vAlign w:val="center"/>
          </w:tcPr>
          <w:p>
            <w:pPr>
              <w:spacing w:line="240" w:lineRule="exact"/>
              <w:jc w:val="center"/>
              <w:rPr>
                <w:rFonts w:ascii="宋体" w:cs="楷体_GB2312"/>
                <w:b/>
                <w:szCs w:val="21"/>
              </w:rPr>
            </w:pPr>
            <w:r>
              <w:rPr>
                <w:rFonts w:ascii="宋体" w:hAnsi="宋体" w:cs="楷体_GB2312"/>
                <w:b/>
                <w:szCs w:val="21"/>
              </w:rPr>
              <w:t>2023</w:t>
            </w:r>
            <w:r>
              <w:rPr>
                <w:rFonts w:hint="eastAsia" w:ascii="宋体" w:hAnsi="宋体" w:cs="楷体_GB2312"/>
                <w:b/>
                <w:szCs w:val="21"/>
              </w:rPr>
              <w:t>年</w:t>
            </w:r>
          </w:p>
        </w:tc>
        <w:tc>
          <w:tcPr>
            <w:tcW w:w="2700" w:type="dxa"/>
            <w:vAlign w:val="center"/>
          </w:tcPr>
          <w:p>
            <w:pPr>
              <w:spacing w:line="240" w:lineRule="exact"/>
              <w:jc w:val="center"/>
              <w:rPr>
                <w:rFonts w:ascii="宋体" w:cs="楷体_GB2312"/>
                <w:b/>
                <w:szCs w:val="21"/>
              </w:rPr>
            </w:pPr>
            <w:r>
              <w:rPr>
                <w:rFonts w:ascii="宋体" w:hAnsi="宋体" w:cs="楷体_GB2312"/>
                <w:b/>
                <w:szCs w:val="21"/>
              </w:rPr>
              <w:t>2024</w:t>
            </w:r>
            <w:r>
              <w:rPr>
                <w:rFonts w:hint="eastAsia" w:ascii="宋体" w:hAnsi="宋体" w:cs="楷体_GB2312"/>
                <w:b/>
                <w:szCs w:val="21"/>
              </w:rPr>
              <w:t>年</w:t>
            </w:r>
          </w:p>
        </w:tc>
        <w:tc>
          <w:tcPr>
            <w:tcW w:w="2356" w:type="dxa"/>
            <w:vAlign w:val="center"/>
          </w:tcPr>
          <w:p>
            <w:pPr>
              <w:spacing w:line="240" w:lineRule="exact"/>
              <w:jc w:val="center"/>
              <w:rPr>
                <w:rFonts w:ascii="宋体" w:cs="楷体_GB2312"/>
                <w:b/>
                <w:szCs w:val="21"/>
              </w:rPr>
            </w:pPr>
            <w:r>
              <w:rPr>
                <w:rFonts w:ascii="宋体" w:hAnsi="宋体" w:cs="楷体_GB2312"/>
                <w:b/>
                <w:szCs w:val="21"/>
              </w:rPr>
              <w:t>2025</w:t>
            </w:r>
            <w:r>
              <w:rPr>
                <w:rFonts w:hint="eastAsia" w:ascii="宋体" w:hAnsi="宋体" w:cs="楷体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市本级</w:t>
            </w:r>
          </w:p>
        </w:tc>
        <w:tc>
          <w:tcPr>
            <w:tcW w:w="2678" w:type="dxa"/>
            <w:vAlign w:val="center"/>
          </w:tcPr>
          <w:p>
            <w:pPr>
              <w:spacing w:line="240" w:lineRule="exact"/>
              <w:rPr>
                <w:rFonts w:ascii="宋体" w:cs="楷体_GB2312"/>
                <w:szCs w:val="21"/>
              </w:rPr>
            </w:pPr>
            <w:r>
              <w:rPr>
                <w:rFonts w:hint="eastAsia" w:ascii="宋体" w:cs="楷体_GB2312"/>
                <w:szCs w:val="21"/>
              </w:rPr>
              <w:t>全面开通机关查档直通车和民生查档直通车</w:t>
            </w:r>
          </w:p>
        </w:tc>
        <w:tc>
          <w:tcPr>
            <w:tcW w:w="2340" w:type="dxa"/>
            <w:vAlign w:val="center"/>
          </w:tcPr>
          <w:p>
            <w:pPr>
              <w:spacing w:line="240" w:lineRule="exact"/>
              <w:rPr>
                <w:rFonts w:ascii="宋体" w:cs="楷体_GB2312"/>
                <w:szCs w:val="21"/>
              </w:rPr>
            </w:pPr>
            <w:r>
              <w:rPr>
                <w:rFonts w:hint="eastAsia" w:ascii="宋体" w:hAnsi="宋体" w:cs="楷体_GB2312"/>
                <w:szCs w:val="21"/>
              </w:rPr>
              <w:t>启动智慧档案馆建设</w:t>
            </w:r>
          </w:p>
        </w:tc>
        <w:tc>
          <w:tcPr>
            <w:tcW w:w="2700" w:type="dxa"/>
            <w:vAlign w:val="center"/>
          </w:tcPr>
          <w:p>
            <w:pPr>
              <w:spacing w:line="240" w:lineRule="exact"/>
              <w:rPr>
                <w:rFonts w:ascii="宋体" w:cs="楷体_GB2312"/>
                <w:szCs w:val="21"/>
              </w:rPr>
            </w:pPr>
            <w:r>
              <w:rPr>
                <w:rFonts w:ascii="宋体" w:hAnsi="宋体" w:cs="楷体_GB2312"/>
                <w:szCs w:val="21"/>
              </w:rPr>
              <w:t>1.</w:t>
            </w:r>
            <w:r>
              <w:rPr>
                <w:rFonts w:hint="eastAsia" w:ascii="宋体" w:hAnsi="宋体" w:cs="楷体_GB2312"/>
                <w:szCs w:val="21"/>
              </w:rPr>
              <w:t>建成全市数字档案管理服务一体化平台</w:t>
            </w:r>
          </w:p>
          <w:p>
            <w:pPr>
              <w:spacing w:line="240" w:lineRule="exact"/>
              <w:rPr>
                <w:rFonts w:ascii="宋体" w:cs="楷体_GB2312"/>
                <w:spacing w:val="-4"/>
                <w:szCs w:val="21"/>
              </w:rPr>
            </w:pPr>
            <w:r>
              <w:rPr>
                <w:rFonts w:ascii="宋体" w:hAnsi="宋体" w:cs="楷体_GB2312"/>
                <w:spacing w:val="-4"/>
                <w:szCs w:val="21"/>
              </w:rPr>
              <w:t>2.</w:t>
            </w:r>
            <w:r>
              <w:rPr>
                <w:rFonts w:hint="eastAsia" w:ascii="宋体" w:hAnsi="宋体" w:cs="楷体_GB2312"/>
                <w:spacing w:val="-4"/>
                <w:szCs w:val="21"/>
              </w:rPr>
              <w:t>创建全国示范数字档案馆</w:t>
            </w:r>
          </w:p>
        </w:tc>
        <w:tc>
          <w:tcPr>
            <w:tcW w:w="2700" w:type="dxa"/>
            <w:vAlign w:val="center"/>
          </w:tcPr>
          <w:p>
            <w:pPr>
              <w:spacing w:line="240" w:lineRule="exact"/>
              <w:rPr>
                <w:rFonts w:ascii="宋体" w:cs="楷体_GB2312"/>
                <w:szCs w:val="21"/>
              </w:rPr>
            </w:pPr>
            <w:r>
              <w:rPr>
                <w:rFonts w:hint="eastAsia" w:ascii="宋体" w:hAnsi="宋体" w:cs="楷体_GB2312"/>
                <w:szCs w:val="21"/>
              </w:rPr>
              <w:t>建成古村落数字记忆体验馆</w:t>
            </w:r>
          </w:p>
        </w:tc>
        <w:tc>
          <w:tcPr>
            <w:tcW w:w="2356" w:type="dxa"/>
            <w:vAlign w:val="center"/>
          </w:tcPr>
          <w:p>
            <w:pPr>
              <w:spacing w:line="240" w:lineRule="exact"/>
              <w:rPr>
                <w:rFonts w:ascii="宋体" w:cs="楷体_GB2312"/>
                <w:szCs w:val="21"/>
              </w:rPr>
            </w:pPr>
            <w:r>
              <w:rPr>
                <w:rFonts w:hint="eastAsia" w:ascii="宋体" w:hAnsi="宋体" w:cs="楷体_GB2312"/>
                <w:szCs w:val="21"/>
              </w:rPr>
              <w:t>创成档案工作数字化转型示范区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椒江区</w:t>
            </w:r>
          </w:p>
        </w:tc>
        <w:tc>
          <w:tcPr>
            <w:tcW w:w="2678" w:type="dxa"/>
            <w:vAlign w:val="center"/>
          </w:tcPr>
          <w:p>
            <w:pPr>
              <w:spacing w:line="240" w:lineRule="exact"/>
              <w:rPr>
                <w:rFonts w:ascii="宋体" w:cs="楷体_GB2312"/>
                <w:szCs w:val="21"/>
              </w:rPr>
            </w:pPr>
            <w:r>
              <w:rPr>
                <w:rFonts w:hint="eastAsia" w:ascii="宋体" w:cs="楷体_GB2312"/>
                <w:szCs w:val="21"/>
              </w:rPr>
              <w:t>全面开通机关查档直通车</w:t>
            </w:r>
          </w:p>
        </w:tc>
        <w:tc>
          <w:tcPr>
            <w:tcW w:w="2340" w:type="dxa"/>
            <w:vAlign w:val="center"/>
          </w:tcPr>
          <w:p>
            <w:pPr>
              <w:spacing w:line="240" w:lineRule="exact"/>
              <w:rPr>
                <w:rFonts w:ascii="宋体" w:cs="楷体_GB2312"/>
                <w:spacing w:val="-10"/>
                <w:szCs w:val="21"/>
              </w:rPr>
            </w:pPr>
            <w:r>
              <w:rPr>
                <w:rFonts w:hint="eastAsia" w:ascii="宋体" w:hAnsi="宋体" w:cs="楷体_GB2312"/>
                <w:spacing w:val="-10"/>
                <w:szCs w:val="21"/>
              </w:rPr>
              <w:t>创建全国示范数字档案馆</w:t>
            </w:r>
          </w:p>
        </w:tc>
        <w:tc>
          <w:tcPr>
            <w:tcW w:w="270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r>
              <w:rPr>
                <w:rFonts w:hint="eastAsia" w:ascii="宋体" w:hAnsi="宋体" w:cs="楷体_GB2312"/>
                <w:szCs w:val="21"/>
              </w:rPr>
              <w:t>创成档案工作数字化转型先行区</w:t>
            </w:r>
          </w:p>
        </w:tc>
        <w:tc>
          <w:tcPr>
            <w:tcW w:w="2356" w:type="dxa"/>
            <w:vAlign w:val="center"/>
          </w:tcPr>
          <w:p>
            <w:pPr>
              <w:spacing w:line="240" w:lineRule="exact"/>
              <w:rPr>
                <w:rFonts w:ascii="宋体"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黄岩区</w:t>
            </w:r>
          </w:p>
        </w:tc>
        <w:tc>
          <w:tcPr>
            <w:tcW w:w="2678" w:type="dxa"/>
            <w:vAlign w:val="center"/>
          </w:tcPr>
          <w:p>
            <w:pPr>
              <w:spacing w:line="240" w:lineRule="exact"/>
              <w:rPr>
                <w:rFonts w:ascii="宋体" w:cs="楷体_GB2312"/>
                <w:szCs w:val="21"/>
              </w:rPr>
            </w:pPr>
            <w:r>
              <w:rPr>
                <w:rFonts w:ascii="宋体" w:hAnsi="宋体" w:cs="楷体_GB2312"/>
                <w:szCs w:val="21"/>
              </w:rPr>
              <w:t>1.</w:t>
            </w:r>
            <w:r>
              <w:rPr>
                <w:rFonts w:hint="eastAsia" w:ascii="宋体" w:hAnsi="宋体" w:cs="楷体_GB2312"/>
                <w:szCs w:val="21"/>
              </w:rPr>
              <w:t>创建国家级数字档案馆</w:t>
            </w:r>
          </w:p>
          <w:p>
            <w:pPr>
              <w:spacing w:line="240" w:lineRule="exact"/>
              <w:rPr>
                <w:rFonts w:ascii="宋体" w:cs="楷体_GB2312"/>
                <w:spacing w:val="-6"/>
                <w:szCs w:val="21"/>
              </w:rPr>
            </w:pPr>
            <w:r>
              <w:rPr>
                <w:rFonts w:ascii="宋体" w:cs="楷体_GB2312"/>
                <w:spacing w:val="-6"/>
                <w:szCs w:val="21"/>
              </w:rPr>
              <w:t>2.</w:t>
            </w:r>
            <w:r>
              <w:rPr>
                <w:rFonts w:hint="eastAsia" w:ascii="宋体" w:cs="楷体_GB2312"/>
                <w:spacing w:val="-6"/>
                <w:szCs w:val="21"/>
              </w:rPr>
              <w:t>全面开通机关查档直通车</w:t>
            </w:r>
          </w:p>
        </w:tc>
        <w:tc>
          <w:tcPr>
            <w:tcW w:w="234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r>
              <w:rPr>
                <w:rFonts w:hint="eastAsia" w:ascii="宋体" w:hAnsi="宋体" w:cs="楷体_GB2312"/>
                <w:szCs w:val="21"/>
              </w:rPr>
              <w:t>创建全国示范数字档案馆</w:t>
            </w:r>
          </w:p>
        </w:tc>
        <w:tc>
          <w:tcPr>
            <w:tcW w:w="2700" w:type="dxa"/>
            <w:vAlign w:val="center"/>
          </w:tcPr>
          <w:p>
            <w:pPr>
              <w:spacing w:line="240" w:lineRule="exact"/>
              <w:rPr>
                <w:rFonts w:ascii="宋体" w:cs="楷体_GB2312"/>
                <w:szCs w:val="21"/>
              </w:rPr>
            </w:pPr>
          </w:p>
        </w:tc>
        <w:tc>
          <w:tcPr>
            <w:tcW w:w="2356" w:type="dxa"/>
            <w:vAlign w:val="center"/>
          </w:tcPr>
          <w:p>
            <w:pPr>
              <w:spacing w:line="240" w:lineRule="exact"/>
              <w:rPr>
                <w:rFonts w:ascii="宋体" w:cs="楷体_GB2312"/>
                <w:szCs w:val="21"/>
              </w:rPr>
            </w:pPr>
            <w:r>
              <w:rPr>
                <w:rFonts w:hint="eastAsia" w:ascii="宋体" w:hAnsi="宋体" w:cs="楷体_GB2312"/>
                <w:szCs w:val="21"/>
              </w:rPr>
              <w:t>创成档案工作数字化转型先行区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路桥区</w:t>
            </w:r>
          </w:p>
        </w:tc>
        <w:tc>
          <w:tcPr>
            <w:tcW w:w="2678" w:type="dxa"/>
            <w:vAlign w:val="center"/>
          </w:tcPr>
          <w:p>
            <w:pPr>
              <w:spacing w:line="240" w:lineRule="exact"/>
              <w:rPr>
                <w:rFonts w:ascii="宋体" w:cs="楷体_GB2312"/>
                <w:szCs w:val="21"/>
              </w:rPr>
            </w:pPr>
            <w:r>
              <w:rPr>
                <w:rFonts w:hint="eastAsia" w:ascii="宋体" w:cs="楷体_GB2312"/>
                <w:szCs w:val="21"/>
              </w:rPr>
              <w:t>全面开通机关查档直通车</w:t>
            </w:r>
          </w:p>
        </w:tc>
        <w:tc>
          <w:tcPr>
            <w:tcW w:w="234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r>
              <w:rPr>
                <w:rFonts w:hint="eastAsia" w:ascii="宋体" w:cs="楷体_GB2312"/>
                <w:szCs w:val="21"/>
              </w:rPr>
              <w:t>创建国家级数字档案馆</w:t>
            </w:r>
          </w:p>
        </w:tc>
        <w:tc>
          <w:tcPr>
            <w:tcW w:w="2700" w:type="dxa"/>
            <w:vAlign w:val="center"/>
          </w:tcPr>
          <w:p>
            <w:pPr>
              <w:spacing w:line="240" w:lineRule="exact"/>
              <w:rPr>
                <w:rFonts w:ascii="宋体" w:cs="楷体_GB2312"/>
                <w:szCs w:val="21"/>
              </w:rPr>
            </w:pPr>
          </w:p>
        </w:tc>
        <w:tc>
          <w:tcPr>
            <w:tcW w:w="2356" w:type="dxa"/>
            <w:vAlign w:val="center"/>
          </w:tcPr>
          <w:p>
            <w:pPr>
              <w:spacing w:line="240" w:lineRule="exact"/>
              <w:rPr>
                <w:rFonts w:ascii="宋体"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临海市</w:t>
            </w:r>
          </w:p>
        </w:tc>
        <w:tc>
          <w:tcPr>
            <w:tcW w:w="2678" w:type="dxa"/>
            <w:vAlign w:val="center"/>
          </w:tcPr>
          <w:p>
            <w:pPr>
              <w:spacing w:line="240" w:lineRule="exact"/>
              <w:rPr>
                <w:rFonts w:ascii="宋体" w:cs="楷体_GB2312"/>
                <w:szCs w:val="21"/>
              </w:rPr>
            </w:pPr>
            <w:r>
              <w:rPr>
                <w:rFonts w:hint="eastAsia" w:ascii="宋体" w:cs="楷体_GB2312"/>
                <w:szCs w:val="21"/>
              </w:rPr>
              <w:t>全面开通机关查档直通车</w:t>
            </w:r>
          </w:p>
        </w:tc>
        <w:tc>
          <w:tcPr>
            <w:tcW w:w="2340" w:type="dxa"/>
            <w:vAlign w:val="center"/>
          </w:tcPr>
          <w:p>
            <w:pPr>
              <w:spacing w:line="240" w:lineRule="exact"/>
              <w:rPr>
                <w:rFonts w:ascii="宋体" w:cs="楷体_GB2312"/>
                <w:szCs w:val="21"/>
              </w:rPr>
            </w:pPr>
            <w:r>
              <w:rPr>
                <w:rFonts w:hint="eastAsia" w:ascii="宋体" w:hAnsi="宋体" w:cs="楷体_GB2312"/>
                <w:szCs w:val="21"/>
              </w:rPr>
              <w:t>创建国家级数字档案馆</w:t>
            </w:r>
          </w:p>
        </w:tc>
        <w:tc>
          <w:tcPr>
            <w:tcW w:w="270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p>
        </w:tc>
        <w:tc>
          <w:tcPr>
            <w:tcW w:w="2356" w:type="dxa"/>
            <w:vAlign w:val="center"/>
          </w:tcPr>
          <w:p>
            <w:pPr>
              <w:spacing w:line="240" w:lineRule="exact"/>
              <w:rPr>
                <w:rFonts w:ascii="宋体"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温岭市</w:t>
            </w:r>
          </w:p>
        </w:tc>
        <w:tc>
          <w:tcPr>
            <w:tcW w:w="2678" w:type="dxa"/>
            <w:vAlign w:val="center"/>
          </w:tcPr>
          <w:p>
            <w:pPr>
              <w:spacing w:line="240" w:lineRule="exact"/>
              <w:rPr>
                <w:rFonts w:ascii="宋体" w:cs="楷体_GB2312"/>
                <w:szCs w:val="21"/>
              </w:rPr>
            </w:pPr>
            <w:r>
              <w:rPr>
                <w:rFonts w:ascii="宋体" w:hAnsi="宋体" w:cs="楷体_GB2312"/>
                <w:szCs w:val="21"/>
              </w:rPr>
              <w:t>1.</w:t>
            </w:r>
            <w:r>
              <w:rPr>
                <w:rFonts w:hint="eastAsia" w:ascii="宋体" w:hAnsi="宋体" w:cs="楷体_GB2312"/>
                <w:szCs w:val="21"/>
              </w:rPr>
              <w:t>创建国家级数字档案馆</w:t>
            </w:r>
          </w:p>
          <w:p>
            <w:pPr>
              <w:spacing w:line="240" w:lineRule="exact"/>
              <w:rPr>
                <w:rFonts w:ascii="宋体" w:cs="楷体_GB2312"/>
                <w:szCs w:val="21"/>
              </w:rPr>
            </w:pPr>
            <w:r>
              <w:rPr>
                <w:rFonts w:ascii="宋体" w:cs="楷体_GB2312"/>
                <w:spacing w:val="-6"/>
                <w:szCs w:val="21"/>
              </w:rPr>
              <w:t>2.</w:t>
            </w:r>
            <w:r>
              <w:rPr>
                <w:rFonts w:hint="eastAsia" w:ascii="宋体" w:cs="楷体_GB2312"/>
                <w:spacing w:val="-6"/>
                <w:szCs w:val="21"/>
              </w:rPr>
              <w:t>全面开通机关查档直通车</w:t>
            </w:r>
          </w:p>
        </w:tc>
        <w:tc>
          <w:tcPr>
            <w:tcW w:w="234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r>
              <w:rPr>
                <w:rFonts w:hint="eastAsia" w:ascii="宋体" w:hAnsi="宋体" w:cs="楷体_GB2312"/>
                <w:szCs w:val="21"/>
              </w:rPr>
              <w:t>创建全国示范数字档案馆</w:t>
            </w:r>
          </w:p>
        </w:tc>
        <w:tc>
          <w:tcPr>
            <w:tcW w:w="2700" w:type="dxa"/>
            <w:vAlign w:val="center"/>
          </w:tcPr>
          <w:p>
            <w:pPr>
              <w:spacing w:line="240" w:lineRule="exact"/>
              <w:rPr>
                <w:rFonts w:ascii="宋体" w:cs="楷体_GB2312"/>
                <w:szCs w:val="21"/>
              </w:rPr>
            </w:pPr>
          </w:p>
        </w:tc>
        <w:tc>
          <w:tcPr>
            <w:tcW w:w="2356" w:type="dxa"/>
            <w:vAlign w:val="center"/>
          </w:tcPr>
          <w:p>
            <w:pPr>
              <w:spacing w:line="240" w:lineRule="exact"/>
              <w:rPr>
                <w:rFonts w:ascii="宋体" w:cs="楷体_GB2312"/>
                <w:szCs w:val="21"/>
              </w:rPr>
            </w:pPr>
            <w:r>
              <w:rPr>
                <w:rFonts w:hint="eastAsia" w:ascii="宋体" w:hAnsi="宋体" w:cs="楷体_GB2312"/>
                <w:szCs w:val="21"/>
              </w:rPr>
              <w:t>创成档案工作数字化转型示范区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玉环市</w:t>
            </w:r>
          </w:p>
        </w:tc>
        <w:tc>
          <w:tcPr>
            <w:tcW w:w="2678" w:type="dxa"/>
            <w:vAlign w:val="center"/>
          </w:tcPr>
          <w:p>
            <w:pPr>
              <w:spacing w:line="240" w:lineRule="exact"/>
              <w:rPr>
                <w:rFonts w:ascii="宋体" w:cs="楷体_GB2312"/>
                <w:spacing w:val="-8"/>
                <w:szCs w:val="21"/>
              </w:rPr>
            </w:pPr>
            <w:r>
              <w:rPr>
                <w:rFonts w:ascii="宋体" w:cs="楷体_GB2312"/>
                <w:spacing w:val="-8"/>
                <w:szCs w:val="21"/>
              </w:rPr>
              <w:t>1.</w:t>
            </w:r>
            <w:r>
              <w:rPr>
                <w:rFonts w:hint="eastAsia" w:ascii="宋体" w:cs="楷体_GB2312"/>
                <w:spacing w:val="-8"/>
                <w:szCs w:val="21"/>
              </w:rPr>
              <w:t>建成民生查档一体化平台</w:t>
            </w:r>
          </w:p>
          <w:p>
            <w:pPr>
              <w:spacing w:line="240" w:lineRule="exact"/>
              <w:rPr>
                <w:rFonts w:ascii="宋体" w:cs="楷体_GB2312"/>
                <w:szCs w:val="21"/>
              </w:rPr>
            </w:pPr>
            <w:r>
              <w:rPr>
                <w:rFonts w:ascii="宋体" w:cs="楷体_GB2312"/>
                <w:spacing w:val="-8"/>
                <w:szCs w:val="21"/>
              </w:rPr>
              <w:t>2.</w:t>
            </w:r>
            <w:r>
              <w:rPr>
                <w:rFonts w:hint="eastAsia" w:ascii="宋体" w:cs="楷体_GB2312"/>
                <w:spacing w:val="-8"/>
                <w:szCs w:val="21"/>
              </w:rPr>
              <w:t>全面开通机关查档直通车</w:t>
            </w:r>
          </w:p>
        </w:tc>
        <w:tc>
          <w:tcPr>
            <w:tcW w:w="2340" w:type="dxa"/>
            <w:vAlign w:val="center"/>
          </w:tcPr>
          <w:p>
            <w:pPr>
              <w:spacing w:line="240" w:lineRule="exact"/>
              <w:rPr>
                <w:rFonts w:ascii="宋体" w:cs="楷体_GB2312"/>
                <w:szCs w:val="21"/>
              </w:rPr>
            </w:pPr>
            <w:r>
              <w:rPr>
                <w:rFonts w:hint="eastAsia" w:ascii="宋体" w:hAnsi="宋体" w:cs="楷体_GB2312"/>
                <w:szCs w:val="21"/>
              </w:rPr>
              <w:t>创建国家级数字档案馆</w:t>
            </w:r>
          </w:p>
        </w:tc>
        <w:tc>
          <w:tcPr>
            <w:tcW w:w="2700" w:type="dxa"/>
            <w:vAlign w:val="center"/>
          </w:tcPr>
          <w:p>
            <w:pPr>
              <w:spacing w:line="240" w:lineRule="exact"/>
              <w:rPr>
                <w:rFonts w:ascii="宋体" w:cs="楷体_GB2312"/>
                <w:szCs w:val="21"/>
              </w:rPr>
            </w:pPr>
            <w:r>
              <w:rPr>
                <w:rFonts w:hint="eastAsia" w:ascii="宋体" w:hAnsi="宋体" w:cs="楷体_GB2312"/>
                <w:szCs w:val="21"/>
              </w:rPr>
              <w:t>创建全国示范数字档案馆</w:t>
            </w:r>
          </w:p>
        </w:tc>
        <w:tc>
          <w:tcPr>
            <w:tcW w:w="2700" w:type="dxa"/>
            <w:vAlign w:val="center"/>
          </w:tcPr>
          <w:p>
            <w:pPr>
              <w:spacing w:line="240" w:lineRule="exact"/>
              <w:rPr>
                <w:rFonts w:ascii="宋体" w:cs="楷体_GB2312"/>
                <w:szCs w:val="21"/>
              </w:rPr>
            </w:pPr>
            <w:r>
              <w:rPr>
                <w:rFonts w:hint="eastAsia" w:ascii="宋体" w:hAnsi="宋体" w:cs="楷体_GB2312"/>
                <w:szCs w:val="21"/>
              </w:rPr>
              <w:t>创成档案工作数字化转型先行区</w:t>
            </w:r>
          </w:p>
        </w:tc>
        <w:tc>
          <w:tcPr>
            <w:tcW w:w="2356" w:type="dxa"/>
            <w:vAlign w:val="center"/>
          </w:tcPr>
          <w:p>
            <w:pPr>
              <w:spacing w:line="240" w:lineRule="exact"/>
              <w:rPr>
                <w:rFonts w:ascii="宋体"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天台县</w:t>
            </w:r>
          </w:p>
        </w:tc>
        <w:tc>
          <w:tcPr>
            <w:tcW w:w="2678" w:type="dxa"/>
            <w:vAlign w:val="center"/>
          </w:tcPr>
          <w:p>
            <w:pPr>
              <w:spacing w:line="240" w:lineRule="exact"/>
              <w:rPr>
                <w:rFonts w:ascii="宋体" w:cs="楷体_GB2312"/>
                <w:szCs w:val="21"/>
              </w:rPr>
            </w:pPr>
            <w:r>
              <w:rPr>
                <w:rFonts w:hint="eastAsia" w:ascii="宋体" w:cs="楷体_GB2312"/>
                <w:szCs w:val="21"/>
              </w:rPr>
              <w:t>全面开通机关查档直通车</w:t>
            </w:r>
          </w:p>
        </w:tc>
        <w:tc>
          <w:tcPr>
            <w:tcW w:w="234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r>
              <w:rPr>
                <w:rFonts w:hint="eastAsia" w:ascii="宋体" w:hAnsi="宋体" w:cs="楷体_GB2312"/>
                <w:szCs w:val="21"/>
              </w:rPr>
              <w:t>创建国家级数字档案馆</w:t>
            </w:r>
          </w:p>
        </w:tc>
        <w:tc>
          <w:tcPr>
            <w:tcW w:w="2700" w:type="dxa"/>
            <w:vAlign w:val="center"/>
          </w:tcPr>
          <w:p>
            <w:pPr>
              <w:spacing w:line="240" w:lineRule="exact"/>
              <w:rPr>
                <w:rFonts w:ascii="宋体" w:cs="楷体_GB2312"/>
                <w:szCs w:val="21"/>
              </w:rPr>
            </w:pPr>
          </w:p>
        </w:tc>
        <w:tc>
          <w:tcPr>
            <w:tcW w:w="2356" w:type="dxa"/>
            <w:vAlign w:val="center"/>
          </w:tcPr>
          <w:p>
            <w:pPr>
              <w:spacing w:line="240" w:lineRule="exact"/>
              <w:rPr>
                <w:rFonts w:ascii="宋体"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仙居县</w:t>
            </w:r>
          </w:p>
        </w:tc>
        <w:tc>
          <w:tcPr>
            <w:tcW w:w="2678" w:type="dxa"/>
            <w:vAlign w:val="center"/>
          </w:tcPr>
          <w:p>
            <w:pPr>
              <w:spacing w:line="240" w:lineRule="exact"/>
              <w:rPr>
                <w:rFonts w:ascii="宋体" w:cs="楷体_GB2312"/>
                <w:szCs w:val="21"/>
              </w:rPr>
            </w:pPr>
            <w:r>
              <w:rPr>
                <w:rFonts w:hint="eastAsia" w:ascii="宋体" w:cs="楷体_GB2312"/>
                <w:szCs w:val="21"/>
              </w:rPr>
              <w:t>全面开通机关查档直通车</w:t>
            </w:r>
          </w:p>
        </w:tc>
        <w:tc>
          <w:tcPr>
            <w:tcW w:w="234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r>
              <w:rPr>
                <w:rFonts w:hint="eastAsia" w:ascii="宋体" w:cs="楷体_GB2312"/>
                <w:szCs w:val="21"/>
              </w:rPr>
              <w:t>建成非遗数字记忆体验馆</w:t>
            </w:r>
          </w:p>
        </w:tc>
        <w:tc>
          <w:tcPr>
            <w:tcW w:w="2700" w:type="dxa"/>
            <w:vAlign w:val="center"/>
          </w:tcPr>
          <w:p>
            <w:pPr>
              <w:spacing w:line="240" w:lineRule="exact"/>
              <w:rPr>
                <w:rFonts w:ascii="宋体" w:cs="楷体_GB2312"/>
                <w:szCs w:val="21"/>
              </w:rPr>
            </w:pPr>
            <w:r>
              <w:rPr>
                <w:rFonts w:hint="eastAsia" w:ascii="宋体" w:hAnsi="宋体" w:cs="楷体_GB2312"/>
                <w:szCs w:val="21"/>
              </w:rPr>
              <w:t>创建国家级数字档案馆</w:t>
            </w:r>
          </w:p>
        </w:tc>
        <w:tc>
          <w:tcPr>
            <w:tcW w:w="2356" w:type="dxa"/>
            <w:vAlign w:val="center"/>
          </w:tcPr>
          <w:p>
            <w:pPr>
              <w:spacing w:line="240" w:lineRule="exact"/>
              <w:rPr>
                <w:rFonts w:ascii="宋体"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50" w:type="dxa"/>
            <w:vAlign w:val="center"/>
          </w:tcPr>
          <w:p>
            <w:pPr>
              <w:spacing w:line="240" w:lineRule="exact"/>
              <w:jc w:val="center"/>
              <w:rPr>
                <w:rFonts w:ascii="宋体" w:cs="楷体_GB2312"/>
                <w:szCs w:val="21"/>
              </w:rPr>
            </w:pPr>
            <w:r>
              <w:rPr>
                <w:rFonts w:hint="eastAsia" w:ascii="宋体" w:hAnsi="宋体" w:cs="楷体_GB2312"/>
                <w:szCs w:val="21"/>
              </w:rPr>
              <w:t>三门县</w:t>
            </w:r>
          </w:p>
        </w:tc>
        <w:tc>
          <w:tcPr>
            <w:tcW w:w="2678" w:type="dxa"/>
            <w:vAlign w:val="center"/>
          </w:tcPr>
          <w:p>
            <w:pPr>
              <w:spacing w:line="240" w:lineRule="exact"/>
              <w:rPr>
                <w:rFonts w:ascii="宋体" w:cs="楷体_GB2312"/>
                <w:szCs w:val="21"/>
              </w:rPr>
            </w:pPr>
            <w:r>
              <w:rPr>
                <w:rFonts w:hint="eastAsia" w:ascii="宋体" w:cs="楷体_GB2312"/>
                <w:szCs w:val="21"/>
              </w:rPr>
              <w:t>全面开通机关查档直通车</w:t>
            </w:r>
          </w:p>
        </w:tc>
        <w:tc>
          <w:tcPr>
            <w:tcW w:w="234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p>
        </w:tc>
        <w:tc>
          <w:tcPr>
            <w:tcW w:w="2700" w:type="dxa"/>
            <w:vAlign w:val="center"/>
          </w:tcPr>
          <w:p>
            <w:pPr>
              <w:spacing w:line="240" w:lineRule="exact"/>
              <w:rPr>
                <w:rFonts w:ascii="宋体" w:cs="楷体_GB2312"/>
                <w:szCs w:val="21"/>
              </w:rPr>
            </w:pPr>
            <w:r>
              <w:rPr>
                <w:rFonts w:hint="eastAsia" w:ascii="宋体" w:hAnsi="宋体" w:cs="楷体_GB2312"/>
                <w:szCs w:val="21"/>
              </w:rPr>
              <w:t>创建国家级数字档案馆</w:t>
            </w:r>
          </w:p>
        </w:tc>
        <w:tc>
          <w:tcPr>
            <w:tcW w:w="2356" w:type="dxa"/>
            <w:vAlign w:val="center"/>
          </w:tcPr>
          <w:p>
            <w:pPr>
              <w:spacing w:line="240" w:lineRule="exact"/>
              <w:rPr>
                <w:rFonts w:ascii="宋体" w:cs="楷体_GB2312"/>
                <w:szCs w:val="21"/>
              </w:rPr>
            </w:pPr>
          </w:p>
        </w:tc>
      </w:tr>
    </w:tbl>
    <w:p>
      <w:pPr>
        <w:adjustRightInd w:val="0"/>
        <w:snapToGrid w:val="0"/>
        <w:spacing w:line="600" w:lineRule="exact"/>
        <w:jc w:val="center"/>
        <w:rPr>
          <w:rFonts w:ascii="方正小标宋简体" w:eastAsia="方正小标宋简体"/>
          <w:bCs/>
          <w:color w:val="000000"/>
          <w:sz w:val="44"/>
          <w:szCs w:val="44"/>
        </w:rPr>
      </w:pPr>
    </w:p>
    <w:p>
      <w:pPr>
        <w:adjustRightInd w:val="0"/>
        <w:snapToGrid w:val="0"/>
        <w:spacing w:line="600" w:lineRule="exact"/>
        <w:rPr>
          <w:rFonts w:ascii="黑体" w:hAnsi="黑体" w:eastAsia="黑体"/>
          <w:bCs/>
          <w:color w:val="000000"/>
          <w:sz w:val="32"/>
          <w:szCs w:val="32"/>
        </w:rPr>
      </w:pPr>
    </w:p>
    <w:p>
      <w:pPr>
        <w:adjustRightInd w:val="0"/>
        <w:snapToGrid w:val="0"/>
        <w:spacing w:line="600" w:lineRule="exact"/>
        <w:rPr>
          <w:rFonts w:ascii="方正小标宋简体" w:eastAsia="方正小标宋简体"/>
          <w:bCs/>
          <w:color w:val="000000"/>
          <w:sz w:val="44"/>
          <w:szCs w:val="44"/>
        </w:rPr>
      </w:pPr>
      <w:r>
        <w:rPr>
          <w:rFonts w:hint="eastAsia" w:ascii="黑体" w:hAnsi="黑体" w:eastAsia="黑体"/>
          <w:bCs/>
          <w:color w:val="000000"/>
          <w:sz w:val="32"/>
          <w:szCs w:val="32"/>
        </w:rPr>
        <w:t>附件</w:t>
      </w:r>
      <w:r>
        <w:rPr>
          <w:rFonts w:ascii="黑体" w:hAnsi="黑体" w:eastAsia="黑体"/>
          <w:bCs/>
          <w:color w:val="000000"/>
          <w:sz w:val="32"/>
          <w:szCs w:val="32"/>
        </w:rPr>
        <w:t>2</w:t>
      </w:r>
    </w:p>
    <w:p>
      <w:pPr>
        <w:adjustRightInd w:val="0"/>
        <w:snapToGrid w:val="0"/>
        <w:spacing w:line="60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省级数字档案室建设规划表</w:t>
      </w:r>
    </w:p>
    <w:p>
      <w:pPr>
        <w:spacing w:line="240" w:lineRule="exact"/>
        <w:jc w:val="right"/>
        <w:rPr>
          <w:rFonts w:ascii="宋体"/>
          <w:szCs w:val="21"/>
        </w:rPr>
      </w:pPr>
    </w:p>
    <w:tbl>
      <w:tblPr>
        <w:tblStyle w:val="6"/>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53"/>
        <w:gridCol w:w="853"/>
        <w:gridCol w:w="853"/>
        <w:gridCol w:w="853"/>
        <w:gridCol w:w="853"/>
        <w:gridCol w:w="853"/>
        <w:gridCol w:w="853"/>
        <w:gridCol w:w="853"/>
        <w:gridCol w:w="853"/>
        <w:gridCol w:w="853"/>
        <w:gridCol w:w="853"/>
        <w:gridCol w:w="854"/>
        <w:gridCol w:w="854"/>
        <w:gridCol w:w="85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Merge w:val="restart"/>
            <w:vAlign w:val="center"/>
          </w:tcPr>
          <w:p>
            <w:pPr>
              <w:spacing w:line="240" w:lineRule="exact"/>
              <w:jc w:val="center"/>
              <w:rPr>
                <w:rFonts w:ascii="宋体" w:cs="楷体_GB2312"/>
                <w:b/>
                <w:szCs w:val="21"/>
              </w:rPr>
            </w:pPr>
          </w:p>
        </w:tc>
        <w:tc>
          <w:tcPr>
            <w:tcW w:w="2559" w:type="dxa"/>
            <w:gridSpan w:val="3"/>
            <w:vAlign w:val="center"/>
          </w:tcPr>
          <w:p>
            <w:pPr>
              <w:spacing w:line="240" w:lineRule="exact"/>
              <w:jc w:val="center"/>
              <w:rPr>
                <w:rFonts w:ascii="宋体" w:cs="楷体_GB2312"/>
                <w:b/>
                <w:szCs w:val="21"/>
              </w:rPr>
            </w:pPr>
            <w:r>
              <w:rPr>
                <w:rFonts w:ascii="宋体" w:hAnsi="宋体" w:cs="楷体_GB2312"/>
                <w:b/>
                <w:szCs w:val="21"/>
              </w:rPr>
              <w:t>2021</w:t>
            </w:r>
            <w:r>
              <w:rPr>
                <w:rFonts w:hint="eastAsia" w:ascii="宋体" w:hAnsi="宋体" w:cs="楷体_GB2312"/>
                <w:b/>
                <w:szCs w:val="21"/>
              </w:rPr>
              <w:t>年</w:t>
            </w:r>
          </w:p>
        </w:tc>
        <w:tc>
          <w:tcPr>
            <w:tcW w:w="2559" w:type="dxa"/>
            <w:gridSpan w:val="3"/>
            <w:vAlign w:val="center"/>
          </w:tcPr>
          <w:p>
            <w:pPr>
              <w:spacing w:line="240" w:lineRule="exact"/>
              <w:jc w:val="center"/>
              <w:rPr>
                <w:rFonts w:ascii="宋体" w:cs="楷体_GB2312"/>
                <w:b/>
                <w:szCs w:val="21"/>
              </w:rPr>
            </w:pPr>
            <w:r>
              <w:rPr>
                <w:rFonts w:ascii="宋体" w:hAnsi="宋体" w:cs="楷体_GB2312"/>
                <w:b/>
                <w:szCs w:val="21"/>
              </w:rPr>
              <w:t>2022</w:t>
            </w:r>
            <w:r>
              <w:rPr>
                <w:rFonts w:hint="eastAsia" w:ascii="宋体" w:hAnsi="宋体" w:cs="楷体_GB2312"/>
                <w:b/>
                <w:szCs w:val="21"/>
              </w:rPr>
              <w:t>年</w:t>
            </w:r>
          </w:p>
        </w:tc>
        <w:tc>
          <w:tcPr>
            <w:tcW w:w="2559" w:type="dxa"/>
            <w:gridSpan w:val="3"/>
            <w:vAlign w:val="center"/>
          </w:tcPr>
          <w:p>
            <w:pPr>
              <w:spacing w:line="240" w:lineRule="exact"/>
              <w:jc w:val="center"/>
              <w:rPr>
                <w:rFonts w:ascii="宋体" w:cs="楷体_GB2312"/>
                <w:b/>
                <w:szCs w:val="21"/>
              </w:rPr>
            </w:pPr>
            <w:r>
              <w:rPr>
                <w:rFonts w:ascii="宋体" w:hAnsi="宋体" w:cs="楷体_GB2312"/>
                <w:b/>
                <w:szCs w:val="21"/>
              </w:rPr>
              <w:t>2023</w:t>
            </w:r>
            <w:r>
              <w:rPr>
                <w:rFonts w:hint="eastAsia" w:ascii="宋体" w:hAnsi="宋体" w:cs="楷体_GB2312"/>
                <w:b/>
                <w:szCs w:val="21"/>
              </w:rPr>
              <w:t>年</w:t>
            </w:r>
          </w:p>
        </w:tc>
        <w:tc>
          <w:tcPr>
            <w:tcW w:w="2560" w:type="dxa"/>
            <w:gridSpan w:val="3"/>
            <w:vAlign w:val="center"/>
          </w:tcPr>
          <w:p>
            <w:pPr>
              <w:spacing w:line="240" w:lineRule="exact"/>
              <w:jc w:val="center"/>
              <w:rPr>
                <w:rFonts w:ascii="宋体" w:cs="楷体_GB2312"/>
                <w:b/>
                <w:szCs w:val="21"/>
              </w:rPr>
            </w:pPr>
            <w:r>
              <w:rPr>
                <w:rFonts w:ascii="宋体" w:hAnsi="宋体" w:cs="楷体_GB2312"/>
                <w:b/>
                <w:szCs w:val="21"/>
              </w:rPr>
              <w:t>2024</w:t>
            </w:r>
            <w:r>
              <w:rPr>
                <w:rFonts w:hint="eastAsia" w:ascii="宋体" w:hAnsi="宋体" w:cs="楷体_GB2312"/>
                <w:b/>
                <w:szCs w:val="21"/>
              </w:rPr>
              <w:t>年</w:t>
            </w:r>
          </w:p>
        </w:tc>
        <w:tc>
          <w:tcPr>
            <w:tcW w:w="2562" w:type="dxa"/>
            <w:gridSpan w:val="3"/>
            <w:vAlign w:val="center"/>
          </w:tcPr>
          <w:p>
            <w:pPr>
              <w:spacing w:line="240" w:lineRule="exact"/>
              <w:jc w:val="center"/>
              <w:rPr>
                <w:rFonts w:ascii="宋体" w:cs="楷体_GB2312"/>
                <w:b/>
                <w:szCs w:val="21"/>
              </w:rPr>
            </w:pPr>
            <w:r>
              <w:rPr>
                <w:rFonts w:ascii="宋体" w:hAnsi="宋体" w:cs="楷体_GB2312"/>
                <w:b/>
                <w:szCs w:val="21"/>
              </w:rPr>
              <w:t>2025</w:t>
            </w:r>
            <w:r>
              <w:rPr>
                <w:rFonts w:hint="eastAsia" w:ascii="宋体" w:hAnsi="宋体" w:cs="楷体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Merge w:val="continue"/>
            <w:vAlign w:val="center"/>
          </w:tcPr>
          <w:p>
            <w:pPr>
              <w:spacing w:line="240" w:lineRule="exact"/>
              <w:jc w:val="center"/>
              <w:rPr>
                <w:rFonts w:ascii="宋体" w:cs="楷体_GB2312"/>
                <w:b/>
                <w:szCs w:val="21"/>
              </w:rPr>
            </w:pP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合计</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示范</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规范</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合计</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示范</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规范</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合计</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示范</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规范</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合计</w:t>
            </w:r>
          </w:p>
        </w:tc>
        <w:tc>
          <w:tcPr>
            <w:tcW w:w="853" w:type="dxa"/>
            <w:vAlign w:val="center"/>
          </w:tcPr>
          <w:p>
            <w:pPr>
              <w:spacing w:line="240" w:lineRule="exact"/>
              <w:jc w:val="center"/>
              <w:rPr>
                <w:rFonts w:ascii="宋体" w:cs="楷体_GB2312"/>
                <w:b/>
                <w:szCs w:val="21"/>
              </w:rPr>
            </w:pPr>
            <w:r>
              <w:rPr>
                <w:rFonts w:hint="eastAsia" w:ascii="宋体" w:hAnsi="宋体" w:cs="楷体_GB2312"/>
                <w:b/>
                <w:szCs w:val="21"/>
              </w:rPr>
              <w:t>示范</w:t>
            </w:r>
          </w:p>
        </w:tc>
        <w:tc>
          <w:tcPr>
            <w:tcW w:w="854" w:type="dxa"/>
            <w:vAlign w:val="center"/>
          </w:tcPr>
          <w:p>
            <w:pPr>
              <w:spacing w:line="240" w:lineRule="exact"/>
              <w:jc w:val="center"/>
              <w:rPr>
                <w:rFonts w:ascii="宋体" w:cs="楷体_GB2312"/>
                <w:b/>
                <w:szCs w:val="21"/>
              </w:rPr>
            </w:pPr>
            <w:r>
              <w:rPr>
                <w:rFonts w:hint="eastAsia" w:ascii="宋体" w:hAnsi="宋体" w:cs="楷体_GB2312"/>
                <w:b/>
                <w:szCs w:val="21"/>
              </w:rPr>
              <w:t>规范</w:t>
            </w:r>
          </w:p>
        </w:tc>
        <w:tc>
          <w:tcPr>
            <w:tcW w:w="854" w:type="dxa"/>
            <w:vAlign w:val="center"/>
          </w:tcPr>
          <w:p>
            <w:pPr>
              <w:spacing w:line="240" w:lineRule="exact"/>
              <w:jc w:val="center"/>
              <w:rPr>
                <w:rFonts w:ascii="宋体" w:cs="楷体_GB2312"/>
                <w:b/>
                <w:szCs w:val="21"/>
              </w:rPr>
            </w:pPr>
            <w:r>
              <w:rPr>
                <w:rFonts w:hint="eastAsia" w:ascii="宋体" w:hAnsi="宋体" w:cs="楷体_GB2312"/>
                <w:b/>
                <w:szCs w:val="21"/>
              </w:rPr>
              <w:t>合计</w:t>
            </w:r>
          </w:p>
        </w:tc>
        <w:tc>
          <w:tcPr>
            <w:tcW w:w="854" w:type="dxa"/>
            <w:vAlign w:val="center"/>
          </w:tcPr>
          <w:p>
            <w:pPr>
              <w:spacing w:line="240" w:lineRule="exact"/>
              <w:jc w:val="center"/>
              <w:rPr>
                <w:rFonts w:ascii="宋体" w:cs="楷体_GB2312"/>
                <w:b/>
                <w:szCs w:val="21"/>
              </w:rPr>
            </w:pPr>
            <w:r>
              <w:rPr>
                <w:rFonts w:hint="eastAsia" w:ascii="宋体" w:hAnsi="宋体" w:cs="楷体_GB2312"/>
                <w:b/>
                <w:szCs w:val="21"/>
              </w:rPr>
              <w:t>示范</w:t>
            </w:r>
          </w:p>
        </w:tc>
        <w:tc>
          <w:tcPr>
            <w:tcW w:w="854" w:type="dxa"/>
            <w:vAlign w:val="center"/>
          </w:tcPr>
          <w:p>
            <w:pPr>
              <w:spacing w:line="240" w:lineRule="exact"/>
              <w:jc w:val="center"/>
              <w:rPr>
                <w:rFonts w:ascii="宋体" w:cs="楷体_GB2312"/>
                <w:b/>
                <w:szCs w:val="21"/>
              </w:rPr>
            </w:pPr>
            <w:r>
              <w:rPr>
                <w:rFonts w:hint="eastAsia" w:ascii="宋体" w:hAnsi="宋体" w:cs="楷体_GB2312"/>
                <w:b/>
                <w:szCs w:val="21"/>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市本级</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4</w:t>
            </w:r>
          </w:p>
        </w:tc>
        <w:tc>
          <w:tcPr>
            <w:tcW w:w="853" w:type="dxa"/>
            <w:vAlign w:val="center"/>
          </w:tcPr>
          <w:p>
            <w:pPr>
              <w:spacing w:line="240" w:lineRule="exact"/>
              <w:jc w:val="center"/>
              <w:rPr>
                <w:rFonts w:ascii="宋体" w:cs="楷体_GB2312"/>
                <w:szCs w:val="21"/>
              </w:rPr>
            </w:pPr>
            <w:r>
              <w:rPr>
                <w:rFonts w:ascii="宋体" w:cs="楷体_GB2312"/>
                <w:szCs w:val="21"/>
              </w:rPr>
              <w:t>9</w:t>
            </w:r>
          </w:p>
        </w:tc>
        <w:tc>
          <w:tcPr>
            <w:tcW w:w="853" w:type="dxa"/>
            <w:vAlign w:val="center"/>
          </w:tcPr>
          <w:p>
            <w:pPr>
              <w:spacing w:line="240" w:lineRule="exact"/>
              <w:jc w:val="center"/>
              <w:rPr>
                <w:rFonts w:ascii="宋体" w:cs="楷体_GB2312"/>
                <w:szCs w:val="21"/>
              </w:rPr>
            </w:pPr>
            <w:r>
              <w:rPr>
                <w:rFonts w:ascii="宋体" w:cs="楷体_GB2312"/>
                <w:szCs w:val="21"/>
              </w:rPr>
              <w:t>3</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10</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9</w:t>
            </w:r>
          </w:p>
        </w:tc>
        <w:tc>
          <w:tcPr>
            <w:tcW w:w="853" w:type="dxa"/>
            <w:vAlign w:val="center"/>
          </w:tcPr>
          <w:p>
            <w:pPr>
              <w:spacing w:line="240" w:lineRule="exact"/>
              <w:jc w:val="center"/>
              <w:rPr>
                <w:rFonts w:ascii="宋体" w:cs="楷体_GB2312"/>
                <w:szCs w:val="21"/>
              </w:rPr>
            </w:pPr>
            <w:r>
              <w:rPr>
                <w:rFonts w:ascii="宋体" w:cs="楷体_GB2312"/>
                <w:szCs w:val="21"/>
              </w:rPr>
              <w:t>4</w:t>
            </w:r>
          </w:p>
        </w:tc>
        <w:tc>
          <w:tcPr>
            <w:tcW w:w="854" w:type="dxa"/>
            <w:vAlign w:val="center"/>
          </w:tcPr>
          <w:p>
            <w:pPr>
              <w:spacing w:line="240" w:lineRule="exact"/>
              <w:jc w:val="center"/>
              <w:rPr>
                <w:rFonts w:ascii="宋体" w:cs="楷体_GB2312"/>
                <w:szCs w:val="21"/>
              </w:rPr>
            </w:pPr>
            <w:r>
              <w:rPr>
                <w:rFonts w:ascii="宋体" w:cs="楷体_GB2312"/>
                <w:szCs w:val="21"/>
              </w:rPr>
              <w:t>5</w:t>
            </w:r>
          </w:p>
        </w:tc>
        <w:tc>
          <w:tcPr>
            <w:tcW w:w="854" w:type="dxa"/>
            <w:vAlign w:val="center"/>
          </w:tcPr>
          <w:p>
            <w:pPr>
              <w:spacing w:line="240" w:lineRule="exact"/>
              <w:jc w:val="center"/>
              <w:rPr>
                <w:rFonts w:ascii="宋体" w:cs="楷体_GB2312"/>
                <w:szCs w:val="21"/>
              </w:rPr>
            </w:pPr>
            <w:r>
              <w:rPr>
                <w:rFonts w:ascii="宋体" w:cs="楷体_GB2312"/>
                <w:szCs w:val="21"/>
              </w:rPr>
              <w:t>9</w:t>
            </w:r>
          </w:p>
        </w:tc>
        <w:tc>
          <w:tcPr>
            <w:tcW w:w="854" w:type="dxa"/>
            <w:vAlign w:val="center"/>
          </w:tcPr>
          <w:p>
            <w:pPr>
              <w:spacing w:line="240" w:lineRule="exact"/>
              <w:jc w:val="center"/>
              <w:rPr>
                <w:rFonts w:ascii="宋体" w:cs="楷体_GB2312"/>
                <w:szCs w:val="21"/>
              </w:rPr>
            </w:pPr>
            <w:r>
              <w:rPr>
                <w:rFonts w:ascii="宋体" w:cs="楷体_GB2312"/>
                <w:szCs w:val="21"/>
              </w:rPr>
              <w:t>4</w:t>
            </w:r>
          </w:p>
        </w:tc>
        <w:tc>
          <w:tcPr>
            <w:tcW w:w="854" w:type="dxa"/>
            <w:vAlign w:val="center"/>
          </w:tcPr>
          <w:p>
            <w:pPr>
              <w:spacing w:line="240" w:lineRule="exact"/>
              <w:jc w:val="center"/>
              <w:rPr>
                <w:rFonts w:ascii="宋体" w:cs="楷体_GB2312"/>
                <w:szCs w:val="21"/>
              </w:rPr>
            </w:pPr>
            <w:r>
              <w:rPr>
                <w:rFonts w:ascii="宋体" w:cs="楷体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椒江区</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7</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7</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7</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7</w:t>
            </w:r>
          </w:p>
        </w:tc>
        <w:tc>
          <w:tcPr>
            <w:tcW w:w="854" w:type="dxa"/>
            <w:vAlign w:val="center"/>
          </w:tcPr>
          <w:p>
            <w:pPr>
              <w:spacing w:line="240" w:lineRule="exact"/>
              <w:jc w:val="center"/>
              <w:rPr>
                <w:rFonts w:ascii="宋体" w:cs="楷体_GB2312"/>
                <w:szCs w:val="21"/>
              </w:rPr>
            </w:pPr>
            <w:r>
              <w:rPr>
                <w:rFonts w:ascii="宋体" w:cs="楷体_GB2312"/>
                <w:szCs w:val="21"/>
              </w:rPr>
              <w:t>4</w:t>
            </w:r>
          </w:p>
        </w:tc>
        <w:tc>
          <w:tcPr>
            <w:tcW w:w="854"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黄岩区</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4</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4</w:t>
            </w:r>
          </w:p>
        </w:tc>
        <w:tc>
          <w:tcPr>
            <w:tcW w:w="854" w:type="dxa"/>
            <w:vAlign w:val="center"/>
          </w:tcPr>
          <w:p>
            <w:pPr>
              <w:spacing w:line="240" w:lineRule="exact"/>
              <w:jc w:val="center"/>
              <w:rPr>
                <w:rFonts w:ascii="宋体" w:cs="楷体_GB2312"/>
                <w:szCs w:val="21"/>
              </w:rPr>
            </w:pPr>
            <w:r>
              <w:rPr>
                <w:rFonts w:ascii="宋体" w:cs="楷体_GB2312"/>
                <w:szCs w:val="21"/>
              </w:rPr>
              <w:t>5</w:t>
            </w:r>
          </w:p>
        </w:tc>
        <w:tc>
          <w:tcPr>
            <w:tcW w:w="854"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路桥区</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2</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2</w:t>
            </w:r>
          </w:p>
        </w:tc>
        <w:tc>
          <w:tcPr>
            <w:tcW w:w="853" w:type="dxa"/>
            <w:vAlign w:val="center"/>
          </w:tcPr>
          <w:p>
            <w:pPr>
              <w:spacing w:line="240" w:lineRule="exact"/>
              <w:jc w:val="center"/>
              <w:rPr>
                <w:rFonts w:ascii="宋体" w:cs="楷体_GB2312"/>
                <w:szCs w:val="21"/>
              </w:rPr>
            </w:pPr>
            <w:r>
              <w:rPr>
                <w:rFonts w:ascii="宋体" w:cs="楷体_GB2312"/>
                <w:szCs w:val="21"/>
              </w:rPr>
              <w:t>4</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2</w:t>
            </w:r>
          </w:p>
        </w:tc>
        <w:tc>
          <w:tcPr>
            <w:tcW w:w="853" w:type="dxa"/>
            <w:vAlign w:val="center"/>
          </w:tcPr>
          <w:p>
            <w:pPr>
              <w:spacing w:line="240" w:lineRule="exact"/>
              <w:jc w:val="center"/>
              <w:rPr>
                <w:rFonts w:ascii="宋体" w:cs="楷体_GB2312"/>
                <w:szCs w:val="21"/>
              </w:rPr>
            </w:pPr>
            <w:r>
              <w:rPr>
                <w:rFonts w:ascii="宋体" w:cs="楷体_GB2312"/>
                <w:szCs w:val="21"/>
              </w:rPr>
              <w:t>4</w:t>
            </w:r>
          </w:p>
        </w:tc>
        <w:tc>
          <w:tcPr>
            <w:tcW w:w="853" w:type="dxa"/>
            <w:vAlign w:val="center"/>
          </w:tcPr>
          <w:p>
            <w:pPr>
              <w:spacing w:line="240" w:lineRule="exact"/>
              <w:jc w:val="center"/>
              <w:rPr>
                <w:rFonts w:ascii="宋体" w:cs="楷体_GB2312"/>
                <w:szCs w:val="21"/>
              </w:rPr>
            </w:pPr>
            <w:r>
              <w:rPr>
                <w:rFonts w:ascii="宋体" w:cs="楷体_GB2312"/>
                <w:szCs w:val="21"/>
              </w:rPr>
              <w:t>7</w:t>
            </w:r>
          </w:p>
        </w:tc>
        <w:tc>
          <w:tcPr>
            <w:tcW w:w="853" w:type="dxa"/>
            <w:vAlign w:val="center"/>
          </w:tcPr>
          <w:p>
            <w:pPr>
              <w:spacing w:line="240" w:lineRule="exact"/>
              <w:jc w:val="center"/>
              <w:rPr>
                <w:rFonts w:ascii="宋体" w:cs="楷体_GB2312"/>
                <w:szCs w:val="21"/>
              </w:rPr>
            </w:pPr>
            <w:r>
              <w:rPr>
                <w:rFonts w:ascii="宋体" w:cs="楷体_GB2312"/>
                <w:szCs w:val="21"/>
              </w:rPr>
              <w:t>2</w:t>
            </w:r>
          </w:p>
        </w:tc>
        <w:tc>
          <w:tcPr>
            <w:tcW w:w="854" w:type="dxa"/>
            <w:vAlign w:val="center"/>
          </w:tcPr>
          <w:p>
            <w:pPr>
              <w:spacing w:line="240" w:lineRule="exact"/>
              <w:jc w:val="center"/>
              <w:rPr>
                <w:rFonts w:ascii="宋体" w:cs="楷体_GB2312"/>
                <w:szCs w:val="21"/>
              </w:rPr>
            </w:pPr>
            <w:r>
              <w:rPr>
                <w:rFonts w:ascii="宋体" w:cs="楷体_GB2312"/>
                <w:szCs w:val="21"/>
              </w:rPr>
              <w:t>3</w:t>
            </w:r>
          </w:p>
        </w:tc>
        <w:tc>
          <w:tcPr>
            <w:tcW w:w="854" w:type="dxa"/>
            <w:vAlign w:val="center"/>
          </w:tcPr>
          <w:p>
            <w:pPr>
              <w:spacing w:line="240" w:lineRule="exact"/>
              <w:jc w:val="center"/>
              <w:rPr>
                <w:rFonts w:ascii="宋体" w:cs="楷体_GB2312"/>
                <w:szCs w:val="21"/>
              </w:rPr>
            </w:pPr>
            <w:r>
              <w:rPr>
                <w:rFonts w:ascii="宋体" w:cs="楷体_GB2312"/>
                <w:szCs w:val="21"/>
              </w:rPr>
              <w:t>3</w:t>
            </w:r>
          </w:p>
        </w:tc>
        <w:tc>
          <w:tcPr>
            <w:tcW w:w="854" w:type="dxa"/>
            <w:vAlign w:val="center"/>
          </w:tcPr>
          <w:p>
            <w:pPr>
              <w:spacing w:line="240" w:lineRule="exact"/>
              <w:jc w:val="center"/>
              <w:rPr>
                <w:rFonts w:ascii="宋体" w:cs="楷体_GB2312"/>
                <w:szCs w:val="21"/>
              </w:rPr>
            </w:pPr>
            <w:r>
              <w:rPr>
                <w:rFonts w:ascii="宋体" w:cs="楷体_GB2312"/>
                <w:szCs w:val="21"/>
              </w:rPr>
              <w:t>3</w:t>
            </w:r>
          </w:p>
        </w:tc>
        <w:tc>
          <w:tcPr>
            <w:tcW w:w="854" w:type="dxa"/>
            <w:vAlign w:val="center"/>
          </w:tcPr>
          <w:p>
            <w:pPr>
              <w:spacing w:line="240" w:lineRule="exact"/>
              <w:jc w:val="center"/>
              <w:rPr>
                <w:rFonts w:ascii="宋体" w:cs="楷体_GB2312"/>
                <w:szCs w:val="21"/>
              </w:rPr>
            </w:pPr>
            <w:r>
              <w:rPr>
                <w:rFonts w:ascii="宋体" w:cs="楷体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临海市</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7</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7</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7</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7</w:t>
            </w:r>
          </w:p>
        </w:tc>
        <w:tc>
          <w:tcPr>
            <w:tcW w:w="854" w:type="dxa"/>
            <w:vAlign w:val="center"/>
          </w:tcPr>
          <w:p>
            <w:pPr>
              <w:spacing w:line="240" w:lineRule="exact"/>
              <w:jc w:val="center"/>
              <w:rPr>
                <w:rFonts w:ascii="宋体" w:cs="楷体_GB2312"/>
                <w:szCs w:val="21"/>
              </w:rPr>
            </w:pPr>
            <w:r>
              <w:rPr>
                <w:rFonts w:ascii="宋体" w:cs="楷体_GB2312"/>
                <w:szCs w:val="21"/>
              </w:rPr>
              <w:t>10</w:t>
            </w:r>
          </w:p>
        </w:tc>
        <w:tc>
          <w:tcPr>
            <w:tcW w:w="854"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温岭市</w:t>
            </w:r>
          </w:p>
        </w:tc>
        <w:tc>
          <w:tcPr>
            <w:tcW w:w="853" w:type="dxa"/>
            <w:vAlign w:val="center"/>
          </w:tcPr>
          <w:p>
            <w:pPr>
              <w:spacing w:line="240" w:lineRule="exact"/>
              <w:jc w:val="center"/>
              <w:rPr>
                <w:rFonts w:ascii="宋体"/>
              </w:rPr>
            </w:pPr>
            <w:r>
              <w:rPr>
                <w:rFonts w:ascii="宋体"/>
              </w:rPr>
              <w:t>11</w:t>
            </w:r>
          </w:p>
        </w:tc>
        <w:tc>
          <w:tcPr>
            <w:tcW w:w="853" w:type="dxa"/>
            <w:vAlign w:val="center"/>
          </w:tcPr>
          <w:p>
            <w:pPr>
              <w:spacing w:line="240" w:lineRule="exact"/>
              <w:jc w:val="center"/>
              <w:rPr>
                <w:rFonts w:ascii="宋体"/>
              </w:rPr>
            </w:pPr>
            <w:r>
              <w:rPr>
                <w:rFonts w:ascii="宋体" w:cs="宋体"/>
              </w:rPr>
              <w:t>1</w:t>
            </w:r>
          </w:p>
        </w:tc>
        <w:tc>
          <w:tcPr>
            <w:tcW w:w="853" w:type="dxa"/>
            <w:vAlign w:val="center"/>
          </w:tcPr>
          <w:p>
            <w:pPr>
              <w:spacing w:line="240" w:lineRule="exact"/>
              <w:jc w:val="center"/>
              <w:rPr>
                <w:rFonts w:ascii="宋体"/>
              </w:rPr>
            </w:pPr>
            <w:r>
              <w:rPr>
                <w:rFonts w:ascii="宋体" w:cs="宋体"/>
              </w:rPr>
              <w:t>10</w:t>
            </w:r>
          </w:p>
        </w:tc>
        <w:tc>
          <w:tcPr>
            <w:tcW w:w="853" w:type="dxa"/>
            <w:vAlign w:val="center"/>
          </w:tcPr>
          <w:p>
            <w:pPr>
              <w:spacing w:line="240" w:lineRule="exact"/>
              <w:jc w:val="center"/>
              <w:rPr>
                <w:rFonts w:ascii="宋体"/>
              </w:rPr>
            </w:pPr>
            <w:r>
              <w:rPr>
                <w:rFonts w:ascii="宋体"/>
              </w:rPr>
              <w:t>11</w:t>
            </w:r>
          </w:p>
        </w:tc>
        <w:tc>
          <w:tcPr>
            <w:tcW w:w="853" w:type="dxa"/>
            <w:vAlign w:val="center"/>
          </w:tcPr>
          <w:p>
            <w:pPr>
              <w:spacing w:line="240" w:lineRule="exact"/>
              <w:jc w:val="center"/>
              <w:rPr>
                <w:rFonts w:ascii="宋体"/>
              </w:rPr>
            </w:pPr>
            <w:r>
              <w:rPr>
                <w:rFonts w:ascii="宋体" w:cs="宋体"/>
              </w:rPr>
              <w:t>1</w:t>
            </w:r>
          </w:p>
        </w:tc>
        <w:tc>
          <w:tcPr>
            <w:tcW w:w="853" w:type="dxa"/>
            <w:vAlign w:val="center"/>
          </w:tcPr>
          <w:p>
            <w:pPr>
              <w:spacing w:line="240" w:lineRule="exact"/>
              <w:jc w:val="center"/>
              <w:rPr>
                <w:rFonts w:ascii="宋体"/>
              </w:rPr>
            </w:pPr>
            <w:r>
              <w:rPr>
                <w:rFonts w:ascii="宋体" w:cs="宋体"/>
              </w:rPr>
              <w:t>10</w:t>
            </w:r>
          </w:p>
        </w:tc>
        <w:tc>
          <w:tcPr>
            <w:tcW w:w="853" w:type="dxa"/>
            <w:vAlign w:val="center"/>
          </w:tcPr>
          <w:p>
            <w:pPr>
              <w:spacing w:line="240" w:lineRule="exact"/>
              <w:jc w:val="center"/>
              <w:rPr>
                <w:rFonts w:ascii="宋体"/>
              </w:rPr>
            </w:pPr>
            <w:r>
              <w:rPr>
                <w:rFonts w:ascii="宋体"/>
              </w:rPr>
              <w:t>11</w:t>
            </w:r>
          </w:p>
        </w:tc>
        <w:tc>
          <w:tcPr>
            <w:tcW w:w="853" w:type="dxa"/>
            <w:vAlign w:val="center"/>
          </w:tcPr>
          <w:p>
            <w:pPr>
              <w:spacing w:line="240" w:lineRule="exact"/>
              <w:jc w:val="center"/>
              <w:rPr>
                <w:rFonts w:ascii="宋体"/>
              </w:rPr>
            </w:pPr>
            <w:r>
              <w:rPr>
                <w:rFonts w:ascii="宋体" w:cs="宋体"/>
              </w:rPr>
              <w:t>1</w:t>
            </w:r>
          </w:p>
        </w:tc>
        <w:tc>
          <w:tcPr>
            <w:tcW w:w="853" w:type="dxa"/>
            <w:vAlign w:val="center"/>
          </w:tcPr>
          <w:p>
            <w:pPr>
              <w:spacing w:line="240" w:lineRule="exact"/>
              <w:jc w:val="center"/>
              <w:rPr>
                <w:rFonts w:ascii="宋体"/>
              </w:rPr>
            </w:pPr>
            <w:r>
              <w:rPr>
                <w:rFonts w:ascii="宋体" w:cs="宋体"/>
              </w:rPr>
              <w:t>10</w:t>
            </w:r>
          </w:p>
        </w:tc>
        <w:tc>
          <w:tcPr>
            <w:tcW w:w="853" w:type="dxa"/>
            <w:vAlign w:val="center"/>
          </w:tcPr>
          <w:p>
            <w:pPr>
              <w:spacing w:line="240" w:lineRule="exact"/>
              <w:jc w:val="center"/>
              <w:rPr>
                <w:rFonts w:ascii="宋体"/>
              </w:rPr>
            </w:pPr>
            <w:r>
              <w:rPr>
                <w:rFonts w:ascii="宋体"/>
              </w:rPr>
              <w:t>11</w:t>
            </w:r>
          </w:p>
        </w:tc>
        <w:tc>
          <w:tcPr>
            <w:tcW w:w="853" w:type="dxa"/>
            <w:vAlign w:val="center"/>
          </w:tcPr>
          <w:p>
            <w:pPr>
              <w:spacing w:line="240" w:lineRule="exact"/>
              <w:jc w:val="center"/>
              <w:rPr>
                <w:rFonts w:ascii="宋体"/>
              </w:rPr>
            </w:pPr>
            <w:r>
              <w:rPr>
                <w:rFonts w:ascii="宋体" w:cs="宋体"/>
              </w:rPr>
              <w:t>1</w:t>
            </w:r>
          </w:p>
        </w:tc>
        <w:tc>
          <w:tcPr>
            <w:tcW w:w="854" w:type="dxa"/>
            <w:vAlign w:val="center"/>
          </w:tcPr>
          <w:p>
            <w:pPr>
              <w:spacing w:line="240" w:lineRule="exact"/>
              <w:jc w:val="center"/>
              <w:rPr>
                <w:rFonts w:ascii="宋体"/>
              </w:rPr>
            </w:pPr>
            <w:r>
              <w:rPr>
                <w:rFonts w:ascii="宋体" w:cs="宋体"/>
              </w:rPr>
              <w:t>10</w:t>
            </w:r>
          </w:p>
        </w:tc>
        <w:tc>
          <w:tcPr>
            <w:tcW w:w="854" w:type="dxa"/>
            <w:vAlign w:val="center"/>
          </w:tcPr>
          <w:p>
            <w:pPr>
              <w:spacing w:line="240" w:lineRule="exact"/>
              <w:jc w:val="center"/>
              <w:rPr>
                <w:rFonts w:ascii="宋体"/>
              </w:rPr>
            </w:pPr>
            <w:r>
              <w:rPr>
                <w:rFonts w:ascii="宋体"/>
              </w:rPr>
              <w:t>16</w:t>
            </w:r>
          </w:p>
        </w:tc>
        <w:tc>
          <w:tcPr>
            <w:tcW w:w="854" w:type="dxa"/>
            <w:vAlign w:val="center"/>
          </w:tcPr>
          <w:p>
            <w:pPr>
              <w:spacing w:line="240" w:lineRule="exact"/>
              <w:jc w:val="center"/>
              <w:rPr>
                <w:rFonts w:ascii="宋体"/>
              </w:rPr>
            </w:pPr>
            <w:r>
              <w:rPr>
                <w:rFonts w:ascii="宋体" w:cs="宋体"/>
              </w:rPr>
              <w:t>1</w:t>
            </w:r>
          </w:p>
        </w:tc>
        <w:tc>
          <w:tcPr>
            <w:tcW w:w="854" w:type="dxa"/>
            <w:vAlign w:val="center"/>
          </w:tcPr>
          <w:p>
            <w:pPr>
              <w:spacing w:line="240" w:lineRule="exact"/>
              <w:jc w:val="center"/>
              <w:rPr>
                <w:rFonts w:ascii="宋体"/>
              </w:rPr>
            </w:pPr>
            <w:r>
              <w:rPr>
                <w:rFonts w:asci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玉环市</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4</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7</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6</w:t>
            </w:r>
          </w:p>
        </w:tc>
        <w:tc>
          <w:tcPr>
            <w:tcW w:w="854" w:type="dxa"/>
            <w:vAlign w:val="center"/>
          </w:tcPr>
          <w:p>
            <w:pPr>
              <w:spacing w:line="240" w:lineRule="exact"/>
              <w:jc w:val="center"/>
              <w:rPr>
                <w:rFonts w:ascii="宋体" w:cs="楷体_GB2312"/>
                <w:szCs w:val="21"/>
              </w:rPr>
            </w:pPr>
            <w:r>
              <w:rPr>
                <w:rFonts w:ascii="宋体" w:cs="楷体_GB2312"/>
                <w:szCs w:val="21"/>
              </w:rPr>
              <w:t>8</w:t>
            </w:r>
          </w:p>
        </w:tc>
        <w:tc>
          <w:tcPr>
            <w:tcW w:w="854"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天台县</w:t>
            </w:r>
          </w:p>
        </w:tc>
        <w:tc>
          <w:tcPr>
            <w:tcW w:w="853" w:type="dxa"/>
            <w:vAlign w:val="center"/>
          </w:tcPr>
          <w:p>
            <w:pPr>
              <w:spacing w:line="240" w:lineRule="exact"/>
              <w:jc w:val="center"/>
              <w:rPr>
                <w:rFonts w:ascii="宋体" w:cs="楷体_GB2312"/>
                <w:szCs w:val="21"/>
              </w:rPr>
            </w:pPr>
            <w:r>
              <w:rPr>
                <w:rFonts w:ascii="宋体" w:cs="楷体_GB2312"/>
                <w:szCs w:val="21"/>
              </w:rPr>
              <w:t>9</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9</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9</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9</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8</w:t>
            </w:r>
          </w:p>
        </w:tc>
        <w:tc>
          <w:tcPr>
            <w:tcW w:w="854" w:type="dxa"/>
            <w:vAlign w:val="center"/>
          </w:tcPr>
          <w:p>
            <w:pPr>
              <w:spacing w:line="240" w:lineRule="exact"/>
              <w:jc w:val="center"/>
              <w:rPr>
                <w:rFonts w:ascii="宋体" w:cs="楷体_GB2312"/>
                <w:szCs w:val="21"/>
              </w:rPr>
            </w:pPr>
            <w:r>
              <w:rPr>
                <w:rFonts w:ascii="宋体" w:cs="楷体_GB2312"/>
                <w:szCs w:val="21"/>
              </w:rPr>
              <w:t>6</w:t>
            </w:r>
          </w:p>
        </w:tc>
        <w:tc>
          <w:tcPr>
            <w:tcW w:w="854"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仙居县</w:t>
            </w:r>
          </w:p>
        </w:tc>
        <w:tc>
          <w:tcPr>
            <w:tcW w:w="853" w:type="dxa"/>
            <w:vAlign w:val="center"/>
          </w:tcPr>
          <w:p>
            <w:pPr>
              <w:spacing w:line="240" w:lineRule="exact"/>
              <w:jc w:val="center"/>
              <w:rPr>
                <w:rFonts w:ascii="宋体" w:cs="楷体_GB2312"/>
                <w:szCs w:val="21"/>
              </w:rPr>
            </w:pPr>
            <w:r>
              <w:rPr>
                <w:rFonts w:ascii="宋体" w:cs="楷体_GB2312"/>
                <w:szCs w:val="21"/>
              </w:rPr>
              <w:t>10</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9</w:t>
            </w:r>
          </w:p>
        </w:tc>
        <w:tc>
          <w:tcPr>
            <w:tcW w:w="853" w:type="dxa"/>
            <w:vAlign w:val="center"/>
          </w:tcPr>
          <w:p>
            <w:pPr>
              <w:spacing w:line="240" w:lineRule="exact"/>
              <w:jc w:val="center"/>
              <w:rPr>
                <w:rFonts w:ascii="宋体" w:cs="楷体_GB2312"/>
                <w:szCs w:val="21"/>
              </w:rPr>
            </w:pPr>
            <w:r>
              <w:rPr>
                <w:rFonts w:ascii="宋体" w:cs="楷体_GB2312"/>
                <w:szCs w:val="21"/>
              </w:rPr>
              <w:t>20</w:t>
            </w:r>
          </w:p>
        </w:tc>
        <w:tc>
          <w:tcPr>
            <w:tcW w:w="853" w:type="dxa"/>
            <w:vAlign w:val="center"/>
          </w:tcPr>
          <w:p>
            <w:pPr>
              <w:spacing w:line="240" w:lineRule="exact"/>
              <w:jc w:val="center"/>
              <w:rPr>
                <w:rFonts w:ascii="宋体" w:cs="楷体_GB2312"/>
                <w:szCs w:val="21"/>
              </w:rPr>
            </w:pPr>
            <w:r>
              <w:rPr>
                <w:rFonts w:ascii="宋体" w:cs="楷体_GB2312"/>
                <w:szCs w:val="21"/>
              </w:rPr>
              <w:t>2</w:t>
            </w:r>
          </w:p>
        </w:tc>
        <w:tc>
          <w:tcPr>
            <w:tcW w:w="853" w:type="dxa"/>
            <w:vAlign w:val="center"/>
          </w:tcPr>
          <w:p>
            <w:pPr>
              <w:spacing w:line="240" w:lineRule="exact"/>
              <w:jc w:val="center"/>
              <w:rPr>
                <w:rFonts w:ascii="宋体" w:cs="楷体_GB2312"/>
                <w:szCs w:val="21"/>
              </w:rPr>
            </w:pPr>
            <w:r>
              <w:rPr>
                <w:rFonts w:ascii="宋体" w:cs="楷体_GB2312"/>
                <w:szCs w:val="21"/>
              </w:rPr>
              <w:t>18</w:t>
            </w:r>
          </w:p>
        </w:tc>
        <w:tc>
          <w:tcPr>
            <w:tcW w:w="853" w:type="dxa"/>
            <w:vAlign w:val="center"/>
          </w:tcPr>
          <w:p>
            <w:pPr>
              <w:spacing w:line="240" w:lineRule="exact"/>
              <w:jc w:val="center"/>
              <w:rPr>
                <w:rFonts w:ascii="宋体" w:cs="楷体_GB2312"/>
                <w:szCs w:val="21"/>
              </w:rPr>
            </w:pPr>
            <w:r>
              <w:rPr>
                <w:rFonts w:ascii="宋体" w:cs="楷体_GB2312"/>
                <w:szCs w:val="21"/>
              </w:rPr>
              <w:t>20</w:t>
            </w:r>
          </w:p>
        </w:tc>
        <w:tc>
          <w:tcPr>
            <w:tcW w:w="853" w:type="dxa"/>
            <w:vAlign w:val="center"/>
          </w:tcPr>
          <w:p>
            <w:pPr>
              <w:spacing w:line="240" w:lineRule="exact"/>
              <w:jc w:val="center"/>
              <w:rPr>
                <w:rFonts w:ascii="宋体" w:cs="楷体_GB2312"/>
                <w:szCs w:val="21"/>
              </w:rPr>
            </w:pPr>
            <w:r>
              <w:rPr>
                <w:rFonts w:ascii="宋体" w:cs="楷体_GB2312"/>
                <w:szCs w:val="21"/>
              </w:rPr>
              <w:t>2</w:t>
            </w:r>
          </w:p>
        </w:tc>
        <w:tc>
          <w:tcPr>
            <w:tcW w:w="853" w:type="dxa"/>
            <w:vAlign w:val="center"/>
          </w:tcPr>
          <w:p>
            <w:pPr>
              <w:spacing w:line="240" w:lineRule="exact"/>
              <w:jc w:val="center"/>
              <w:rPr>
                <w:rFonts w:ascii="宋体" w:cs="楷体_GB2312"/>
                <w:szCs w:val="21"/>
              </w:rPr>
            </w:pPr>
            <w:r>
              <w:rPr>
                <w:rFonts w:ascii="宋体" w:cs="楷体_GB2312"/>
                <w:szCs w:val="21"/>
              </w:rPr>
              <w:t>18</w:t>
            </w:r>
          </w:p>
        </w:tc>
        <w:tc>
          <w:tcPr>
            <w:tcW w:w="853" w:type="dxa"/>
            <w:vAlign w:val="center"/>
          </w:tcPr>
          <w:p>
            <w:pPr>
              <w:spacing w:line="240" w:lineRule="exact"/>
              <w:jc w:val="center"/>
              <w:rPr>
                <w:rFonts w:ascii="宋体" w:cs="楷体_GB2312"/>
                <w:szCs w:val="21"/>
              </w:rPr>
            </w:pPr>
            <w:r>
              <w:rPr>
                <w:rFonts w:ascii="宋体" w:cs="楷体_GB2312"/>
                <w:szCs w:val="21"/>
              </w:rPr>
              <w:t>20</w:t>
            </w:r>
          </w:p>
        </w:tc>
        <w:tc>
          <w:tcPr>
            <w:tcW w:w="853" w:type="dxa"/>
            <w:vAlign w:val="center"/>
          </w:tcPr>
          <w:p>
            <w:pPr>
              <w:spacing w:line="240" w:lineRule="exact"/>
              <w:jc w:val="center"/>
              <w:rPr>
                <w:rFonts w:ascii="宋体" w:cs="楷体_GB2312"/>
                <w:szCs w:val="21"/>
              </w:rPr>
            </w:pPr>
            <w:r>
              <w:rPr>
                <w:rFonts w:ascii="宋体" w:cs="楷体_GB2312"/>
                <w:szCs w:val="21"/>
              </w:rPr>
              <w:t>2</w:t>
            </w:r>
          </w:p>
        </w:tc>
        <w:tc>
          <w:tcPr>
            <w:tcW w:w="854" w:type="dxa"/>
            <w:vAlign w:val="center"/>
          </w:tcPr>
          <w:p>
            <w:pPr>
              <w:spacing w:line="240" w:lineRule="exact"/>
              <w:jc w:val="center"/>
              <w:rPr>
                <w:rFonts w:ascii="宋体" w:cs="楷体_GB2312"/>
                <w:szCs w:val="21"/>
              </w:rPr>
            </w:pPr>
            <w:r>
              <w:rPr>
                <w:rFonts w:ascii="宋体" w:cs="楷体_GB2312"/>
                <w:szCs w:val="21"/>
              </w:rPr>
              <w:t>18</w:t>
            </w:r>
          </w:p>
        </w:tc>
        <w:tc>
          <w:tcPr>
            <w:tcW w:w="854" w:type="dxa"/>
            <w:vAlign w:val="center"/>
          </w:tcPr>
          <w:p>
            <w:pPr>
              <w:spacing w:line="240" w:lineRule="exact"/>
              <w:jc w:val="center"/>
              <w:rPr>
                <w:rFonts w:ascii="宋体" w:cs="楷体_GB2312"/>
                <w:szCs w:val="21"/>
              </w:rPr>
            </w:pPr>
            <w:r>
              <w:rPr>
                <w:rFonts w:ascii="宋体" w:cs="楷体_GB2312"/>
                <w:szCs w:val="21"/>
              </w:rPr>
              <w:t>20</w:t>
            </w:r>
          </w:p>
        </w:tc>
        <w:tc>
          <w:tcPr>
            <w:tcW w:w="854" w:type="dxa"/>
            <w:vAlign w:val="center"/>
          </w:tcPr>
          <w:p>
            <w:pPr>
              <w:spacing w:line="240" w:lineRule="exact"/>
              <w:jc w:val="center"/>
              <w:rPr>
                <w:rFonts w:ascii="宋体" w:cs="楷体_GB2312"/>
                <w:szCs w:val="21"/>
              </w:rPr>
            </w:pPr>
            <w:r>
              <w:rPr>
                <w:rFonts w:ascii="宋体" w:cs="楷体_GB2312"/>
                <w:szCs w:val="21"/>
              </w:rPr>
              <w:t>2</w:t>
            </w:r>
          </w:p>
        </w:tc>
        <w:tc>
          <w:tcPr>
            <w:tcW w:w="854" w:type="dxa"/>
            <w:vAlign w:val="center"/>
          </w:tcPr>
          <w:p>
            <w:pPr>
              <w:spacing w:line="240" w:lineRule="exact"/>
              <w:jc w:val="center"/>
              <w:rPr>
                <w:rFonts w:ascii="宋体" w:cs="楷体_GB2312"/>
                <w:szCs w:val="21"/>
              </w:rPr>
            </w:pPr>
            <w:r>
              <w:rPr>
                <w:rFonts w:ascii="宋体" w:cs="楷体_GB2312"/>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三门县</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6</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3" w:type="dxa"/>
            <w:vAlign w:val="center"/>
          </w:tcPr>
          <w:p>
            <w:pPr>
              <w:spacing w:line="240" w:lineRule="exact"/>
              <w:jc w:val="center"/>
              <w:rPr>
                <w:rFonts w:ascii="宋体" w:cs="楷体_GB2312"/>
                <w:szCs w:val="21"/>
              </w:rPr>
            </w:pPr>
            <w:r>
              <w:rPr>
                <w:rFonts w:ascii="宋体" w:cs="楷体_GB2312"/>
                <w:szCs w:val="21"/>
              </w:rPr>
              <w:t>5</w:t>
            </w:r>
          </w:p>
        </w:tc>
        <w:tc>
          <w:tcPr>
            <w:tcW w:w="853" w:type="dxa"/>
            <w:vAlign w:val="center"/>
          </w:tcPr>
          <w:p>
            <w:pPr>
              <w:spacing w:line="240" w:lineRule="exact"/>
              <w:jc w:val="center"/>
              <w:rPr>
                <w:rFonts w:ascii="宋体" w:cs="楷体_GB2312"/>
                <w:szCs w:val="21"/>
              </w:rPr>
            </w:pPr>
            <w:r>
              <w:rPr>
                <w:rFonts w:ascii="宋体" w:cs="楷体_GB2312"/>
                <w:szCs w:val="21"/>
              </w:rPr>
              <w:t>10</w:t>
            </w:r>
          </w:p>
        </w:tc>
        <w:tc>
          <w:tcPr>
            <w:tcW w:w="853" w:type="dxa"/>
            <w:vAlign w:val="center"/>
          </w:tcPr>
          <w:p>
            <w:pPr>
              <w:spacing w:line="240" w:lineRule="exact"/>
              <w:jc w:val="center"/>
              <w:rPr>
                <w:rFonts w:ascii="宋体" w:cs="楷体_GB2312"/>
                <w:szCs w:val="21"/>
              </w:rPr>
            </w:pPr>
            <w:r>
              <w:rPr>
                <w:rFonts w:ascii="宋体" w:cs="楷体_GB2312"/>
                <w:szCs w:val="21"/>
              </w:rPr>
              <w:t>2</w:t>
            </w:r>
          </w:p>
        </w:tc>
        <w:tc>
          <w:tcPr>
            <w:tcW w:w="853" w:type="dxa"/>
            <w:vAlign w:val="center"/>
          </w:tcPr>
          <w:p>
            <w:pPr>
              <w:spacing w:line="240" w:lineRule="exact"/>
              <w:jc w:val="center"/>
              <w:rPr>
                <w:rFonts w:ascii="宋体" w:cs="楷体_GB2312"/>
                <w:szCs w:val="21"/>
              </w:rPr>
            </w:pPr>
            <w:r>
              <w:rPr>
                <w:rFonts w:ascii="宋体" w:cs="楷体_GB2312"/>
                <w:szCs w:val="21"/>
              </w:rPr>
              <w:t>8</w:t>
            </w:r>
          </w:p>
        </w:tc>
        <w:tc>
          <w:tcPr>
            <w:tcW w:w="853" w:type="dxa"/>
            <w:vAlign w:val="center"/>
          </w:tcPr>
          <w:p>
            <w:pPr>
              <w:spacing w:line="240" w:lineRule="exact"/>
              <w:jc w:val="center"/>
              <w:rPr>
                <w:rFonts w:ascii="宋体" w:cs="楷体_GB2312"/>
                <w:szCs w:val="21"/>
              </w:rPr>
            </w:pPr>
            <w:r>
              <w:rPr>
                <w:rFonts w:ascii="宋体" w:cs="楷体_GB2312"/>
                <w:szCs w:val="21"/>
              </w:rPr>
              <w:t>11</w:t>
            </w:r>
          </w:p>
        </w:tc>
        <w:tc>
          <w:tcPr>
            <w:tcW w:w="853" w:type="dxa"/>
            <w:vAlign w:val="center"/>
          </w:tcPr>
          <w:p>
            <w:pPr>
              <w:spacing w:line="240" w:lineRule="exact"/>
              <w:jc w:val="center"/>
              <w:rPr>
                <w:rFonts w:ascii="宋体" w:cs="楷体_GB2312"/>
                <w:szCs w:val="21"/>
              </w:rPr>
            </w:pPr>
            <w:r>
              <w:rPr>
                <w:rFonts w:ascii="宋体" w:cs="楷体_GB2312"/>
                <w:szCs w:val="21"/>
              </w:rPr>
              <w:t>1</w:t>
            </w:r>
          </w:p>
        </w:tc>
        <w:tc>
          <w:tcPr>
            <w:tcW w:w="854" w:type="dxa"/>
            <w:vAlign w:val="center"/>
          </w:tcPr>
          <w:p>
            <w:pPr>
              <w:spacing w:line="240" w:lineRule="exact"/>
              <w:jc w:val="center"/>
              <w:rPr>
                <w:rFonts w:ascii="宋体" w:cs="楷体_GB2312"/>
                <w:szCs w:val="21"/>
              </w:rPr>
            </w:pPr>
            <w:r>
              <w:rPr>
                <w:rFonts w:ascii="宋体" w:cs="楷体_GB2312"/>
                <w:szCs w:val="21"/>
              </w:rPr>
              <w:t>10</w:t>
            </w:r>
          </w:p>
        </w:tc>
        <w:tc>
          <w:tcPr>
            <w:tcW w:w="854" w:type="dxa"/>
            <w:vAlign w:val="center"/>
          </w:tcPr>
          <w:p>
            <w:pPr>
              <w:spacing w:line="240" w:lineRule="exact"/>
              <w:jc w:val="center"/>
              <w:rPr>
                <w:rFonts w:ascii="宋体" w:cs="楷体_GB2312"/>
                <w:szCs w:val="21"/>
              </w:rPr>
            </w:pPr>
            <w:r>
              <w:rPr>
                <w:rFonts w:ascii="宋体" w:cs="楷体_GB2312"/>
                <w:szCs w:val="21"/>
              </w:rPr>
              <w:t>13</w:t>
            </w:r>
          </w:p>
        </w:tc>
        <w:tc>
          <w:tcPr>
            <w:tcW w:w="854" w:type="dxa"/>
            <w:vAlign w:val="center"/>
          </w:tcPr>
          <w:p>
            <w:pPr>
              <w:spacing w:line="240" w:lineRule="exact"/>
              <w:jc w:val="center"/>
              <w:rPr>
                <w:rFonts w:ascii="宋体" w:cs="楷体_GB2312"/>
                <w:szCs w:val="21"/>
              </w:rPr>
            </w:pPr>
            <w:r>
              <w:rPr>
                <w:rFonts w:ascii="宋体" w:cs="楷体_GB2312"/>
                <w:szCs w:val="21"/>
              </w:rPr>
              <w:t>3</w:t>
            </w:r>
          </w:p>
        </w:tc>
        <w:tc>
          <w:tcPr>
            <w:tcW w:w="854" w:type="dxa"/>
            <w:vAlign w:val="center"/>
          </w:tcPr>
          <w:p>
            <w:pPr>
              <w:spacing w:line="240" w:lineRule="exact"/>
              <w:jc w:val="center"/>
              <w:rPr>
                <w:rFonts w:ascii="宋体" w:cs="楷体_GB2312"/>
                <w:szCs w:val="21"/>
              </w:rPr>
            </w:pPr>
            <w:r>
              <w:rPr>
                <w:rFonts w:ascii="宋体" w:cs="楷体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3" w:type="dxa"/>
            <w:vAlign w:val="center"/>
          </w:tcPr>
          <w:p>
            <w:pPr>
              <w:spacing w:line="240" w:lineRule="exact"/>
              <w:jc w:val="center"/>
              <w:rPr>
                <w:rFonts w:ascii="宋体" w:cs="楷体_GB2312"/>
                <w:szCs w:val="21"/>
              </w:rPr>
            </w:pPr>
            <w:r>
              <w:rPr>
                <w:rFonts w:hint="eastAsia" w:ascii="宋体" w:hAnsi="宋体" w:cs="楷体_GB2312"/>
                <w:szCs w:val="21"/>
              </w:rPr>
              <w:t>合计</w:t>
            </w:r>
          </w:p>
        </w:tc>
        <w:tc>
          <w:tcPr>
            <w:tcW w:w="853" w:type="dxa"/>
            <w:vAlign w:val="center"/>
          </w:tcPr>
          <w:p>
            <w:pPr>
              <w:spacing w:line="240" w:lineRule="exact"/>
              <w:jc w:val="center"/>
              <w:rPr>
                <w:rFonts w:ascii="宋体" w:cs="楷体_GB2312"/>
                <w:szCs w:val="21"/>
              </w:rPr>
            </w:pPr>
            <w:r>
              <w:rPr>
                <w:rFonts w:ascii="宋体" w:cs="楷体_GB2312"/>
                <w:szCs w:val="21"/>
              </w:rPr>
              <w:t>76</w:t>
            </w:r>
          </w:p>
        </w:tc>
        <w:tc>
          <w:tcPr>
            <w:tcW w:w="853" w:type="dxa"/>
            <w:vAlign w:val="center"/>
          </w:tcPr>
          <w:p>
            <w:pPr>
              <w:spacing w:line="240" w:lineRule="exact"/>
              <w:jc w:val="center"/>
              <w:rPr>
                <w:rFonts w:ascii="宋体" w:cs="楷体_GB2312"/>
                <w:szCs w:val="21"/>
              </w:rPr>
            </w:pPr>
            <w:r>
              <w:rPr>
                <w:rFonts w:ascii="宋体" w:cs="楷体_GB2312"/>
                <w:szCs w:val="21"/>
              </w:rPr>
              <w:t>11</w:t>
            </w:r>
          </w:p>
        </w:tc>
        <w:tc>
          <w:tcPr>
            <w:tcW w:w="853" w:type="dxa"/>
            <w:vAlign w:val="center"/>
          </w:tcPr>
          <w:p>
            <w:pPr>
              <w:spacing w:line="240" w:lineRule="exact"/>
              <w:jc w:val="center"/>
              <w:rPr>
                <w:rFonts w:ascii="宋体" w:cs="楷体_GB2312"/>
                <w:szCs w:val="21"/>
              </w:rPr>
            </w:pPr>
            <w:r>
              <w:rPr>
                <w:rFonts w:ascii="宋体" w:cs="楷体_GB2312"/>
                <w:szCs w:val="21"/>
              </w:rPr>
              <w:t>65</w:t>
            </w:r>
          </w:p>
        </w:tc>
        <w:tc>
          <w:tcPr>
            <w:tcW w:w="853" w:type="dxa"/>
            <w:vAlign w:val="center"/>
          </w:tcPr>
          <w:p>
            <w:pPr>
              <w:spacing w:line="240" w:lineRule="exact"/>
              <w:jc w:val="center"/>
              <w:rPr>
                <w:rFonts w:ascii="宋体" w:cs="楷体_GB2312"/>
                <w:szCs w:val="21"/>
              </w:rPr>
            </w:pPr>
            <w:r>
              <w:rPr>
                <w:rFonts w:ascii="宋体" w:cs="楷体_GB2312"/>
                <w:szCs w:val="21"/>
              </w:rPr>
              <w:t>89</w:t>
            </w:r>
          </w:p>
        </w:tc>
        <w:tc>
          <w:tcPr>
            <w:tcW w:w="853" w:type="dxa"/>
            <w:vAlign w:val="center"/>
          </w:tcPr>
          <w:p>
            <w:pPr>
              <w:spacing w:line="240" w:lineRule="exact"/>
              <w:jc w:val="center"/>
              <w:rPr>
                <w:rFonts w:ascii="宋体" w:cs="楷体_GB2312"/>
                <w:szCs w:val="21"/>
              </w:rPr>
            </w:pPr>
            <w:r>
              <w:rPr>
                <w:rFonts w:ascii="宋体" w:cs="楷体_GB2312"/>
                <w:szCs w:val="21"/>
              </w:rPr>
              <w:t>14</w:t>
            </w:r>
          </w:p>
        </w:tc>
        <w:tc>
          <w:tcPr>
            <w:tcW w:w="853" w:type="dxa"/>
            <w:vAlign w:val="center"/>
          </w:tcPr>
          <w:p>
            <w:pPr>
              <w:spacing w:line="240" w:lineRule="exact"/>
              <w:jc w:val="center"/>
              <w:rPr>
                <w:rFonts w:ascii="宋体" w:cs="楷体_GB2312"/>
                <w:szCs w:val="21"/>
              </w:rPr>
            </w:pPr>
            <w:r>
              <w:rPr>
                <w:rFonts w:ascii="宋体" w:cs="楷体_GB2312"/>
                <w:szCs w:val="21"/>
              </w:rPr>
              <w:t>75</w:t>
            </w:r>
          </w:p>
        </w:tc>
        <w:tc>
          <w:tcPr>
            <w:tcW w:w="853" w:type="dxa"/>
            <w:vAlign w:val="center"/>
          </w:tcPr>
          <w:p>
            <w:pPr>
              <w:spacing w:line="240" w:lineRule="exact"/>
              <w:jc w:val="center"/>
              <w:rPr>
                <w:rFonts w:ascii="宋体" w:cs="楷体_GB2312"/>
                <w:szCs w:val="21"/>
              </w:rPr>
            </w:pPr>
            <w:r>
              <w:rPr>
                <w:rFonts w:ascii="宋体" w:cs="楷体_GB2312"/>
                <w:szCs w:val="21"/>
              </w:rPr>
              <w:t>93</w:t>
            </w:r>
          </w:p>
        </w:tc>
        <w:tc>
          <w:tcPr>
            <w:tcW w:w="853" w:type="dxa"/>
            <w:vAlign w:val="center"/>
          </w:tcPr>
          <w:p>
            <w:pPr>
              <w:spacing w:line="240" w:lineRule="exact"/>
              <w:jc w:val="center"/>
              <w:rPr>
                <w:rFonts w:ascii="宋体" w:cs="楷体_GB2312"/>
                <w:szCs w:val="21"/>
              </w:rPr>
            </w:pPr>
            <w:r>
              <w:rPr>
                <w:rFonts w:ascii="宋体" w:cs="楷体_GB2312"/>
                <w:szCs w:val="21"/>
              </w:rPr>
              <w:t>17</w:t>
            </w:r>
          </w:p>
        </w:tc>
        <w:tc>
          <w:tcPr>
            <w:tcW w:w="853" w:type="dxa"/>
            <w:vAlign w:val="center"/>
          </w:tcPr>
          <w:p>
            <w:pPr>
              <w:spacing w:line="240" w:lineRule="exact"/>
              <w:jc w:val="center"/>
              <w:rPr>
                <w:rFonts w:ascii="宋体" w:cs="楷体_GB2312"/>
                <w:szCs w:val="21"/>
              </w:rPr>
            </w:pPr>
            <w:r>
              <w:rPr>
                <w:rFonts w:ascii="宋体" w:cs="楷体_GB2312"/>
                <w:szCs w:val="21"/>
              </w:rPr>
              <w:t>76</w:t>
            </w:r>
          </w:p>
        </w:tc>
        <w:tc>
          <w:tcPr>
            <w:tcW w:w="853" w:type="dxa"/>
            <w:vAlign w:val="center"/>
          </w:tcPr>
          <w:p>
            <w:pPr>
              <w:spacing w:line="240" w:lineRule="exact"/>
              <w:jc w:val="center"/>
              <w:rPr>
                <w:rFonts w:ascii="宋体" w:cs="楷体_GB2312"/>
                <w:szCs w:val="21"/>
              </w:rPr>
            </w:pPr>
            <w:r>
              <w:rPr>
                <w:rFonts w:ascii="宋体" w:cs="楷体_GB2312"/>
                <w:szCs w:val="21"/>
              </w:rPr>
              <w:t>95</w:t>
            </w:r>
          </w:p>
        </w:tc>
        <w:tc>
          <w:tcPr>
            <w:tcW w:w="853" w:type="dxa"/>
            <w:vAlign w:val="center"/>
          </w:tcPr>
          <w:p>
            <w:pPr>
              <w:spacing w:line="240" w:lineRule="exact"/>
              <w:jc w:val="center"/>
              <w:rPr>
                <w:rFonts w:ascii="宋体" w:cs="楷体_GB2312"/>
                <w:szCs w:val="21"/>
              </w:rPr>
            </w:pPr>
            <w:r>
              <w:rPr>
                <w:rFonts w:ascii="宋体" w:cs="楷体_GB2312"/>
                <w:szCs w:val="21"/>
              </w:rPr>
              <w:t>15</w:t>
            </w:r>
          </w:p>
        </w:tc>
        <w:tc>
          <w:tcPr>
            <w:tcW w:w="854" w:type="dxa"/>
            <w:vAlign w:val="center"/>
          </w:tcPr>
          <w:p>
            <w:pPr>
              <w:spacing w:line="240" w:lineRule="exact"/>
              <w:jc w:val="center"/>
              <w:rPr>
                <w:rFonts w:ascii="宋体" w:cs="楷体_GB2312"/>
                <w:szCs w:val="21"/>
              </w:rPr>
            </w:pPr>
            <w:r>
              <w:rPr>
                <w:rFonts w:ascii="宋体" w:cs="楷体_GB2312"/>
                <w:szCs w:val="21"/>
              </w:rPr>
              <w:t>80</w:t>
            </w:r>
          </w:p>
        </w:tc>
        <w:tc>
          <w:tcPr>
            <w:tcW w:w="854" w:type="dxa"/>
            <w:vAlign w:val="center"/>
          </w:tcPr>
          <w:p>
            <w:pPr>
              <w:spacing w:line="240" w:lineRule="exact"/>
              <w:jc w:val="center"/>
              <w:rPr>
                <w:rFonts w:ascii="宋体" w:cs="楷体_GB2312"/>
                <w:szCs w:val="21"/>
              </w:rPr>
            </w:pPr>
            <w:r>
              <w:rPr>
                <w:rFonts w:ascii="宋体" w:cs="楷体_GB2312"/>
                <w:szCs w:val="21"/>
              </w:rPr>
              <w:t>94</w:t>
            </w:r>
          </w:p>
        </w:tc>
        <w:tc>
          <w:tcPr>
            <w:tcW w:w="854" w:type="dxa"/>
            <w:vAlign w:val="center"/>
          </w:tcPr>
          <w:p>
            <w:pPr>
              <w:spacing w:line="240" w:lineRule="exact"/>
              <w:jc w:val="center"/>
              <w:rPr>
                <w:rFonts w:ascii="宋体" w:cs="楷体_GB2312"/>
                <w:szCs w:val="21"/>
              </w:rPr>
            </w:pPr>
            <w:r>
              <w:rPr>
                <w:rFonts w:ascii="宋体" w:cs="楷体_GB2312"/>
                <w:szCs w:val="21"/>
              </w:rPr>
              <w:t>18</w:t>
            </w:r>
          </w:p>
        </w:tc>
        <w:tc>
          <w:tcPr>
            <w:tcW w:w="854" w:type="dxa"/>
            <w:vAlign w:val="center"/>
          </w:tcPr>
          <w:p>
            <w:pPr>
              <w:spacing w:line="240" w:lineRule="exact"/>
              <w:jc w:val="center"/>
              <w:rPr>
                <w:rFonts w:ascii="宋体" w:cs="楷体_GB2312"/>
                <w:szCs w:val="21"/>
              </w:rPr>
            </w:pPr>
            <w:r>
              <w:rPr>
                <w:rFonts w:ascii="宋体" w:cs="楷体_GB2312"/>
                <w:szCs w:val="21"/>
              </w:rPr>
              <w:t>76</w:t>
            </w:r>
          </w:p>
        </w:tc>
      </w:tr>
    </w:tbl>
    <w:p>
      <w:pPr>
        <w:spacing w:line="240" w:lineRule="exact"/>
        <w:jc w:val="left"/>
        <w:rPr>
          <w:rFonts w:ascii="宋体" w:cs="楷体_GB2312"/>
          <w:szCs w:val="21"/>
        </w:rPr>
      </w:pPr>
    </w:p>
    <w:p>
      <w:pPr>
        <w:spacing w:line="240" w:lineRule="exact"/>
        <w:jc w:val="left"/>
        <w:rPr>
          <w:rFonts w:ascii="宋体" w:cs="楷体_GB2312"/>
          <w:szCs w:val="21"/>
        </w:rPr>
      </w:pPr>
      <w:r>
        <w:rPr>
          <w:rFonts w:hint="eastAsia" w:ascii="宋体" w:hAnsi="宋体" w:cs="楷体_GB2312"/>
          <w:szCs w:val="21"/>
        </w:rPr>
        <w:t>注：表中的示范指示范数字档案室，规范指规范化数字档案室</w:t>
      </w:r>
    </w:p>
    <w:p>
      <w:pPr>
        <w:adjustRightInd w:val="0"/>
        <w:snapToGrid w:val="0"/>
        <w:spacing w:line="600" w:lineRule="exact"/>
        <w:rPr>
          <w:rFonts w:ascii="黑体" w:hAnsi="黑体" w:eastAsia="黑体"/>
          <w:bCs/>
          <w:color w:val="000000"/>
          <w:sz w:val="32"/>
          <w:szCs w:val="32"/>
        </w:rPr>
      </w:pPr>
      <w:r>
        <w:rPr>
          <w:rFonts w:hint="eastAsia" w:ascii="黑体" w:hAnsi="黑体" w:eastAsia="黑体"/>
          <w:bCs/>
          <w:color w:val="000000"/>
          <w:sz w:val="32"/>
          <w:szCs w:val="32"/>
        </w:rPr>
        <w:t>附件</w:t>
      </w:r>
      <w:r>
        <w:rPr>
          <w:rFonts w:ascii="黑体" w:hAnsi="黑体" w:eastAsia="黑体"/>
          <w:bCs/>
          <w:color w:val="000000"/>
          <w:sz w:val="32"/>
          <w:szCs w:val="32"/>
        </w:rPr>
        <w:t>3</w:t>
      </w:r>
    </w:p>
    <w:p>
      <w:pPr>
        <w:adjustRightInd w:val="0"/>
        <w:snapToGrid w:val="0"/>
        <w:spacing w:line="60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档案文化项目规划表</w:t>
      </w:r>
    </w:p>
    <w:p>
      <w:pPr>
        <w:spacing w:line="240" w:lineRule="exact"/>
        <w:jc w:val="right"/>
        <w:rPr>
          <w:rFonts w:ascii="宋体"/>
          <w:szCs w:val="21"/>
        </w:rPr>
      </w:pPr>
    </w:p>
    <w:tbl>
      <w:tblPr>
        <w:tblStyle w:val="6"/>
        <w:tblW w:w="13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556"/>
        <w:gridCol w:w="2556"/>
        <w:gridCol w:w="2556"/>
        <w:gridCol w:w="2557"/>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849" w:type="dxa"/>
            <w:vAlign w:val="center"/>
          </w:tcPr>
          <w:p>
            <w:pPr>
              <w:spacing w:line="260" w:lineRule="exact"/>
              <w:jc w:val="center"/>
              <w:rPr>
                <w:rFonts w:ascii="宋体" w:cs="楷体_GB2312"/>
                <w:b/>
                <w:szCs w:val="21"/>
              </w:rPr>
            </w:pPr>
          </w:p>
        </w:tc>
        <w:tc>
          <w:tcPr>
            <w:tcW w:w="2556" w:type="dxa"/>
            <w:vAlign w:val="center"/>
          </w:tcPr>
          <w:p>
            <w:pPr>
              <w:spacing w:line="260" w:lineRule="exact"/>
              <w:jc w:val="center"/>
              <w:rPr>
                <w:rFonts w:ascii="宋体" w:cs="楷体_GB2312"/>
                <w:b/>
                <w:szCs w:val="21"/>
              </w:rPr>
            </w:pPr>
            <w:r>
              <w:rPr>
                <w:rFonts w:ascii="宋体" w:hAnsi="宋体" w:cs="楷体_GB2312"/>
                <w:b/>
                <w:szCs w:val="21"/>
              </w:rPr>
              <w:t>2021</w:t>
            </w:r>
            <w:r>
              <w:rPr>
                <w:rFonts w:hint="eastAsia" w:ascii="宋体" w:hAnsi="宋体" w:cs="楷体_GB2312"/>
                <w:b/>
                <w:szCs w:val="21"/>
              </w:rPr>
              <w:t>年</w:t>
            </w:r>
          </w:p>
        </w:tc>
        <w:tc>
          <w:tcPr>
            <w:tcW w:w="2556" w:type="dxa"/>
            <w:vAlign w:val="center"/>
          </w:tcPr>
          <w:p>
            <w:pPr>
              <w:spacing w:line="260" w:lineRule="exact"/>
              <w:jc w:val="center"/>
              <w:rPr>
                <w:rFonts w:ascii="宋体" w:cs="楷体_GB2312"/>
                <w:b/>
                <w:szCs w:val="21"/>
              </w:rPr>
            </w:pPr>
            <w:r>
              <w:rPr>
                <w:rFonts w:ascii="宋体" w:hAnsi="宋体" w:cs="楷体_GB2312"/>
                <w:b/>
                <w:szCs w:val="21"/>
              </w:rPr>
              <w:t>2022</w:t>
            </w:r>
            <w:r>
              <w:rPr>
                <w:rFonts w:hint="eastAsia" w:ascii="宋体" w:hAnsi="宋体" w:cs="楷体_GB2312"/>
                <w:b/>
                <w:szCs w:val="21"/>
              </w:rPr>
              <w:t>年</w:t>
            </w:r>
          </w:p>
        </w:tc>
        <w:tc>
          <w:tcPr>
            <w:tcW w:w="2556" w:type="dxa"/>
            <w:vAlign w:val="center"/>
          </w:tcPr>
          <w:p>
            <w:pPr>
              <w:spacing w:line="260" w:lineRule="exact"/>
              <w:jc w:val="center"/>
              <w:rPr>
                <w:rFonts w:ascii="宋体" w:cs="楷体_GB2312"/>
                <w:b/>
                <w:szCs w:val="21"/>
              </w:rPr>
            </w:pPr>
            <w:r>
              <w:rPr>
                <w:rFonts w:ascii="宋体" w:hAnsi="宋体" w:cs="楷体_GB2312"/>
                <w:b/>
                <w:szCs w:val="21"/>
              </w:rPr>
              <w:t>2023</w:t>
            </w:r>
            <w:r>
              <w:rPr>
                <w:rFonts w:hint="eastAsia" w:ascii="宋体" w:hAnsi="宋体" w:cs="楷体_GB2312"/>
                <w:b/>
                <w:szCs w:val="21"/>
              </w:rPr>
              <w:t>年</w:t>
            </w:r>
          </w:p>
        </w:tc>
        <w:tc>
          <w:tcPr>
            <w:tcW w:w="2557" w:type="dxa"/>
            <w:vAlign w:val="center"/>
          </w:tcPr>
          <w:p>
            <w:pPr>
              <w:spacing w:line="260" w:lineRule="exact"/>
              <w:jc w:val="center"/>
              <w:rPr>
                <w:rFonts w:ascii="宋体" w:cs="楷体_GB2312"/>
                <w:b/>
                <w:szCs w:val="21"/>
              </w:rPr>
            </w:pPr>
            <w:r>
              <w:rPr>
                <w:rFonts w:ascii="宋体" w:hAnsi="宋体" w:cs="楷体_GB2312"/>
                <w:b/>
                <w:szCs w:val="21"/>
              </w:rPr>
              <w:t>2024</w:t>
            </w:r>
            <w:r>
              <w:rPr>
                <w:rFonts w:hint="eastAsia" w:ascii="宋体" w:hAnsi="宋体" w:cs="楷体_GB2312"/>
                <w:b/>
                <w:szCs w:val="21"/>
              </w:rPr>
              <w:t>年</w:t>
            </w:r>
          </w:p>
        </w:tc>
        <w:tc>
          <w:tcPr>
            <w:tcW w:w="2559" w:type="dxa"/>
            <w:vAlign w:val="center"/>
          </w:tcPr>
          <w:p>
            <w:pPr>
              <w:spacing w:line="260" w:lineRule="exact"/>
              <w:jc w:val="center"/>
              <w:rPr>
                <w:rFonts w:ascii="宋体" w:cs="楷体_GB2312"/>
                <w:b/>
                <w:szCs w:val="21"/>
              </w:rPr>
            </w:pPr>
            <w:r>
              <w:rPr>
                <w:rFonts w:ascii="宋体" w:hAnsi="宋体" w:cs="楷体_GB2312"/>
                <w:b/>
                <w:szCs w:val="21"/>
              </w:rPr>
              <w:t>2025</w:t>
            </w:r>
            <w:r>
              <w:rPr>
                <w:rFonts w:hint="eastAsia" w:ascii="宋体" w:hAnsi="宋体" w:cs="楷体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市本级</w:t>
            </w:r>
          </w:p>
        </w:tc>
        <w:tc>
          <w:tcPr>
            <w:tcW w:w="2556"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启动“古村落数字资源采集与管理系统”建设</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开展古村落数字资源采集工作（</w:t>
            </w:r>
            <w:r>
              <w:rPr>
                <w:rFonts w:ascii="宋体" w:hAnsi="宋体" w:cs="楷体_GB2312"/>
                <w:szCs w:val="21"/>
              </w:rPr>
              <w:t>2</w:t>
            </w:r>
            <w:r>
              <w:rPr>
                <w:rFonts w:hint="eastAsia" w:ascii="宋体" w:hAnsi="宋体" w:cs="楷体_GB2312"/>
                <w:szCs w:val="21"/>
              </w:rPr>
              <w:t>个村落）</w:t>
            </w:r>
          </w:p>
        </w:tc>
        <w:tc>
          <w:tcPr>
            <w:tcW w:w="2556"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完成《大陈岛垦荒史料汇编》</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完成“古村之美”系列丛书</w:t>
            </w:r>
            <w:r>
              <w:rPr>
                <w:rFonts w:ascii="宋体" w:hAnsi="宋体" w:cs="楷体_GB2312"/>
                <w:szCs w:val="21"/>
              </w:rPr>
              <w:t>1</w:t>
            </w:r>
            <w:r>
              <w:rPr>
                <w:rFonts w:hint="eastAsia" w:ascii="宋体" w:hAnsi="宋体" w:cs="楷体_GB2312"/>
                <w:szCs w:val="21"/>
              </w:rPr>
              <w:t>册</w:t>
            </w:r>
          </w:p>
          <w:p>
            <w:pPr>
              <w:spacing w:line="260" w:lineRule="exact"/>
              <w:rPr>
                <w:rFonts w:ascii="宋体" w:cs="楷体_GB2312"/>
                <w:szCs w:val="21"/>
              </w:rPr>
            </w:pPr>
            <w:r>
              <w:rPr>
                <w:rFonts w:ascii="宋体" w:hAnsi="宋体" w:cs="楷体_GB2312"/>
                <w:szCs w:val="21"/>
              </w:rPr>
              <w:t>3.</w:t>
            </w:r>
            <w:r>
              <w:rPr>
                <w:rFonts w:hint="eastAsia" w:ascii="宋体" w:hAnsi="宋体" w:cs="楷体_GB2312"/>
                <w:szCs w:val="21"/>
              </w:rPr>
              <w:t>开展古村落数字资源采集工作（</w:t>
            </w:r>
            <w:r>
              <w:rPr>
                <w:rFonts w:ascii="宋体" w:hAnsi="宋体" w:cs="楷体_GB2312"/>
                <w:szCs w:val="21"/>
              </w:rPr>
              <w:t>2</w:t>
            </w:r>
            <w:r>
              <w:rPr>
                <w:rFonts w:hint="eastAsia" w:ascii="宋体" w:hAnsi="宋体" w:cs="楷体_GB2312"/>
                <w:szCs w:val="21"/>
              </w:rPr>
              <w:t>个村落）</w:t>
            </w:r>
          </w:p>
        </w:tc>
        <w:tc>
          <w:tcPr>
            <w:tcW w:w="2556"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基本建成古村落数字档案资源中心</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完成“古村之美”系列丛书</w:t>
            </w:r>
            <w:r>
              <w:rPr>
                <w:rFonts w:ascii="宋体" w:hAnsi="宋体" w:cs="楷体_GB2312"/>
                <w:szCs w:val="21"/>
              </w:rPr>
              <w:t>1</w:t>
            </w:r>
            <w:r>
              <w:rPr>
                <w:rFonts w:hint="eastAsia" w:ascii="宋体" w:hAnsi="宋体" w:cs="楷体_GB2312"/>
                <w:szCs w:val="21"/>
              </w:rPr>
              <w:t>册</w:t>
            </w:r>
          </w:p>
          <w:p>
            <w:pPr>
              <w:spacing w:line="260" w:lineRule="exact"/>
              <w:rPr>
                <w:rFonts w:ascii="宋体" w:cs="楷体_GB2312"/>
                <w:szCs w:val="21"/>
              </w:rPr>
            </w:pPr>
            <w:r>
              <w:rPr>
                <w:rFonts w:ascii="宋体" w:hAnsi="宋体" w:cs="楷体_GB2312"/>
                <w:szCs w:val="21"/>
              </w:rPr>
              <w:t>3.</w:t>
            </w:r>
            <w:r>
              <w:rPr>
                <w:rFonts w:hint="eastAsia" w:ascii="宋体" w:hAnsi="宋体" w:cs="楷体_GB2312"/>
                <w:szCs w:val="21"/>
              </w:rPr>
              <w:t>开展古村落数字资源采集工作（</w:t>
            </w:r>
            <w:r>
              <w:rPr>
                <w:rFonts w:ascii="宋体" w:hAnsi="宋体" w:cs="楷体_GB2312"/>
                <w:szCs w:val="21"/>
              </w:rPr>
              <w:t>2</w:t>
            </w:r>
            <w:r>
              <w:rPr>
                <w:rFonts w:hint="eastAsia" w:ascii="宋体" w:hAnsi="宋体" w:cs="楷体_GB2312"/>
                <w:szCs w:val="21"/>
              </w:rPr>
              <w:t>个村落）</w:t>
            </w:r>
          </w:p>
          <w:p>
            <w:pPr>
              <w:spacing w:line="260" w:lineRule="exact"/>
              <w:rPr>
                <w:rFonts w:ascii="宋体" w:cs="楷体_GB2312"/>
                <w:szCs w:val="21"/>
              </w:rPr>
            </w:pPr>
            <w:r>
              <w:rPr>
                <w:rFonts w:ascii="宋体" w:hAnsi="宋体" w:cs="楷体_GB2312"/>
                <w:szCs w:val="21"/>
              </w:rPr>
              <w:t>4.</w:t>
            </w:r>
            <w:r>
              <w:rPr>
                <w:rFonts w:hint="eastAsia" w:ascii="宋体" w:hAnsi="宋体" w:cs="楷体_GB2312"/>
                <w:szCs w:val="21"/>
              </w:rPr>
              <w:t>完成名人系列</w:t>
            </w:r>
            <w:r>
              <w:rPr>
                <w:rFonts w:ascii="宋体" w:hAnsi="宋体" w:cs="楷体_GB2312"/>
                <w:szCs w:val="21"/>
              </w:rPr>
              <w:t>——</w:t>
            </w:r>
            <w:r>
              <w:rPr>
                <w:rFonts w:hint="eastAsia" w:ascii="宋体" w:hAnsi="宋体" w:cs="楷体_GB2312"/>
                <w:szCs w:val="21"/>
              </w:rPr>
              <w:t>《闻邦椿院士传略》</w:t>
            </w:r>
          </w:p>
        </w:tc>
        <w:tc>
          <w:tcPr>
            <w:tcW w:w="2557"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建设台州民营经济展示馆</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完成“古村之美”系列丛书</w:t>
            </w:r>
            <w:r>
              <w:rPr>
                <w:rFonts w:ascii="宋体" w:hAnsi="宋体" w:cs="楷体_GB2312"/>
                <w:szCs w:val="21"/>
              </w:rPr>
              <w:t>1</w:t>
            </w:r>
            <w:r>
              <w:rPr>
                <w:rFonts w:hint="eastAsia" w:ascii="宋体" w:hAnsi="宋体" w:cs="楷体_GB2312"/>
                <w:szCs w:val="21"/>
              </w:rPr>
              <w:t>册</w:t>
            </w:r>
          </w:p>
          <w:p>
            <w:pPr>
              <w:spacing w:line="260" w:lineRule="exact"/>
              <w:rPr>
                <w:rFonts w:ascii="宋体" w:cs="楷体_GB2312"/>
                <w:szCs w:val="21"/>
              </w:rPr>
            </w:pPr>
            <w:r>
              <w:rPr>
                <w:rFonts w:ascii="宋体" w:hAnsi="宋体" w:cs="楷体_GB2312"/>
                <w:szCs w:val="21"/>
              </w:rPr>
              <w:t>3.</w:t>
            </w:r>
            <w:r>
              <w:rPr>
                <w:rFonts w:hint="eastAsia" w:ascii="宋体" w:hAnsi="宋体" w:cs="楷体_GB2312"/>
                <w:szCs w:val="21"/>
              </w:rPr>
              <w:t>开展古村落数字资源采集工作（</w:t>
            </w:r>
            <w:r>
              <w:rPr>
                <w:rFonts w:ascii="宋体" w:hAnsi="宋体" w:cs="楷体_GB2312"/>
                <w:szCs w:val="21"/>
              </w:rPr>
              <w:t>2</w:t>
            </w:r>
            <w:r>
              <w:rPr>
                <w:rFonts w:hint="eastAsia" w:ascii="宋体" w:hAnsi="宋体" w:cs="楷体_GB2312"/>
                <w:szCs w:val="21"/>
              </w:rPr>
              <w:t>个村落）</w:t>
            </w:r>
          </w:p>
        </w:tc>
        <w:tc>
          <w:tcPr>
            <w:tcW w:w="2559"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完成“古村之美”系列丛书</w:t>
            </w:r>
            <w:r>
              <w:rPr>
                <w:rFonts w:ascii="宋体" w:hAnsi="宋体" w:cs="楷体_GB2312"/>
                <w:szCs w:val="21"/>
              </w:rPr>
              <w:t>1</w:t>
            </w:r>
            <w:r>
              <w:rPr>
                <w:rFonts w:hint="eastAsia" w:ascii="宋体" w:hAnsi="宋体" w:cs="楷体_GB2312"/>
                <w:szCs w:val="21"/>
              </w:rPr>
              <w:t>册</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开展古村落数字资源采集工作（</w:t>
            </w:r>
            <w:r>
              <w:rPr>
                <w:rFonts w:ascii="宋体" w:hAnsi="宋体" w:cs="楷体_GB2312"/>
                <w:szCs w:val="21"/>
              </w:rPr>
              <w:t>2</w:t>
            </w:r>
            <w:r>
              <w:rPr>
                <w:rFonts w:hint="eastAsia" w:ascii="宋体" w:hAnsi="宋体" w:cs="楷体_GB2312"/>
                <w:szCs w:val="21"/>
              </w:rPr>
              <w:t>个村落）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椒江区</w:t>
            </w:r>
          </w:p>
        </w:tc>
        <w:tc>
          <w:tcPr>
            <w:tcW w:w="2556" w:type="dxa"/>
            <w:vAlign w:val="center"/>
          </w:tcPr>
          <w:p>
            <w:pPr>
              <w:spacing w:line="260" w:lineRule="exact"/>
              <w:rPr>
                <w:rFonts w:ascii="宋体" w:cs="楷体_GB2312"/>
                <w:spacing w:val="-4"/>
                <w:szCs w:val="21"/>
              </w:rPr>
            </w:pPr>
            <w:r>
              <w:rPr>
                <w:rFonts w:hint="eastAsia" w:ascii="宋体" w:hAnsi="宋体" w:cs="楷体_GB2312"/>
                <w:spacing w:val="-4"/>
                <w:szCs w:val="21"/>
              </w:rPr>
              <w:t>完成《中国共产党椒江历次代表大会重要文献选编》</w:t>
            </w:r>
          </w:p>
        </w:tc>
        <w:tc>
          <w:tcPr>
            <w:tcW w:w="2556"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协助完成《大陈岛垦荒史料汇编》</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建成椒江区史馆</w:t>
            </w:r>
          </w:p>
        </w:tc>
        <w:tc>
          <w:tcPr>
            <w:tcW w:w="2556" w:type="dxa"/>
            <w:vAlign w:val="center"/>
          </w:tcPr>
          <w:p>
            <w:pPr>
              <w:spacing w:line="260" w:lineRule="exact"/>
              <w:jc w:val="center"/>
              <w:rPr>
                <w:rFonts w:ascii="宋体" w:cs="楷体_GB2312"/>
                <w:spacing w:val="-8"/>
                <w:szCs w:val="21"/>
              </w:rPr>
            </w:pPr>
            <w:r>
              <w:rPr>
                <w:rFonts w:hint="eastAsia" w:ascii="宋体" w:hAnsi="宋体" w:cs="楷体_GB2312"/>
                <w:spacing w:val="-8"/>
                <w:szCs w:val="21"/>
              </w:rPr>
              <w:t>创建市级爱国主义教育基地</w:t>
            </w:r>
          </w:p>
        </w:tc>
        <w:tc>
          <w:tcPr>
            <w:tcW w:w="2557" w:type="dxa"/>
            <w:vAlign w:val="center"/>
          </w:tcPr>
          <w:p>
            <w:pPr>
              <w:spacing w:line="260" w:lineRule="exact"/>
              <w:jc w:val="center"/>
              <w:rPr>
                <w:rFonts w:ascii="宋体" w:cs="楷体_GB2312"/>
                <w:szCs w:val="21"/>
              </w:rPr>
            </w:pPr>
            <w:r>
              <w:rPr>
                <w:rFonts w:hint="eastAsia" w:ascii="宋体" w:hAnsi="宋体" w:cs="楷体_GB2312"/>
                <w:spacing w:val="-8"/>
                <w:szCs w:val="21"/>
              </w:rPr>
              <w:t>创建省级爱国主义教育基地</w:t>
            </w:r>
          </w:p>
        </w:tc>
        <w:tc>
          <w:tcPr>
            <w:tcW w:w="2559" w:type="dxa"/>
            <w:vAlign w:val="center"/>
          </w:tcPr>
          <w:p>
            <w:pPr>
              <w:spacing w:line="260" w:lineRule="exact"/>
              <w:rPr>
                <w:rFonts w:ascii="宋体" w:cs="楷体_GB2312"/>
                <w:szCs w:val="21"/>
              </w:rPr>
            </w:pPr>
            <w:r>
              <w:rPr>
                <w:rFonts w:hint="eastAsia" w:ascii="宋体" w:hAnsi="宋体" w:cs="楷体_GB2312"/>
                <w:szCs w:val="21"/>
              </w:rPr>
              <w:t>建成椒江非遗数字库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黄岩区</w:t>
            </w:r>
          </w:p>
        </w:tc>
        <w:tc>
          <w:tcPr>
            <w:tcW w:w="2556" w:type="dxa"/>
            <w:vAlign w:val="center"/>
          </w:tcPr>
          <w:p>
            <w:pPr>
              <w:spacing w:line="260" w:lineRule="exact"/>
              <w:rPr>
                <w:rFonts w:ascii="宋体" w:cs="楷体_GB2312"/>
                <w:szCs w:val="21"/>
              </w:rPr>
            </w:pPr>
            <w:r>
              <w:rPr>
                <w:rFonts w:hint="eastAsia" w:ascii="宋体" w:hAnsi="宋体" w:cs="楷体_GB2312"/>
                <w:szCs w:val="21"/>
              </w:rPr>
              <w:t>建成黄岩档案工作网站</w:t>
            </w:r>
          </w:p>
        </w:tc>
        <w:tc>
          <w:tcPr>
            <w:tcW w:w="2556" w:type="dxa"/>
            <w:vAlign w:val="center"/>
          </w:tcPr>
          <w:p>
            <w:pPr>
              <w:spacing w:line="260" w:lineRule="exact"/>
              <w:rPr>
                <w:rFonts w:ascii="宋体" w:cs="楷体_GB2312"/>
                <w:szCs w:val="21"/>
              </w:rPr>
            </w:pPr>
            <w:r>
              <w:rPr>
                <w:rFonts w:hint="eastAsia" w:ascii="宋体" w:hAnsi="宋体" w:cs="楷体_GB2312"/>
                <w:szCs w:val="21"/>
              </w:rPr>
              <w:t>完成《黄岩县新志（民国）简体本》系列</w:t>
            </w:r>
            <w:r>
              <w:rPr>
                <w:rFonts w:ascii="宋体" w:hAnsi="宋体" w:cs="楷体_GB2312"/>
                <w:szCs w:val="21"/>
              </w:rPr>
              <w:t>1</w:t>
            </w:r>
            <w:r>
              <w:rPr>
                <w:rFonts w:hint="eastAsia" w:ascii="宋体" w:hAnsi="宋体" w:cs="楷体_GB2312"/>
                <w:szCs w:val="21"/>
              </w:rPr>
              <w:t>卷</w:t>
            </w:r>
          </w:p>
        </w:tc>
        <w:tc>
          <w:tcPr>
            <w:tcW w:w="2556" w:type="dxa"/>
            <w:vAlign w:val="center"/>
          </w:tcPr>
          <w:p>
            <w:pPr>
              <w:spacing w:line="260" w:lineRule="exact"/>
              <w:rPr>
                <w:rFonts w:ascii="宋体" w:cs="楷体_GB2312"/>
                <w:szCs w:val="21"/>
              </w:rPr>
            </w:pPr>
            <w:r>
              <w:rPr>
                <w:rFonts w:hint="eastAsia" w:ascii="宋体" w:hAnsi="宋体" w:cs="楷体_GB2312"/>
                <w:szCs w:val="21"/>
              </w:rPr>
              <w:t>完成《黄岩县新志（民国）简体本》系列</w:t>
            </w:r>
            <w:r>
              <w:rPr>
                <w:rFonts w:ascii="宋体" w:hAnsi="宋体" w:cs="楷体_GB2312"/>
                <w:szCs w:val="21"/>
              </w:rPr>
              <w:t>1</w:t>
            </w:r>
            <w:r>
              <w:rPr>
                <w:rFonts w:hint="eastAsia" w:ascii="宋体" w:hAnsi="宋体" w:cs="楷体_GB2312"/>
                <w:szCs w:val="21"/>
              </w:rPr>
              <w:t>卷</w:t>
            </w:r>
          </w:p>
        </w:tc>
        <w:tc>
          <w:tcPr>
            <w:tcW w:w="2557"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完成《抗日战争档案汇编》</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完成《黄岩县新志（民国）简体本》系列</w:t>
            </w:r>
            <w:r>
              <w:rPr>
                <w:rFonts w:ascii="宋体" w:hAnsi="宋体" w:cs="楷体_GB2312"/>
                <w:szCs w:val="21"/>
              </w:rPr>
              <w:t>1</w:t>
            </w:r>
            <w:r>
              <w:rPr>
                <w:rFonts w:hint="eastAsia" w:ascii="宋体" w:hAnsi="宋体" w:cs="楷体_GB2312"/>
                <w:szCs w:val="21"/>
              </w:rPr>
              <w:t>卷</w:t>
            </w:r>
          </w:p>
        </w:tc>
        <w:tc>
          <w:tcPr>
            <w:tcW w:w="2559" w:type="dxa"/>
            <w:vAlign w:val="center"/>
          </w:tcPr>
          <w:p>
            <w:pPr>
              <w:spacing w:line="260" w:lineRule="exact"/>
              <w:rPr>
                <w:rFonts w:ascii="宋体" w:cs="楷体_GB2312"/>
                <w:szCs w:val="21"/>
              </w:rPr>
            </w:pPr>
            <w:r>
              <w:rPr>
                <w:rFonts w:hint="eastAsia" w:ascii="宋体" w:hAnsi="宋体" w:cs="楷体_GB2312"/>
                <w:szCs w:val="21"/>
              </w:rPr>
              <w:t>完成《黄岩县新志（民国）简体本》系列</w:t>
            </w:r>
            <w:r>
              <w:rPr>
                <w:rFonts w:ascii="宋体" w:hAnsi="宋体" w:cs="楷体_GB2312"/>
                <w:szCs w:val="21"/>
              </w:rPr>
              <w:t>1</w:t>
            </w:r>
            <w:r>
              <w:rPr>
                <w:rFonts w:hint="eastAsia" w:ascii="宋体" w:hAnsi="宋体" w:cs="楷体_GB2312"/>
                <w:szCs w:val="21"/>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路桥区</w:t>
            </w:r>
          </w:p>
        </w:tc>
        <w:tc>
          <w:tcPr>
            <w:tcW w:w="2556" w:type="dxa"/>
            <w:vAlign w:val="center"/>
          </w:tcPr>
          <w:p>
            <w:pPr>
              <w:spacing w:line="260" w:lineRule="exact"/>
              <w:rPr>
                <w:rFonts w:ascii="宋体" w:cs="楷体_GB2312"/>
                <w:szCs w:val="21"/>
              </w:rPr>
            </w:pPr>
            <w:r>
              <w:rPr>
                <w:rFonts w:hint="eastAsia" w:ascii="宋体" w:hAnsi="宋体" w:cs="楷体_GB2312"/>
                <w:szCs w:val="21"/>
              </w:rPr>
              <w:t>完成《路桥市场发展史料汇编》</w:t>
            </w:r>
          </w:p>
        </w:tc>
        <w:tc>
          <w:tcPr>
            <w:tcW w:w="2556" w:type="dxa"/>
            <w:vAlign w:val="center"/>
          </w:tcPr>
          <w:p>
            <w:pPr>
              <w:spacing w:line="260" w:lineRule="exact"/>
              <w:rPr>
                <w:rFonts w:ascii="宋体" w:cs="楷体_GB2312"/>
                <w:szCs w:val="21"/>
              </w:rPr>
            </w:pPr>
            <w:r>
              <w:rPr>
                <w:rFonts w:hint="eastAsia" w:ascii="宋体" w:hAnsi="宋体" w:cs="楷体_GB2312"/>
                <w:szCs w:val="21"/>
              </w:rPr>
              <w:t>完成《路桥银行业史料汇编》</w:t>
            </w:r>
          </w:p>
        </w:tc>
        <w:tc>
          <w:tcPr>
            <w:tcW w:w="2556" w:type="dxa"/>
            <w:vAlign w:val="center"/>
          </w:tcPr>
          <w:p>
            <w:pPr>
              <w:spacing w:line="260" w:lineRule="exact"/>
              <w:rPr>
                <w:rFonts w:ascii="宋体" w:cs="楷体_GB2312"/>
                <w:szCs w:val="21"/>
              </w:rPr>
            </w:pPr>
            <w:r>
              <w:rPr>
                <w:rFonts w:hint="eastAsia" w:ascii="宋体" w:hAnsi="宋体" w:cs="楷体_GB2312"/>
                <w:szCs w:val="21"/>
              </w:rPr>
              <w:t>建成路桥家谱展示馆</w:t>
            </w:r>
          </w:p>
        </w:tc>
        <w:tc>
          <w:tcPr>
            <w:tcW w:w="2557" w:type="dxa"/>
            <w:vAlign w:val="center"/>
          </w:tcPr>
          <w:p>
            <w:pPr>
              <w:spacing w:line="260" w:lineRule="exact"/>
              <w:rPr>
                <w:rFonts w:ascii="宋体" w:cs="楷体_GB2312"/>
                <w:szCs w:val="21"/>
              </w:rPr>
            </w:pPr>
            <w:r>
              <w:rPr>
                <w:rFonts w:hint="eastAsia" w:ascii="宋体" w:hAnsi="宋体" w:cs="楷体_GB2312"/>
                <w:szCs w:val="21"/>
              </w:rPr>
              <w:t>完成《路桥大裂变》</w:t>
            </w:r>
          </w:p>
        </w:tc>
        <w:tc>
          <w:tcPr>
            <w:tcW w:w="2559" w:type="dxa"/>
            <w:vAlign w:val="center"/>
          </w:tcPr>
          <w:p>
            <w:pPr>
              <w:spacing w:line="260" w:lineRule="exact"/>
              <w:rPr>
                <w:rFonts w:ascii="宋体" w:cs="楷体_GB2312"/>
                <w:szCs w:val="21"/>
              </w:rPr>
            </w:pPr>
            <w:r>
              <w:rPr>
                <w:rFonts w:hint="eastAsia" w:ascii="宋体" w:hAnsi="宋体" w:cs="楷体_GB2312"/>
                <w:szCs w:val="21"/>
              </w:rPr>
              <w:t>建成新农村数字档案体验馆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临海市</w:t>
            </w:r>
          </w:p>
        </w:tc>
        <w:tc>
          <w:tcPr>
            <w:tcW w:w="2556" w:type="dxa"/>
            <w:vAlign w:val="center"/>
          </w:tcPr>
          <w:p>
            <w:pPr>
              <w:spacing w:line="260" w:lineRule="exact"/>
              <w:rPr>
                <w:rFonts w:ascii="宋体" w:cs="楷体_GB2312"/>
                <w:szCs w:val="21"/>
              </w:rPr>
            </w:pPr>
            <w:r>
              <w:rPr>
                <w:rFonts w:hint="eastAsia" w:ascii="宋体" w:hAnsi="宋体" w:cs="楷体_GB2312"/>
                <w:szCs w:val="21"/>
              </w:rPr>
              <w:t>编纂临海金融史</w:t>
            </w:r>
          </w:p>
        </w:tc>
        <w:tc>
          <w:tcPr>
            <w:tcW w:w="2556" w:type="dxa"/>
            <w:vAlign w:val="center"/>
          </w:tcPr>
          <w:p>
            <w:pPr>
              <w:spacing w:line="260" w:lineRule="exact"/>
              <w:rPr>
                <w:rFonts w:ascii="宋体" w:cs="楷体_GB2312"/>
                <w:szCs w:val="21"/>
              </w:rPr>
            </w:pPr>
            <w:r>
              <w:rPr>
                <w:rFonts w:hint="eastAsia" w:ascii="宋体" w:hAnsi="宋体" w:cs="楷体_GB2312"/>
                <w:szCs w:val="21"/>
              </w:rPr>
              <w:t>建成临海民营经济展示馆</w:t>
            </w:r>
          </w:p>
        </w:tc>
        <w:tc>
          <w:tcPr>
            <w:tcW w:w="2556" w:type="dxa"/>
            <w:vAlign w:val="center"/>
          </w:tcPr>
          <w:p>
            <w:pPr>
              <w:spacing w:line="260" w:lineRule="exact"/>
              <w:rPr>
                <w:rFonts w:ascii="宋体" w:cs="楷体_GB2312"/>
                <w:szCs w:val="21"/>
              </w:rPr>
            </w:pPr>
            <w:r>
              <w:rPr>
                <w:rFonts w:hint="eastAsia" w:ascii="宋体" w:hAnsi="宋体"/>
                <w:szCs w:val="21"/>
              </w:rPr>
              <w:t>完成《抗日战争档案汇编》</w:t>
            </w:r>
            <w:r>
              <w:rPr>
                <w:rFonts w:ascii="宋体" w:hAnsi="宋体"/>
                <w:szCs w:val="21"/>
              </w:rPr>
              <w:t>1</w:t>
            </w:r>
            <w:r>
              <w:rPr>
                <w:rFonts w:hint="eastAsia" w:ascii="宋体" w:hAnsi="宋体"/>
                <w:szCs w:val="21"/>
              </w:rPr>
              <w:t>册</w:t>
            </w:r>
          </w:p>
        </w:tc>
        <w:tc>
          <w:tcPr>
            <w:tcW w:w="2557" w:type="dxa"/>
            <w:vAlign w:val="center"/>
          </w:tcPr>
          <w:p>
            <w:pPr>
              <w:spacing w:line="260" w:lineRule="exact"/>
              <w:rPr>
                <w:rFonts w:ascii="宋体" w:cs="楷体_GB2312"/>
                <w:szCs w:val="21"/>
              </w:rPr>
            </w:pPr>
            <w:r>
              <w:rPr>
                <w:rFonts w:hint="eastAsia" w:ascii="宋体" w:hAnsi="宋体" w:cs="楷体_GB2312"/>
                <w:szCs w:val="21"/>
              </w:rPr>
              <w:t>编纂临海教育发展史</w:t>
            </w:r>
          </w:p>
        </w:tc>
        <w:tc>
          <w:tcPr>
            <w:tcW w:w="2559" w:type="dxa"/>
            <w:vAlign w:val="center"/>
          </w:tcPr>
          <w:p>
            <w:pPr>
              <w:spacing w:line="260" w:lineRule="exact"/>
              <w:rPr>
                <w:rFonts w:ascii="宋体" w:cs="楷体_GB2312"/>
                <w:szCs w:val="21"/>
              </w:rPr>
            </w:pPr>
            <w:r>
              <w:rPr>
                <w:rFonts w:hint="eastAsia" w:ascii="宋体" w:hAnsi="宋体"/>
                <w:szCs w:val="21"/>
              </w:rPr>
              <w:t>完成《抗日战争档案汇编》</w:t>
            </w:r>
            <w:r>
              <w:rPr>
                <w:rFonts w:ascii="宋体" w:hAnsi="宋体"/>
                <w:szCs w:val="21"/>
              </w:rPr>
              <w:t>1</w:t>
            </w:r>
            <w:r>
              <w:rPr>
                <w:rFonts w:hint="eastAsia" w:ascii="宋体" w:hAnsi="宋体"/>
                <w:szCs w:val="21"/>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温岭市</w:t>
            </w:r>
          </w:p>
        </w:tc>
        <w:tc>
          <w:tcPr>
            <w:tcW w:w="2556" w:type="dxa"/>
            <w:vAlign w:val="center"/>
          </w:tcPr>
          <w:p>
            <w:pPr>
              <w:spacing w:line="260" w:lineRule="exact"/>
              <w:rPr>
                <w:rFonts w:ascii="宋体" w:cs="楷体_GB2312"/>
                <w:szCs w:val="21"/>
              </w:rPr>
            </w:pPr>
            <w:r>
              <w:rPr>
                <w:rFonts w:hint="eastAsia" w:ascii="宋体" w:hAnsi="宋体"/>
                <w:szCs w:val="21"/>
              </w:rPr>
              <w:t>完成《温岭市档案馆指南》（修编）</w:t>
            </w:r>
          </w:p>
        </w:tc>
        <w:tc>
          <w:tcPr>
            <w:tcW w:w="2556" w:type="dxa"/>
            <w:vAlign w:val="center"/>
          </w:tcPr>
          <w:p>
            <w:pPr>
              <w:spacing w:line="260" w:lineRule="exact"/>
              <w:rPr>
                <w:rFonts w:ascii="宋体"/>
                <w:szCs w:val="21"/>
              </w:rPr>
            </w:pPr>
            <w:r>
              <w:rPr>
                <w:rFonts w:hint="eastAsia" w:ascii="宋体" w:hAnsi="宋体"/>
                <w:szCs w:val="21"/>
              </w:rPr>
              <w:t>完成名人系列</w:t>
            </w:r>
            <w:r>
              <w:rPr>
                <w:rFonts w:ascii="宋体" w:hAnsi="宋体"/>
                <w:szCs w:val="21"/>
              </w:rPr>
              <w:t>——</w:t>
            </w:r>
            <w:r>
              <w:rPr>
                <w:rFonts w:hint="eastAsia" w:ascii="宋体" w:hAnsi="宋体"/>
                <w:szCs w:val="21"/>
              </w:rPr>
              <w:t>《毛济美词集》</w:t>
            </w:r>
          </w:p>
        </w:tc>
        <w:tc>
          <w:tcPr>
            <w:tcW w:w="2556" w:type="dxa"/>
            <w:vAlign w:val="center"/>
          </w:tcPr>
          <w:p>
            <w:pPr>
              <w:spacing w:line="260" w:lineRule="exact"/>
              <w:rPr>
                <w:rFonts w:ascii="宋体"/>
                <w:szCs w:val="21"/>
              </w:rPr>
            </w:pPr>
            <w:r>
              <w:rPr>
                <w:rFonts w:ascii="宋体" w:hAnsi="宋体"/>
                <w:szCs w:val="21"/>
              </w:rPr>
              <w:t>1.</w:t>
            </w:r>
            <w:r>
              <w:rPr>
                <w:rFonts w:hint="eastAsia" w:ascii="宋体" w:hAnsi="宋体"/>
                <w:szCs w:val="21"/>
              </w:rPr>
              <w:t>完成名人系列</w:t>
            </w:r>
            <w:r>
              <w:rPr>
                <w:rFonts w:ascii="宋体" w:hAnsi="宋体"/>
                <w:szCs w:val="21"/>
              </w:rPr>
              <w:t>——</w:t>
            </w:r>
            <w:r>
              <w:rPr>
                <w:rFonts w:hint="eastAsia" w:ascii="宋体" w:hAnsi="宋体"/>
                <w:szCs w:val="21"/>
              </w:rPr>
              <w:t>《毛济美文集》</w:t>
            </w:r>
          </w:p>
          <w:p>
            <w:pPr>
              <w:spacing w:line="260" w:lineRule="exact"/>
              <w:rPr>
                <w:rFonts w:ascii="宋体"/>
                <w:szCs w:val="21"/>
              </w:rPr>
            </w:pPr>
            <w:r>
              <w:rPr>
                <w:rFonts w:ascii="宋体" w:hAnsi="宋体"/>
                <w:szCs w:val="21"/>
              </w:rPr>
              <w:t>2.</w:t>
            </w:r>
            <w:r>
              <w:rPr>
                <w:rFonts w:hint="eastAsia" w:ascii="宋体" w:hAnsi="宋体" w:cs="楷体_GB2312"/>
                <w:szCs w:val="21"/>
              </w:rPr>
              <w:t>协助完成名人系列</w:t>
            </w:r>
            <w:r>
              <w:rPr>
                <w:rFonts w:ascii="宋体" w:hAnsi="宋体" w:cs="楷体_GB2312"/>
                <w:szCs w:val="21"/>
              </w:rPr>
              <w:t>——</w:t>
            </w:r>
            <w:r>
              <w:rPr>
                <w:rFonts w:hint="eastAsia" w:ascii="宋体" w:hAnsi="宋体" w:cs="楷体_GB2312"/>
                <w:szCs w:val="21"/>
              </w:rPr>
              <w:t>《闻邦椿院士传略》</w:t>
            </w:r>
          </w:p>
        </w:tc>
        <w:tc>
          <w:tcPr>
            <w:tcW w:w="2557" w:type="dxa"/>
            <w:vAlign w:val="center"/>
          </w:tcPr>
          <w:p>
            <w:pPr>
              <w:spacing w:line="260" w:lineRule="exact"/>
              <w:rPr>
                <w:rFonts w:ascii="宋体"/>
                <w:szCs w:val="21"/>
              </w:rPr>
            </w:pPr>
            <w:r>
              <w:rPr>
                <w:rFonts w:hint="eastAsia" w:ascii="宋体" w:hAnsi="宋体"/>
                <w:szCs w:val="21"/>
              </w:rPr>
              <w:t>完成《档案里的故事》</w:t>
            </w:r>
          </w:p>
        </w:tc>
        <w:tc>
          <w:tcPr>
            <w:tcW w:w="2559" w:type="dxa"/>
            <w:vAlign w:val="center"/>
          </w:tcPr>
          <w:p>
            <w:pPr>
              <w:spacing w:line="260" w:lineRule="exact"/>
              <w:rPr>
                <w:rFonts w:ascii="宋体"/>
                <w:szCs w:val="21"/>
              </w:rPr>
            </w:pPr>
            <w:r>
              <w:rPr>
                <w:rFonts w:hint="eastAsia" w:ascii="宋体" w:hAnsi="宋体"/>
                <w:szCs w:val="21"/>
              </w:rPr>
              <w:t>完成《抗日战争档案汇编》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玉环市</w:t>
            </w:r>
          </w:p>
        </w:tc>
        <w:tc>
          <w:tcPr>
            <w:tcW w:w="2556" w:type="dxa"/>
            <w:vAlign w:val="center"/>
          </w:tcPr>
          <w:p>
            <w:pPr>
              <w:tabs>
                <w:tab w:val="left" w:pos="312"/>
              </w:tabs>
              <w:spacing w:line="260" w:lineRule="exact"/>
              <w:rPr>
                <w:rFonts w:ascii="宋体" w:cs="楷体_GB2312"/>
                <w:szCs w:val="21"/>
                <w:lang w:val="zh-TW"/>
              </w:rPr>
            </w:pPr>
            <w:r>
              <w:rPr>
                <w:rFonts w:ascii="宋体" w:hAnsi="宋体" w:cs="楷体_GB2312"/>
                <w:szCs w:val="21"/>
                <w:lang w:val="zh-TW"/>
              </w:rPr>
              <w:t>1.</w:t>
            </w:r>
            <w:r>
              <w:rPr>
                <w:rFonts w:hint="eastAsia" w:ascii="宋体" w:hAnsi="宋体" w:cs="楷体_GB2312"/>
                <w:szCs w:val="21"/>
                <w:lang w:val="zh-TW"/>
              </w:rPr>
              <w:t>编纂《玉环抗日战争纪实》（新编）</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建成叶尚青名人专题展厅</w:t>
            </w:r>
          </w:p>
        </w:tc>
        <w:tc>
          <w:tcPr>
            <w:tcW w:w="2556"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编纂红十三军专题编研作品</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完成《玉环跨海大桥工程纪实》</w:t>
            </w:r>
          </w:p>
          <w:p>
            <w:pPr>
              <w:spacing w:line="260" w:lineRule="exact"/>
              <w:rPr>
                <w:rFonts w:ascii="宋体" w:cs="楷体_GB2312"/>
                <w:szCs w:val="21"/>
              </w:rPr>
            </w:pPr>
            <w:r>
              <w:rPr>
                <w:rFonts w:ascii="宋体" w:hAnsi="宋体" w:cs="楷体_GB2312"/>
                <w:szCs w:val="21"/>
              </w:rPr>
              <w:t>3.</w:t>
            </w:r>
            <w:r>
              <w:rPr>
                <w:rFonts w:hint="eastAsia" w:ascii="宋体" w:hAnsi="宋体" w:cs="楷体_GB2312"/>
                <w:szCs w:val="21"/>
              </w:rPr>
              <w:t>创建市级爱国主义教育基地</w:t>
            </w:r>
          </w:p>
        </w:tc>
        <w:tc>
          <w:tcPr>
            <w:tcW w:w="2556" w:type="dxa"/>
            <w:vAlign w:val="center"/>
          </w:tcPr>
          <w:p>
            <w:pPr>
              <w:spacing w:line="260" w:lineRule="exact"/>
              <w:rPr>
                <w:rFonts w:ascii="宋体" w:cs="楷体_GB2312"/>
                <w:szCs w:val="21"/>
              </w:rPr>
            </w:pPr>
            <w:r>
              <w:rPr>
                <w:rFonts w:hint="eastAsia" w:ascii="宋体" w:hAnsi="宋体" w:cs="楷体_GB2312"/>
                <w:szCs w:val="21"/>
              </w:rPr>
              <w:t>完成</w:t>
            </w:r>
            <w:r>
              <w:rPr>
                <w:rFonts w:hint="eastAsia" w:ascii="宋体" w:hAnsi="宋体"/>
                <w:szCs w:val="21"/>
              </w:rPr>
              <w:t>名人系列</w:t>
            </w:r>
            <w:r>
              <w:rPr>
                <w:rFonts w:ascii="宋体" w:hAnsi="宋体"/>
                <w:szCs w:val="21"/>
              </w:rPr>
              <w:t>——</w:t>
            </w:r>
            <w:r>
              <w:rPr>
                <w:rFonts w:hint="eastAsia" w:ascii="宋体" w:hAnsi="宋体" w:cs="楷体_GB2312"/>
                <w:szCs w:val="21"/>
              </w:rPr>
              <w:t>《倪涛文化研究集粹》</w:t>
            </w:r>
          </w:p>
        </w:tc>
        <w:tc>
          <w:tcPr>
            <w:tcW w:w="2557" w:type="dxa"/>
            <w:vAlign w:val="center"/>
          </w:tcPr>
          <w:p>
            <w:pPr>
              <w:spacing w:line="260" w:lineRule="exact"/>
              <w:rPr>
                <w:rFonts w:ascii="宋体" w:cs="楷体_GB2312"/>
                <w:szCs w:val="21"/>
              </w:rPr>
            </w:pPr>
            <w:r>
              <w:rPr>
                <w:rFonts w:hint="eastAsia" w:ascii="宋体" w:hAnsi="宋体" w:cs="楷体_GB2312"/>
                <w:szCs w:val="21"/>
              </w:rPr>
              <w:t>完成《玉环民国档案汇编》</w:t>
            </w:r>
          </w:p>
        </w:tc>
        <w:tc>
          <w:tcPr>
            <w:tcW w:w="2559" w:type="dxa"/>
            <w:vAlign w:val="center"/>
          </w:tcPr>
          <w:p>
            <w:pPr>
              <w:spacing w:line="260" w:lineRule="exact"/>
              <w:rPr>
                <w:rFonts w:ascii="宋体" w:cs="楷体_GB2312"/>
                <w:szCs w:val="21"/>
              </w:rPr>
            </w:pPr>
            <w:r>
              <w:rPr>
                <w:rFonts w:hint="eastAsia" w:ascii="宋体" w:hAnsi="宋体" w:cs="楷体_GB2312"/>
                <w:szCs w:val="21"/>
              </w:rPr>
              <w:t>完成《玉环历史文化街区姓氏的故事》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天台县</w:t>
            </w:r>
          </w:p>
        </w:tc>
        <w:tc>
          <w:tcPr>
            <w:tcW w:w="2556" w:type="dxa"/>
            <w:vAlign w:val="center"/>
          </w:tcPr>
          <w:p>
            <w:pPr>
              <w:spacing w:line="260" w:lineRule="exact"/>
              <w:rPr>
                <w:rFonts w:ascii="宋体" w:cs="楷体_GB2312"/>
                <w:szCs w:val="21"/>
              </w:rPr>
            </w:pPr>
            <w:r>
              <w:rPr>
                <w:rFonts w:hint="eastAsia" w:ascii="宋体" w:hAnsi="宋体" w:cs="楷体_GB2312"/>
                <w:szCs w:val="21"/>
              </w:rPr>
              <w:t>完成《天台辉煌百年画册》</w:t>
            </w:r>
          </w:p>
        </w:tc>
        <w:tc>
          <w:tcPr>
            <w:tcW w:w="2556" w:type="dxa"/>
            <w:vAlign w:val="center"/>
          </w:tcPr>
          <w:p>
            <w:pPr>
              <w:spacing w:line="260" w:lineRule="exact"/>
              <w:rPr>
                <w:rFonts w:ascii="宋体" w:cs="楷体_GB2312"/>
                <w:szCs w:val="21"/>
              </w:rPr>
            </w:pPr>
            <w:r>
              <w:rPr>
                <w:rFonts w:hint="eastAsia" w:ascii="宋体" w:hAnsi="宋体" w:cs="楷体_GB2312"/>
                <w:szCs w:val="21"/>
              </w:rPr>
              <w:t>编纂《浓墨画卷·和美天台》</w:t>
            </w:r>
          </w:p>
        </w:tc>
        <w:tc>
          <w:tcPr>
            <w:tcW w:w="2556" w:type="dxa"/>
            <w:vAlign w:val="center"/>
          </w:tcPr>
          <w:p>
            <w:pPr>
              <w:spacing w:line="260" w:lineRule="exact"/>
              <w:rPr>
                <w:rFonts w:ascii="宋体" w:cs="楷体_GB2312"/>
                <w:szCs w:val="21"/>
              </w:rPr>
            </w:pPr>
            <w:r>
              <w:rPr>
                <w:rFonts w:hint="eastAsia" w:ascii="宋体" w:hAnsi="宋体" w:cs="楷体_GB2312"/>
                <w:szCs w:val="21"/>
              </w:rPr>
              <w:t>建设和美天台历史文化展示馆</w:t>
            </w:r>
          </w:p>
        </w:tc>
        <w:tc>
          <w:tcPr>
            <w:tcW w:w="2557" w:type="dxa"/>
            <w:vAlign w:val="center"/>
          </w:tcPr>
          <w:p>
            <w:pPr>
              <w:spacing w:line="260" w:lineRule="exact"/>
              <w:rPr>
                <w:rFonts w:ascii="宋体" w:cs="楷体_GB2312"/>
                <w:szCs w:val="21"/>
              </w:rPr>
            </w:pPr>
            <w:r>
              <w:rPr>
                <w:rFonts w:hint="eastAsia" w:ascii="宋体" w:hAnsi="宋体" w:cs="楷体_GB2312"/>
                <w:szCs w:val="21"/>
              </w:rPr>
              <w:t>编纂《古村九遮》</w:t>
            </w:r>
          </w:p>
        </w:tc>
        <w:tc>
          <w:tcPr>
            <w:tcW w:w="2559" w:type="dxa"/>
            <w:vAlign w:val="center"/>
          </w:tcPr>
          <w:p>
            <w:pPr>
              <w:spacing w:line="260" w:lineRule="exact"/>
              <w:rPr>
                <w:rFonts w:ascii="宋体" w:cs="楷体_GB2312"/>
                <w:szCs w:val="21"/>
              </w:rPr>
            </w:pPr>
            <w:r>
              <w:rPr>
                <w:rFonts w:hint="eastAsia" w:ascii="宋体" w:hAnsi="宋体" w:cs="楷体_GB2312"/>
                <w:szCs w:val="21"/>
              </w:rPr>
              <w:t>编纂《古村灵溪》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仙居县</w:t>
            </w:r>
          </w:p>
        </w:tc>
        <w:tc>
          <w:tcPr>
            <w:tcW w:w="2556" w:type="dxa"/>
            <w:vAlign w:val="center"/>
          </w:tcPr>
          <w:p>
            <w:pPr>
              <w:spacing w:line="260" w:lineRule="exact"/>
              <w:rPr>
                <w:rFonts w:ascii="宋体" w:cs="楷体_GB2312"/>
                <w:szCs w:val="21"/>
              </w:rPr>
            </w:pPr>
            <w:r>
              <w:rPr>
                <w:rFonts w:hint="eastAsia" w:ascii="宋体" w:hAnsi="宋体" w:cs="楷体_GB2312"/>
                <w:szCs w:val="21"/>
              </w:rPr>
              <w:t>建成高迁村史馆</w:t>
            </w:r>
          </w:p>
        </w:tc>
        <w:tc>
          <w:tcPr>
            <w:tcW w:w="2556" w:type="dxa"/>
            <w:vAlign w:val="center"/>
          </w:tcPr>
          <w:p>
            <w:pPr>
              <w:spacing w:line="260" w:lineRule="exact"/>
              <w:rPr>
                <w:rFonts w:ascii="宋体" w:cs="楷体_GB2312"/>
                <w:szCs w:val="21"/>
              </w:rPr>
            </w:pPr>
            <w:r>
              <w:rPr>
                <w:rFonts w:ascii="宋体" w:hAnsi="宋体" w:cs="楷体_GB2312"/>
                <w:szCs w:val="21"/>
              </w:rPr>
              <w:t>1.</w:t>
            </w:r>
            <w:r>
              <w:rPr>
                <w:rFonts w:hint="eastAsia" w:ascii="宋体" w:hAnsi="宋体" w:cs="楷体_GB2312"/>
                <w:szCs w:val="21"/>
              </w:rPr>
              <w:t>完成《仙居民间艺人口述史》</w:t>
            </w:r>
          </w:p>
          <w:p>
            <w:pPr>
              <w:spacing w:line="260" w:lineRule="exact"/>
              <w:rPr>
                <w:rFonts w:ascii="宋体" w:cs="楷体_GB2312"/>
                <w:szCs w:val="21"/>
              </w:rPr>
            </w:pPr>
            <w:r>
              <w:rPr>
                <w:rFonts w:ascii="宋体" w:hAnsi="宋体" w:cs="楷体_GB2312"/>
                <w:szCs w:val="21"/>
              </w:rPr>
              <w:t>2.</w:t>
            </w:r>
            <w:r>
              <w:rPr>
                <w:rFonts w:hint="eastAsia" w:ascii="宋体" w:hAnsi="宋体" w:cs="楷体_GB2312"/>
                <w:szCs w:val="21"/>
              </w:rPr>
              <w:t>完成《仙居文史记忆》</w:t>
            </w:r>
          </w:p>
        </w:tc>
        <w:tc>
          <w:tcPr>
            <w:tcW w:w="2556" w:type="dxa"/>
            <w:vAlign w:val="center"/>
          </w:tcPr>
          <w:p>
            <w:pPr>
              <w:spacing w:line="260" w:lineRule="exact"/>
              <w:rPr>
                <w:rFonts w:ascii="宋体" w:cs="楷体_GB2312"/>
                <w:szCs w:val="21"/>
              </w:rPr>
            </w:pPr>
            <w:r>
              <w:rPr>
                <w:rFonts w:hint="eastAsia" w:ascii="宋体" w:hAnsi="宋体" w:cs="楷体_GB2312"/>
                <w:szCs w:val="21"/>
              </w:rPr>
              <w:t>完成《仙居农耕档案》</w:t>
            </w:r>
          </w:p>
        </w:tc>
        <w:tc>
          <w:tcPr>
            <w:tcW w:w="2557" w:type="dxa"/>
            <w:vAlign w:val="center"/>
          </w:tcPr>
          <w:p>
            <w:pPr>
              <w:spacing w:line="260" w:lineRule="exact"/>
              <w:rPr>
                <w:rFonts w:ascii="宋体" w:cs="楷体_GB2312"/>
                <w:szCs w:val="21"/>
              </w:rPr>
            </w:pPr>
            <w:r>
              <w:rPr>
                <w:rFonts w:hint="eastAsia" w:ascii="宋体" w:hAnsi="宋体" w:cs="楷体_GB2312"/>
                <w:szCs w:val="21"/>
              </w:rPr>
              <w:t>建成古村落绿色档案数据库</w:t>
            </w:r>
          </w:p>
        </w:tc>
        <w:tc>
          <w:tcPr>
            <w:tcW w:w="2559" w:type="dxa"/>
            <w:vAlign w:val="center"/>
          </w:tcPr>
          <w:p>
            <w:pPr>
              <w:spacing w:line="260" w:lineRule="exact"/>
              <w:rPr>
                <w:rFonts w:ascii="宋体" w:cs="楷体_GB2312"/>
                <w:szCs w:val="21"/>
              </w:rPr>
            </w:pPr>
            <w:r>
              <w:rPr>
                <w:rFonts w:hint="eastAsia" w:ascii="宋体" w:hAnsi="宋体" w:cs="楷体_GB2312"/>
                <w:szCs w:val="21"/>
              </w:rPr>
              <w:t>建成仙居民营经济展示馆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49" w:type="dxa"/>
            <w:vAlign w:val="center"/>
          </w:tcPr>
          <w:p>
            <w:pPr>
              <w:spacing w:line="260" w:lineRule="exact"/>
              <w:jc w:val="center"/>
              <w:rPr>
                <w:rFonts w:ascii="宋体" w:cs="楷体_GB2312"/>
                <w:szCs w:val="21"/>
              </w:rPr>
            </w:pPr>
            <w:r>
              <w:rPr>
                <w:rFonts w:hint="eastAsia" w:ascii="宋体" w:hAnsi="宋体" w:cs="楷体_GB2312"/>
                <w:szCs w:val="21"/>
              </w:rPr>
              <w:t>三门县</w:t>
            </w:r>
          </w:p>
        </w:tc>
        <w:tc>
          <w:tcPr>
            <w:tcW w:w="2556" w:type="dxa"/>
            <w:vAlign w:val="center"/>
          </w:tcPr>
          <w:p>
            <w:pPr>
              <w:spacing w:line="260" w:lineRule="exact"/>
              <w:rPr>
                <w:rFonts w:ascii="宋体" w:cs="楷体_GB2312"/>
                <w:szCs w:val="21"/>
              </w:rPr>
            </w:pPr>
            <w:r>
              <w:rPr>
                <w:rFonts w:hint="eastAsia" w:ascii="宋体" w:hAnsi="宋体" w:cs="楷体_GB2312"/>
                <w:szCs w:val="21"/>
              </w:rPr>
              <w:t>建成临三工委展馆</w:t>
            </w:r>
          </w:p>
        </w:tc>
        <w:tc>
          <w:tcPr>
            <w:tcW w:w="2556" w:type="dxa"/>
            <w:vAlign w:val="center"/>
          </w:tcPr>
          <w:p>
            <w:pPr>
              <w:spacing w:line="260" w:lineRule="exact"/>
              <w:rPr>
                <w:rFonts w:ascii="宋体" w:cs="楷体_GB2312"/>
                <w:szCs w:val="21"/>
              </w:rPr>
            </w:pPr>
            <w:r>
              <w:rPr>
                <w:rFonts w:hint="eastAsia" w:ascii="宋体" w:hAnsi="宋体" w:cs="楷体_GB2312"/>
                <w:szCs w:val="21"/>
              </w:rPr>
              <w:t>完成</w:t>
            </w:r>
            <w:r>
              <w:rPr>
                <w:rFonts w:hint="eastAsia" w:ascii="宋体" w:hAnsi="宋体"/>
                <w:szCs w:val="21"/>
              </w:rPr>
              <w:t>名人系列</w:t>
            </w:r>
            <w:r>
              <w:rPr>
                <w:rFonts w:ascii="宋体" w:hAnsi="宋体"/>
                <w:szCs w:val="21"/>
              </w:rPr>
              <w:t>——</w:t>
            </w:r>
            <w:r>
              <w:rPr>
                <w:rFonts w:hint="eastAsia" w:ascii="宋体" w:hAnsi="宋体" w:cs="楷体_GB2312"/>
                <w:szCs w:val="21"/>
              </w:rPr>
              <w:t>《蒋如琮史略》</w:t>
            </w:r>
          </w:p>
        </w:tc>
        <w:tc>
          <w:tcPr>
            <w:tcW w:w="2556" w:type="dxa"/>
            <w:vAlign w:val="center"/>
          </w:tcPr>
          <w:p>
            <w:pPr>
              <w:spacing w:line="260" w:lineRule="exact"/>
              <w:rPr>
                <w:rFonts w:ascii="宋体" w:cs="楷体_GB2312"/>
                <w:szCs w:val="21"/>
              </w:rPr>
            </w:pPr>
            <w:r>
              <w:rPr>
                <w:rFonts w:hint="eastAsia" w:ascii="宋体" w:hAnsi="宋体" w:cs="楷体_GB2312"/>
                <w:szCs w:val="21"/>
              </w:rPr>
              <w:t>完成《三门红色故事汇编》</w:t>
            </w:r>
          </w:p>
        </w:tc>
        <w:tc>
          <w:tcPr>
            <w:tcW w:w="2557" w:type="dxa"/>
            <w:vAlign w:val="center"/>
          </w:tcPr>
          <w:p>
            <w:pPr>
              <w:spacing w:line="260" w:lineRule="exact"/>
              <w:rPr>
                <w:rFonts w:ascii="宋体" w:cs="楷体_GB2312"/>
                <w:szCs w:val="21"/>
              </w:rPr>
            </w:pPr>
            <w:r>
              <w:rPr>
                <w:rFonts w:hint="eastAsia" w:ascii="宋体" w:hAnsi="宋体" w:cs="楷体_GB2312"/>
                <w:szCs w:val="21"/>
              </w:rPr>
              <w:t>完成《三门古树名木故事汇编》</w:t>
            </w:r>
          </w:p>
        </w:tc>
        <w:tc>
          <w:tcPr>
            <w:tcW w:w="2559" w:type="dxa"/>
            <w:vAlign w:val="center"/>
          </w:tcPr>
          <w:p>
            <w:pPr>
              <w:spacing w:line="260" w:lineRule="exact"/>
              <w:rPr>
                <w:rFonts w:ascii="宋体" w:cs="楷体_GB2312"/>
                <w:szCs w:val="21"/>
              </w:rPr>
            </w:pPr>
            <w:r>
              <w:rPr>
                <w:rFonts w:hint="eastAsia" w:ascii="宋体" w:hAnsi="宋体" w:cs="楷体_GB2312"/>
                <w:szCs w:val="21"/>
              </w:rPr>
              <w:t>完成《三门古村落汇编》</w:t>
            </w:r>
          </w:p>
        </w:tc>
      </w:tr>
    </w:tbl>
    <w:p>
      <w:pPr>
        <w:adjustRightInd w:val="0"/>
        <w:snapToGrid w:val="0"/>
        <w:spacing w:line="600" w:lineRule="exact"/>
        <w:rPr>
          <w:rFonts w:ascii="黑体" w:hAnsi="黑体" w:eastAsia="黑体"/>
          <w:bCs/>
          <w:color w:val="000000"/>
          <w:sz w:val="32"/>
          <w:szCs w:val="32"/>
        </w:rPr>
      </w:pPr>
    </w:p>
    <w:p>
      <w:pPr>
        <w:adjustRightInd w:val="0"/>
        <w:snapToGrid w:val="0"/>
        <w:spacing w:line="600" w:lineRule="exact"/>
        <w:rPr>
          <w:rFonts w:ascii="黑体" w:hAnsi="黑体" w:eastAsia="黑体"/>
          <w:bCs/>
          <w:color w:val="000000"/>
          <w:sz w:val="32"/>
          <w:szCs w:val="32"/>
        </w:rPr>
      </w:pPr>
    </w:p>
    <w:p>
      <w:pPr>
        <w:adjustRightInd w:val="0"/>
        <w:snapToGrid w:val="0"/>
        <w:spacing w:line="600" w:lineRule="exact"/>
        <w:rPr>
          <w:rFonts w:ascii="黑体" w:hAnsi="黑体" w:eastAsia="黑体"/>
          <w:bCs/>
          <w:color w:val="000000"/>
          <w:sz w:val="32"/>
          <w:szCs w:val="32"/>
        </w:rPr>
      </w:pPr>
      <w:r>
        <w:rPr>
          <w:rFonts w:ascii="黑体" w:hAnsi="黑体" w:eastAsia="黑体"/>
          <w:bCs/>
          <w:color w:val="000000"/>
          <w:sz w:val="32"/>
          <w:szCs w:val="32"/>
        </w:rPr>
        <w:br w:type="page"/>
      </w:r>
      <w:r>
        <w:rPr>
          <w:rFonts w:hint="eastAsia" w:ascii="黑体" w:hAnsi="黑体" w:eastAsia="黑体"/>
          <w:bCs/>
          <w:color w:val="000000"/>
          <w:sz w:val="32"/>
          <w:szCs w:val="32"/>
        </w:rPr>
        <w:t>附件</w:t>
      </w:r>
      <w:r>
        <w:rPr>
          <w:rFonts w:ascii="黑体" w:hAnsi="黑体" w:eastAsia="黑体"/>
          <w:bCs/>
          <w:color w:val="000000"/>
          <w:sz w:val="32"/>
          <w:szCs w:val="32"/>
        </w:rPr>
        <w:t>4</w:t>
      </w:r>
    </w:p>
    <w:p>
      <w:pPr>
        <w:adjustRightInd w:val="0"/>
        <w:snapToGrid w:val="0"/>
        <w:spacing w:line="60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基层档案工作“十百千”示范工程规划表</w:t>
      </w:r>
    </w:p>
    <w:tbl>
      <w:tblPr>
        <w:tblStyle w:val="6"/>
        <w:tblpPr w:leftFromText="180" w:rightFromText="180" w:vertAnchor="text" w:horzAnchor="margin" w:tblpXSpec="center" w:tblpY="182"/>
        <w:tblOverlap w:val="never"/>
        <w:tblW w:w="13764" w:type="dxa"/>
        <w:tblInd w:w="0" w:type="dxa"/>
        <w:tblLayout w:type="fixed"/>
        <w:tblCellMar>
          <w:top w:w="0" w:type="dxa"/>
          <w:left w:w="108" w:type="dxa"/>
          <w:bottom w:w="0" w:type="dxa"/>
          <w:right w:w="108" w:type="dxa"/>
        </w:tblCellMar>
      </w:tblPr>
      <w:tblGrid>
        <w:gridCol w:w="853"/>
        <w:gridCol w:w="645"/>
        <w:gridCol w:w="645"/>
        <w:gridCol w:w="645"/>
        <w:gridCol w:w="647"/>
        <w:gridCol w:w="645"/>
        <w:gridCol w:w="645"/>
        <w:gridCol w:w="645"/>
        <w:gridCol w:w="647"/>
        <w:gridCol w:w="645"/>
        <w:gridCol w:w="645"/>
        <w:gridCol w:w="645"/>
        <w:gridCol w:w="647"/>
        <w:gridCol w:w="645"/>
        <w:gridCol w:w="645"/>
        <w:gridCol w:w="645"/>
        <w:gridCol w:w="647"/>
        <w:gridCol w:w="645"/>
        <w:gridCol w:w="645"/>
        <w:gridCol w:w="645"/>
        <w:gridCol w:w="648"/>
      </w:tblGrid>
      <w:tr>
        <w:tblPrEx>
          <w:tblLayout w:type="fixed"/>
          <w:tblCellMar>
            <w:top w:w="0" w:type="dxa"/>
            <w:left w:w="108" w:type="dxa"/>
            <w:bottom w:w="0" w:type="dxa"/>
            <w:right w:w="108" w:type="dxa"/>
          </w:tblCellMar>
        </w:tblPrEx>
        <w:trPr>
          <w:trHeight w:val="396" w:hRule="atLeast"/>
        </w:trPr>
        <w:tc>
          <w:tcPr>
            <w:tcW w:w="853"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p>
        </w:tc>
        <w:tc>
          <w:tcPr>
            <w:tcW w:w="2582"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rFonts w:ascii="宋体" w:cs="楷体_GB2312"/>
                <w:b/>
                <w:szCs w:val="21"/>
              </w:rPr>
            </w:pPr>
            <w:r>
              <w:rPr>
                <w:rFonts w:ascii="宋体" w:hAnsi="宋体" w:cs="楷体_GB2312"/>
                <w:b/>
                <w:szCs w:val="21"/>
              </w:rPr>
              <w:t>2021</w:t>
            </w:r>
            <w:r>
              <w:rPr>
                <w:rFonts w:hint="eastAsia" w:ascii="宋体" w:hAnsi="宋体" w:cs="楷体_GB2312"/>
                <w:b/>
                <w:szCs w:val="21"/>
              </w:rPr>
              <w:t>年</w:t>
            </w:r>
          </w:p>
        </w:tc>
        <w:tc>
          <w:tcPr>
            <w:tcW w:w="2582" w:type="dxa"/>
            <w:gridSpan w:val="4"/>
            <w:tcBorders>
              <w:top w:val="single" w:color="auto" w:sz="4" w:space="0"/>
              <w:left w:val="nil"/>
              <w:bottom w:val="single" w:color="auto" w:sz="4" w:space="0"/>
              <w:right w:val="single" w:color="000000" w:sz="4" w:space="0"/>
            </w:tcBorders>
            <w:noWrap/>
            <w:vAlign w:val="center"/>
          </w:tcPr>
          <w:p>
            <w:pPr>
              <w:spacing w:line="240" w:lineRule="exact"/>
              <w:jc w:val="center"/>
              <w:rPr>
                <w:rFonts w:ascii="宋体" w:cs="楷体_GB2312"/>
                <w:b/>
                <w:szCs w:val="21"/>
              </w:rPr>
            </w:pPr>
            <w:r>
              <w:rPr>
                <w:rFonts w:ascii="宋体" w:hAnsi="宋体" w:cs="楷体_GB2312"/>
                <w:b/>
                <w:szCs w:val="21"/>
              </w:rPr>
              <w:t>2022</w:t>
            </w:r>
            <w:r>
              <w:rPr>
                <w:rFonts w:hint="eastAsia" w:ascii="宋体" w:hAnsi="宋体" w:cs="楷体_GB2312"/>
                <w:b/>
                <w:szCs w:val="21"/>
              </w:rPr>
              <w:t>年</w:t>
            </w:r>
          </w:p>
        </w:tc>
        <w:tc>
          <w:tcPr>
            <w:tcW w:w="2582" w:type="dxa"/>
            <w:gridSpan w:val="4"/>
            <w:tcBorders>
              <w:top w:val="single" w:color="auto" w:sz="4" w:space="0"/>
              <w:left w:val="nil"/>
              <w:bottom w:val="single" w:color="auto" w:sz="4" w:space="0"/>
              <w:right w:val="single" w:color="000000" w:sz="4" w:space="0"/>
            </w:tcBorders>
            <w:noWrap/>
            <w:vAlign w:val="center"/>
          </w:tcPr>
          <w:p>
            <w:pPr>
              <w:spacing w:line="240" w:lineRule="exact"/>
              <w:jc w:val="center"/>
              <w:rPr>
                <w:rFonts w:ascii="宋体" w:cs="楷体_GB2312"/>
                <w:b/>
                <w:szCs w:val="21"/>
              </w:rPr>
            </w:pPr>
            <w:r>
              <w:rPr>
                <w:rFonts w:ascii="宋体" w:hAnsi="宋体" w:cs="楷体_GB2312"/>
                <w:b/>
                <w:szCs w:val="21"/>
              </w:rPr>
              <w:t>2023</w:t>
            </w:r>
            <w:r>
              <w:rPr>
                <w:rFonts w:hint="eastAsia" w:ascii="宋体" w:hAnsi="宋体" w:cs="楷体_GB2312"/>
                <w:b/>
                <w:szCs w:val="21"/>
              </w:rPr>
              <w:t>年</w:t>
            </w:r>
          </w:p>
        </w:tc>
        <w:tc>
          <w:tcPr>
            <w:tcW w:w="2582" w:type="dxa"/>
            <w:gridSpan w:val="4"/>
            <w:tcBorders>
              <w:top w:val="single" w:color="auto" w:sz="4" w:space="0"/>
              <w:left w:val="nil"/>
              <w:bottom w:val="single" w:color="auto" w:sz="4" w:space="0"/>
              <w:right w:val="single" w:color="000000" w:sz="4" w:space="0"/>
            </w:tcBorders>
            <w:noWrap/>
            <w:vAlign w:val="center"/>
          </w:tcPr>
          <w:p>
            <w:pPr>
              <w:spacing w:line="240" w:lineRule="exact"/>
              <w:jc w:val="center"/>
              <w:rPr>
                <w:rFonts w:ascii="宋体" w:cs="楷体_GB2312"/>
                <w:b/>
                <w:szCs w:val="21"/>
              </w:rPr>
            </w:pPr>
            <w:r>
              <w:rPr>
                <w:rFonts w:ascii="宋体" w:hAnsi="宋体" w:cs="楷体_GB2312"/>
                <w:b/>
                <w:szCs w:val="21"/>
              </w:rPr>
              <w:t>2024</w:t>
            </w:r>
            <w:r>
              <w:rPr>
                <w:rFonts w:hint="eastAsia" w:ascii="宋体" w:hAnsi="宋体" w:cs="楷体_GB2312"/>
                <w:b/>
                <w:szCs w:val="21"/>
              </w:rPr>
              <w:t>年</w:t>
            </w:r>
          </w:p>
        </w:tc>
        <w:tc>
          <w:tcPr>
            <w:tcW w:w="2583" w:type="dxa"/>
            <w:gridSpan w:val="4"/>
            <w:tcBorders>
              <w:top w:val="single" w:color="auto" w:sz="4" w:space="0"/>
              <w:left w:val="nil"/>
              <w:bottom w:val="single" w:color="auto" w:sz="4" w:space="0"/>
              <w:right w:val="single" w:color="000000" w:sz="4" w:space="0"/>
            </w:tcBorders>
            <w:noWrap/>
            <w:vAlign w:val="center"/>
          </w:tcPr>
          <w:p>
            <w:pPr>
              <w:spacing w:line="240" w:lineRule="exact"/>
              <w:jc w:val="center"/>
              <w:rPr>
                <w:rFonts w:ascii="宋体" w:cs="楷体_GB2312"/>
                <w:b/>
                <w:szCs w:val="21"/>
              </w:rPr>
            </w:pPr>
            <w:r>
              <w:rPr>
                <w:rFonts w:ascii="宋体" w:hAnsi="宋体" w:cs="楷体_GB2312"/>
                <w:b/>
                <w:szCs w:val="21"/>
              </w:rPr>
              <w:t>2025</w:t>
            </w:r>
            <w:r>
              <w:rPr>
                <w:rFonts w:hint="eastAsia" w:ascii="宋体" w:hAnsi="宋体" w:cs="楷体_GB2312"/>
                <w:b/>
                <w:szCs w:val="21"/>
              </w:rPr>
              <w:t>年</w:t>
            </w:r>
          </w:p>
        </w:tc>
      </w:tr>
      <w:tr>
        <w:tblPrEx>
          <w:tblLayout w:type="fixed"/>
          <w:tblCellMar>
            <w:top w:w="0" w:type="dxa"/>
            <w:left w:w="108" w:type="dxa"/>
            <w:bottom w:w="0" w:type="dxa"/>
            <w:right w:w="108" w:type="dxa"/>
          </w:tblCellMar>
        </w:tblPrEx>
        <w:trPr>
          <w:trHeight w:val="549" w:hRule="atLeast"/>
        </w:trPr>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cs="宋体"/>
                <w:b/>
                <w:color w:val="000000"/>
                <w:kern w:val="0"/>
                <w:szCs w:val="21"/>
              </w:rPr>
            </w:pP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民企</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乡镇</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示范</w:t>
            </w:r>
          </w:p>
        </w:tc>
        <w:tc>
          <w:tcPr>
            <w:tcW w:w="647"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规范</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民企</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乡镇</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示范</w:t>
            </w:r>
          </w:p>
        </w:tc>
        <w:tc>
          <w:tcPr>
            <w:tcW w:w="647"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规范</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民企</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乡镇</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示范</w:t>
            </w:r>
          </w:p>
        </w:tc>
        <w:tc>
          <w:tcPr>
            <w:tcW w:w="647"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规范</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民企</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乡镇</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示范</w:t>
            </w:r>
          </w:p>
        </w:tc>
        <w:tc>
          <w:tcPr>
            <w:tcW w:w="647"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规范</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民企</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乡镇</w:t>
            </w:r>
          </w:p>
        </w:tc>
        <w:tc>
          <w:tcPr>
            <w:tcW w:w="645"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示范</w:t>
            </w:r>
          </w:p>
        </w:tc>
        <w:tc>
          <w:tcPr>
            <w:tcW w:w="648" w:type="dxa"/>
            <w:tcBorders>
              <w:top w:val="nil"/>
              <w:left w:val="nil"/>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规范</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市本级</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30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30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3</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10</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椒江区</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36</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57</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45</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45</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48</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黄岩区</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68</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68</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68</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68</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64</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路桥区</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41</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临海市</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120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120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110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3</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100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3</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100</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温岭市</w:t>
            </w:r>
          </w:p>
        </w:tc>
        <w:tc>
          <w:tcPr>
            <w:tcW w:w="645" w:type="dxa"/>
            <w:tcBorders>
              <w:top w:val="nil"/>
              <w:left w:val="nil"/>
              <w:bottom w:val="single" w:color="auto" w:sz="4" w:space="0"/>
              <w:right w:val="single" w:color="auto" w:sz="4" w:space="0"/>
            </w:tcBorders>
            <w:noWrap/>
            <w:vAlign w:val="center"/>
          </w:tcPr>
          <w:p>
            <w:pPr>
              <w:jc w:val="center"/>
              <w:rPr>
                <w:rFonts w:ascii="宋体"/>
                <w:sz w:val="22"/>
              </w:rPr>
            </w:pPr>
          </w:p>
        </w:tc>
        <w:tc>
          <w:tcPr>
            <w:tcW w:w="645" w:type="dxa"/>
            <w:tcBorders>
              <w:top w:val="nil"/>
              <w:left w:val="nil"/>
              <w:bottom w:val="single" w:color="auto" w:sz="4" w:space="0"/>
              <w:right w:val="single" w:color="auto" w:sz="4" w:space="0"/>
            </w:tcBorders>
            <w:noWrap/>
            <w:vAlign w:val="center"/>
          </w:tcPr>
          <w:p>
            <w:pPr>
              <w:jc w:val="center"/>
              <w:rPr>
                <w:rFonts w:ascii="宋体"/>
                <w:sz w:val="22"/>
              </w:rPr>
            </w:pPr>
          </w:p>
        </w:tc>
        <w:tc>
          <w:tcPr>
            <w:tcW w:w="645"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100</w:t>
            </w:r>
          </w:p>
        </w:tc>
        <w:tc>
          <w:tcPr>
            <w:tcW w:w="645" w:type="dxa"/>
            <w:tcBorders>
              <w:top w:val="nil"/>
              <w:left w:val="nil"/>
              <w:bottom w:val="single" w:color="auto" w:sz="4" w:space="0"/>
              <w:right w:val="single" w:color="auto" w:sz="4" w:space="0"/>
            </w:tcBorders>
            <w:noWrap/>
            <w:vAlign w:val="center"/>
          </w:tcPr>
          <w:p>
            <w:pPr>
              <w:jc w:val="center"/>
              <w:rPr>
                <w:rFonts w:ascii="宋体"/>
                <w:sz w:val="22"/>
              </w:rPr>
            </w:pPr>
          </w:p>
        </w:tc>
        <w:tc>
          <w:tcPr>
            <w:tcW w:w="645" w:type="dxa"/>
            <w:tcBorders>
              <w:top w:val="nil"/>
              <w:left w:val="nil"/>
              <w:bottom w:val="single" w:color="auto" w:sz="4" w:space="0"/>
              <w:right w:val="single" w:color="auto" w:sz="4" w:space="0"/>
            </w:tcBorders>
            <w:noWrap/>
            <w:vAlign w:val="center"/>
          </w:tcPr>
          <w:p>
            <w:pPr>
              <w:jc w:val="center"/>
              <w:rPr>
                <w:rFonts w:ascii="宋体"/>
                <w:sz w:val="22"/>
              </w:rPr>
            </w:pPr>
          </w:p>
        </w:tc>
        <w:tc>
          <w:tcPr>
            <w:tcW w:w="645"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100</w:t>
            </w:r>
          </w:p>
        </w:tc>
        <w:tc>
          <w:tcPr>
            <w:tcW w:w="645" w:type="dxa"/>
            <w:tcBorders>
              <w:top w:val="nil"/>
              <w:left w:val="nil"/>
              <w:bottom w:val="single" w:color="auto" w:sz="4" w:space="0"/>
              <w:right w:val="single" w:color="auto" w:sz="4" w:space="0"/>
            </w:tcBorders>
            <w:noWrap/>
            <w:vAlign w:val="center"/>
          </w:tcPr>
          <w:p>
            <w:pPr>
              <w:jc w:val="center"/>
              <w:rPr>
                <w:rFonts w:ascii="宋体"/>
                <w:sz w:val="22"/>
              </w:rPr>
            </w:pPr>
          </w:p>
        </w:tc>
        <w:tc>
          <w:tcPr>
            <w:tcW w:w="645" w:type="dxa"/>
            <w:tcBorders>
              <w:top w:val="nil"/>
              <w:left w:val="nil"/>
              <w:bottom w:val="single" w:color="auto" w:sz="4" w:space="0"/>
              <w:right w:val="single" w:color="auto" w:sz="4" w:space="0"/>
            </w:tcBorders>
            <w:noWrap/>
            <w:vAlign w:val="center"/>
          </w:tcPr>
          <w:p>
            <w:pPr>
              <w:jc w:val="center"/>
              <w:rPr>
                <w:rFonts w:ascii="宋体"/>
                <w:sz w:val="22"/>
              </w:rPr>
            </w:pPr>
          </w:p>
        </w:tc>
        <w:tc>
          <w:tcPr>
            <w:tcW w:w="645"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100</w:t>
            </w:r>
          </w:p>
        </w:tc>
        <w:tc>
          <w:tcPr>
            <w:tcW w:w="645" w:type="dxa"/>
            <w:tcBorders>
              <w:top w:val="nil"/>
              <w:left w:val="nil"/>
              <w:bottom w:val="single" w:color="auto" w:sz="4" w:space="0"/>
              <w:right w:val="single" w:color="auto" w:sz="4" w:space="0"/>
            </w:tcBorders>
            <w:noWrap/>
            <w:vAlign w:val="center"/>
          </w:tcPr>
          <w:p>
            <w:pPr>
              <w:jc w:val="center"/>
              <w:rPr>
                <w:rFonts w:ascii="宋体"/>
                <w:sz w:val="22"/>
              </w:rPr>
            </w:pPr>
          </w:p>
        </w:tc>
        <w:tc>
          <w:tcPr>
            <w:tcW w:w="645"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100</w:t>
            </w:r>
          </w:p>
        </w:tc>
        <w:tc>
          <w:tcPr>
            <w:tcW w:w="645"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sz w:val="22"/>
              </w:rPr>
            </w:pPr>
            <w:r>
              <w:rPr>
                <w:rFonts w:ascii="宋体"/>
                <w:sz w:val="22"/>
              </w:rPr>
              <w:t>1</w:t>
            </w:r>
          </w:p>
        </w:tc>
        <w:tc>
          <w:tcPr>
            <w:tcW w:w="645"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5</w:t>
            </w:r>
          </w:p>
        </w:tc>
        <w:tc>
          <w:tcPr>
            <w:tcW w:w="648" w:type="dxa"/>
            <w:tcBorders>
              <w:top w:val="nil"/>
              <w:left w:val="nil"/>
              <w:bottom w:val="single" w:color="auto" w:sz="4" w:space="0"/>
              <w:right w:val="single" w:color="auto" w:sz="4" w:space="0"/>
            </w:tcBorders>
            <w:noWrap/>
            <w:vAlign w:val="center"/>
          </w:tcPr>
          <w:p>
            <w:pPr>
              <w:jc w:val="center"/>
              <w:rPr>
                <w:rFonts w:ascii="宋体"/>
                <w:sz w:val="22"/>
              </w:rPr>
            </w:pPr>
            <w:r>
              <w:rPr>
                <w:rFonts w:ascii="宋体" w:cs="宋体"/>
                <w:sz w:val="22"/>
                <w:szCs w:val="22"/>
              </w:rPr>
              <w:t>100</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玉环县</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117</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7</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45</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45</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42</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43</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天台县</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90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90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 xml:space="preserve">90 </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80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26</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仙居县</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60</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三门县</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2</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46</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48</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50</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5</w:t>
            </w:r>
          </w:p>
        </w:tc>
        <w:tc>
          <w:tcPr>
            <w:tcW w:w="647"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48</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6</w:t>
            </w:r>
          </w:p>
        </w:tc>
        <w:tc>
          <w:tcPr>
            <w:tcW w:w="648" w:type="dxa"/>
            <w:tcBorders>
              <w:top w:val="nil"/>
              <w:left w:val="nil"/>
              <w:bottom w:val="single" w:color="auto" w:sz="4" w:space="0"/>
              <w:right w:val="single" w:color="auto" w:sz="4" w:space="0"/>
            </w:tcBorders>
            <w:noWrap/>
            <w:vAlign w:val="center"/>
          </w:tcPr>
          <w:p>
            <w:pPr>
              <w:jc w:val="center"/>
              <w:rPr>
                <w:rFonts w:ascii="宋体" w:cs="宋体"/>
                <w:sz w:val="22"/>
                <w:szCs w:val="22"/>
              </w:rPr>
            </w:pPr>
            <w:r>
              <w:rPr>
                <w:rFonts w:ascii="宋体" w:cs="宋体"/>
                <w:sz w:val="22"/>
                <w:szCs w:val="22"/>
              </w:rPr>
              <w:t>46</w:t>
            </w:r>
          </w:p>
        </w:tc>
      </w:tr>
      <w:tr>
        <w:tblPrEx>
          <w:tblLayout w:type="fixed"/>
          <w:tblCellMar>
            <w:top w:w="0" w:type="dxa"/>
            <w:left w:w="108" w:type="dxa"/>
            <w:bottom w:w="0" w:type="dxa"/>
            <w:right w:w="108" w:type="dxa"/>
          </w:tblCellMar>
        </w:tblPrEx>
        <w:trPr>
          <w:trHeight w:val="461" w:hRule="atLeast"/>
        </w:trPr>
        <w:tc>
          <w:tcPr>
            <w:tcW w:w="853" w:type="dxa"/>
            <w:tcBorders>
              <w:top w:val="nil"/>
              <w:left w:val="single" w:color="auto" w:sz="4" w:space="0"/>
              <w:bottom w:val="single" w:color="auto" w:sz="4" w:space="0"/>
              <w:right w:val="single" w:color="auto" w:sz="4" w:space="0"/>
            </w:tcBorders>
            <w:noWrap/>
            <w:vAlign w:val="center"/>
          </w:tcPr>
          <w:p>
            <w:pPr>
              <w:spacing w:line="240" w:lineRule="exact"/>
              <w:jc w:val="center"/>
              <w:rPr>
                <w:rFonts w:ascii="宋体" w:cs="宋体"/>
                <w:b/>
                <w:color w:val="000000"/>
                <w:kern w:val="0"/>
                <w:szCs w:val="21"/>
              </w:rPr>
            </w:pPr>
            <w:r>
              <w:rPr>
                <w:rFonts w:hint="eastAsia" w:ascii="宋体" w:hAnsi="宋体" w:cs="宋体"/>
                <w:b/>
                <w:color w:val="000000"/>
                <w:kern w:val="0"/>
                <w:szCs w:val="21"/>
              </w:rPr>
              <w:t>合计</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1</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31</w:t>
            </w:r>
          </w:p>
        </w:tc>
        <w:tc>
          <w:tcPr>
            <w:tcW w:w="647"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697</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3</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2</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47</w:t>
            </w:r>
          </w:p>
        </w:tc>
        <w:tc>
          <w:tcPr>
            <w:tcW w:w="647"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658</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2</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3</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48</w:t>
            </w:r>
          </w:p>
        </w:tc>
        <w:tc>
          <w:tcPr>
            <w:tcW w:w="647"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648</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4</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5</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42</w:t>
            </w:r>
          </w:p>
        </w:tc>
        <w:tc>
          <w:tcPr>
            <w:tcW w:w="647"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603</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2</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6</w:t>
            </w:r>
          </w:p>
        </w:tc>
        <w:tc>
          <w:tcPr>
            <w:tcW w:w="645"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38</w:t>
            </w:r>
          </w:p>
        </w:tc>
        <w:tc>
          <w:tcPr>
            <w:tcW w:w="648" w:type="dxa"/>
            <w:tcBorders>
              <w:top w:val="nil"/>
              <w:left w:val="nil"/>
              <w:bottom w:val="single" w:color="auto" w:sz="4" w:space="0"/>
              <w:right w:val="single" w:color="auto" w:sz="4" w:space="0"/>
            </w:tcBorders>
            <w:noWrap/>
            <w:vAlign w:val="center"/>
          </w:tcPr>
          <w:p>
            <w:pPr>
              <w:jc w:val="center"/>
              <w:rPr>
                <w:rFonts w:ascii="宋体" w:cs="宋体"/>
                <w:color w:val="000000"/>
                <w:sz w:val="22"/>
                <w:szCs w:val="22"/>
              </w:rPr>
            </w:pPr>
            <w:r>
              <w:rPr>
                <w:rFonts w:ascii="宋体" w:cs="宋体"/>
                <w:color w:val="000000"/>
                <w:sz w:val="22"/>
                <w:szCs w:val="22"/>
              </w:rPr>
              <w:t>538</w:t>
            </w:r>
          </w:p>
        </w:tc>
      </w:tr>
    </w:tbl>
    <w:p>
      <w:pPr>
        <w:spacing w:line="240" w:lineRule="exact"/>
        <w:jc w:val="left"/>
        <w:rPr>
          <w:rFonts w:ascii="宋体" w:cs="楷体_GB2312"/>
          <w:szCs w:val="21"/>
        </w:rPr>
      </w:pPr>
    </w:p>
    <w:p>
      <w:pPr>
        <w:spacing w:line="240" w:lineRule="exact"/>
        <w:jc w:val="left"/>
        <w:rPr>
          <w:rFonts w:ascii="宋体" w:cs="楷体_GB2312"/>
          <w:szCs w:val="21"/>
        </w:rPr>
      </w:pPr>
      <w:r>
        <w:rPr>
          <w:rFonts w:hint="eastAsia" w:ascii="宋体" w:hAnsi="宋体" w:cs="楷体_GB2312"/>
          <w:szCs w:val="21"/>
        </w:rPr>
        <w:t>注：表中的民企指民营企业档案馆，乡镇指乡镇档案馆，示范指档案工作示范点，规范指档案工作规范化单位</w:t>
      </w:r>
    </w:p>
    <w:sectPr>
      <w:pgSz w:w="16838" w:h="11906" w:orient="landscape"/>
      <w:pgMar w:top="1701" w:right="1701" w:bottom="1701" w:left="1701" w:header="851" w:footer="1418"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书宋_GBK">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- 30 -</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D5"/>
    <w:rsid w:val="00001602"/>
    <w:rsid w:val="00004502"/>
    <w:rsid w:val="00006388"/>
    <w:rsid w:val="00010DD5"/>
    <w:rsid w:val="00012D35"/>
    <w:rsid w:val="00013422"/>
    <w:rsid w:val="00016277"/>
    <w:rsid w:val="00021915"/>
    <w:rsid w:val="0002353A"/>
    <w:rsid w:val="0002421C"/>
    <w:rsid w:val="00034360"/>
    <w:rsid w:val="00036F00"/>
    <w:rsid w:val="00042145"/>
    <w:rsid w:val="00042845"/>
    <w:rsid w:val="00046774"/>
    <w:rsid w:val="0005232F"/>
    <w:rsid w:val="00054208"/>
    <w:rsid w:val="000642F7"/>
    <w:rsid w:val="00064DED"/>
    <w:rsid w:val="00065A8F"/>
    <w:rsid w:val="00066555"/>
    <w:rsid w:val="00072DD7"/>
    <w:rsid w:val="00073AC4"/>
    <w:rsid w:val="00074153"/>
    <w:rsid w:val="0007522C"/>
    <w:rsid w:val="00075365"/>
    <w:rsid w:val="0008360F"/>
    <w:rsid w:val="0008524D"/>
    <w:rsid w:val="000871D5"/>
    <w:rsid w:val="000915F9"/>
    <w:rsid w:val="000A446E"/>
    <w:rsid w:val="000B2A88"/>
    <w:rsid w:val="000B4C70"/>
    <w:rsid w:val="000C0774"/>
    <w:rsid w:val="000C20BA"/>
    <w:rsid w:val="000C2D94"/>
    <w:rsid w:val="000C2E8F"/>
    <w:rsid w:val="000C5C8D"/>
    <w:rsid w:val="000D16CB"/>
    <w:rsid w:val="000D1BF3"/>
    <w:rsid w:val="000D426E"/>
    <w:rsid w:val="000D54A9"/>
    <w:rsid w:val="000D57E2"/>
    <w:rsid w:val="000D6405"/>
    <w:rsid w:val="000E1C17"/>
    <w:rsid w:val="000E4EBE"/>
    <w:rsid w:val="000E51A9"/>
    <w:rsid w:val="000F04BD"/>
    <w:rsid w:val="000F0951"/>
    <w:rsid w:val="000F2574"/>
    <w:rsid w:val="000F492E"/>
    <w:rsid w:val="000F5C5D"/>
    <w:rsid w:val="000F68E1"/>
    <w:rsid w:val="000F6C7A"/>
    <w:rsid w:val="00102964"/>
    <w:rsid w:val="00106E08"/>
    <w:rsid w:val="00106FF3"/>
    <w:rsid w:val="00110EBD"/>
    <w:rsid w:val="001139D9"/>
    <w:rsid w:val="00113DB8"/>
    <w:rsid w:val="00116D5E"/>
    <w:rsid w:val="00117C50"/>
    <w:rsid w:val="00117D82"/>
    <w:rsid w:val="00120D3A"/>
    <w:rsid w:val="001215BC"/>
    <w:rsid w:val="00126CD0"/>
    <w:rsid w:val="00132331"/>
    <w:rsid w:val="00133646"/>
    <w:rsid w:val="00134441"/>
    <w:rsid w:val="0013520C"/>
    <w:rsid w:val="00147236"/>
    <w:rsid w:val="00151785"/>
    <w:rsid w:val="0016242A"/>
    <w:rsid w:val="0016344C"/>
    <w:rsid w:val="001647C6"/>
    <w:rsid w:val="00166472"/>
    <w:rsid w:val="00171B3B"/>
    <w:rsid w:val="00172587"/>
    <w:rsid w:val="00176517"/>
    <w:rsid w:val="00182D7C"/>
    <w:rsid w:val="001830D5"/>
    <w:rsid w:val="00186081"/>
    <w:rsid w:val="00190EE0"/>
    <w:rsid w:val="00193CF0"/>
    <w:rsid w:val="001A4091"/>
    <w:rsid w:val="001A4752"/>
    <w:rsid w:val="001A5357"/>
    <w:rsid w:val="001B125B"/>
    <w:rsid w:val="001B1F74"/>
    <w:rsid w:val="001B25D3"/>
    <w:rsid w:val="001B51F1"/>
    <w:rsid w:val="001B69F9"/>
    <w:rsid w:val="001C0607"/>
    <w:rsid w:val="001C37ED"/>
    <w:rsid w:val="001C69A3"/>
    <w:rsid w:val="001E2155"/>
    <w:rsid w:val="001E5075"/>
    <w:rsid w:val="001E77BE"/>
    <w:rsid w:val="001F3A7B"/>
    <w:rsid w:val="001F56B3"/>
    <w:rsid w:val="00210099"/>
    <w:rsid w:val="00212FC2"/>
    <w:rsid w:val="00213CA2"/>
    <w:rsid w:val="0021557D"/>
    <w:rsid w:val="002163C9"/>
    <w:rsid w:val="00230EAD"/>
    <w:rsid w:val="00243133"/>
    <w:rsid w:val="002449E8"/>
    <w:rsid w:val="00244A8D"/>
    <w:rsid w:val="00245C19"/>
    <w:rsid w:val="00250081"/>
    <w:rsid w:val="00255D51"/>
    <w:rsid w:val="00256F27"/>
    <w:rsid w:val="0026121C"/>
    <w:rsid w:val="00261F9E"/>
    <w:rsid w:val="002620C4"/>
    <w:rsid w:val="0026242D"/>
    <w:rsid w:val="00263D68"/>
    <w:rsid w:val="00275EF1"/>
    <w:rsid w:val="00282675"/>
    <w:rsid w:val="00283CF9"/>
    <w:rsid w:val="0028614D"/>
    <w:rsid w:val="002868A5"/>
    <w:rsid w:val="00294033"/>
    <w:rsid w:val="002A2D46"/>
    <w:rsid w:val="002A2EA7"/>
    <w:rsid w:val="002A39A7"/>
    <w:rsid w:val="002A6D56"/>
    <w:rsid w:val="002B0957"/>
    <w:rsid w:val="002C0EB0"/>
    <w:rsid w:val="002C7AD9"/>
    <w:rsid w:val="002D26A6"/>
    <w:rsid w:val="002D30AE"/>
    <w:rsid w:val="002D7CAE"/>
    <w:rsid w:val="002E023A"/>
    <w:rsid w:val="002E0565"/>
    <w:rsid w:val="002E499B"/>
    <w:rsid w:val="002E6085"/>
    <w:rsid w:val="002E6DA5"/>
    <w:rsid w:val="002E74A1"/>
    <w:rsid w:val="002F34F3"/>
    <w:rsid w:val="00300373"/>
    <w:rsid w:val="003013A6"/>
    <w:rsid w:val="00302975"/>
    <w:rsid w:val="00303646"/>
    <w:rsid w:val="0030632B"/>
    <w:rsid w:val="00306D85"/>
    <w:rsid w:val="00317D70"/>
    <w:rsid w:val="00317F38"/>
    <w:rsid w:val="003207B2"/>
    <w:rsid w:val="003220CE"/>
    <w:rsid w:val="003238C9"/>
    <w:rsid w:val="003278B0"/>
    <w:rsid w:val="00330AF5"/>
    <w:rsid w:val="00334E75"/>
    <w:rsid w:val="0034161D"/>
    <w:rsid w:val="00343F8D"/>
    <w:rsid w:val="00347781"/>
    <w:rsid w:val="00351AB8"/>
    <w:rsid w:val="0035357A"/>
    <w:rsid w:val="0035490E"/>
    <w:rsid w:val="00355B1C"/>
    <w:rsid w:val="00365686"/>
    <w:rsid w:val="00365A36"/>
    <w:rsid w:val="00366034"/>
    <w:rsid w:val="003679A5"/>
    <w:rsid w:val="00370855"/>
    <w:rsid w:val="003716CB"/>
    <w:rsid w:val="00372A53"/>
    <w:rsid w:val="00372D51"/>
    <w:rsid w:val="003734FB"/>
    <w:rsid w:val="003739AE"/>
    <w:rsid w:val="00374B5F"/>
    <w:rsid w:val="003908AC"/>
    <w:rsid w:val="00392F8E"/>
    <w:rsid w:val="00396858"/>
    <w:rsid w:val="00396AB8"/>
    <w:rsid w:val="003A00C1"/>
    <w:rsid w:val="003A7E90"/>
    <w:rsid w:val="003B0113"/>
    <w:rsid w:val="003B0E7F"/>
    <w:rsid w:val="003B5482"/>
    <w:rsid w:val="003B71CD"/>
    <w:rsid w:val="003C14F7"/>
    <w:rsid w:val="003C2361"/>
    <w:rsid w:val="003C2E43"/>
    <w:rsid w:val="003C3E2F"/>
    <w:rsid w:val="003C4C60"/>
    <w:rsid w:val="003C5AFC"/>
    <w:rsid w:val="003C62D8"/>
    <w:rsid w:val="003C6E1F"/>
    <w:rsid w:val="003D041A"/>
    <w:rsid w:val="003D0C67"/>
    <w:rsid w:val="003D2734"/>
    <w:rsid w:val="003D3E97"/>
    <w:rsid w:val="003D62D2"/>
    <w:rsid w:val="003D7CFA"/>
    <w:rsid w:val="003E19DE"/>
    <w:rsid w:val="003E3BC9"/>
    <w:rsid w:val="003E52AE"/>
    <w:rsid w:val="003E6106"/>
    <w:rsid w:val="003E785C"/>
    <w:rsid w:val="003F2614"/>
    <w:rsid w:val="003F3464"/>
    <w:rsid w:val="003F43D4"/>
    <w:rsid w:val="00402213"/>
    <w:rsid w:val="004062DA"/>
    <w:rsid w:val="004125A0"/>
    <w:rsid w:val="0041309F"/>
    <w:rsid w:val="004157EC"/>
    <w:rsid w:val="00420B25"/>
    <w:rsid w:val="004261D0"/>
    <w:rsid w:val="00426A47"/>
    <w:rsid w:val="0043187B"/>
    <w:rsid w:val="004328CB"/>
    <w:rsid w:val="004335F6"/>
    <w:rsid w:val="00441BBF"/>
    <w:rsid w:val="00457A5C"/>
    <w:rsid w:val="00457BFC"/>
    <w:rsid w:val="00461112"/>
    <w:rsid w:val="0046660E"/>
    <w:rsid w:val="004666A0"/>
    <w:rsid w:val="00467660"/>
    <w:rsid w:val="004751D5"/>
    <w:rsid w:val="004760C9"/>
    <w:rsid w:val="00476C35"/>
    <w:rsid w:val="004863E5"/>
    <w:rsid w:val="00486DCE"/>
    <w:rsid w:val="00491F4C"/>
    <w:rsid w:val="004927B4"/>
    <w:rsid w:val="00492BC1"/>
    <w:rsid w:val="0049348E"/>
    <w:rsid w:val="004964E1"/>
    <w:rsid w:val="00496FC2"/>
    <w:rsid w:val="00497573"/>
    <w:rsid w:val="004A09D2"/>
    <w:rsid w:val="004A4D06"/>
    <w:rsid w:val="004A553B"/>
    <w:rsid w:val="004B0CAB"/>
    <w:rsid w:val="004B4461"/>
    <w:rsid w:val="004C131F"/>
    <w:rsid w:val="004C7F8C"/>
    <w:rsid w:val="004D0C69"/>
    <w:rsid w:val="004D731E"/>
    <w:rsid w:val="004D77DB"/>
    <w:rsid w:val="004E18B2"/>
    <w:rsid w:val="004E3014"/>
    <w:rsid w:val="004E3AEE"/>
    <w:rsid w:val="004F5119"/>
    <w:rsid w:val="004F6FCC"/>
    <w:rsid w:val="005007CD"/>
    <w:rsid w:val="00503B9D"/>
    <w:rsid w:val="00506076"/>
    <w:rsid w:val="00506441"/>
    <w:rsid w:val="00507527"/>
    <w:rsid w:val="00510FA0"/>
    <w:rsid w:val="00511654"/>
    <w:rsid w:val="005127BC"/>
    <w:rsid w:val="005155F0"/>
    <w:rsid w:val="00520023"/>
    <w:rsid w:val="00521739"/>
    <w:rsid w:val="00526476"/>
    <w:rsid w:val="005328D3"/>
    <w:rsid w:val="0053685A"/>
    <w:rsid w:val="00545CBC"/>
    <w:rsid w:val="00546539"/>
    <w:rsid w:val="00553325"/>
    <w:rsid w:val="00554D49"/>
    <w:rsid w:val="00557EA4"/>
    <w:rsid w:val="00564D65"/>
    <w:rsid w:val="00572289"/>
    <w:rsid w:val="00572EF8"/>
    <w:rsid w:val="0057627B"/>
    <w:rsid w:val="0057745B"/>
    <w:rsid w:val="0057747D"/>
    <w:rsid w:val="00577BCA"/>
    <w:rsid w:val="005802D1"/>
    <w:rsid w:val="00581CB4"/>
    <w:rsid w:val="0058221E"/>
    <w:rsid w:val="00583669"/>
    <w:rsid w:val="0058729A"/>
    <w:rsid w:val="00594762"/>
    <w:rsid w:val="00596A9E"/>
    <w:rsid w:val="005A0456"/>
    <w:rsid w:val="005A41E2"/>
    <w:rsid w:val="005A5569"/>
    <w:rsid w:val="005B0D69"/>
    <w:rsid w:val="005C6843"/>
    <w:rsid w:val="005C7302"/>
    <w:rsid w:val="005D2D01"/>
    <w:rsid w:val="005D4E49"/>
    <w:rsid w:val="005D58F4"/>
    <w:rsid w:val="005D76B3"/>
    <w:rsid w:val="005E2533"/>
    <w:rsid w:val="005E30F2"/>
    <w:rsid w:val="005E37B6"/>
    <w:rsid w:val="005E442B"/>
    <w:rsid w:val="005E48E0"/>
    <w:rsid w:val="005E6F7A"/>
    <w:rsid w:val="005E7F4E"/>
    <w:rsid w:val="005F006F"/>
    <w:rsid w:val="005F1927"/>
    <w:rsid w:val="005F36AF"/>
    <w:rsid w:val="005F4F8C"/>
    <w:rsid w:val="005F6B7D"/>
    <w:rsid w:val="00600B2E"/>
    <w:rsid w:val="0060180F"/>
    <w:rsid w:val="006019CF"/>
    <w:rsid w:val="006143F0"/>
    <w:rsid w:val="00614ED4"/>
    <w:rsid w:val="006174CC"/>
    <w:rsid w:val="006227C1"/>
    <w:rsid w:val="00622A5A"/>
    <w:rsid w:val="006230BC"/>
    <w:rsid w:val="006302C1"/>
    <w:rsid w:val="00631456"/>
    <w:rsid w:val="0063535E"/>
    <w:rsid w:val="00635732"/>
    <w:rsid w:val="00640137"/>
    <w:rsid w:val="00640FB2"/>
    <w:rsid w:val="006426C7"/>
    <w:rsid w:val="00643268"/>
    <w:rsid w:val="00644946"/>
    <w:rsid w:val="00647304"/>
    <w:rsid w:val="00647DBF"/>
    <w:rsid w:val="00654CE6"/>
    <w:rsid w:val="00654D68"/>
    <w:rsid w:val="006552C3"/>
    <w:rsid w:val="00655D59"/>
    <w:rsid w:val="00656709"/>
    <w:rsid w:val="00676EBE"/>
    <w:rsid w:val="006775F5"/>
    <w:rsid w:val="00683CBE"/>
    <w:rsid w:val="00684CEC"/>
    <w:rsid w:val="0068537F"/>
    <w:rsid w:val="00687E83"/>
    <w:rsid w:val="0069108F"/>
    <w:rsid w:val="00691826"/>
    <w:rsid w:val="00693FCC"/>
    <w:rsid w:val="006A099C"/>
    <w:rsid w:val="006A0C13"/>
    <w:rsid w:val="006A174F"/>
    <w:rsid w:val="006A28BD"/>
    <w:rsid w:val="006B203D"/>
    <w:rsid w:val="006B2E27"/>
    <w:rsid w:val="006B5E0C"/>
    <w:rsid w:val="006B5E46"/>
    <w:rsid w:val="006B683C"/>
    <w:rsid w:val="006C5B09"/>
    <w:rsid w:val="006C63A2"/>
    <w:rsid w:val="006D0C92"/>
    <w:rsid w:val="006D0E62"/>
    <w:rsid w:val="006D6E61"/>
    <w:rsid w:val="006D7871"/>
    <w:rsid w:val="006E195F"/>
    <w:rsid w:val="006F5A50"/>
    <w:rsid w:val="00700311"/>
    <w:rsid w:val="00704188"/>
    <w:rsid w:val="00706C98"/>
    <w:rsid w:val="00706EC6"/>
    <w:rsid w:val="00710EC8"/>
    <w:rsid w:val="00715EB9"/>
    <w:rsid w:val="00716C7E"/>
    <w:rsid w:val="007226B2"/>
    <w:rsid w:val="007230D6"/>
    <w:rsid w:val="00726264"/>
    <w:rsid w:val="00727669"/>
    <w:rsid w:val="00727F9B"/>
    <w:rsid w:val="00734F76"/>
    <w:rsid w:val="00741050"/>
    <w:rsid w:val="00741A28"/>
    <w:rsid w:val="00743154"/>
    <w:rsid w:val="00743809"/>
    <w:rsid w:val="00754B42"/>
    <w:rsid w:val="00757DFD"/>
    <w:rsid w:val="007609D7"/>
    <w:rsid w:val="007620A7"/>
    <w:rsid w:val="0076284A"/>
    <w:rsid w:val="00764002"/>
    <w:rsid w:val="0077257A"/>
    <w:rsid w:val="00782A4D"/>
    <w:rsid w:val="00787460"/>
    <w:rsid w:val="007914D3"/>
    <w:rsid w:val="00792B6E"/>
    <w:rsid w:val="00794871"/>
    <w:rsid w:val="007A057B"/>
    <w:rsid w:val="007A220A"/>
    <w:rsid w:val="007A78E9"/>
    <w:rsid w:val="007B2D1A"/>
    <w:rsid w:val="007B2D9D"/>
    <w:rsid w:val="007B5837"/>
    <w:rsid w:val="007B6E56"/>
    <w:rsid w:val="007B7AC7"/>
    <w:rsid w:val="007C11DB"/>
    <w:rsid w:val="007C6F73"/>
    <w:rsid w:val="007D0ACD"/>
    <w:rsid w:val="007D290D"/>
    <w:rsid w:val="007D2A4F"/>
    <w:rsid w:val="007E2FEC"/>
    <w:rsid w:val="007E44B2"/>
    <w:rsid w:val="007E6B63"/>
    <w:rsid w:val="007F252D"/>
    <w:rsid w:val="007F4288"/>
    <w:rsid w:val="007F4AC6"/>
    <w:rsid w:val="007F5C1D"/>
    <w:rsid w:val="007F666E"/>
    <w:rsid w:val="007F6F19"/>
    <w:rsid w:val="007F7F90"/>
    <w:rsid w:val="008043F3"/>
    <w:rsid w:val="00806D47"/>
    <w:rsid w:val="00815FCD"/>
    <w:rsid w:val="008208F5"/>
    <w:rsid w:val="0082420F"/>
    <w:rsid w:val="00830C20"/>
    <w:rsid w:val="00834427"/>
    <w:rsid w:val="00836AFE"/>
    <w:rsid w:val="0084128C"/>
    <w:rsid w:val="0084455A"/>
    <w:rsid w:val="00847534"/>
    <w:rsid w:val="00847DED"/>
    <w:rsid w:val="00860EAD"/>
    <w:rsid w:val="008613AC"/>
    <w:rsid w:val="00863BE0"/>
    <w:rsid w:val="0087587B"/>
    <w:rsid w:val="00880F28"/>
    <w:rsid w:val="008838B5"/>
    <w:rsid w:val="00884275"/>
    <w:rsid w:val="00886B29"/>
    <w:rsid w:val="008936D6"/>
    <w:rsid w:val="008A18DF"/>
    <w:rsid w:val="008A1DB2"/>
    <w:rsid w:val="008A5688"/>
    <w:rsid w:val="008A67B9"/>
    <w:rsid w:val="008B4886"/>
    <w:rsid w:val="008C546F"/>
    <w:rsid w:val="008C6966"/>
    <w:rsid w:val="008C6DFA"/>
    <w:rsid w:val="008D39C2"/>
    <w:rsid w:val="008D3F4C"/>
    <w:rsid w:val="008D487D"/>
    <w:rsid w:val="008D673A"/>
    <w:rsid w:val="008D719C"/>
    <w:rsid w:val="008E05F3"/>
    <w:rsid w:val="008E458E"/>
    <w:rsid w:val="008E596D"/>
    <w:rsid w:val="008F0A78"/>
    <w:rsid w:val="008F21EC"/>
    <w:rsid w:val="008F4EF9"/>
    <w:rsid w:val="00903ADF"/>
    <w:rsid w:val="00904744"/>
    <w:rsid w:val="0090646C"/>
    <w:rsid w:val="00907B30"/>
    <w:rsid w:val="009170D1"/>
    <w:rsid w:val="00920E8C"/>
    <w:rsid w:val="00921A49"/>
    <w:rsid w:val="0092351E"/>
    <w:rsid w:val="00930FFF"/>
    <w:rsid w:val="00933450"/>
    <w:rsid w:val="009340AF"/>
    <w:rsid w:val="00935A7F"/>
    <w:rsid w:val="009374CE"/>
    <w:rsid w:val="009405D5"/>
    <w:rsid w:val="009417DD"/>
    <w:rsid w:val="00942DFB"/>
    <w:rsid w:val="009430A4"/>
    <w:rsid w:val="009502E6"/>
    <w:rsid w:val="00952474"/>
    <w:rsid w:val="009578FB"/>
    <w:rsid w:val="00964D20"/>
    <w:rsid w:val="009752D4"/>
    <w:rsid w:val="009806B5"/>
    <w:rsid w:val="00993BCA"/>
    <w:rsid w:val="009970C9"/>
    <w:rsid w:val="009A0FEC"/>
    <w:rsid w:val="009A2031"/>
    <w:rsid w:val="009A255B"/>
    <w:rsid w:val="009A68CF"/>
    <w:rsid w:val="009A6C84"/>
    <w:rsid w:val="009B01C2"/>
    <w:rsid w:val="009C1961"/>
    <w:rsid w:val="009C3B10"/>
    <w:rsid w:val="009C4503"/>
    <w:rsid w:val="009C6845"/>
    <w:rsid w:val="009C7C6D"/>
    <w:rsid w:val="009C7E99"/>
    <w:rsid w:val="009D08C2"/>
    <w:rsid w:val="009D0E3F"/>
    <w:rsid w:val="009D13B2"/>
    <w:rsid w:val="009D5A01"/>
    <w:rsid w:val="009D5B50"/>
    <w:rsid w:val="009D67FD"/>
    <w:rsid w:val="009D77F0"/>
    <w:rsid w:val="009E3123"/>
    <w:rsid w:val="009E6409"/>
    <w:rsid w:val="009F1111"/>
    <w:rsid w:val="009F3C28"/>
    <w:rsid w:val="009F507D"/>
    <w:rsid w:val="009F6148"/>
    <w:rsid w:val="00A028DF"/>
    <w:rsid w:val="00A16BD9"/>
    <w:rsid w:val="00A259C7"/>
    <w:rsid w:val="00A339FF"/>
    <w:rsid w:val="00A36805"/>
    <w:rsid w:val="00A36C69"/>
    <w:rsid w:val="00A4381F"/>
    <w:rsid w:val="00A470C9"/>
    <w:rsid w:val="00A54046"/>
    <w:rsid w:val="00A74538"/>
    <w:rsid w:val="00A77668"/>
    <w:rsid w:val="00A834BC"/>
    <w:rsid w:val="00A852BD"/>
    <w:rsid w:val="00A8596B"/>
    <w:rsid w:val="00A861E1"/>
    <w:rsid w:val="00A91C9F"/>
    <w:rsid w:val="00A96503"/>
    <w:rsid w:val="00AA76BE"/>
    <w:rsid w:val="00AB13E7"/>
    <w:rsid w:val="00AB1950"/>
    <w:rsid w:val="00AB7F61"/>
    <w:rsid w:val="00AC1995"/>
    <w:rsid w:val="00AC60C4"/>
    <w:rsid w:val="00AD6624"/>
    <w:rsid w:val="00AD79E4"/>
    <w:rsid w:val="00AE0F87"/>
    <w:rsid w:val="00AE22FC"/>
    <w:rsid w:val="00AE366A"/>
    <w:rsid w:val="00AE38B7"/>
    <w:rsid w:val="00AE4192"/>
    <w:rsid w:val="00AE5181"/>
    <w:rsid w:val="00AE5C6E"/>
    <w:rsid w:val="00AE6D84"/>
    <w:rsid w:val="00AF4929"/>
    <w:rsid w:val="00AF7A35"/>
    <w:rsid w:val="00B102CF"/>
    <w:rsid w:val="00B133D9"/>
    <w:rsid w:val="00B20D17"/>
    <w:rsid w:val="00B22F86"/>
    <w:rsid w:val="00B2473B"/>
    <w:rsid w:val="00B24A26"/>
    <w:rsid w:val="00B25AAA"/>
    <w:rsid w:val="00B317BE"/>
    <w:rsid w:val="00B343F7"/>
    <w:rsid w:val="00B3605B"/>
    <w:rsid w:val="00B36688"/>
    <w:rsid w:val="00B42FB7"/>
    <w:rsid w:val="00B47BE5"/>
    <w:rsid w:val="00B52E4A"/>
    <w:rsid w:val="00B55B47"/>
    <w:rsid w:val="00B60A44"/>
    <w:rsid w:val="00B61FEC"/>
    <w:rsid w:val="00B6764A"/>
    <w:rsid w:val="00B73758"/>
    <w:rsid w:val="00B755B5"/>
    <w:rsid w:val="00B765FB"/>
    <w:rsid w:val="00B77332"/>
    <w:rsid w:val="00B84945"/>
    <w:rsid w:val="00B84AD0"/>
    <w:rsid w:val="00B84BCD"/>
    <w:rsid w:val="00B86297"/>
    <w:rsid w:val="00B93040"/>
    <w:rsid w:val="00B95B30"/>
    <w:rsid w:val="00BA33AD"/>
    <w:rsid w:val="00BA52C6"/>
    <w:rsid w:val="00BB0C00"/>
    <w:rsid w:val="00BB6DBE"/>
    <w:rsid w:val="00BB7AC4"/>
    <w:rsid w:val="00BC051C"/>
    <w:rsid w:val="00BC26EB"/>
    <w:rsid w:val="00BC48BF"/>
    <w:rsid w:val="00BD5893"/>
    <w:rsid w:val="00BE161B"/>
    <w:rsid w:val="00BF0FA9"/>
    <w:rsid w:val="00BF2AA3"/>
    <w:rsid w:val="00BF38C0"/>
    <w:rsid w:val="00BF3E8B"/>
    <w:rsid w:val="00BF50AA"/>
    <w:rsid w:val="00BF62E2"/>
    <w:rsid w:val="00BF79F2"/>
    <w:rsid w:val="00C0129B"/>
    <w:rsid w:val="00C0410F"/>
    <w:rsid w:val="00C0474D"/>
    <w:rsid w:val="00C06149"/>
    <w:rsid w:val="00C149BC"/>
    <w:rsid w:val="00C22DDC"/>
    <w:rsid w:val="00C251C4"/>
    <w:rsid w:val="00C260CF"/>
    <w:rsid w:val="00C34A41"/>
    <w:rsid w:val="00C37C8E"/>
    <w:rsid w:val="00C40B0C"/>
    <w:rsid w:val="00C418FF"/>
    <w:rsid w:val="00C4774C"/>
    <w:rsid w:val="00C5128E"/>
    <w:rsid w:val="00C51FAB"/>
    <w:rsid w:val="00C56DCF"/>
    <w:rsid w:val="00C660A8"/>
    <w:rsid w:val="00C700B5"/>
    <w:rsid w:val="00C700D4"/>
    <w:rsid w:val="00C70BE1"/>
    <w:rsid w:val="00C750B4"/>
    <w:rsid w:val="00C761CA"/>
    <w:rsid w:val="00C775DC"/>
    <w:rsid w:val="00C77743"/>
    <w:rsid w:val="00C777AA"/>
    <w:rsid w:val="00C802CC"/>
    <w:rsid w:val="00C80BA0"/>
    <w:rsid w:val="00C86BD8"/>
    <w:rsid w:val="00C91357"/>
    <w:rsid w:val="00C94682"/>
    <w:rsid w:val="00C96459"/>
    <w:rsid w:val="00CA0A70"/>
    <w:rsid w:val="00CA5E5D"/>
    <w:rsid w:val="00CB1412"/>
    <w:rsid w:val="00CB27FC"/>
    <w:rsid w:val="00CB50F3"/>
    <w:rsid w:val="00CC155D"/>
    <w:rsid w:val="00CC3C74"/>
    <w:rsid w:val="00CC48AE"/>
    <w:rsid w:val="00CC5A14"/>
    <w:rsid w:val="00CD37B1"/>
    <w:rsid w:val="00CE2BE3"/>
    <w:rsid w:val="00CF080B"/>
    <w:rsid w:val="00CF3F7B"/>
    <w:rsid w:val="00CF7DEE"/>
    <w:rsid w:val="00D00123"/>
    <w:rsid w:val="00D2341C"/>
    <w:rsid w:val="00D2479E"/>
    <w:rsid w:val="00D25A2C"/>
    <w:rsid w:val="00D26240"/>
    <w:rsid w:val="00D31AB7"/>
    <w:rsid w:val="00D50E7C"/>
    <w:rsid w:val="00D51A0D"/>
    <w:rsid w:val="00D52084"/>
    <w:rsid w:val="00D55511"/>
    <w:rsid w:val="00D55DEF"/>
    <w:rsid w:val="00D601E5"/>
    <w:rsid w:val="00D6038F"/>
    <w:rsid w:val="00D62133"/>
    <w:rsid w:val="00D62FCA"/>
    <w:rsid w:val="00D6410E"/>
    <w:rsid w:val="00D659EE"/>
    <w:rsid w:val="00D669CA"/>
    <w:rsid w:val="00D66E67"/>
    <w:rsid w:val="00D71B9D"/>
    <w:rsid w:val="00D74095"/>
    <w:rsid w:val="00D752B3"/>
    <w:rsid w:val="00D839F9"/>
    <w:rsid w:val="00D84F8E"/>
    <w:rsid w:val="00D8665D"/>
    <w:rsid w:val="00D903D6"/>
    <w:rsid w:val="00D96275"/>
    <w:rsid w:val="00D97018"/>
    <w:rsid w:val="00DA2781"/>
    <w:rsid w:val="00DA3B1E"/>
    <w:rsid w:val="00DA519E"/>
    <w:rsid w:val="00DA5CF9"/>
    <w:rsid w:val="00DA6240"/>
    <w:rsid w:val="00DB3287"/>
    <w:rsid w:val="00DB5DE3"/>
    <w:rsid w:val="00DB7682"/>
    <w:rsid w:val="00DC22CE"/>
    <w:rsid w:val="00DC33ED"/>
    <w:rsid w:val="00DD209E"/>
    <w:rsid w:val="00DD3849"/>
    <w:rsid w:val="00DE108C"/>
    <w:rsid w:val="00DE4D86"/>
    <w:rsid w:val="00DE511A"/>
    <w:rsid w:val="00DF4913"/>
    <w:rsid w:val="00DF5721"/>
    <w:rsid w:val="00DF6FFF"/>
    <w:rsid w:val="00DF7018"/>
    <w:rsid w:val="00E04D5A"/>
    <w:rsid w:val="00E10657"/>
    <w:rsid w:val="00E10F7D"/>
    <w:rsid w:val="00E115AF"/>
    <w:rsid w:val="00E16A9E"/>
    <w:rsid w:val="00E219A5"/>
    <w:rsid w:val="00E23ADF"/>
    <w:rsid w:val="00E40826"/>
    <w:rsid w:val="00E50869"/>
    <w:rsid w:val="00E50A5B"/>
    <w:rsid w:val="00E6417B"/>
    <w:rsid w:val="00E64461"/>
    <w:rsid w:val="00E64DD2"/>
    <w:rsid w:val="00E65E77"/>
    <w:rsid w:val="00E7121A"/>
    <w:rsid w:val="00E745CF"/>
    <w:rsid w:val="00E74D51"/>
    <w:rsid w:val="00E7764B"/>
    <w:rsid w:val="00E8088E"/>
    <w:rsid w:val="00E84604"/>
    <w:rsid w:val="00E84C2A"/>
    <w:rsid w:val="00E9203C"/>
    <w:rsid w:val="00E93E2C"/>
    <w:rsid w:val="00E947D8"/>
    <w:rsid w:val="00EA13C4"/>
    <w:rsid w:val="00EA31A2"/>
    <w:rsid w:val="00EA42CB"/>
    <w:rsid w:val="00EA487D"/>
    <w:rsid w:val="00EA4FDB"/>
    <w:rsid w:val="00EA64F6"/>
    <w:rsid w:val="00EB0A6B"/>
    <w:rsid w:val="00EC2656"/>
    <w:rsid w:val="00EC3503"/>
    <w:rsid w:val="00ED0F70"/>
    <w:rsid w:val="00ED17D6"/>
    <w:rsid w:val="00ED19C1"/>
    <w:rsid w:val="00ED21DB"/>
    <w:rsid w:val="00ED244A"/>
    <w:rsid w:val="00ED39A1"/>
    <w:rsid w:val="00ED4CF3"/>
    <w:rsid w:val="00EE329D"/>
    <w:rsid w:val="00EE4D9B"/>
    <w:rsid w:val="00EE7CC2"/>
    <w:rsid w:val="00EF2237"/>
    <w:rsid w:val="00EF7662"/>
    <w:rsid w:val="00F03AB4"/>
    <w:rsid w:val="00F061C2"/>
    <w:rsid w:val="00F070DA"/>
    <w:rsid w:val="00F154DC"/>
    <w:rsid w:val="00F1618C"/>
    <w:rsid w:val="00F16CD6"/>
    <w:rsid w:val="00F20922"/>
    <w:rsid w:val="00F27831"/>
    <w:rsid w:val="00F306B7"/>
    <w:rsid w:val="00F3335C"/>
    <w:rsid w:val="00F36883"/>
    <w:rsid w:val="00F45F69"/>
    <w:rsid w:val="00F465C8"/>
    <w:rsid w:val="00F52D36"/>
    <w:rsid w:val="00F60BB0"/>
    <w:rsid w:val="00F61B2A"/>
    <w:rsid w:val="00F642B9"/>
    <w:rsid w:val="00F64699"/>
    <w:rsid w:val="00F651C6"/>
    <w:rsid w:val="00F65A14"/>
    <w:rsid w:val="00F6639E"/>
    <w:rsid w:val="00F72A4B"/>
    <w:rsid w:val="00F8229D"/>
    <w:rsid w:val="00F83276"/>
    <w:rsid w:val="00F85C7F"/>
    <w:rsid w:val="00F85F1E"/>
    <w:rsid w:val="00F93825"/>
    <w:rsid w:val="00F959CF"/>
    <w:rsid w:val="00FA1C32"/>
    <w:rsid w:val="00FA3A9C"/>
    <w:rsid w:val="00FA5CFB"/>
    <w:rsid w:val="00FA6B87"/>
    <w:rsid w:val="00FA78F3"/>
    <w:rsid w:val="00FA793B"/>
    <w:rsid w:val="00FA7CF9"/>
    <w:rsid w:val="00FB3AD2"/>
    <w:rsid w:val="00FB3CA6"/>
    <w:rsid w:val="00FB6064"/>
    <w:rsid w:val="00FB7E94"/>
    <w:rsid w:val="00FC0360"/>
    <w:rsid w:val="00FC1B57"/>
    <w:rsid w:val="00FC3AF4"/>
    <w:rsid w:val="00FD0A4A"/>
    <w:rsid w:val="00FD22E2"/>
    <w:rsid w:val="00FD2E10"/>
    <w:rsid w:val="00FD3A9B"/>
    <w:rsid w:val="00FE0228"/>
    <w:rsid w:val="00FE27A6"/>
    <w:rsid w:val="00FF0CEA"/>
    <w:rsid w:val="00FF1AB5"/>
    <w:rsid w:val="00FF25AC"/>
    <w:rsid w:val="00FF3B8F"/>
    <w:rsid w:val="00FF6DD8"/>
    <w:rsid w:val="38F5624C"/>
    <w:rsid w:val="48A241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uiPriority w:val="99"/>
    <w:pPr>
      <w:widowControl w:val="0"/>
      <w:spacing w:line="1300" w:lineRule="exact"/>
      <w:textAlignment w:val="auto"/>
    </w:pPr>
    <w:rPr>
      <w:rFonts w:eastAsia="方正小标宋简体"/>
      <w:sz w:val="94"/>
      <w:szCs w:val="20"/>
    </w:rPr>
  </w:style>
  <w:style w:type="paragraph" w:styleId="3">
    <w:name w:val="footer"/>
    <w:basedOn w:val="1"/>
    <w:link w:val="16"/>
    <w:uiPriority w:val="99"/>
    <w:pPr>
      <w:tabs>
        <w:tab w:val="center" w:pos="4153"/>
        <w:tab w:val="right" w:pos="8306"/>
      </w:tabs>
      <w:snapToGrid w:val="0"/>
      <w:jc w:val="left"/>
    </w:pPr>
    <w:rPr>
      <w:sz w:val="18"/>
      <w:szCs w:val="18"/>
    </w:rPr>
  </w:style>
  <w:style w:type="paragraph" w:styleId="4">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textAlignment w:val="auto"/>
    </w:pPr>
    <w:rPr>
      <w:rFonts w:ascii="宋体" w:hAnsi="宋体"/>
      <w:color w:val="000000"/>
      <w:kern w:val="0"/>
      <w:sz w:val="24"/>
    </w:rPr>
  </w:style>
  <w:style w:type="table" w:styleId="7">
    <w:name w:val="Table Grid"/>
    <w:basedOn w:val="6"/>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locked/>
    <w:uiPriority w:val="99"/>
    <w:rPr>
      <w:rFonts w:cs="Times New Roman"/>
      <w:b/>
    </w:rPr>
  </w:style>
  <w:style w:type="character" w:styleId="10">
    <w:name w:val="page number"/>
    <w:basedOn w:val="8"/>
    <w:uiPriority w:val="99"/>
    <w:rPr>
      <w:rFonts w:cs="Times New Roman"/>
    </w:rPr>
  </w:style>
  <w:style w:type="character" w:styleId="11">
    <w:name w:val="Hyperlink"/>
    <w:basedOn w:val="8"/>
    <w:uiPriority w:val="99"/>
    <w:rPr>
      <w:rFonts w:cs="Times New Roman"/>
      <w:color w:val="0000FF"/>
      <w:u w:val="single"/>
    </w:rPr>
  </w:style>
  <w:style w:type="character" w:customStyle="1" w:styleId="12">
    <w:name w:val="NormalCharacter"/>
    <w:semiHidden/>
    <w:uiPriority w:val="99"/>
  </w:style>
  <w:style w:type="paragraph" w:customStyle="1" w:styleId="13">
    <w:name w:val="Char Char1"/>
    <w:basedOn w:val="1"/>
    <w:uiPriority w:val="99"/>
    <w:pPr>
      <w:widowControl w:val="0"/>
      <w:textAlignment w:val="auto"/>
    </w:pPr>
    <w:rPr>
      <w:rFonts w:ascii="Times New Roman" w:hAnsi="Times New Roman" w:eastAsia="仿宋_GB2312"/>
      <w:sz w:val="32"/>
      <w:szCs w:val="32"/>
    </w:rPr>
  </w:style>
  <w:style w:type="character" w:customStyle="1" w:styleId="14">
    <w:name w:val="Body Text Char"/>
    <w:basedOn w:val="8"/>
    <w:link w:val="2"/>
    <w:semiHidden/>
    <w:locked/>
    <w:uiPriority w:val="99"/>
    <w:rPr>
      <w:rFonts w:cs="Times New Roman"/>
      <w:sz w:val="24"/>
      <w:szCs w:val="24"/>
    </w:rPr>
  </w:style>
  <w:style w:type="character" w:customStyle="1" w:styleId="15">
    <w:name w:val="Body Text Char1"/>
    <w:link w:val="2"/>
    <w:locked/>
    <w:uiPriority w:val="99"/>
    <w:rPr>
      <w:rFonts w:eastAsia="方正小标宋简体"/>
      <w:kern w:val="2"/>
      <w:sz w:val="94"/>
      <w:lang w:val="en-US" w:eastAsia="zh-CN"/>
    </w:rPr>
  </w:style>
  <w:style w:type="character" w:customStyle="1" w:styleId="16">
    <w:name w:val="Footer Char"/>
    <w:basedOn w:val="8"/>
    <w:link w:val="3"/>
    <w:semiHidden/>
    <w:locked/>
    <w:uiPriority w:val="99"/>
    <w:rPr>
      <w:rFonts w:cs="Times New Roman"/>
      <w:sz w:val="18"/>
      <w:szCs w:val="18"/>
    </w:rPr>
  </w:style>
  <w:style w:type="paragraph" w:customStyle="1" w:styleId="17">
    <w:name w:val="Char Char11"/>
    <w:basedOn w:val="1"/>
    <w:uiPriority w:val="99"/>
    <w:pPr>
      <w:widowControl w:val="0"/>
      <w:textAlignment w:val="auto"/>
    </w:pPr>
    <w:rPr>
      <w:rFonts w:ascii="Times New Roman" w:hAnsi="Times New Roman" w:eastAsia="仿宋_GB2312"/>
      <w:sz w:val="32"/>
      <w:szCs w:val="32"/>
    </w:rPr>
  </w:style>
  <w:style w:type="character" w:customStyle="1" w:styleId="18">
    <w:name w:val="Header Char"/>
    <w:basedOn w:val="8"/>
    <w:link w:val="4"/>
    <w:qFormat/>
    <w:locked/>
    <w:uiPriority w:val="99"/>
    <w:rPr>
      <w:rFonts w:cs="Times New Roman"/>
      <w:sz w:val="18"/>
      <w:szCs w:val="18"/>
    </w:rPr>
  </w:style>
  <w:style w:type="paragraph" w:customStyle="1" w:styleId="19">
    <w:name w:val="Char Char12"/>
    <w:basedOn w:val="1"/>
    <w:qFormat/>
    <w:uiPriority w:val="99"/>
    <w:pPr>
      <w:widowControl w:val="0"/>
      <w:textAlignment w:val="auto"/>
    </w:pPr>
    <w:rPr>
      <w:rFonts w:ascii="Times New Roman" w:hAnsi="Times New Roman" w:eastAsia="仿宋_GB2312"/>
      <w:sz w:val="32"/>
      <w:szCs w:val="32"/>
    </w:rPr>
  </w:style>
  <w:style w:type="character" w:customStyle="1" w:styleId="20">
    <w:name w:val="标题 #1_"/>
    <w:link w:val="21"/>
    <w:locked/>
    <w:uiPriority w:val="99"/>
    <w:rPr>
      <w:rFonts w:ascii="MingLiU" w:hAnsi="MingLiU" w:eastAsia="MingLiU"/>
      <w:spacing w:val="-20"/>
      <w:sz w:val="36"/>
    </w:rPr>
  </w:style>
  <w:style w:type="paragraph" w:customStyle="1" w:styleId="21">
    <w:name w:val="标题 #1"/>
    <w:basedOn w:val="1"/>
    <w:link w:val="20"/>
    <w:qFormat/>
    <w:uiPriority w:val="99"/>
    <w:pPr>
      <w:widowControl w:val="0"/>
      <w:shd w:val="clear" w:color="auto" w:fill="FFFFFF"/>
      <w:spacing w:after="540" w:line="240" w:lineRule="atLeast"/>
      <w:jc w:val="center"/>
      <w:textAlignment w:val="auto"/>
      <w:outlineLvl w:val="0"/>
    </w:pPr>
    <w:rPr>
      <w:rFonts w:ascii="MingLiU" w:hAnsi="MingLiU" w:eastAsia="MingLiU"/>
      <w:spacing w:val="-20"/>
      <w:kern w:val="0"/>
      <w:sz w:val="36"/>
      <w:szCs w:val="20"/>
    </w:rPr>
  </w:style>
  <w:style w:type="character" w:customStyle="1" w:styleId="22">
    <w:name w:val="正文文本 (2)_"/>
    <w:link w:val="23"/>
    <w:locked/>
    <w:uiPriority w:val="99"/>
    <w:rPr>
      <w:rFonts w:ascii="MingLiU" w:hAnsi="MingLiU" w:eastAsia="MingLiU"/>
      <w:sz w:val="30"/>
    </w:rPr>
  </w:style>
  <w:style w:type="paragraph" w:customStyle="1" w:styleId="23">
    <w:name w:val="正文文本 (2)1"/>
    <w:basedOn w:val="1"/>
    <w:link w:val="22"/>
    <w:uiPriority w:val="99"/>
    <w:pPr>
      <w:widowControl w:val="0"/>
      <w:shd w:val="clear" w:color="auto" w:fill="FFFFFF"/>
      <w:spacing w:before="1080" w:line="598" w:lineRule="exact"/>
      <w:jc w:val="distribute"/>
      <w:textAlignment w:val="auto"/>
    </w:pPr>
    <w:rPr>
      <w:rFonts w:ascii="MingLiU" w:hAnsi="MingLiU" w:eastAsia="MingLiU"/>
      <w:kern w:val="0"/>
      <w:sz w:val="30"/>
      <w:szCs w:val="20"/>
    </w:rPr>
  </w:style>
  <w:style w:type="character" w:customStyle="1" w:styleId="24">
    <w:name w:val="正文文本 (2) + 间距 2 pt"/>
    <w:qFormat/>
    <w:uiPriority w:val="99"/>
    <w:rPr>
      <w:rFonts w:ascii="MingLiU" w:hAnsi="MingLiU" w:eastAsia="MingLiU"/>
      <w:color w:val="000000"/>
      <w:spacing w:val="50"/>
      <w:w w:val="100"/>
      <w:position w:val="0"/>
      <w:sz w:val="30"/>
      <w:lang w:val="zh-TW" w:eastAsia="zh-TW"/>
    </w:rPr>
  </w:style>
  <w:style w:type="paragraph" w:customStyle="1" w:styleId="25">
    <w:name w:val="p0"/>
    <w:basedOn w:val="1"/>
    <w:uiPriority w:val="99"/>
    <w:pPr>
      <w:textAlignment w:val="auto"/>
    </w:pPr>
    <w:rPr>
      <w:rFonts w:ascii="Times New Roman" w:hAnsi="Times New Roman"/>
      <w:kern w:val="0"/>
      <w:szCs w:val="21"/>
    </w:rPr>
  </w:style>
  <w:style w:type="paragraph" w:customStyle="1" w:styleId="26">
    <w:name w:val="内文"/>
    <w:basedOn w:val="1"/>
    <w:qFormat/>
    <w:uiPriority w:val="99"/>
    <w:pPr>
      <w:widowControl w:val="0"/>
      <w:autoSpaceDE w:val="0"/>
      <w:autoSpaceDN w:val="0"/>
      <w:adjustRightInd w:val="0"/>
      <w:spacing w:line="280" w:lineRule="atLeast"/>
      <w:ind w:firstLine="369"/>
      <w:textAlignment w:val="center"/>
    </w:pPr>
    <w:rPr>
      <w:rFonts w:ascii="方正书宋_GBK" w:hAnsi="Times New Roman" w:eastAsia="方正书宋_GBK" w:cs="方正书宋_GBK"/>
      <w:color w:val="000000"/>
      <w:kern w:val="0"/>
      <w:sz w:val="18"/>
      <w:szCs w:val="18"/>
      <w:lang w:val="zh-CN"/>
    </w:rPr>
  </w:style>
  <w:style w:type="character" w:customStyle="1" w:styleId="27">
    <w:name w:val="Char Char"/>
    <w:qFormat/>
    <w:uiPriority w:val="99"/>
    <w:rPr>
      <w:rFonts w:eastAsia="方正小标宋简体"/>
      <w:kern w:val="2"/>
      <w:sz w:val="94"/>
    </w:rPr>
  </w:style>
  <w:style w:type="paragraph" w:customStyle="1" w:styleId="28">
    <w:name w:val="Z正文"/>
    <w:basedOn w:val="1"/>
    <w:qFormat/>
    <w:uiPriority w:val="99"/>
    <w:pPr>
      <w:spacing w:line="600" w:lineRule="exact"/>
      <w:ind w:firstLine="630" w:firstLineChars="197"/>
      <w:textAlignment w:val="auto"/>
    </w:pPr>
    <w:rPr>
      <w:rFonts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32</Pages>
  <Words>8711</Words>
  <Characters>8800</Characters>
  <Lines>0</Lines>
  <Paragraphs>0</Paragraphs>
  <TotalTime>18634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2021-02-03T06:29:00Z</dcterms:created>
  <dc:creator>PC</dc:creator>
  <cp:lastModifiedBy>张凌康</cp:lastModifiedBy>
  <cp:lastPrinted>2021-04-28T02:09:00Z</cp:lastPrinted>
  <dcterms:modified xsi:type="dcterms:W3CDTF">2021-04-29T07:17:24Z</dcterms:modified>
  <dc:title>一、“十三五”时期发展情况</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