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1A" w:rsidRDefault="0077212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2019</w:t>
      </w:r>
      <w:r>
        <w:rPr>
          <w:rFonts w:hint="eastAsia"/>
          <w:sz w:val="36"/>
          <w:szCs w:val="36"/>
        </w:rPr>
        <w:t>年象山县国民经济和社会发展统计公报</w:t>
      </w:r>
    </w:p>
    <w:p w:rsidR="00961C1A" w:rsidRDefault="00772122">
      <w:pPr>
        <w:jc w:val="center"/>
        <w:rPr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>象山</w:t>
      </w:r>
      <w:r>
        <w:rPr>
          <w:rFonts w:ascii="仿宋" w:eastAsia="仿宋" w:hAnsi="仿宋"/>
          <w:sz w:val="32"/>
          <w:szCs w:val="32"/>
        </w:rPr>
        <w:t>县统计局</w:t>
      </w:r>
    </w:p>
    <w:p w:rsidR="00961C1A" w:rsidRDefault="0077212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2020年3月</w:t>
      </w:r>
    </w:p>
    <w:p w:rsidR="00961C1A" w:rsidRDefault="00961C1A"/>
    <w:p w:rsidR="00961C1A" w:rsidRDefault="00772122">
      <w:pPr>
        <w:tabs>
          <w:tab w:val="left" w:pos="1876"/>
        </w:tabs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2019年，面对国内外风险挑战明显上升的复杂局面，全县上下坚持以习近平新时代中国特色社会主义思想为指导，积极践行新发展理念，落实高质量发展要求，深入推进“六争攻坚、三年攀高”行动，坚定实施“双突破双驱动”战略，扎实开展“四个年”和“三服务”活动，全县经济运行总体平稳，结构调整进展良好，发展质量稳步提升，生态环境持续改善，平安建设创新推进，民生事业和城乡品质取得新提升，朝着高水平全面建成小康社会的目标迈出了新的步伐。</w:t>
      </w:r>
    </w:p>
    <w:p w:rsidR="00961C1A" w:rsidRDefault="00772122">
      <w:pPr>
        <w:numPr>
          <w:ilvl w:val="0"/>
          <w:numId w:val="1"/>
        </w:numPr>
        <w:tabs>
          <w:tab w:val="left" w:pos="1876"/>
        </w:tabs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综合</w:t>
      </w:r>
    </w:p>
    <w:p w:rsidR="00961C1A" w:rsidRDefault="00772122">
      <w:pPr>
        <w:tabs>
          <w:tab w:val="left" w:pos="1876"/>
        </w:tabs>
        <w:ind w:firstLine="63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初步核算，全年实现地区生产总值548.</w:t>
      </w:r>
      <w:r>
        <w:rPr>
          <w:rFonts w:ascii="仿宋_GB2312" w:eastAsia="仿宋_GB2312"/>
          <w:sz w:val="32"/>
        </w:rPr>
        <w:t>59</w:t>
      </w:r>
      <w:r>
        <w:rPr>
          <w:rFonts w:ascii="仿宋_GB2312" w:eastAsia="仿宋_GB2312" w:hint="eastAsia"/>
          <w:sz w:val="32"/>
        </w:rPr>
        <w:t>亿元，按可比价格计算，比上年增长5.5%。分产业看，第一产业增加值77.2</w:t>
      </w: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亿元，增长3.3%；第二产业增加值237.4</w:t>
      </w:r>
      <w:r>
        <w:rPr>
          <w:rFonts w:ascii="仿宋_GB2312" w:eastAsia="仿宋_GB2312"/>
          <w:sz w:val="32"/>
        </w:rPr>
        <w:t>3</w:t>
      </w:r>
      <w:r>
        <w:rPr>
          <w:rFonts w:ascii="仿宋_GB2312" w:eastAsia="仿宋_GB2312" w:hint="eastAsia"/>
          <w:sz w:val="32"/>
        </w:rPr>
        <w:t>亿元，增长4.7%；第三产业增加值233.9</w:t>
      </w:r>
      <w:r>
        <w:rPr>
          <w:rFonts w:ascii="仿宋_GB2312" w:eastAsia="仿宋_GB2312"/>
          <w:sz w:val="32"/>
        </w:rPr>
        <w:t>4</w:t>
      </w:r>
      <w:r>
        <w:rPr>
          <w:rFonts w:ascii="仿宋_GB2312" w:eastAsia="仿宋_GB2312" w:hint="eastAsia"/>
          <w:sz w:val="32"/>
        </w:rPr>
        <w:t>亿元，增长6.9%。三次产业结构比重为</w:t>
      </w:r>
      <w:r>
        <w:rPr>
          <w:rFonts w:ascii="仿宋_GB2312" w:eastAsia="仿宋_GB2312"/>
          <w:sz w:val="32"/>
        </w:rPr>
        <w:t>14.1</w:t>
      </w:r>
      <w:r>
        <w:rPr>
          <w:rFonts w:ascii="仿宋_GB2312" w:eastAsia="仿宋_GB2312" w:hint="eastAsia"/>
          <w:sz w:val="32"/>
        </w:rPr>
        <w:t>：43</w:t>
      </w:r>
      <w:r>
        <w:rPr>
          <w:rFonts w:ascii="仿宋_GB2312" w:eastAsia="仿宋_GB2312"/>
          <w:sz w:val="32"/>
        </w:rPr>
        <w:t>.3</w:t>
      </w:r>
      <w:r>
        <w:rPr>
          <w:rFonts w:ascii="仿宋_GB2312" w:eastAsia="仿宋_GB2312" w:hint="eastAsia"/>
          <w:sz w:val="32"/>
        </w:rPr>
        <w:t>：42.6，第三产业占比比上年上升</w:t>
      </w:r>
      <w:r>
        <w:rPr>
          <w:rFonts w:ascii="仿宋_GB2312" w:eastAsia="仿宋_GB2312"/>
          <w:sz w:val="32"/>
        </w:rPr>
        <w:t>0.</w:t>
      </w:r>
      <w:r>
        <w:rPr>
          <w:rFonts w:ascii="仿宋_GB2312" w:eastAsia="仿宋_GB2312" w:hint="eastAsia"/>
          <w:sz w:val="32"/>
        </w:rPr>
        <w:t>8个百分点。按常住人口计算，人均生产总值</w:t>
      </w:r>
      <w:r>
        <w:rPr>
          <w:rFonts w:ascii="仿宋_GB2312" w:eastAsia="仿宋_GB2312"/>
          <w:sz w:val="32"/>
        </w:rPr>
        <w:t>103507</w:t>
      </w:r>
      <w:r>
        <w:rPr>
          <w:rFonts w:ascii="仿宋_GB2312" w:eastAsia="仿宋_GB2312" w:hint="eastAsia"/>
          <w:sz w:val="32"/>
        </w:rPr>
        <w:t>元（按年平均汇率折算为15004美元），比上年</w:t>
      </w:r>
      <w:r w:rsidR="00311DB2" w:rsidRPr="00816CE4">
        <w:rPr>
          <w:rFonts w:ascii="仿宋_GB2312" w:eastAsia="仿宋_GB2312" w:hint="eastAsia"/>
          <w:sz w:val="32"/>
        </w:rPr>
        <w:t>增</w:t>
      </w:r>
      <w:r>
        <w:rPr>
          <w:rFonts w:ascii="仿宋_GB2312" w:eastAsia="仿宋_GB2312" w:hint="eastAsia"/>
          <w:sz w:val="32"/>
        </w:rPr>
        <w:t>长5</w:t>
      </w:r>
      <w:r>
        <w:rPr>
          <w:rFonts w:ascii="仿宋_GB2312" w:eastAsia="仿宋_GB2312"/>
          <w:sz w:val="32"/>
        </w:rPr>
        <w:t>%</w:t>
      </w:r>
      <w:r>
        <w:rPr>
          <w:rFonts w:ascii="仿宋_GB2312" w:eastAsia="仿宋_GB2312" w:hint="eastAsia"/>
          <w:sz w:val="32"/>
        </w:rPr>
        <w:t>。</w:t>
      </w:r>
    </w:p>
    <w:p w:rsidR="00961C1A" w:rsidRPr="00311DB2" w:rsidRDefault="00961C1A">
      <w:pPr>
        <w:tabs>
          <w:tab w:val="left" w:pos="1876"/>
        </w:tabs>
        <w:ind w:firstLine="630"/>
        <w:jc w:val="center"/>
        <w:rPr>
          <w:rFonts w:ascii="仿宋_GB2312" w:eastAsia="仿宋_GB2312"/>
          <w:sz w:val="32"/>
        </w:rPr>
      </w:pPr>
    </w:p>
    <w:p w:rsidR="00961C1A" w:rsidRDefault="006050F6">
      <w:pPr>
        <w:pStyle w:val="2"/>
        <w:ind w:firstLine="640"/>
      </w:pPr>
      <w:r>
        <w:rPr>
          <w:noProof/>
        </w:rPr>
        <w:lastRenderedPageBreak/>
        <w:drawing>
          <wp:inline distT="0" distB="0" distL="0" distR="0" wp14:anchorId="7AAA56D9" wp14:editId="38A85F6D">
            <wp:extent cx="5048250" cy="2752725"/>
            <wp:effectExtent l="0" t="0" r="0" b="952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1C1A" w:rsidRDefault="00961C1A">
      <w:pPr>
        <w:tabs>
          <w:tab w:val="left" w:pos="1876"/>
        </w:tabs>
        <w:ind w:firstLine="630"/>
        <w:jc w:val="center"/>
        <w:rPr>
          <w:rFonts w:ascii="仿宋_GB2312" w:eastAsia="仿宋_GB2312"/>
          <w:sz w:val="32"/>
        </w:rPr>
      </w:pPr>
    </w:p>
    <w:p w:rsidR="00961C1A" w:rsidRDefault="00772122">
      <w:pPr>
        <w:tabs>
          <w:tab w:val="left" w:pos="1876"/>
        </w:tabs>
        <w:ind w:firstLine="63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表1</w:t>
      </w:r>
      <w:r>
        <w:rPr>
          <w:rFonts w:ascii="仿宋" w:eastAsia="仿宋" w:hAnsi="仿宋"/>
          <w:b/>
          <w:sz w:val="28"/>
          <w:szCs w:val="28"/>
        </w:rPr>
        <w:t xml:space="preserve">   2019</w:t>
      </w:r>
      <w:r>
        <w:rPr>
          <w:rFonts w:ascii="仿宋" w:eastAsia="仿宋" w:hAnsi="仿宋" w:hint="eastAsia"/>
          <w:b/>
          <w:sz w:val="28"/>
          <w:szCs w:val="28"/>
        </w:rPr>
        <w:t>年地区</w:t>
      </w:r>
      <w:r>
        <w:rPr>
          <w:rFonts w:ascii="仿宋" w:eastAsia="仿宋" w:hAnsi="仿宋"/>
          <w:b/>
          <w:sz w:val="28"/>
          <w:szCs w:val="28"/>
        </w:rPr>
        <w:t>生产总值及行业构成</w:t>
      </w:r>
    </w:p>
    <w:tbl>
      <w:tblPr>
        <w:tblW w:w="7825" w:type="dxa"/>
        <w:jc w:val="center"/>
        <w:tblBorders>
          <w:top w:val="single" w:sz="8" w:space="0" w:color="auto"/>
          <w:bottom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3"/>
        <w:gridCol w:w="1984"/>
        <w:gridCol w:w="1828"/>
      </w:tblGrid>
      <w:tr w:rsidR="00961C1A">
        <w:trPr>
          <w:trHeight w:val="503"/>
          <w:jc w:val="center"/>
        </w:trPr>
        <w:tc>
          <w:tcPr>
            <w:tcW w:w="40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实绩（亿元）</w:t>
            </w:r>
          </w:p>
        </w:tc>
        <w:tc>
          <w:tcPr>
            <w:tcW w:w="18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比上年增长（%）</w:t>
            </w:r>
          </w:p>
        </w:tc>
      </w:tr>
      <w:tr w:rsidR="00961C1A">
        <w:trPr>
          <w:trHeight w:hRule="exact" w:val="510"/>
          <w:jc w:val="center"/>
        </w:trPr>
        <w:tc>
          <w:tcPr>
            <w:tcW w:w="401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地区生产总值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548.59</w:t>
            </w:r>
          </w:p>
        </w:tc>
        <w:tc>
          <w:tcPr>
            <w:tcW w:w="182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5.5</w:t>
            </w:r>
          </w:p>
        </w:tc>
      </w:tr>
      <w:tr w:rsidR="00961C1A">
        <w:trPr>
          <w:trHeight w:hRule="exact" w:val="510"/>
          <w:jc w:val="center"/>
        </w:trPr>
        <w:tc>
          <w:tcPr>
            <w:tcW w:w="4013" w:type="dxa"/>
            <w:shd w:val="clear" w:color="auto" w:fill="auto"/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其中：工业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166.12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5.6</w:t>
            </w:r>
          </w:p>
        </w:tc>
      </w:tr>
      <w:tr w:rsidR="00961C1A">
        <w:trPr>
          <w:trHeight w:hRule="exact" w:val="510"/>
          <w:jc w:val="center"/>
        </w:trPr>
        <w:tc>
          <w:tcPr>
            <w:tcW w:w="4013" w:type="dxa"/>
            <w:shd w:val="clear" w:color="auto" w:fill="auto"/>
            <w:vAlign w:val="center"/>
          </w:tcPr>
          <w:p w:rsidR="00961C1A" w:rsidRDefault="00772122">
            <w:pPr>
              <w:widowControl/>
              <w:ind w:firstLineChars="300" w:firstLine="7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建筑业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73.20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2.5</w:t>
            </w:r>
          </w:p>
        </w:tc>
      </w:tr>
      <w:tr w:rsidR="00961C1A">
        <w:trPr>
          <w:trHeight w:hRule="exact" w:val="510"/>
          <w:jc w:val="center"/>
        </w:trPr>
        <w:tc>
          <w:tcPr>
            <w:tcW w:w="4013" w:type="dxa"/>
            <w:shd w:val="clear" w:color="auto" w:fill="auto"/>
            <w:vAlign w:val="center"/>
          </w:tcPr>
          <w:p w:rsidR="00961C1A" w:rsidRDefault="00772122">
            <w:pPr>
              <w:widowControl/>
              <w:ind w:firstLineChars="300" w:firstLine="7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交通运输、仓储和邮政业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22.42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5.8</w:t>
            </w:r>
          </w:p>
        </w:tc>
      </w:tr>
      <w:tr w:rsidR="00961C1A">
        <w:trPr>
          <w:trHeight w:hRule="exact" w:val="510"/>
          <w:jc w:val="center"/>
        </w:trPr>
        <w:tc>
          <w:tcPr>
            <w:tcW w:w="4013" w:type="dxa"/>
            <w:shd w:val="clear" w:color="auto" w:fill="auto"/>
            <w:vAlign w:val="center"/>
          </w:tcPr>
          <w:p w:rsidR="00961C1A" w:rsidRDefault="00772122">
            <w:pPr>
              <w:widowControl/>
              <w:ind w:firstLineChars="300" w:firstLine="7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批发和零售业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40.90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5.5</w:t>
            </w:r>
          </w:p>
        </w:tc>
      </w:tr>
      <w:tr w:rsidR="00961C1A">
        <w:trPr>
          <w:trHeight w:hRule="exact" w:val="510"/>
          <w:jc w:val="center"/>
        </w:trPr>
        <w:tc>
          <w:tcPr>
            <w:tcW w:w="4013" w:type="dxa"/>
            <w:shd w:val="clear" w:color="auto" w:fill="auto"/>
            <w:vAlign w:val="center"/>
          </w:tcPr>
          <w:p w:rsidR="00961C1A" w:rsidRDefault="00772122">
            <w:pPr>
              <w:widowControl/>
              <w:ind w:firstLineChars="300" w:firstLine="7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住宿和餐饮业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9.33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5.2</w:t>
            </w:r>
          </w:p>
        </w:tc>
      </w:tr>
      <w:tr w:rsidR="00961C1A">
        <w:trPr>
          <w:trHeight w:hRule="exact" w:val="510"/>
          <w:jc w:val="center"/>
        </w:trPr>
        <w:tc>
          <w:tcPr>
            <w:tcW w:w="4013" w:type="dxa"/>
            <w:shd w:val="clear" w:color="auto" w:fill="auto"/>
            <w:vAlign w:val="center"/>
          </w:tcPr>
          <w:p w:rsidR="00961C1A" w:rsidRDefault="00772122">
            <w:pPr>
              <w:widowControl/>
              <w:ind w:firstLineChars="300" w:firstLine="7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金融业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33.44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8.2</w:t>
            </w:r>
          </w:p>
        </w:tc>
      </w:tr>
      <w:tr w:rsidR="00961C1A">
        <w:trPr>
          <w:trHeight w:hRule="exact" w:val="510"/>
          <w:jc w:val="center"/>
        </w:trPr>
        <w:tc>
          <w:tcPr>
            <w:tcW w:w="4013" w:type="dxa"/>
            <w:shd w:val="clear" w:color="auto" w:fill="auto"/>
            <w:vAlign w:val="center"/>
          </w:tcPr>
          <w:p w:rsidR="00961C1A" w:rsidRDefault="00772122">
            <w:pPr>
              <w:widowControl/>
              <w:ind w:firstLineChars="300" w:firstLine="7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房地产业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30.96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2.5</w:t>
            </w:r>
          </w:p>
        </w:tc>
      </w:tr>
      <w:tr w:rsidR="00961C1A">
        <w:trPr>
          <w:trHeight w:hRule="exact" w:val="510"/>
          <w:jc w:val="center"/>
        </w:trPr>
        <w:tc>
          <w:tcPr>
            <w:tcW w:w="4013" w:type="dxa"/>
            <w:shd w:val="clear" w:color="auto" w:fill="auto"/>
            <w:vAlign w:val="center"/>
          </w:tcPr>
          <w:p w:rsidR="00961C1A" w:rsidRDefault="00772122">
            <w:pPr>
              <w:widowControl/>
              <w:ind w:firstLineChars="300" w:firstLine="7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其他服务业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92.79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8.9</w:t>
            </w:r>
          </w:p>
        </w:tc>
      </w:tr>
      <w:tr w:rsidR="00961C1A">
        <w:trPr>
          <w:trHeight w:hRule="exact" w:val="510"/>
          <w:jc w:val="center"/>
        </w:trPr>
        <w:tc>
          <w:tcPr>
            <w:tcW w:w="4013" w:type="dxa"/>
            <w:shd w:val="clear" w:color="auto" w:fill="auto"/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第一产业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77.22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3.3</w:t>
            </w:r>
          </w:p>
        </w:tc>
      </w:tr>
      <w:tr w:rsidR="00961C1A">
        <w:trPr>
          <w:trHeight w:hRule="exact" w:val="510"/>
          <w:jc w:val="center"/>
        </w:trPr>
        <w:tc>
          <w:tcPr>
            <w:tcW w:w="4013" w:type="dxa"/>
            <w:shd w:val="clear" w:color="auto" w:fill="auto"/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第二产业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237.43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4.7</w:t>
            </w:r>
          </w:p>
        </w:tc>
      </w:tr>
      <w:tr w:rsidR="00961C1A">
        <w:trPr>
          <w:trHeight w:hRule="exact" w:val="510"/>
          <w:jc w:val="center"/>
        </w:trPr>
        <w:tc>
          <w:tcPr>
            <w:tcW w:w="4013" w:type="dxa"/>
            <w:shd w:val="clear" w:color="auto" w:fill="auto"/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第三产业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233.94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6.9</w:t>
            </w:r>
          </w:p>
        </w:tc>
      </w:tr>
    </w:tbl>
    <w:p w:rsidR="00961C1A" w:rsidRDefault="00961C1A">
      <w:pPr>
        <w:tabs>
          <w:tab w:val="left" w:pos="1876"/>
        </w:tabs>
        <w:rPr>
          <w:rFonts w:ascii="仿宋_GB2312" w:eastAsia="仿宋_GB2312"/>
          <w:sz w:val="32"/>
        </w:rPr>
      </w:pPr>
    </w:p>
    <w:p w:rsidR="00961C1A" w:rsidRDefault="00772122">
      <w:pPr>
        <w:tabs>
          <w:tab w:val="left" w:pos="1876"/>
        </w:tabs>
        <w:rPr>
          <w:rFonts w:ascii="仿宋_GB2312" w:eastAsia="仿宋_GB2312"/>
          <w:sz w:val="32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  </w:t>
      </w:r>
      <w:r>
        <w:rPr>
          <w:rFonts w:ascii="仿宋_GB2312" w:eastAsia="仿宋_GB2312" w:hint="eastAsia"/>
          <w:sz w:val="32"/>
        </w:rPr>
        <w:t xml:space="preserve">  年末全县总户数</w:t>
      </w:r>
      <w:r>
        <w:rPr>
          <w:rFonts w:ascii="仿宋_GB2312" w:eastAsia="仿宋_GB2312"/>
          <w:sz w:val="32"/>
        </w:rPr>
        <w:t>182123</w:t>
      </w:r>
      <w:r>
        <w:rPr>
          <w:rFonts w:ascii="仿宋_GB2312" w:eastAsia="仿宋_GB2312" w:hint="eastAsia"/>
          <w:sz w:val="32"/>
        </w:rPr>
        <w:t>户，户籍人口</w:t>
      </w:r>
      <w:r>
        <w:rPr>
          <w:rFonts w:ascii="仿宋_GB2312" w:eastAsia="仿宋_GB2312"/>
          <w:sz w:val="32"/>
        </w:rPr>
        <w:t>546628</w:t>
      </w:r>
      <w:r>
        <w:rPr>
          <w:rFonts w:ascii="仿宋_GB2312" w:eastAsia="仿宋_GB2312" w:hint="eastAsia"/>
          <w:sz w:val="32"/>
        </w:rPr>
        <w:t>人，比上</w:t>
      </w:r>
      <w:r>
        <w:rPr>
          <w:rFonts w:ascii="仿宋_GB2312" w:eastAsia="仿宋_GB2312" w:hint="eastAsia"/>
          <w:sz w:val="32"/>
        </w:rPr>
        <w:lastRenderedPageBreak/>
        <w:t>年末减少1972人。其中，城镇户籍人口</w:t>
      </w:r>
      <w:r>
        <w:rPr>
          <w:rFonts w:ascii="仿宋_GB2312" w:eastAsia="仿宋_GB2312"/>
          <w:sz w:val="32"/>
        </w:rPr>
        <w:t>193579</w:t>
      </w:r>
      <w:r>
        <w:rPr>
          <w:rFonts w:ascii="仿宋_GB2312" w:eastAsia="仿宋_GB2312" w:hint="eastAsia"/>
          <w:sz w:val="32"/>
        </w:rPr>
        <w:t>人；男性人口</w:t>
      </w:r>
      <w:r>
        <w:rPr>
          <w:rFonts w:ascii="仿宋_GB2312" w:eastAsia="仿宋_GB2312"/>
          <w:sz w:val="32"/>
        </w:rPr>
        <w:t>276299</w:t>
      </w:r>
      <w:r>
        <w:rPr>
          <w:rFonts w:ascii="仿宋_GB2312" w:eastAsia="仿宋_GB2312" w:hint="eastAsia"/>
          <w:sz w:val="32"/>
        </w:rPr>
        <w:t>人。全年出生人口</w:t>
      </w:r>
      <w:r>
        <w:rPr>
          <w:rFonts w:ascii="仿宋_GB2312" w:eastAsia="仿宋_GB2312"/>
          <w:sz w:val="32"/>
        </w:rPr>
        <w:t>3843</w:t>
      </w:r>
      <w:r>
        <w:rPr>
          <w:rFonts w:ascii="仿宋_GB2312" w:eastAsia="仿宋_GB2312" w:hint="eastAsia"/>
          <w:sz w:val="32"/>
        </w:rPr>
        <w:t>人；死亡人口</w:t>
      </w:r>
      <w:r>
        <w:rPr>
          <w:rFonts w:ascii="仿宋_GB2312" w:eastAsia="仿宋_GB2312"/>
          <w:sz w:val="32"/>
        </w:rPr>
        <w:t>3682</w:t>
      </w:r>
      <w:r>
        <w:rPr>
          <w:rFonts w:ascii="仿宋_GB2312" w:eastAsia="仿宋_GB2312" w:hint="eastAsia"/>
          <w:sz w:val="32"/>
        </w:rPr>
        <w:t>人。年末全县常住人口53.1万人，其中城镇人口32万人，常住人口城镇化率为60.3</w:t>
      </w:r>
      <w:r>
        <w:rPr>
          <w:rFonts w:ascii="仿宋_GB2312" w:eastAsia="仿宋_GB2312"/>
          <w:sz w:val="32"/>
        </w:rPr>
        <w:t>%</w:t>
      </w:r>
      <w:r>
        <w:rPr>
          <w:rFonts w:ascii="仿宋_GB2312" w:eastAsia="仿宋_GB2312" w:hint="eastAsia"/>
          <w:sz w:val="32"/>
        </w:rPr>
        <w:t>，比上年末提高0</w:t>
      </w:r>
      <w:r>
        <w:rPr>
          <w:rFonts w:ascii="仿宋_GB2312" w:eastAsia="仿宋_GB2312"/>
          <w:sz w:val="32"/>
        </w:rPr>
        <w:t>.5</w:t>
      </w:r>
      <w:r>
        <w:rPr>
          <w:rFonts w:ascii="仿宋_GB2312" w:eastAsia="仿宋_GB2312" w:hint="eastAsia"/>
          <w:sz w:val="32"/>
        </w:rPr>
        <w:t>个百分点。</w:t>
      </w:r>
    </w:p>
    <w:p w:rsidR="00961C1A" w:rsidRDefault="00772122">
      <w:pPr>
        <w:tabs>
          <w:tab w:val="left" w:pos="1876"/>
        </w:tabs>
        <w:rPr>
          <w:rFonts w:ascii="仿宋" w:eastAsia="仿宋" w:hAnsi="仿宋"/>
          <w:sz w:val="28"/>
          <w:szCs w:val="28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lang w:bidi="ar"/>
        </w:rPr>
        <w:t xml:space="preserve">　　　　　　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  <w:lang w:bidi="ar"/>
        </w:rPr>
        <w:t xml:space="preserve">　</w:t>
      </w: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lang w:bidi="ar"/>
        </w:rPr>
        <w:t>表</w:t>
      </w:r>
      <w:r>
        <w:rPr>
          <w:rFonts w:ascii="仿宋" w:eastAsia="仿宋" w:hAnsi="仿宋" w:cs="Times New Roman"/>
          <w:b/>
          <w:color w:val="333333"/>
          <w:kern w:val="0"/>
          <w:sz w:val="28"/>
          <w:szCs w:val="28"/>
          <w:lang w:bidi="ar"/>
        </w:rPr>
        <w:t>2</w:t>
      </w: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宋体"/>
          <w:b/>
          <w:color w:val="333333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Times New Roman"/>
          <w:b/>
          <w:color w:val="333333"/>
          <w:kern w:val="0"/>
          <w:sz w:val="28"/>
          <w:szCs w:val="28"/>
          <w:lang w:bidi="ar"/>
        </w:rPr>
        <w:t>201</w:t>
      </w:r>
      <w:r>
        <w:rPr>
          <w:rFonts w:ascii="仿宋" w:eastAsia="仿宋" w:hAnsi="仿宋" w:cs="Times New Roman" w:hint="eastAsia"/>
          <w:b/>
          <w:color w:val="333333"/>
          <w:kern w:val="0"/>
          <w:sz w:val="28"/>
          <w:szCs w:val="28"/>
          <w:lang w:bidi="ar"/>
        </w:rPr>
        <w:t>9</w:t>
      </w: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lang w:bidi="ar"/>
        </w:rPr>
        <w:t>年年末户籍人口及构成</w:t>
      </w:r>
    </w:p>
    <w:tbl>
      <w:tblPr>
        <w:tblW w:w="8306" w:type="dxa"/>
        <w:jc w:val="center"/>
        <w:tblBorders>
          <w:top w:val="single" w:sz="8" w:space="0" w:color="auto"/>
          <w:bottom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2"/>
        <w:gridCol w:w="1824"/>
        <w:gridCol w:w="1666"/>
        <w:gridCol w:w="84"/>
      </w:tblGrid>
      <w:tr w:rsidR="00961C1A">
        <w:trPr>
          <w:trHeight w:val="510"/>
          <w:jc w:val="center"/>
        </w:trPr>
        <w:tc>
          <w:tcPr>
            <w:tcW w:w="47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right w:w="142" w:type="dxa"/>
            </w:tcMar>
            <w:vAlign w:val="center"/>
          </w:tcPr>
          <w:p w:rsidR="00961C1A" w:rsidRDefault="00961C1A">
            <w:pPr>
              <w:widowControl/>
              <w:spacing w:line="240" w:lineRule="atLeast"/>
              <w:ind w:left="57" w:right="57" w:hanging="288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right w:w="142" w:type="dxa"/>
            </w:tcMar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napToGrid w:val="0"/>
                <w:kern w:val="0"/>
                <w:sz w:val="24"/>
                <w:lang w:bidi="ar"/>
              </w:rPr>
              <w:t>年末数（万人）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napToGrid w:val="0"/>
                <w:kern w:val="0"/>
                <w:sz w:val="24"/>
                <w:lang w:bidi="ar"/>
              </w:rPr>
              <w:t>占比（</w:t>
            </w:r>
            <w:r>
              <w:rPr>
                <w:rFonts w:ascii="仿宋" w:eastAsia="仿宋" w:hAnsi="仿宋" w:cs="Times New Roman"/>
                <w:b/>
                <w:snapToGrid w:val="0"/>
                <w:kern w:val="0"/>
                <w:sz w:val="24"/>
                <w:lang w:bidi="ar"/>
              </w:rPr>
              <w:t>%</w:t>
            </w:r>
            <w:r>
              <w:rPr>
                <w:rFonts w:ascii="仿宋" w:eastAsia="仿宋" w:hAnsi="仿宋" w:cs="宋体" w:hint="eastAsia"/>
                <w:b/>
                <w:snapToGrid w:val="0"/>
                <w:kern w:val="0"/>
                <w:sz w:val="24"/>
                <w:lang w:bidi="ar"/>
              </w:rPr>
              <w:t>）</w:t>
            </w:r>
          </w:p>
        </w:tc>
        <w:tc>
          <w:tcPr>
            <w:tcW w:w="84" w:type="dxa"/>
            <w:tcBorders>
              <w:left w:val="nil"/>
            </w:tcBorders>
            <w:shd w:val="clear" w:color="auto" w:fill="auto"/>
            <w:vAlign w:val="center"/>
          </w:tcPr>
          <w:p w:rsidR="00961C1A" w:rsidRDefault="00961C1A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61C1A">
        <w:trPr>
          <w:trHeight w:val="510"/>
          <w:jc w:val="center"/>
        </w:trPr>
        <w:tc>
          <w:tcPr>
            <w:tcW w:w="4732" w:type="dxa"/>
            <w:shd w:val="clear" w:color="auto" w:fill="auto"/>
            <w:tcMar>
              <w:right w:w="142" w:type="dxa"/>
            </w:tcMar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lang w:bidi="ar"/>
              </w:rPr>
              <w:t>全县总人口</w:t>
            </w:r>
          </w:p>
        </w:tc>
        <w:tc>
          <w:tcPr>
            <w:tcW w:w="1824" w:type="dxa"/>
            <w:shd w:val="clear" w:color="auto" w:fill="auto"/>
            <w:tcMar>
              <w:right w:w="142" w:type="dxa"/>
            </w:tcMar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54.66</w:t>
            </w:r>
          </w:p>
        </w:tc>
        <w:tc>
          <w:tcPr>
            <w:tcW w:w="1750" w:type="dxa"/>
            <w:gridSpan w:val="2"/>
            <w:shd w:val="clear" w:color="auto" w:fill="auto"/>
            <w:tcMar>
              <w:right w:w="142" w:type="dxa"/>
            </w:tcMar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-</w:t>
            </w:r>
          </w:p>
        </w:tc>
      </w:tr>
      <w:tr w:rsidR="00961C1A">
        <w:trPr>
          <w:trHeight w:val="510"/>
          <w:jc w:val="center"/>
        </w:trPr>
        <w:tc>
          <w:tcPr>
            <w:tcW w:w="4732" w:type="dxa"/>
            <w:shd w:val="clear" w:color="auto" w:fill="auto"/>
            <w:tcMar>
              <w:right w:w="142" w:type="dxa"/>
            </w:tcMar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 w:firstLine="4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lang w:bidi="ar"/>
              </w:rPr>
              <w:t>其中：城镇</w:t>
            </w:r>
          </w:p>
        </w:tc>
        <w:tc>
          <w:tcPr>
            <w:tcW w:w="1824" w:type="dxa"/>
            <w:shd w:val="clear" w:color="auto" w:fill="auto"/>
            <w:tcMar>
              <w:right w:w="142" w:type="dxa"/>
            </w:tcMar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19.36</w:t>
            </w:r>
          </w:p>
        </w:tc>
        <w:tc>
          <w:tcPr>
            <w:tcW w:w="1750" w:type="dxa"/>
            <w:gridSpan w:val="2"/>
            <w:shd w:val="clear" w:color="auto" w:fill="auto"/>
            <w:tcMar>
              <w:right w:w="142" w:type="dxa"/>
            </w:tcMar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35.4</w:t>
            </w:r>
          </w:p>
        </w:tc>
      </w:tr>
      <w:tr w:rsidR="00961C1A">
        <w:trPr>
          <w:trHeight w:val="510"/>
          <w:jc w:val="center"/>
        </w:trPr>
        <w:tc>
          <w:tcPr>
            <w:tcW w:w="4732" w:type="dxa"/>
            <w:shd w:val="clear" w:color="auto" w:fill="auto"/>
            <w:tcMar>
              <w:right w:w="142" w:type="dxa"/>
            </w:tcMar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 w:firstLine="105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lang w:bidi="ar"/>
              </w:rPr>
              <w:t>乡村</w:t>
            </w:r>
          </w:p>
        </w:tc>
        <w:tc>
          <w:tcPr>
            <w:tcW w:w="1824" w:type="dxa"/>
            <w:shd w:val="clear" w:color="auto" w:fill="auto"/>
            <w:tcMar>
              <w:right w:w="142" w:type="dxa"/>
            </w:tcMar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35.30</w:t>
            </w:r>
          </w:p>
        </w:tc>
        <w:tc>
          <w:tcPr>
            <w:tcW w:w="1750" w:type="dxa"/>
            <w:gridSpan w:val="2"/>
            <w:shd w:val="clear" w:color="auto" w:fill="auto"/>
            <w:tcMar>
              <w:right w:w="142" w:type="dxa"/>
            </w:tcMar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64.6</w:t>
            </w:r>
          </w:p>
        </w:tc>
      </w:tr>
      <w:tr w:rsidR="00961C1A">
        <w:trPr>
          <w:trHeight w:val="510"/>
          <w:jc w:val="center"/>
        </w:trPr>
        <w:tc>
          <w:tcPr>
            <w:tcW w:w="4732" w:type="dxa"/>
            <w:shd w:val="clear" w:color="auto" w:fill="auto"/>
            <w:tcMar>
              <w:right w:w="142" w:type="dxa"/>
            </w:tcMar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 w:firstLine="4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lang w:bidi="ar"/>
              </w:rPr>
              <w:t>其中：男性</w:t>
            </w:r>
          </w:p>
        </w:tc>
        <w:tc>
          <w:tcPr>
            <w:tcW w:w="1824" w:type="dxa"/>
            <w:shd w:val="clear" w:color="auto" w:fill="auto"/>
            <w:tcMar>
              <w:right w:w="142" w:type="dxa"/>
            </w:tcMar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27.63</w:t>
            </w:r>
          </w:p>
        </w:tc>
        <w:tc>
          <w:tcPr>
            <w:tcW w:w="1750" w:type="dxa"/>
            <w:gridSpan w:val="2"/>
            <w:shd w:val="clear" w:color="auto" w:fill="auto"/>
            <w:tcMar>
              <w:right w:w="142" w:type="dxa"/>
            </w:tcMar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50.5</w:t>
            </w:r>
          </w:p>
        </w:tc>
      </w:tr>
      <w:tr w:rsidR="00961C1A">
        <w:trPr>
          <w:trHeight w:val="510"/>
          <w:jc w:val="center"/>
        </w:trPr>
        <w:tc>
          <w:tcPr>
            <w:tcW w:w="4732" w:type="dxa"/>
            <w:shd w:val="clear" w:color="auto" w:fill="auto"/>
            <w:tcMar>
              <w:right w:w="142" w:type="dxa"/>
            </w:tcMar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 w:firstLine="105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lang w:bidi="ar"/>
              </w:rPr>
              <w:t>女性</w:t>
            </w:r>
          </w:p>
        </w:tc>
        <w:tc>
          <w:tcPr>
            <w:tcW w:w="1824" w:type="dxa"/>
            <w:shd w:val="clear" w:color="auto" w:fill="auto"/>
            <w:tcMar>
              <w:right w:w="142" w:type="dxa"/>
            </w:tcMar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27.03</w:t>
            </w:r>
          </w:p>
        </w:tc>
        <w:tc>
          <w:tcPr>
            <w:tcW w:w="1750" w:type="dxa"/>
            <w:gridSpan w:val="2"/>
            <w:shd w:val="clear" w:color="auto" w:fill="auto"/>
            <w:tcMar>
              <w:right w:w="142" w:type="dxa"/>
            </w:tcMar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49.5</w:t>
            </w:r>
          </w:p>
        </w:tc>
      </w:tr>
      <w:tr w:rsidR="00961C1A">
        <w:trPr>
          <w:trHeight w:val="510"/>
          <w:jc w:val="center"/>
        </w:trPr>
        <w:tc>
          <w:tcPr>
            <w:tcW w:w="4732" w:type="dxa"/>
            <w:shd w:val="clear" w:color="auto" w:fill="auto"/>
            <w:tcMar>
              <w:right w:w="142" w:type="dxa"/>
            </w:tcMar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 w:firstLine="4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lang w:bidi="ar"/>
              </w:rPr>
              <w:t>其中：</w:t>
            </w:r>
            <w:r>
              <w:rPr>
                <w:rFonts w:ascii="仿宋" w:eastAsia="仿宋" w:hAnsi="仿宋" w:cs="Times New Roman"/>
                <w:snapToGrid w:val="0"/>
                <w:kern w:val="0"/>
                <w:sz w:val="24"/>
                <w:lang w:bidi="ar"/>
              </w:rPr>
              <w:t>0-17</w:t>
            </w: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lang w:bidi="ar"/>
              </w:rPr>
              <w:t>岁</w:t>
            </w:r>
          </w:p>
        </w:tc>
        <w:tc>
          <w:tcPr>
            <w:tcW w:w="1824" w:type="dxa"/>
            <w:shd w:val="clear" w:color="auto" w:fill="auto"/>
            <w:tcMar>
              <w:right w:w="142" w:type="dxa"/>
            </w:tcMar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8.18</w:t>
            </w:r>
          </w:p>
        </w:tc>
        <w:tc>
          <w:tcPr>
            <w:tcW w:w="1750" w:type="dxa"/>
            <w:gridSpan w:val="2"/>
            <w:shd w:val="clear" w:color="auto" w:fill="auto"/>
            <w:tcMar>
              <w:right w:w="142" w:type="dxa"/>
            </w:tcMar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</w:t>
            </w:r>
          </w:p>
        </w:tc>
      </w:tr>
      <w:tr w:rsidR="00961C1A">
        <w:trPr>
          <w:trHeight w:val="510"/>
          <w:jc w:val="center"/>
        </w:trPr>
        <w:tc>
          <w:tcPr>
            <w:tcW w:w="4732" w:type="dxa"/>
            <w:shd w:val="clear" w:color="auto" w:fill="auto"/>
            <w:tcMar>
              <w:right w:w="142" w:type="dxa"/>
            </w:tcMar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 w:firstLine="105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Times New Roman"/>
                <w:snapToGrid w:val="0"/>
                <w:kern w:val="0"/>
                <w:sz w:val="24"/>
                <w:lang w:bidi="ar"/>
              </w:rPr>
              <w:t>18-59</w:t>
            </w: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lang w:bidi="ar"/>
              </w:rPr>
              <w:t>岁（含不满</w:t>
            </w:r>
            <w:r>
              <w:rPr>
                <w:rFonts w:ascii="仿宋" w:eastAsia="仿宋" w:hAnsi="仿宋" w:cs="Times New Roman"/>
                <w:snapToGrid w:val="0"/>
                <w:kern w:val="0"/>
                <w:sz w:val="24"/>
                <w:lang w:bidi="ar"/>
              </w:rPr>
              <w:t>60</w:t>
            </w: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lang w:bidi="ar"/>
              </w:rPr>
              <w:t>周岁）</w:t>
            </w:r>
          </w:p>
        </w:tc>
        <w:tc>
          <w:tcPr>
            <w:tcW w:w="1824" w:type="dxa"/>
            <w:shd w:val="clear" w:color="auto" w:fill="auto"/>
            <w:tcMar>
              <w:right w:w="142" w:type="dxa"/>
            </w:tcMar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33.</w:t>
            </w:r>
            <w:r>
              <w:rPr>
                <w:rFonts w:ascii="仿宋" w:eastAsia="仿宋" w:hAnsi="仿宋"/>
                <w:sz w:val="24"/>
              </w:rPr>
              <w:t>02</w:t>
            </w:r>
          </w:p>
        </w:tc>
        <w:tc>
          <w:tcPr>
            <w:tcW w:w="1750" w:type="dxa"/>
            <w:gridSpan w:val="2"/>
            <w:shd w:val="clear" w:color="auto" w:fill="auto"/>
            <w:tcMar>
              <w:right w:w="142" w:type="dxa"/>
            </w:tcMar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60.4</w:t>
            </w:r>
          </w:p>
        </w:tc>
      </w:tr>
      <w:tr w:rsidR="00961C1A">
        <w:trPr>
          <w:trHeight w:val="510"/>
          <w:jc w:val="center"/>
        </w:trPr>
        <w:tc>
          <w:tcPr>
            <w:tcW w:w="4732" w:type="dxa"/>
            <w:shd w:val="clear" w:color="auto" w:fill="auto"/>
            <w:tcMar>
              <w:right w:w="142" w:type="dxa"/>
            </w:tcMar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 w:firstLine="105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Times New Roman"/>
                <w:snapToGrid w:val="0"/>
                <w:kern w:val="0"/>
                <w:sz w:val="24"/>
                <w:lang w:bidi="ar"/>
              </w:rPr>
              <w:t>60</w:t>
            </w: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lang w:bidi="ar"/>
              </w:rPr>
              <w:t>周岁及以上</w:t>
            </w:r>
          </w:p>
        </w:tc>
        <w:tc>
          <w:tcPr>
            <w:tcW w:w="1824" w:type="dxa"/>
            <w:shd w:val="clear" w:color="auto" w:fill="auto"/>
            <w:tcMar>
              <w:right w:w="142" w:type="dxa"/>
            </w:tcMar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13.46</w:t>
            </w:r>
          </w:p>
        </w:tc>
        <w:tc>
          <w:tcPr>
            <w:tcW w:w="1750" w:type="dxa"/>
            <w:gridSpan w:val="2"/>
            <w:shd w:val="clear" w:color="auto" w:fill="auto"/>
            <w:tcMar>
              <w:right w:w="142" w:type="dxa"/>
            </w:tcMar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24.6</w:t>
            </w:r>
          </w:p>
        </w:tc>
      </w:tr>
    </w:tbl>
    <w:p w:rsidR="00961C1A" w:rsidRDefault="00772122">
      <w:pPr>
        <w:tabs>
          <w:tab w:val="left" w:pos="1876"/>
        </w:tabs>
        <w:ind w:firstLine="640"/>
        <w:rPr>
          <w:rFonts w:ascii="仿宋_GB2312" w:eastAsia="仿宋_GB2312"/>
          <w:sz w:val="32"/>
        </w:rPr>
      </w:pPr>
      <w:r>
        <w:rPr>
          <w:rFonts w:ascii="Times New Roman" w:eastAsia="宋体" w:hAnsi="Times New Roman" w:cs="Times New Roman"/>
          <w:color w:val="333333"/>
          <w:kern w:val="0"/>
          <w:sz w:val="24"/>
          <w:lang w:bidi="ar"/>
        </w:rPr>
        <w:t> </w:t>
      </w:r>
      <w:r>
        <w:rPr>
          <w:rFonts w:ascii="仿宋_GB2312" w:eastAsia="仿宋_GB2312" w:hint="eastAsia"/>
          <w:sz w:val="32"/>
        </w:rPr>
        <w:t>全年城镇新增就业1</w:t>
      </w:r>
      <w:r>
        <w:rPr>
          <w:rFonts w:ascii="仿宋_GB2312" w:eastAsia="仿宋_GB2312"/>
          <w:sz w:val="32"/>
        </w:rPr>
        <w:t>.8</w:t>
      </w:r>
      <w:r>
        <w:rPr>
          <w:rFonts w:ascii="仿宋_GB2312" w:eastAsia="仿宋_GB2312" w:hint="eastAsia"/>
          <w:sz w:val="32"/>
        </w:rPr>
        <w:t>万人，年末城镇登记失业率为1.8%。</w:t>
      </w:r>
    </w:p>
    <w:p w:rsidR="00961C1A" w:rsidRDefault="00772122" w:rsidP="00F45EE0">
      <w:pPr>
        <w:tabs>
          <w:tab w:val="left" w:pos="1876"/>
        </w:tabs>
        <w:ind w:firstLine="640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全年居民消费价格比上年上涨3.1%，同比涨幅上升1个百分点。其中，消费品价格上涨3%，服务项目价格上涨3.2%。</w:t>
      </w:r>
      <w:r>
        <w:rPr>
          <w:rFonts w:ascii="仿宋_GB2312" w:eastAsia="仿宋_GB2312"/>
          <w:sz w:val="32"/>
        </w:rPr>
        <w:t>食品类</w:t>
      </w:r>
      <w:r>
        <w:rPr>
          <w:rFonts w:ascii="仿宋_GB2312" w:eastAsia="仿宋_GB2312" w:hint="eastAsia"/>
          <w:sz w:val="32"/>
        </w:rPr>
        <w:t>中的猪肉价格上涨30.4%，影响全县居民消费价格指数</w:t>
      </w:r>
      <w:r>
        <w:rPr>
          <w:rFonts w:ascii="仿宋_GB2312" w:eastAsia="仿宋_GB2312"/>
          <w:sz w:val="32"/>
        </w:rPr>
        <w:t>0.74</w:t>
      </w:r>
      <w:r>
        <w:rPr>
          <w:rFonts w:ascii="仿宋_GB2312" w:eastAsia="仿宋_GB2312" w:hint="eastAsia"/>
          <w:sz w:val="32"/>
        </w:rPr>
        <w:t>个百分点。</w:t>
      </w:r>
      <w:r w:rsidR="00852602">
        <w:rPr>
          <w:noProof/>
        </w:rPr>
        <w:lastRenderedPageBreak/>
        <w:drawing>
          <wp:inline distT="0" distB="0" distL="0" distR="0" wp14:anchorId="2C6DE34F" wp14:editId="7B03E2BA">
            <wp:extent cx="4572000" cy="2743200"/>
            <wp:effectExtent l="0" t="0" r="0" b="0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961C1A" w:rsidRDefault="00772122">
      <w:pPr>
        <w:widowControl/>
        <w:spacing w:before="450" w:line="375" w:lineRule="atLeas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lang w:bidi="ar"/>
        </w:rPr>
        <w:t>表</w:t>
      </w:r>
      <w:r>
        <w:rPr>
          <w:rFonts w:ascii="仿宋" w:eastAsia="仿宋" w:hAnsi="仿宋" w:cs="Times New Roman"/>
          <w:b/>
          <w:color w:val="333333"/>
          <w:kern w:val="0"/>
          <w:sz w:val="28"/>
          <w:szCs w:val="28"/>
          <w:lang w:bidi="ar"/>
        </w:rPr>
        <w:t>3</w:t>
      </w: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宋体"/>
          <w:b/>
          <w:color w:val="333333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lang w:bidi="ar"/>
        </w:rPr>
        <w:t>居民消费价格比上年涨跌幅度</w:t>
      </w:r>
    </w:p>
    <w:tbl>
      <w:tblPr>
        <w:tblW w:w="10341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8"/>
        <w:gridCol w:w="2035"/>
        <w:gridCol w:w="2035"/>
        <w:gridCol w:w="1993"/>
      </w:tblGrid>
      <w:tr w:rsidR="00961C1A">
        <w:trPr>
          <w:trHeight w:val="733"/>
          <w:jc w:val="center"/>
        </w:trPr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napToGrid w:val="0"/>
                <w:kern w:val="0"/>
                <w:sz w:val="24"/>
                <w:lang w:bidi="ar"/>
              </w:rPr>
              <w:t>指标</w:t>
            </w:r>
          </w:p>
        </w:tc>
        <w:tc>
          <w:tcPr>
            <w:tcW w:w="20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61C1A" w:rsidRDefault="00961C1A">
            <w:pPr>
              <w:widowControl/>
              <w:spacing w:line="240" w:lineRule="atLeast"/>
              <w:ind w:left="57" w:right="57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2019年（%）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snapToGrid w:val="0"/>
                <w:kern w:val="0"/>
                <w:sz w:val="24"/>
                <w:lang w:bidi="ar"/>
              </w:rPr>
              <w:t>2018年（%）</w:t>
            </w:r>
          </w:p>
        </w:tc>
      </w:tr>
      <w:tr w:rsidR="00961C1A">
        <w:trPr>
          <w:trHeight w:val="510"/>
          <w:jc w:val="center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lang w:bidi="ar"/>
              </w:rPr>
              <w:t>居民消费价格涨跌幅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961C1A" w:rsidRDefault="00961C1A">
            <w:pPr>
              <w:widowControl/>
              <w:spacing w:line="240" w:lineRule="atLeast"/>
              <w:ind w:left="57" w:right="52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52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3.1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31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2.1</w:t>
            </w:r>
          </w:p>
        </w:tc>
      </w:tr>
      <w:tr w:rsidR="00961C1A">
        <w:trPr>
          <w:trHeight w:val="510"/>
          <w:jc w:val="center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 w:firstLine="4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lang w:bidi="ar"/>
              </w:rPr>
              <w:t>其中：食品烟酒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961C1A" w:rsidRDefault="00961C1A">
            <w:pPr>
              <w:widowControl/>
              <w:spacing w:line="240" w:lineRule="atLeast"/>
              <w:ind w:left="57" w:right="52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52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4.7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31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1.5</w:t>
            </w:r>
          </w:p>
        </w:tc>
      </w:tr>
      <w:tr w:rsidR="00961C1A">
        <w:trPr>
          <w:trHeight w:val="510"/>
          <w:jc w:val="center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tabs>
                <w:tab w:val="left" w:pos="2303"/>
              </w:tabs>
              <w:spacing w:line="240" w:lineRule="atLeast"/>
              <w:ind w:left="57" w:right="57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lang w:bidi="ar"/>
              </w:rPr>
              <w:t xml:space="preserve">　　　　　衣　着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961C1A" w:rsidRDefault="00961C1A">
            <w:pPr>
              <w:widowControl/>
              <w:spacing w:line="240" w:lineRule="atLeast"/>
              <w:ind w:left="57" w:right="52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52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2.8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31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-0.2</w:t>
            </w:r>
          </w:p>
        </w:tc>
      </w:tr>
      <w:tr w:rsidR="00961C1A">
        <w:trPr>
          <w:trHeight w:val="510"/>
          <w:jc w:val="center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4"/>
                <w:lang w:bidi="ar"/>
              </w:rPr>
              <w:t xml:space="preserve">　　</w:t>
            </w: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lang w:bidi="ar"/>
              </w:rPr>
              <w:t xml:space="preserve">　　　居　住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961C1A" w:rsidRDefault="00961C1A">
            <w:pPr>
              <w:widowControl/>
              <w:spacing w:line="240" w:lineRule="atLeast"/>
              <w:ind w:left="57" w:right="52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52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0.7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31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2.4</w:t>
            </w:r>
          </w:p>
        </w:tc>
      </w:tr>
      <w:tr w:rsidR="00961C1A">
        <w:trPr>
          <w:trHeight w:val="510"/>
          <w:jc w:val="center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 w:firstLine="4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lang w:bidi="ar"/>
              </w:rPr>
              <w:t xml:space="preserve">　　　生活用品及服务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961C1A" w:rsidRDefault="00961C1A">
            <w:pPr>
              <w:widowControl/>
              <w:spacing w:line="240" w:lineRule="atLeast"/>
              <w:ind w:left="57" w:right="52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52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3.1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31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961C1A">
        <w:trPr>
          <w:trHeight w:val="510"/>
          <w:jc w:val="center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 w:firstLine="4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lang w:bidi="ar"/>
              </w:rPr>
              <w:t xml:space="preserve">　　　交通和通信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961C1A" w:rsidRDefault="00961C1A">
            <w:pPr>
              <w:widowControl/>
              <w:spacing w:line="240" w:lineRule="atLeast"/>
              <w:ind w:left="57" w:right="52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52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-0.8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31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0.9</w:t>
            </w:r>
          </w:p>
        </w:tc>
      </w:tr>
      <w:tr w:rsidR="00961C1A">
        <w:trPr>
          <w:trHeight w:val="510"/>
          <w:jc w:val="center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 w:firstLine="4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lang w:bidi="ar"/>
              </w:rPr>
              <w:t xml:space="preserve">　　　教育文化和娱乐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961C1A" w:rsidRDefault="00961C1A">
            <w:pPr>
              <w:widowControl/>
              <w:spacing w:line="240" w:lineRule="atLeast"/>
              <w:ind w:left="57" w:right="52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52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3.3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31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1.7</w:t>
            </w:r>
          </w:p>
        </w:tc>
      </w:tr>
      <w:tr w:rsidR="00961C1A">
        <w:trPr>
          <w:trHeight w:val="510"/>
          <w:jc w:val="center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 w:firstLine="4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lang w:bidi="ar"/>
              </w:rPr>
              <w:t xml:space="preserve">　　　医疗保健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961C1A" w:rsidRDefault="00961C1A">
            <w:pPr>
              <w:widowControl/>
              <w:spacing w:line="240" w:lineRule="atLeast"/>
              <w:ind w:left="57" w:right="52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52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10.2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31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9.9</w:t>
            </w:r>
          </w:p>
        </w:tc>
      </w:tr>
      <w:tr w:rsidR="00961C1A">
        <w:trPr>
          <w:trHeight w:val="510"/>
          <w:jc w:val="center"/>
        </w:trPr>
        <w:tc>
          <w:tcPr>
            <w:tcW w:w="4278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57" w:firstLine="4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lang w:bidi="ar"/>
              </w:rPr>
              <w:t xml:space="preserve">　　　其他用品和服务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1C1A" w:rsidRDefault="00961C1A">
            <w:pPr>
              <w:widowControl/>
              <w:spacing w:line="240" w:lineRule="atLeast"/>
              <w:ind w:left="57" w:right="52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spacing w:line="240" w:lineRule="atLeast"/>
              <w:ind w:left="57" w:right="52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wordWrap w:val="0"/>
              <w:spacing w:line="240" w:lineRule="atLeast"/>
              <w:ind w:left="57" w:right="31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-0.7</w:t>
            </w:r>
          </w:p>
        </w:tc>
      </w:tr>
    </w:tbl>
    <w:p w:rsidR="00961C1A" w:rsidRDefault="00961C1A">
      <w:pPr>
        <w:pStyle w:val="2"/>
        <w:ind w:firstLineChars="0" w:firstLine="0"/>
      </w:pPr>
    </w:p>
    <w:p w:rsidR="00961C1A" w:rsidRDefault="00772122">
      <w:pPr>
        <w:tabs>
          <w:tab w:val="left" w:pos="1876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全年完成财政总收入76.88亿元，比上年增长7.8%。其中，一般公共预算收入46.26亿元，增长12.8%；中央财政收入30.62亿元，增长1.1%。一般公共预算支出77.46亿元，增长12.8%，其中民生类支出58.75亿元，占一般公共预算</w:t>
      </w:r>
      <w:r>
        <w:rPr>
          <w:rFonts w:ascii="仿宋_GB2312" w:eastAsia="仿宋_GB2312" w:hint="eastAsia"/>
          <w:sz w:val="32"/>
        </w:rPr>
        <w:lastRenderedPageBreak/>
        <w:t>支出的75.8%。</w:t>
      </w:r>
    </w:p>
    <w:p w:rsidR="00961C1A" w:rsidRDefault="00772122">
      <w:pPr>
        <w:tabs>
          <w:tab w:val="left" w:pos="1876"/>
        </w:tabs>
        <w:ind w:left="105" w:hangingChars="50" w:hanging="105"/>
        <w:rPr>
          <w:rFonts w:ascii="仿宋_GB2312" w:eastAsia="仿宋_GB2312"/>
          <w:sz w:val="32"/>
        </w:rPr>
      </w:pPr>
      <w:r>
        <w:rPr>
          <w:noProof/>
        </w:rPr>
        <w:drawing>
          <wp:inline distT="0" distB="0" distL="0" distR="0">
            <wp:extent cx="5274310" cy="3251200"/>
            <wp:effectExtent l="0" t="0" r="2540" b="635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61C1A" w:rsidRDefault="00772122" w:rsidP="00816CE4">
      <w:pPr>
        <w:pStyle w:val="2"/>
        <w:ind w:firstLine="643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农业</w:t>
      </w:r>
    </w:p>
    <w:p w:rsidR="00961C1A" w:rsidRDefault="00772122">
      <w:pPr>
        <w:tabs>
          <w:tab w:val="left" w:pos="1876"/>
        </w:tabs>
        <w:rPr>
          <w:rFonts w:ascii="仿宋_GB2312" w:eastAsia="仿宋_GB2312"/>
          <w:sz w:val="32"/>
        </w:rPr>
      </w:pPr>
      <w:r>
        <w:rPr>
          <w:rFonts w:ascii="Times New Roman" w:eastAsia="宋体" w:hAnsi="Times New Roman" w:cs="Times New Roman" w:hint="eastAsia"/>
          <w:b/>
          <w:color w:val="333333"/>
          <w:kern w:val="0"/>
          <w:sz w:val="24"/>
          <w:lang w:bidi="ar"/>
        </w:rPr>
        <w:t xml:space="preserve">　　</w:t>
      </w:r>
      <w:r>
        <w:rPr>
          <w:rFonts w:ascii="Times New Roman" w:eastAsia="宋体" w:hAnsi="Times New Roman" w:cs="Times New Roman"/>
          <w:b/>
          <w:color w:val="333333"/>
          <w:kern w:val="0"/>
          <w:sz w:val="24"/>
          <w:lang w:bidi="ar"/>
        </w:rPr>
        <w:t> </w:t>
      </w:r>
      <w:r>
        <w:rPr>
          <w:rFonts w:ascii="仿宋_GB2312" w:eastAsia="仿宋_GB2312" w:hint="eastAsia"/>
          <w:sz w:val="32"/>
        </w:rPr>
        <w:t>全年粮食种植面积16.58万亩，粮食总产量7.21万吨，基本与上年持平。油料种植面积1.39万亩，产量2823吨，减产8.3%。 茶叶种植面积1.41万亩，产量624吨，增产6.1%。水果总面积16.64万亩，其中柑桔9.17万亩，杨梅4.19万亩，枇杷1.67万亩。水果总产量20.85万吨，比上年增长4.1%。</w:t>
      </w:r>
    </w:p>
    <w:p w:rsidR="00961C1A" w:rsidRDefault="00772122">
      <w:pPr>
        <w:tabs>
          <w:tab w:val="left" w:pos="1876"/>
        </w:tabs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全年猪牛羊禽肉产量1.85万吨，比上年增长13.3%。其中，猪肉产量1.46万吨，增长12.4%；禽肉产量0.35万吨，增长19.9%。禽蛋产量0.93万吨，增长1.6%。</w:t>
      </w:r>
    </w:p>
    <w:p w:rsidR="00961C1A" w:rsidRDefault="00772122">
      <w:pPr>
        <w:tabs>
          <w:tab w:val="left" w:pos="1876"/>
        </w:tabs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　　全年水产品产量57.26万吨，比上年增长3.1%。海水产品养殖面积16.67万亩，比上年下降2.9%。</w:t>
      </w:r>
    </w:p>
    <w:p w:rsidR="00961C1A" w:rsidRDefault="00772122">
      <w:pPr>
        <w:tabs>
          <w:tab w:val="left" w:pos="1876"/>
        </w:tabs>
        <w:rPr>
          <w:rFonts w:ascii="仿宋" w:eastAsia="仿宋" w:hAnsi="仿宋"/>
          <w:b/>
          <w:sz w:val="28"/>
          <w:szCs w:val="28"/>
        </w:rPr>
      </w:pPr>
      <w:r>
        <w:rPr>
          <w:rFonts w:ascii="仿宋_GB2312" w:eastAsia="仿宋_GB2312" w:hint="eastAsia"/>
          <w:sz w:val="32"/>
        </w:rPr>
        <w:t xml:space="preserve">　　        </w:t>
      </w:r>
      <w:r>
        <w:rPr>
          <w:rFonts w:ascii="仿宋_GB2312" w:eastAsia="仿宋_GB2312" w:hint="eastAsia"/>
          <w:b/>
          <w:sz w:val="32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 xml:space="preserve">表4 </w:t>
      </w:r>
      <w:r>
        <w:rPr>
          <w:rFonts w:ascii="仿宋" w:eastAsia="仿宋" w:hAnsi="仿宋"/>
          <w:b/>
          <w:sz w:val="28"/>
          <w:szCs w:val="28"/>
        </w:rPr>
        <w:t xml:space="preserve">  2019</w:t>
      </w:r>
      <w:r>
        <w:rPr>
          <w:rFonts w:ascii="仿宋" w:eastAsia="仿宋" w:hAnsi="仿宋" w:hint="eastAsia"/>
          <w:b/>
          <w:sz w:val="28"/>
          <w:szCs w:val="28"/>
        </w:rPr>
        <w:t>年主要农产品产量</w:t>
      </w:r>
    </w:p>
    <w:tbl>
      <w:tblPr>
        <w:tblW w:w="7146" w:type="dxa"/>
        <w:jc w:val="center"/>
        <w:tblLayout w:type="fixed"/>
        <w:tblLook w:val="04A0" w:firstRow="1" w:lastRow="0" w:firstColumn="1" w:lastColumn="0" w:noHBand="0" w:noVBand="1"/>
      </w:tblPr>
      <w:tblGrid>
        <w:gridCol w:w="2114"/>
        <w:gridCol w:w="2551"/>
        <w:gridCol w:w="2481"/>
      </w:tblGrid>
      <w:tr w:rsidR="00961C1A">
        <w:trPr>
          <w:trHeight w:val="1040"/>
          <w:jc w:val="center"/>
        </w:trPr>
        <w:tc>
          <w:tcPr>
            <w:tcW w:w="21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实绩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吨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）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比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上年增长（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%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）</w:t>
            </w:r>
          </w:p>
        </w:tc>
      </w:tr>
      <w:tr w:rsidR="00961C1A">
        <w:trPr>
          <w:trHeight w:val="510"/>
          <w:jc w:val="center"/>
        </w:trPr>
        <w:tc>
          <w:tcPr>
            <w:tcW w:w="211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粮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食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72095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-0.4</w:t>
            </w:r>
          </w:p>
        </w:tc>
      </w:tr>
      <w:tr w:rsidR="00961C1A">
        <w:trPr>
          <w:trHeight w:val="510"/>
          <w:jc w:val="center"/>
        </w:trPr>
        <w:tc>
          <w:tcPr>
            <w:tcW w:w="2114" w:type="dxa"/>
            <w:tcBorders>
              <w:top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水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果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208528</w:t>
            </w:r>
          </w:p>
        </w:tc>
        <w:tc>
          <w:tcPr>
            <w:tcW w:w="2481" w:type="dxa"/>
            <w:tcBorders>
              <w:top w:val="nil"/>
              <w:lef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4.1</w:t>
            </w:r>
          </w:p>
        </w:tc>
      </w:tr>
      <w:tr w:rsidR="00961C1A">
        <w:trPr>
          <w:trHeight w:val="510"/>
          <w:jc w:val="center"/>
        </w:trPr>
        <w:tc>
          <w:tcPr>
            <w:tcW w:w="2114" w:type="dxa"/>
            <w:tcBorders>
              <w:top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ind w:firstLineChars="100" w:firstLine="24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柑桔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125247</w:t>
            </w:r>
          </w:p>
        </w:tc>
        <w:tc>
          <w:tcPr>
            <w:tcW w:w="2481" w:type="dxa"/>
            <w:tcBorders>
              <w:top w:val="nil"/>
              <w:lef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2.5</w:t>
            </w:r>
          </w:p>
        </w:tc>
      </w:tr>
      <w:tr w:rsidR="00961C1A">
        <w:trPr>
          <w:trHeight w:val="510"/>
          <w:jc w:val="center"/>
        </w:trPr>
        <w:tc>
          <w:tcPr>
            <w:tcW w:w="2114" w:type="dxa"/>
            <w:tcBorders>
              <w:top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ind w:firstLineChars="100" w:firstLine="24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杨梅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14030</w:t>
            </w:r>
          </w:p>
        </w:tc>
        <w:tc>
          <w:tcPr>
            <w:tcW w:w="2481" w:type="dxa"/>
            <w:tcBorders>
              <w:top w:val="nil"/>
              <w:lef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-9.3</w:t>
            </w:r>
          </w:p>
        </w:tc>
      </w:tr>
      <w:tr w:rsidR="00961C1A">
        <w:trPr>
          <w:trHeight w:val="510"/>
          <w:jc w:val="center"/>
        </w:trPr>
        <w:tc>
          <w:tcPr>
            <w:tcW w:w="2114" w:type="dxa"/>
            <w:tcBorders>
              <w:top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ind w:firstLineChars="100" w:firstLine="24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枇杷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9191</w:t>
            </w:r>
          </w:p>
        </w:tc>
        <w:tc>
          <w:tcPr>
            <w:tcW w:w="2481" w:type="dxa"/>
            <w:tcBorders>
              <w:top w:val="nil"/>
              <w:lef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1.2</w:t>
            </w:r>
          </w:p>
        </w:tc>
      </w:tr>
      <w:tr w:rsidR="00961C1A">
        <w:trPr>
          <w:trHeight w:val="510"/>
          <w:jc w:val="center"/>
        </w:trPr>
        <w:tc>
          <w:tcPr>
            <w:tcW w:w="2114" w:type="dxa"/>
            <w:tcBorders>
              <w:top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生猪存栏（万头）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7.62</w:t>
            </w:r>
          </w:p>
        </w:tc>
        <w:tc>
          <w:tcPr>
            <w:tcW w:w="2481" w:type="dxa"/>
            <w:tcBorders>
              <w:top w:val="nil"/>
              <w:lef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-10.9</w:t>
            </w:r>
          </w:p>
        </w:tc>
      </w:tr>
      <w:tr w:rsidR="00961C1A">
        <w:trPr>
          <w:trHeight w:val="510"/>
          <w:jc w:val="center"/>
        </w:trPr>
        <w:tc>
          <w:tcPr>
            <w:tcW w:w="2114" w:type="dxa"/>
            <w:tcBorders>
              <w:top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生猪出栏（万头）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14.52</w:t>
            </w:r>
          </w:p>
        </w:tc>
        <w:tc>
          <w:tcPr>
            <w:tcW w:w="2481" w:type="dxa"/>
            <w:tcBorders>
              <w:top w:val="nil"/>
              <w:lef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17.</w:t>
            </w:r>
            <w:r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</w:tr>
      <w:tr w:rsidR="00961C1A">
        <w:trPr>
          <w:trHeight w:val="510"/>
          <w:jc w:val="center"/>
        </w:trPr>
        <w:tc>
          <w:tcPr>
            <w:tcW w:w="2114" w:type="dxa"/>
            <w:tcBorders>
              <w:top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家禽存栏（万羽）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114.96</w:t>
            </w:r>
          </w:p>
        </w:tc>
        <w:tc>
          <w:tcPr>
            <w:tcW w:w="2481" w:type="dxa"/>
            <w:tcBorders>
              <w:top w:val="nil"/>
              <w:lef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4.0</w:t>
            </w:r>
          </w:p>
        </w:tc>
      </w:tr>
      <w:tr w:rsidR="00961C1A">
        <w:trPr>
          <w:trHeight w:val="510"/>
          <w:jc w:val="center"/>
        </w:trPr>
        <w:tc>
          <w:tcPr>
            <w:tcW w:w="2114" w:type="dxa"/>
            <w:tcBorders>
              <w:top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家禽出栏（万羽）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162.54</w:t>
            </w:r>
          </w:p>
        </w:tc>
        <w:tc>
          <w:tcPr>
            <w:tcW w:w="2481" w:type="dxa"/>
            <w:tcBorders>
              <w:top w:val="nil"/>
              <w:lef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8.7</w:t>
            </w:r>
          </w:p>
        </w:tc>
      </w:tr>
      <w:tr w:rsidR="00961C1A">
        <w:trPr>
          <w:trHeight w:val="510"/>
          <w:jc w:val="center"/>
        </w:trPr>
        <w:tc>
          <w:tcPr>
            <w:tcW w:w="2114" w:type="dxa"/>
            <w:tcBorders>
              <w:top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水产品产量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572630</w:t>
            </w:r>
          </w:p>
        </w:tc>
        <w:tc>
          <w:tcPr>
            <w:tcW w:w="2481" w:type="dxa"/>
            <w:tcBorders>
              <w:top w:val="nil"/>
              <w:lef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3.1</w:t>
            </w:r>
          </w:p>
        </w:tc>
      </w:tr>
      <w:tr w:rsidR="00961C1A">
        <w:trPr>
          <w:trHeight w:val="510"/>
          <w:jc w:val="center"/>
        </w:trPr>
        <w:tc>
          <w:tcPr>
            <w:tcW w:w="2114" w:type="dxa"/>
            <w:tcBorders>
              <w:top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ind w:firstLineChars="100" w:firstLine="24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国内海洋捕捞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369350</w:t>
            </w:r>
          </w:p>
        </w:tc>
        <w:tc>
          <w:tcPr>
            <w:tcW w:w="2481" w:type="dxa"/>
            <w:tcBorders>
              <w:top w:val="nil"/>
              <w:lef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-5.2</w:t>
            </w:r>
          </w:p>
        </w:tc>
      </w:tr>
      <w:tr w:rsidR="00961C1A">
        <w:trPr>
          <w:trHeight w:val="510"/>
          <w:jc w:val="center"/>
        </w:trPr>
        <w:tc>
          <w:tcPr>
            <w:tcW w:w="2114" w:type="dxa"/>
            <w:tcBorders>
              <w:top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ind w:firstLineChars="100" w:firstLine="24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海水养殖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140096</w:t>
            </w:r>
          </w:p>
        </w:tc>
        <w:tc>
          <w:tcPr>
            <w:tcW w:w="2481" w:type="dxa"/>
            <w:tcBorders>
              <w:top w:val="nil"/>
              <w:lef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10.0</w:t>
            </w:r>
          </w:p>
        </w:tc>
      </w:tr>
      <w:tr w:rsidR="00961C1A">
        <w:trPr>
          <w:trHeight w:val="510"/>
          <w:jc w:val="center"/>
        </w:trPr>
        <w:tc>
          <w:tcPr>
            <w:tcW w:w="211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ind w:firstLineChars="100" w:firstLine="24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远洋渔业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48900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91.0</w:t>
            </w:r>
          </w:p>
        </w:tc>
      </w:tr>
    </w:tbl>
    <w:p w:rsidR="00961C1A" w:rsidRDefault="00961C1A">
      <w:pPr>
        <w:tabs>
          <w:tab w:val="left" w:pos="1876"/>
        </w:tabs>
        <w:rPr>
          <w:rFonts w:ascii="仿宋_GB2312" w:eastAsia="仿宋_GB2312"/>
          <w:sz w:val="32"/>
        </w:rPr>
      </w:pPr>
    </w:p>
    <w:p w:rsidR="00961C1A" w:rsidRDefault="00772122">
      <w:pPr>
        <w:numPr>
          <w:ilvl w:val="0"/>
          <w:numId w:val="2"/>
        </w:numPr>
        <w:tabs>
          <w:tab w:val="left" w:pos="1876"/>
        </w:tabs>
        <w:ind w:firstLine="640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工业、建筑业</w:t>
      </w:r>
    </w:p>
    <w:p w:rsidR="00961C1A" w:rsidRDefault="00772122">
      <w:pPr>
        <w:tabs>
          <w:tab w:val="left" w:pos="1876"/>
        </w:tabs>
        <w:rPr>
          <w:rFonts w:ascii="仿宋_GB2312" w:eastAsia="仿宋_GB2312"/>
          <w:sz w:val="32"/>
        </w:rPr>
      </w:pPr>
      <w:r>
        <w:rPr>
          <w:rFonts w:ascii="瀹嬩綋" w:eastAsia="宋体" w:hAnsi="瀹嬩綋" w:cs="瀹嬩綋" w:hint="eastAsia"/>
          <w:color w:val="000000"/>
          <w:sz w:val="24"/>
        </w:rPr>
        <w:t xml:space="preserve">　　　</w:t>
      </w:r>
      <w:r>
        <w:rPr>
          <w:rFonts w:ascii="仿宋_GB2312" w:eastAsia="仿宋_GB2312" w:hint="eastAsia"/>
          <w:sz w:val="32"/>
        </w:rPr>
        <w:t>全年规模以上工业增加值126.03</w:t>
      </w:r>
      <w:r>
        <w:rPr>
          <w:rFonts w:ascii="仿宋_GB2312" w:eastAsia="仿宋_GB2312"/>
          <w:sz w:val="32"/>
        </w:rPr>
        <w:t>亿元，比上年增长</w:t>
      </w:r>
      <w:r>
        <w:rPr>
          <w:rFonts w:ascii="仿宋_GB2312" w:eastAsia="仿宋_GB2312" w:hint="eastAsia"/>
          <w:sz w:val="32"/>
        </w:rPr>
        <w:t>3.6</w:t>
      </w:r>
      <w:r>
        <w:rPr>
          <w:rFonts w:ascii="仿宋_GB2312" w:eastAsia="仿宋_GB2312"/>
          <w:sz w:val="32"/>
        </w:rPr>
        <w:t>%</w:t>
      </w:r>
      <w:r>
        <w:rPr>
          <w:rFonts w:ascii="仿宋_GB2312" w:eastAsia="仿宋_GB2312" w:hint="eastAsia"/>
          <w:sz w:val="32"/>
        </w:rPr>
        <w:t>（按</w:t>
      </w:r>
      <w:r>
        <w:rPr>
          <w:rFonts w:ascii="仿宋_GB2312" w:eastAsia="仿宋_GB2312"/>
          <w:sz w:val="32"/>
        </w:rPr>
        <w:t>可比价计算，下同</w:t>
      </w:r>
      <w:r>
        <w:rPr>
          <w:rFonts w:ascii="仿宋_GB2312" w:eastAsia="仿宋_GB2312" w:hint="eastAsia"/>
          <w:sz w:val="32"/>
        </w:rPr>
        <w:t>）</w:t>
      </w:r>
      <w:r>
        <w:rPr>
          <w:rFonts w:ascii="仿宋_GB2312" w:eastAsia="仿宋_GB2312"/>
          <w:sz w:val="32"/>
        </w:rPr>
        <w:t>。规模以上工业</w:t>
      </w:r>
      <w:r>
        <w:rPr>
          <w:rFonts w:ascii="仿宋_GB2312" w:eastAsia="仿宋_GB2312" w:hint="eastAsia"/>
          <w:sz w:val="32"/>
        </w:rPr>
        <w:t>总产值650.88亿元</w:t>
      </w:r>
      <w:r>
        <w:rPr>
          <w:rFonts w:ascii="仿宋_GB2312" w:eastAsia="仿宋_GB2312"/>
          <w:sz w:val="32"/>
        </w:rPr>
        <w:t>，增长</w:t>
      </w:r>
      <w:r>
        <w:rPr>
          <w:rFonts w:ascii="仿宋_GB2312" w:eastAsia="仿宋_GB2312" w:hint="eastAsia"/>
          <w:sz w:val="32"/>
        </w:rPr>
        <w:t>0.7</w:t>
      </w:r>
      <w:r>
        <w:rPr>
          <w:rFonts w:ascii="仿宋_GB2312" w:eastAsia="仿宋_GB2312"/>
          <w:sz w:val="32"/>
        </w:rPr>
        <w:t>%；销售产值</w:t>
      </w:r>
      <w:r>
        <w:rPr>
          <w:rFonts w:ascii="仿宋_GB2312" w:eastAsia="仿宋_GB2312" w:hint="eastAsia"/>
          <w:sz w:val="32"/>
        </w:rPr>
        <w:t>607.19</w:t>
      </w:r>
      <w:r>
        <w:rPr>
          <w:rFonts w:ascii="仿宋_GB2312" w:eastAsia="仿宋_GB2312"/>
          <w:sz w:val="32"/>
        </w:rPr>
        <w:t>亿元，增长</w:t>
      </w:r>
      <w:r>
        <w:rPr>
          <w:rFonts w:ascii="仿宋_GB2312" w:eastAsia="仿宋_GB2312" w:hint="eastAsia"/>
          <w:sz w:val="32"/>
        </w:rPr>
        <w:t>1.5</w:t>
      </w:r>
      <w:r>
        <w:rPr>
          <w:rFonts w:ascii="仿宋_GB2312" w:eastAsia="仿宋_GB2312"/>
          <w:sz w:val="32"/>
        </w:rPr>
        <w:t>%，其中出口交货值</w:t>
      </w:r>
      <w:r>
        <w:rPr>
          <w:rFonts w:ascii="仿宋_GB2312" w:eastAsia="仿宋_GB2312" w:hint="eastAsia"/>
          <w:sz w:val="32"/>
        </w:rPr>
        <w:t>119.05</w:t>
      </w:r>
      <w:r>
        <w:rPr>
          <w:rFonts w:ascii="仿宋_GB2312" w:eastAsia="仿宋_GB2312"/>
          <w:sz w:val="32"/>
        </w:rPr>
        <w:t>亿元，增长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/>
          <w:sz w:val="32"/>
        </w:rPr>
        <w:t>.0%。</w:t>
      </w:r>
    </w:p>
    <w:p w:rsidR="00961C1A" w:rsidRDefault="00772122">
      <w:pPr>
        <w:tabs>
          <w:tab w:val="left" w:pos="1876"/>
        </w:tabs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规模以上工业中，农副食品加工业增加值同比下降4.7%，纺织服装服饰业下降0.9</w:t>
      </w:r>
      <w:r>
        <w:rPr>
          <w:rFonts w:ascii="仿宋_GB2312" w:eastAsia="仿宋_GB2312"/>
          <w:sz w:val="32"/>
        </w:rPr>
        <w:t>%</w:t>
      </w:r>
      <w:r>
        <w:rPr>
          <w:rFonts w:ascii="仿宋_GB2312" w:eastAsia="仿宋_GB2312" w:hint="eastAsia"/>
          <w:sz w:val="32"/>
        </w:rPr>
        <w:t>，化学原料和化学制品制造业增长22.4%，非金属矿物制品业增长10.8</w:t>
      </w:r>
      <w:r>
        <w:rPr>
          <w:rFonts w:ascii="仿宋_GB2312" w:eastAsia="仿宋_GB2312"/>
          <w:sz w:val="32"/>
        </w:rPr>
        <w:t>%</w:t>
      </w:r>
      <w:r>
        <w:rPr>
          <w:rFonts w:ascii="仿宋_GB2312" w:eastAsia="仿宋_GB2312" w:hint="eastAsia"/>
          <w:sz w:val="32"/>
        </w:rPr>
        <w:t>，通用设备制造业增长33.5</w:t>
      </w:r>
      <w:r>
        <w:rPr>
          <w:rFonts w:ascii="仿宋_GB2312" w:eastAsia="仿宋_GB2312"/>
          <w:sz w:val="32"/>
        </w:rPr>
        <w:t>%</w:t>
      </w:r>
      <w:r>
        <w:rPr>
          <w:rFonts w:ascii="仿宋_GB2312" w:eastAsia="仿宋_GB2312" w:hint="eastAsia"/>
          <w:sz w:val="32"/>
        </w:rPr>
        <w:t>，专用设备制造业增长4.6</w:t>
      </w:r>
      <w:r>
        <w:rPr>
          <w:rFonts w:ascii="仿宋_GB2312" w:eastAsia="仿宋_GB2312"/>
          <w:sz w:val="32"/>
        </w:rPr>
        <w:t>%</w:t>
      </w:r>
      <w:r>
        <w:rPr>
          <w:rFonts w:ascii="仿宋_GB2312" w:eastAsia="仿宋_GB2312" w:hint="eastAsia"/>
          <w:sz w:val="32"/>
        </w:rPr>
        <w:t>，汽车制造业下</w:t>
      </w:r>
      <w:r>
        <w:rPr>
          <w:rFonts w:ascii="仿宋_GB2312" w:eastAsia="仿宋_GB2312" w:hint="eastAsia"/>
          <w:sz w:val="32"/>
        </w:rPr>
        <w:lastRenderedPageBreak/>
        <w:t>降2.5</w:t>
      </w:r>
      <w:r>
        <w:rPr>
          <w:rFonts w:ascii="仿宋_GB2312" w:eastAsia="仿宋_GB2312"/>
          <w:sz w:val="32"/>
        </w:rPr>
        <w:t>%</w:t>
      </w:r>
      <w:r>
        <w:rPr>
          <w:rFonts w:ascii="仿宋_GB2312" w:eastAsia="仿宋_GB2312" w:hint="eastAsia"/>
          <w:sz w:val="32"/>
        </w:rPr>
        <w:t>，电气机械和器材制造业增长11.4</w:t>
      </w:r>
      <w:r>
        <w:rPr>
          <w:rFonts w:ascii="仿宋_GB2312" w:eastAsia="仿宋_GB2312"/>
          <w:sz w:val="32"/>
        </w:rPr>
        <w:t>%</w:t>
      </w:r>
      <w:r>
        <w:rPr>
          <w:rFonts w:ascii="仿宋_GB2312" w:eastAsia="仿宋_GB2312" w:hint="eastAsia"/>
          <w:sz w:val="32"/>
        </w:rPr>
        <w:t>，电力、热力生产和供应业增长2.2</w:t>
      </w:r>
      <w:r>
        <w:rPr>
          <w:rFonts w:ascii="仿宋_GB2312" w:eastAsia="仿宋_GB2312"/>
          <w:sz w:val="32"/>
        </w:rPr>
        <w:t>%</w:t>
      </w:r>
      <w:r>
        <w:rPr>
          <w:rFonts w:ascii="仿宋_GB2312" w:eastAsia="仿宋_GB2312" w:hint="eastAsia"/>
          <w:sz w:val="32"/>
        </w:rPr>
        <w:t>。</w:t>
      </w:r>
    </w:p>
    <w:p w:rsidR="00961C1A" w:rsidRDefault="00772122">
      <w:pPr>
        <w:tabs>
          <w:tab w:val="left" w:pos="1876"/>
        </w:tabs>
        <w:ind w:firstLine="640"/>
        <w:rPr>
          <w:rFonts w:ascii="仿宋" w:eastAsia="仿宋" w:hAnsi="仿宋" w:cs="瀹嬩綋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</w:rPr>
        <w:t>工业</w:t>
      </w:r>
      <w:r>
        <w:rPr>
          <w:rFonts w:ascii="仿宋_GB2312" w:eastAsia="仿宋_GB2312"/>
          <w:sz w:val="32"/>
        </w:rPr>
        <w:t>新动能加快成长。在规模以上工业中，高技术、高新技术、</w:t>
      </w:r>
      <w:r>
        <w:rPr>
          <w:rFonts w:ascii="仿宋_GB2312" w:eastAsia="仿宋_GB2312" w:hint="eastAsia"/>
          <w:sz w:val="32"/>
        </w:rPr>
        <w:t>高端装备制造、</w:t>
      </w:r>
      <w:r>
        <w:rPr>
          <w:rFonts w:ascii="仿宋_GB2312" w:eastAsia="仿宋_GB2312"/>
          <w:sz w:val="32"/>
        </w:rPr>
        <w:t>战略性新兴产业增加值分别增长</w:t>
      </w:r>
      <w:r>
        <w:rPr>
          <w:rFonts w:ascii="仿宋_GB2312" w:eastAsia="仿宋_GB2312" w:hint="eastAsia"/>
          <w:sz w:val="32"/>
        </w:rPr>
        <w:t>19.8</w:t>
      </w:r>
      <w:r>
        <w:rPr>
          <w:rFonts w:ascii="仿宋_GB2312" w:eastAsia="仿宋_GB2312"/>
          <w:sz w:val="32"/>
        </w:rPr>
        <w:t>%、</w:t>
      </w:r>
      <w:r>
        <w:rPr>
          <w:rFonts w:ascii="仿宋_GB2312" w:eastAsia="仿宋_GB2312" w:hint="eastAsia"/>
          <w:sz w:val="32"/>
        </w:rPr>
        <w:t>9.4</w:t>
      </w:r>
      <w:r>
        <w:rPr>
          <w:rFonts w:ascii="仿宋_GB2312" w:eastAsia="仿宋_GB2312"/>
          <w:sz w:val="32"/>
        </w:rPr>
        <w:t>%、</w:t>
      </w:r>
      <w:r>
        <w:rPr>
          <w:rFonts w:ascii="仿宋_GB2312" w:eastAsia="仿宋_GB2312" w:hint="eastAsia"/>
          <w:sz w:val="32"/>
        </w:rPr>
        <w:t>10.9%、19.5</w:t>
      </w:r>
      <w:r>
        <w:rPr>
          <w:rFonts w:ascii="仿宋_GB2312" w:eastAsia="仿宋_GB2312"/>
          <w:sz w:val="32"/>
        </w:rPr>
        <w:t>%，占</w:t>
      </w:r>
      <w:r>
        <w:rPr>
          <w:rFonts w:ascii="仿宋_GB2312" w:eastAsia="仿宋_GB2312" w:hint="eastAsia"/>
          <w:sz w:val="32"/>
        </w:rPr>
        <w:t>规模以上工业的</w:t>
      </w:r>
      <w:r>
        <w:rPr>
          <w:rFonts w:ascii="仿宋_GB2312" w:eastAsia="仿宋_GB2312"/>
          <w:sz w:val="32"/>
        </w:rPr>
        <w:t>比</w:t>
      </w:r>
      <w:r>
        <w:rPr>
          <w:rFonts w:ascii="仿宋_GB2312" w:eastAsia="仿宋_GB2312" w:hint="eastAsia"/>
          <w:sz w:val="32"/>
        </w:rPr>
        <w:t>例</w:t>
      </w:r>
      <w:r>
        <w:rPr>
          <w:rFonts w:ascii="仿宋_GB2312" w:eastAsia="仿宋_GB2312"/>
          <w:sz w:val="32"/>
        </w:rPr>
        <w:t>分别为</w:t>
      </w:r>
      <w:r>
        <w:rPr>
          <w:rFonts w:ascii="仿宋_GB2312" w:eastAsia="仿宋_GB2312" w:hint="eastAsia"/>
          <w:sz w:val="32"/>
        </w:rPr>
        <w:t>2.8</w:t>
      </w:r>
      <w:r>
        <w:rPr>
          <w:rFonts w:ascii="仿宋_GB2312" w:eastAsia="仿宋_GB2312"/>
          <w:sz w:val="32"/>
        </w:rPr>
        <w:t>%、</w:t>
      </w:r>
      <w:r>
        <w:rPr>
          <w:rFonts w:ascii="仿宋_GB2312" w:eastAsia="仿宋_GB2312" w:hint="eastAsia"/>
          <w:sz w:val="32"/>
        </w:rPr>
        <w:t>51.</w:t>
      </w:r>
      <w:r>
        <w:rPr>
          <w:rFonts w:ascii="仿宋_GB2312" w:eastAsia="仿宋_GB2312"/>
          <w:sz w:val="32"/>
        </w:rPr>
        <w:t>1%</w:t>
      </w:r>
      <w:r>
        <w:rPr>
          <w:rFonts w:ascii="仿宋_GB2312" w:eastAsia="仿宋_GB2312" w:hint="eastAsia"/>
          <w:sz w:val="32"/>
        </w:rPr>
        <w:t>、42.9%</w:t>
      </w:r>
      <w:r>
        <w:rPr>
          <w:rFonts w:ascii="仿宋_GB2312" w:eastAsia="仿宋_GB2312"/>
          <w:sz w:val="32"/>
        </w:rPr>
        <w:t>和</w:t>
      </w:r>
      <w:r>
        <w:rPr>
          <w:rFonts w:ascii="仿宋_GB2312" w:eastAsia="仿宋_GB2312" w:hint="eastAsia"/>
          <w:sz w:val="32"/>
        </w:rPr>
        <w:t>21.3</w:t>
      </w:r>
      <w:r>
        <w:rPr>
          <w:rFonts w:ascii="仿宋_GB2312" w:eastAsia="仿宋_GB2312"/>
          <w:sz w:val="32"/>
        </w:rPr>
        <w:t>%。规模以上工业新产品产值率为37.6%，比上年</w:t>
      </w:r>
      <w:r>
        <w:rPr>
          <w:rFonts w:ascii="仿宋_GB2312" w:eastAsia="仿宋_GB2312" w:hint="eastAsia"/>
          <w:sz w:val="32"/>
        </w:rPr>
        <w:t>上升</w:t>
      </w:r>
      <w:r>
        <w:rPr>
          <w:rFonts w:ascii="仿宋_GB2312" w:eastAsia="仿宋_GB2312"/>
          <w:sz w:val="32"/>
        </w:rPr>
        <w:t>了</w:t>
      </w:r>
      <w:r>
        <w:rPr>
          <w:rFonts w:ascii="仿宋_GB2312" w:eastAsia="仿宋_GB2312" w:hint="eastAsia"/>
          <w:sz w:val="32"/>
        </w:rPr>
        <w:t>0</w:t>
      </w:r>
      <w:r>
        <w:rPr>
          <w:rFonts w:ascii="仿宋_GB2312" w:eastAsia="仿宋_GB2312"/>
          <w:sz w:val="32"/>
        </w:rPr>
        <w:t>.5个百分点。</w:t>
      </w:r>
    </w:p>
    <w:p w:rsidR="00961C1A" w:rsidRDefault="00772122">
      <w:pPr>
        <w:pStyle w:val="a6"/>
        <w:widowControl/>
        <w:wordWrap w:val="0"/>
        <w:spacing w:line="450" w:lineRule="atLeas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瀹嬩綋"/>
          <w:b/>
          <w:color w:val="000000"/>
          <w:sz w:val="28"/>
          <w:szCs w:val="28"/>
        </w:rPr>
        <w:t>表5   201</w:t>
      </w:r>
      <w:r>
        <w:rPr>
          <w:rFonts w:ascii="仿宋" w:eastAsia="仿宋" w:hAnsi="仿宋" w:cs="瀹嬩綋" w:hint="eastAsia"/>
          <w:b/>
          <w:color w:val="000000"/>
          <w:sz w:val="28"/>
          <w:szCs w:val="28"/>
        </w:rPr>
        <w:t>9</w:t>
      </w:r>
      <w:r>
        <w:rPr>
          <w:rFonts w:ascii="仿宋" w:eastAsia="仿宋" w:hAnsi="仿宋" w:cs="瀹嬩綋"/>
          <w:b/>
          <w:color w:val="000000"/>
          <w:sz w:val="28"/>
          <w:szCs w:val="28"/>
        </w:rPr>
        <w:t>年规模以上工业</w:t>
      </w:r>
      <w:r>
        <w:rPr>
          <w:rFonts w:ascii="仿宋" w:eastAsia="仿宋" w:hAnsi="仿宋" w:cs="瀹嬩綋" w:hint="eastAsia"/>
          <w:b/>
          <w:color w:val="000000"/>
          <w:sz w:val="28"/>
          <w:szCs w:val="28"/>
        </w:rPr>
        <w:t>中重点</w:t>
      </w:r>
      <w:r>
        <w:rPr>
          <w:rFonts w:ascii="仿宋" w:eastAsia="仿宋" w:hAnsi="仿宋" w:cs="瀹嬩綋"/>
          <w:b/>
          <w:color w:val="000000"/>
          <w:sz w:val="28"/>
          <w:szCs w:val="28"/>
        </w:rPr>
        <w:t>产业增加值及增速</w:t>
      </w:r>
      <w:r>
        <w:rPr>
          <w:rFonts w:ascii="Calibri" w:eastAsia="仿宋" w:hAnsi="Calibri" w:cs="Calibri"/>
          <w:color w:val="000000"/>
          <w:sz w:val="28"/>
          <w:szCs w:val="28"/>
        </w:rPr>
        <w:t> </w:t>
      </w:r>
    </w:p>
    <w:tbl>
      <w:tblPr>
        <w:tblW w:w="8322" w:type="dxa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65"/>
        <w:gridCol w:w="2330"/>
      </w:tblGrid>
      <w:tr w:rsidR="00961C1A">
        <w:trPr>
          <w:trHeight w:val="510"/>
          <w:jc w:val="center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spacing w:line="23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瀹嬩綋"/>
                <w:b/>
              </w:rPr>
              <w:t>行</w:t>
            </w:r>
            <w:r>
              <w:rPr>
                <w:rFonts w:ascii="Calibri" w:eastAsia="仿宋" w:hAnsi="Calibri" w:cs="Calibri"/>
                <w:b/>
              </w:rPr>
              <w:t>  </w:t>
            </w:r>
            <w:r>
              <w:rPr>
                <w:rFonts w:ascii="仿宋" w:eastAsia="仿宋" w:hAnsi="仿宋" w:cs="瀹嬩綋"/>
                <w:b/>
              </w:rPr>
              <w:t xml:space="preserve"> 业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瀹嬩綋"/>
                <w:b/>
              </w:rPr>
              <w:t>增加值（亿元）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瀹嬩綋"/>
                <w:b/>
              </w:rPr>
              <w:t>比上年增长（%）</w:t>
            </w:r>
          </w:p>
        </w:tc>
      </w:tr>
      <w:tr w:rsidR="00961C1A">
        <w:trPr>
          <w:trHeight w:val="510"/>
          <w:jc w:val="center"/>
        </w:trPr>
        <w:tc>
          <w:tcPr>
            <w:tcW w:w="3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spacing w:line="23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cs="瀹嬩綋"/>
              </w:rPr>
              <w:t>规模以上工业增加值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26.03</w:t>
            </w:r>
          </w:p>
        </w:tc>
        <w:tc>
          <w:tcPr>
            <w:tcW w:w="2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.6</w:t>
            </w:r>
          </w:p>
        </w:tc>
      </w:tr>
      <w:tr w:rsidR="00961C1A">
        <w:trPr>
          <w:trHeight w:val="510"/>
          <w:jc w:val="center"/>
        </w:trPr>
        <w:tc>
          <w:tcPr>
            <w:tcW w:w="3127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cs="瀹嬩綋"/>
              </w:rPr>
              <w:t>高技术产业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3.47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9.8</w:t>
            </w:r>
          </w:p>
        </w:tc>
      </w:tr>
      <w:tr w:rsidR="00961C1A">
        <w:trPr>
          <w:trHeight w:val="510"/>
          <w:jc w:val="center"/>
        </w:trPr>
        <w:tc>
          <w:tcPr>
            <w:tcW w:w="3127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cs="瀹嬩綋"/>
              </w:rPr>
              <w:t>高新技术产业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  <w:r>
              <w:rPr>
                <w:rFonts w:ascii="仿宋" w:eastAsia="仿宋" w:hAnsi="仿宋"/>
              </w:rPr>
              <w:t>4.46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瀹嬩綋"/>
              </w:rPr>
              <w:t>9.4</w:t>
            </w:r>
          </w:p>
        </w:tc>
      </w:tr>
      <w:tr w:rsidR="00961C1A">
        <w:trPr>
          <w:trHeight w:val="510"/>
          <w:jc w:val="center"/>
        </w:trPr>
        <w:tc>
          <w:tcPr>
            <w:tcW w:w="3127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cs="瀹嬩綋"/>
              </w:rPr>
              <w:t>战略性新兴产业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26.85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9.5</w:t>
            </w:r>
          </w:p>
        </w:tc>
      </w:tr>
      <w:tr w:rsidR="00961C1A">
        <w:trPr>
          <w:trHeight w:val="510"/>
          <w:jc w:val="center"/>
        </w:trPr>
        <w:tc>
          <w:tcPr>
            <w:tcW w:w="3127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cs="瀹嬩綋"/>
              </w:rPr>
              <w:t>数字经济核心产业制造业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5.</w:t>
            </w:r>
            <w:r>
              <w:rPr>
                <w:rFonts w:ascii="仿宋" w:eastAsia="仿宋" w:hAnsi="仿宋"/>
              </w:rPr>
              <w:t>94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10.6</w:t>
            </w:r>
          </w:p>
        </w:tc>
      </w:tr>
      <w:tr w:rsidR="00961C1A">
        <w:trPr>
          <w:trHeight w:val="510"/>
          <w:jc w:val="center"/>
        </w:trPr>
        <w:tc>
          <w:tcPr>
            <w:tcW w:w="3127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cs="瀹嬩綋"/>
              </w:rPr>
              <w:t>节能环保制造业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13.1</w:t>
            </w:r>
            <w:r>
              <w:rPr>
                <w:rFonts w:ascii="仿宋" w:eastAsia="仿宋" w:hAnsi="仿宋"/>
              </w:rPr>
              <w:t>0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43.3</w:t>
            </w:r>
          </w:p>
        </w:tc>
      </w:tr>
      <w:tr w:rsidR="00961C1A">
        <w:trPr>
          <w:trHeight w:val="510"/>
          <w:jc w:val="center"/>
        </w:trPr>
        <w:tc>
          <w:tcPr>
            <w:tcW w:w="3127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cs="瀹嬩綋"/>
              </w:rPr>
              <w:t>健康产品制造业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.80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5.0</w:t>
            </w:r>
          </w:p>
        </w:tc>
      </w:tr>
      <w:tr w:rsidR="00961C1A">
        <w:trPr>
          <w:trHeight w:val="510"/>
          <w:jc w:val="center"/>
        </w:trPr>
        <w:tc>
          <w:tcPr>
            <w:tcW w:w="3127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cs="瀹嬩綋"/>
              </w:rPr>
              <w:t>时尚制造业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.38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-</w:t>
            </w:r>
            <w:r>
              <w:rPr>
                <w:rFonts w:ascii="仿宋" w:eastAsia="仿宋" w:hAnsi="仿宋"/>
              </w:rPr>
              <w:t>1.7</w:t>
            </w:r>
          </w:p>
        </w:tc>
      </w:tr>
      <w:tr w:rsidR="00961C1A">
        <w:trPr>
          <w:trHeight w:val="510"/>
          <w:jc w:val="center"/>
        </w:trPr>
        <w:tc>
          <w:tcPr>
            <w:tcW w:w="3127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rPr>
                <w:rFonts w:ascii="仿宋" w:eastAsia="仿宋" w:hAnsi="仿宋" w:cs="瀹嬩綋"/>
              </w:rPr>
            </w:pPr>
            <w:r>
              <w:rPr>
                <w:rFonts w:ascii="仿宋" w:eastAsia="仿宋" w:hAnsi="仿宋" w:cs="瀹嬩綋" w:hint="eastAsia"/>
              </w:rPr>
              <w:t>装备</w:t>
            </w:r>
            <w:r>
              <w:rPr>
                <w:rFonts w:ascii="仿宋" w:eastAsia="仿宋" w:hAnsi="仿宋" w:cs="瀹嬩綋"/>
              </w:rPr>
              <w:t>制造业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67.93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8.2</w:t>
            </w:r>
          </w:p>
        </w:tc>
      </w:tr>
      <w:tr w:rsidR="00961C1A">
        <w:trPr>
          <w:trHeight w:val="510"/>
          <w:jc w:val="center"/>
        </w:trPr>
        <w:tc>
          <w:tcPr>
            <w:tcW w:w="3127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cs="瀹嬩綋" w:hint="eastAsia"/>
              </w:rPr>
              <w:t>其中</w:t>
            </w:r>
            <w:r>
              <w:rPr>
                <w:rFonts w:ascii="仿宋" w:eastAsia="仿宋" w:hAnsi="仿宋" w:cs="瀹嬩綋"/>
              </w:rPr>
              <w:t>：高端装备制造业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  <w:r>
              <w:rPr>
                <w:rFonts w:ascii="仿宋" w:eastAsia="仿宋" w:hAnsi="仿宋"/>
              </w:rPr>
              <w:t>4.08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0.9</w:t>
            </w:r>
          </w:p>
        </w:tc>
      </w:tr>
      <w:tr w:rsidR="00961C1A">
        <w:trPr>
          <w:trHeight w:val="510"/>
          <w:jc w:val="center"/>
        </w:trPr>
        <w:tc>
          <w:tcPr>
            <w:tcW w:w="3127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cs="瀹嬩綋"/>
              </w:rPr>
              <w:t>文化制造业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.19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961C1A" w:rsidRDefault="00772122">
            <w:pPr>
              <w:pStyle w:val="a6"/>
              <w:widowControl/>
              <w:wordWrap w:val="0"/>
              <w:spacing w:line="23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-</w:t>
            </w:r>
            <w:r>
              <w:rPr>
                <w:rFonts w:ascii="仿宋" w:eastAsia="仿宋" w:hAnsi="仿宋"/>
              </w:rPr>
              <w:t>9.9</w:t>
            </w:r>
          </w:p>
        </w:tc>
      </w:tr>
    </w:tbl>
    <w:p w:rsidR="00961C1A" w:rsidRDefault="00961C1A">
      <w:pPr>
        <w:tabs>
          <w:tab w:val="left" w:pos="1876"/>
        </w:tabs>
        <w:rPr>
          <w:rFonts w:ascii="仿宋_GB2312" w:eastAsia="仿宋_GB2312"/>
          <w:sz w:val="32"/>
        </w:rPr>
      </w:pPr>
    </w:p>
    <w:p w:rsidR="00961C1A" w:rsidRDefault="00772122">
      <w:pPr>
        <w:pStyle w:val="2"/>
        <w:ind w:firstLine="640"/>
        <w:rPr>
          <w:rFonts w:ascii="仿宋_GB2312"/>
        </w:rPr>
      </w:pPr>
      <w:r>
        <w:rPr>
          <w:rFonts w:ascii="仿宋_GB2312" w:hint="eastAsia"/>
        </w:rPr>
        <w:t>规模以上工业企业完成营业收入</w:t>
      </w:r>
      <w:r>
        <w:rPr>
          <w:rFonts w:ascii="仿宋_GB2312"/>
        </w:rPr>
        <w:t>588.52</w:t>
      </w:r>
      <w:r>
        <w:rPr>
          <w:rFonts w:ascii="仿宋_GB2312" w:hint="eastAsia"/>
        </w:rPr>
        <w:t>亿元，比上年增长0.1%。利润总额41.</w:t>
      </w:r>
      <w:r>
        <w:rPr>
          <w:rFonts w:ascii="仿宋_GB2312"/>
        </w:rPr>
        <w:t>89</w:t>
      </w:r>
      <w:r>
        <w:rPr>
          <w:rFonts w:ascii="仿宋_GB2312" w:hint="eastAsia"/>
        </w:rPr>
        <w:t>亿元，增长16.6%，其中制造业利润总额35.53亿元，增长12%，电力、热力、燃气及水生</w:t>
      </w:r>
      <w:r>
        <w:rPr>
          <w:rFonts w:ascii="仿宋_GB2312" w:hint="eastAsia"/>
        </w:rPr>
        <w:lastRenderedPageBreak/>
        <w:t>产和供应业利润总额6.34亿元，增长52.1%。完成利税59.</w:t>
      </w:r>
      <w:r>
        <w:rPr>
          <w:rFonts w:ascii="仿宋_GB2312"/>
        </w:rPr>
        <w:t>28</w:t>
      </w:r>
      <w:r>
        <w:rPr>
          <w:rFonts w:ascii="仿宋_GB2312" w:hint="eastAsia"/>
        </w:rPr>
        <w:t>亿元，增长9.7%。规上工业产销率93.3%，营业收入利润率</w:t>
      </w:r>
      <w:r>
        <w:rPr>
          <w:rFonts w:ascii="仿宋_GB2312"/>
        </w:rPr>
        <w:t>6.7</w:t>
      </w:r>
      <w:r>
        <w:rPr>
          <w:rFonts w:ascii="仿宋_GB2312" w:hint="eastAsia"/>
        </w:rPr>
        <w:t>%，分别比上年提高0.7个、</w:t>
      </w:r>
      <w:r>
        <w:rPr>
          <w:rFonts w:ascii="仿宋_GB2312"/>
        </w:rPr>
        <w:t>0.9</w:t>
      </w:r>
      <w:r>
        <w:rPr>
          <w:rFonts w:ascii="仿宋_GB2312" w:hint="eastAsia"/>
        </w:rPr>
        <w:t>个百分点。</w:t>
      </w:r>
    </w:p>
    <w:p w:rsidR="00961C1A" w:rsidRDefault="00772122">
      <w:pPr>
        <w:tabs>
          <w:tab w:val="left" w:pos="1876"/>
        </w:tabs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表6 </w:t>
      </w:r>
      <w:r>
        <w:rPr>
          <w:rFonts w:ascii="仿宋" w:eastAsia="仿宋" w:hAnsi="仿宋"/>
          <w:b/>
          <w:sz w:val="28"/>
          <w:szCs w:val="28"/>
        </w:rPr>
        <w:t xml:space="preserve">  2019</w:t>
      </w:r>
      <w:r>
        <w:rPr>
          <w:rFonts w:ascii="仿宋" w:eastAsia="仿宋" w:hAnsi="仿宋" w:hint="eastAsia"/>
          <w:b/>
          <w:sz w:val="28"/>
          <w:szCs w:val="28"/>
        </w:rPr>
        <w:t>年规模以上工业主要经济指标</w:t>
      </w:r>
    </w:p>
    <w:tbl>
      <w:tblPr>
        <w:tblW w:w="7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984"/>
        <w:gridCol w:w="1985"/>
      </w:tblGrid>
      <w:tr w:rsidR="00961C1A">
        <w:trPr>
          <w:trHeight w:val="644"/>
        </w:trPr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实绩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亿元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比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上年增长（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%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）</w:t>
            </w:r>
          </w:p>
        </w:tc>
      </w:tr>
      <w:tr w:rsidR="00961C1A">
        <w:trPr>
          <w:cantSplit/>
          <w:trHeight w:val="510"/>
        </w:trPr>
        <w:tc>
          <w:tcPr>
            <w:tcW w:w="38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企业家数（家）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567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-</w:t>
            </w:r>
          </w:p>
        </w:tc>
      </w:tr>
      <w:tr w:rsidR="00961C1A">
        <w:trPr>
          <w:cantSplit/>
          <w:trHeight w:val="510"/>
        </w:trPr>
        <w:tc>
          <w:tcPr>
            <w:tcW w:w="38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规上工业产值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650.88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0.7</w:t>
            </w:r>
          </w:p>
        </w:tc>
      </w:tr>
      <w:tr w:rsidR="00961C1A">
        <w:trPr>
          <w:cantSplit/>
          <w:trHeight w:val="510"/>
        </w:trPr>
        <w:tc>
          <w:tcPr>
            <w:tcW w:w="38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其中：新产品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244.51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1.9</w:t>
            </w:r>
          </w:p>
        </w:tc>
      </w:tr>
      <w:tr w:rsidR="00961C1A">
        <w:trPr>
          <w:cantSplit/>
          <w:trHeight w:val="510"/>
        </w:trPr>
        <w:tc>
          <w:tcPr>
            <w:tcW w:w="38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其中：轻工业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187.58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-4.2</w:t>
            </w:r>
          </w:p>
        </w:tc>
      </w:tr>
      <w:tr w:rsidR="00961C1A">
        <w:trPr>
          <w:cantSplit/>
          <w:trHeight w:val="510"/>
        </w:trPr>
        <w:tc>
          <w:tcPr>
            <w:tcW w:w="38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重工业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463.29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2.9</w:t>
            </w:r>
          </w:p>
        </w:tc>
      </w:tr>
      <w:tr w:rsidR="00961C1A">
        <w:trPr>
          <w:cantSplit/>
          <w:trHeight w:val="510"/>
        </w:trPr>
        <w:tc>
          <w:tcPr>
            <w:tcW w:w="38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其中</w:t>
            </w:r>
            <w:r>
              <w:rPr>
                <w:rFonts w:ascii="仿宋" w:eastAsia="仿宋" w:hAnsi="仿宋" w:cs="宋体"/>
                <w:kern w:val="0"/>
                <w:sz w:val="24"/>
              </w:rPr>
              <w:t>：有限责任公司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127.47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1.2</w:t>
            </w:r>
          </w:p>
        </w:tc>
      </w:tr>
      <w:tr w:rsidR="00961C1A">
        <w:trPr>
          <w:cantSplit/>
          <w:trHeight w:val="510"/>
        </w:trPr>
        <w:tc>
          <w:tcPr>
            <w:tcW w:w="38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ind w:firstLineChars="300" w:firstLine="7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股份有限公司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59.84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-4.5</w:t>
            </w:r>
          </w:p>
        </w:tc>
      </w:tr>
      <w:tr w:rsidR="00961C1A">
        <w:trPr>
          <w:cantSplit/>
          <w:trHeight w:val="510"/>
        </w:trPr>
        <w:tc>
          <w:tcPr>
            <w:tcW w:w="38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私营企业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335.46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0.7</w:t>
            </w:r>
          </w:p>
        </w:tc>
      </w:tr>
      <w:tr w:rsidR="00961C1A">
        <w:trPr>
          <w:cantSplit/>
          <w:trHeight w:val="510"/>
        </w:trPr>
        <w:tc>
          <w:tcPr>
            <w:tcW w:w="38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外商投资企业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70.83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2.4</w:t>
            </w:r>
          </w:p>
        </w:tc>
      </w:tr>
      <w:tr w:rsidR="00961C1A">
        <w:trPr>
          <w:cantSplit/>
          <w:trHeight w:val="510"/>
        </w:trPr>
        <w:tc>
          <w:tcPr>
            <w:tcW w:w="38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</w:t>
            </w:r>
            <w:r w:rsidRPr="00816CE4">
              <w:rPr>
                <w:rFonts w:ascii="仿宋" w:eastAsia="仿宋" w:hAnsi="仿宋" w:cs="宋体" w:hint="eastAsia"/>
                <w:kern w:val="0"/>
                <w:sz w:val="24"/>
              </w:rPr>
              <w:t>港澳台</w:t>
            </w:r>
            <w:r w:rsidR="00E10B06" w:rsidRPr="00816CE4">
              <w:rPr>
                <w:rFonts w:ascii="仿宋" w:eastAsia="仿宋" w:hAnsi="仿宋" w:cs="宋体" w:hint="eastAsia"/>
                <w:kern w:val="0"/>
                <w:sz w:val="24"/>
              </w:rPr>
              <w:t>商</w:t>
            </w:r>
            <w:r w:rsidRPr="00816CE4">
              <w:rPr>
                <w:rFonts w:ascii="仿宋" w:eastAsia="仿宋" w:hAnsi="仿宋" w:cs="宋体" w:hint="eastAsia"/>
                <w:kern w:val="0"/>
                <w:sz w:val="24"/>
              </w:rPr>
              <w:t>投资企业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49.44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4.5</w:t>
            </w:r>
          </w:p>
        </w:tc>
      </w:tr>
      <w:tr w:rsidR="00961C1A">
        <w:trPr>
          <w:cantSplit/>
          <w:trHeight w:val="510"/>
        </w:trPr>
        <w:tc>
          <w:tcPr>
            <w:tcW w:w="38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其中：农副食品加工业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29.57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-9.9</w:t>
            </w:r>
          </w:p>
        </w:tc>
      </w:tr>
      <w:tr w:rsidR="00961C1A">
        <w:trPr>
          <w:cantSplit/>
          <w:trHeight w:val="510"/>
        </w:trPr>
        <w:tc>
          <w:tcPr>
            <w:tcW w:w="38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纺织服装服饰业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90.0</w:t>
            </w:r>
            <w:r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0.7</w:t>
            </w:r>
          </w:p>
        </w:tc>
      </w:tr>
      <w:tr w:rsidR="00961C1A">
        <w:trPr>
          <w:cantSplit/>
          <w:trHeight w:val="510"/>
        </w:trPr>
        <w:tc>
          <w:tcPr>
            <w:tcW w:w="38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通用设备制造业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77.63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24.3</w:t>
            </w:r>
          </w:p>
        </w:tc>
      </w:tr>
      <w:tr w:rsidR="00961C1A">
        <w:trPr>
          <w:cantSplit/>
          <w:trHeight w:val="510"/>
        </w:trPr>
        <w:tc>
          <w:tcPr>
            <w:tcW w:w="38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专用设备制造业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34.28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-2.0</w:t>
            </w:r>
          </w:p>
        </w:tc>
      </w:tr>
      <w:tr w:rsidR="00961C1A">
        <w:trPr>
          <w:cantSplit/>
          <w:trHeight w:val="510"/>
        </w:trPr>
        <w:tc>
          <w:tcPr>
            <w:tcW w:w="38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汽车制造业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119.64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-3.3</w:t>
            </w:r>
          </w:p>
        </w:tc>
      </w:tr>
      <w:tr w:rsidR="00961C1A">
        <w:trPr>
          <w:cantSplit/>
          <w:trHeight w:val="510"/>
        </w:trPr>
        <w:tc>
          <w:tcPr>
            <w:tcW w:w="38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电气机械及器材制造业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62.13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2.6</w:t>
            </w:r>
          </w:p>
        </w:tc>
      </w:tr>
      <w:tr w:rsidR="00961C1A">
        <w:trPr>
          <w:cantSplit/>
          <w:trHeight w:val="510"/>
        </w:trPr>
        <w:tc>
          <w:tcPr>
            <w:tcW w:w="38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ind w:firstLineChars="300" w:firstLine="7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橡胶和塑料制品业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19.57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-7.3</w:t>
            </w:r>
          </w:p>
        </w:tc>
      </w:tr>
      <w:tr w:rsidR="00961C1A">
        <w:trPr>
          <w:cantSplit/>
          <w:trHeight w:val="510"/>
        </w:trPr>
        <w:tc>
          <w:tcPr>
            <w:tcW w:w="38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ind w:firstLineChars="300" w:firstLine="7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非金属矿物制品业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40.29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9.8</w:t>
            </w:r>
          </w:p>
        </w:tc>
      </w:tr>
      <w:tr w:rsidR="00961C1A">
        <w:trPr>
          <w:cantSplit/>
          <w:trHeight w:val="510"/>
        </w:trPr>
        <w:tc>
          <w:tcPr>
            <w:tcW w:w="38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ind w:firstLineChars="300" w:firstLine="7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船舶和其他运输设备制造业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29.97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-11.2</w:t>
            </w:r>
          </w:p>
        </w:tc>
      </w:tr>
      <w:tr w:rsidR="00961C1A">
        <w:trPr>
          <w:cantSplit/>
          <w:trHeight w:val="510"/>
        </w:trPr>
        <w:tc>
          <w:tcPr>
            <w:tcW w:w="38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电力热力生产和供应业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57.00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-2.2</w:t>
            </w:r>
          </w:p>
        </w:tc>
      </w:tr>
      <w:tr w:rsidR="00961C1A">
        <w:trPr>
          <w:cantSplit/>
          <w:trHeight w:val="510"/>
        </w:trPr>
        <w:tc>
          <w:tcPr>
            <w:tcW w:w="38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规上工业销售产值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607.19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1.5</w:t>
            </w:r>
          </w:p>
        </w:tc>
      </w:tr>
      <w:tr w:rsidR="00961C1A">
        <w:trPr>
          <w:cantSplit/>
          <w:trHeight w:val="510"/>
        </w:trPr>
        <w:tc>
          <w:tcPr>
            <w:tcW w:w="38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其中：出口交货值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119.05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1.0</w:t>
            </w:r>
          </w:p>
        </w:tc>
      </w:tr>
      <w:tr w:rsidR="00961C1A">
        <w:trPr>
          <w:cantSplit/>
          <w:trHeight w:val="510"/>
        </w:trPr>
        <w:tc>
          <w:tcPr>
            <w:tcW w:w="38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工业产销率（%）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93.3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0.7</w:t>
            </w:r>
          </w:p>
        </w:tc>
      </w:tr>
      <w:tr w:rsidR="00961C1A">
        <w:trPr>
          <w:cantSplit/>
          <w:trHeight w:val="510"/>
        </w:trPr>
        <w:tc>
          <w:tcPr>
            <w:tcW w:w="38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规上工业主营业务收入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573.16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-0.4</w:t>
            </w:r>
          </w:p>
        </w:tc>
      </w:tr>
      <w:tr w:rsidR="00961C1A">
        <w:trPr>
          <w:cantSplit/>
          <w:trHeight w:val="510"/>
        </w:trPr>
        <w:tc>
          <w:tcPr>
            <w:tcW w:w="38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规上工业利税总额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59.28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9.7</w:t>
            </w:r>
          </w:p>
        </w:tc>
      </w:tr>
      <w:tr w:rsidR="00961C1A">
        <w:trPr>
          <w:cantSplit/>
          <w:trHeight w:val="510"/>
        </w:trPr>
        <w:tc>
          <w:tcPr>
            <w:tcW w:w="38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其中：利润总额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41.89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16.6</w:t>
            </w:r>
          </w:p>
        </w:tc>
      </w:tr>
      <w:tr w:rsidR="00961C1A">
        <w:trPr>
          <w:cantSplit/>
          <w:trHeight w:val="510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规上工业平均从业人数（人）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68721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-5.1</w:t>
            </w:r>
          </w:p>
        </w:tc>
      </w:tr>
    </w:tbl>
    <w:p w:rsidR="00961C1A" w:rsidRDefault="00961C1A">
      <w:pPr>
        <w:tabs>
          <w:tab w:val="left" w:pos="1876"/>
        </w:tabs>
        <w:ind w:firstLine="642"/>
        <w:rPr>
          <w:rFonts w:ascii="仿宋_GB2312" w:eastAsia="仿宋_GB2312"/>
          <w:sz w:val="32"/>
        </w:rPr>
      </w:pPr>
    </w:p>
    <w:p w:rsidR="00961C1A" w:rsidRDefault="00772122">
      <w:pPr>
        <w:tabs>
          <w:tab w:val="left" w:pos="1876"/>
        </w:tabs>
        <w:ind w:firstLine="64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全年完成建筑业总产值718.</w:t>
      </w:r>
      <w:r>
        <w:rPr>
          <w:rFonts w:ascii="仿宋_GB2312" w:eastAsia="仿宋_GB2312"/>
          <w:sz w:val="32"/>
        </w:rPr>
        <w:t>07</w:t>
      </w:r>
      <w:r>
        <w:rPr>
          <w:rFonts w:ascii="仿宋_GB2312" w:eastAsia="仿宋_GB2312" w:hint="eastAsia"/>
          <w:sz w:val="32"/>
        </w:rPr>
        <w:t>亿元，其中省外产值339.</w:t>
      </w:r>
      <w:r>
        <w:rPr>
          <w:rFonts w:ascii="仿宋_GB2312" w:eastAsia="仿宋_GB2312"/>
          <w:sz w:val="32"/>
        </w:rPr>
        <w:t>47</w:t>
      </w:r>
      <w:r>
        <w:rPr>
          <w:rFonts w:ascii="仿宋_GB2312" w:eastAsia="仿宋_GB2312" w:hint="eastAsia"/>
          <w:sz w:val="32"/>
        </w:rPr>
        <w:t>亿元。全年新签合同额</w:t>
      </w:r>
      <w:r>
        <w:rPr>
          <w:rFonts w:ascii="仿宋_GB2312" w:eastAsia="仿宋_GB2312"/>
          <w:sz w:val="32"/>
        </w:rPr>
        <w:t>570.56</w:t>
      </w:r>
      <w:r>
        <w:rPr>
          <w:rFonts w:ascii="仿宋_GB2312" w:eastAsia="仿宋_GB2312" w:hint="eastAsia"/>
          <w:sz w:val="32"/>
        </w:rPr>
        <w:t>亿元。实现本县地方入库税收</w:t>
      </w:r>
      <w:r>
        <w:rPr>
          <w:rFonts w:ascii="仿宋_GB2312" w:eastAsia="仿宋_GB2312"/>
          <w:sz w:val="32"/>
        </w:rPr>
        <w:t>9.1</w:t>
      </w:r>
      <w:r>
        <w:rPr>
          <w:rFonts w:ascii="仿宋_GB2312" w:eastAsia="仿宋_GB2312" w:hint="eastAsia"/>
          <w:sz w:val="32"/>
        </w:rPr>
        <w:t>亿元。建筑业房屋施工面积7858.9万平方米。年末全县有建筑企业133家，其中特级资质企业5家，一级资质企业23家，二级资质企业60家。</w:t>
      </w:r>
    </w:p>
    <w:p w:rsidR="00961C1A" w:rsidRDefault="00772122">
      <w:pPr>
        <w:numPr>
          <w:ilvl w:val="0"/>
          <w:numId w:val="2"/>
        </w:numPr>
        <w:tabs>
          <w:tab w:val="left" w:pos="1876"/>
        </w:tabs>
        <w:ind w:firstLine="640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固定资产投资、房地产业</w:t>
      </w:r>
    </w:p>
    <w:p w:rsidR="00961C1A" w:rsidRDefault="00772122">
      <w:pPr>
        <w:tabs>
          <w:tab w:val="left" w:pos="1876"/>
        </w:tabs>
        <w:ind w:firstLine="64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全年完成固定资产投资220.</w:t>
      </w:r>
      <w:r>
        <w:rPr>
          <w:rFonts w:ascii="仿宋_GB2312" w:eastAsia="仿宋_GB2312"/>
          <w:sz w:val="32"/>
        </w:rPr>
        <w:t>17</w:t>
      </w:r>
      <w:r>
        <w:rPr>
          <w:rFonts w:ascii="仿宋_GB2312" w:eastAsia="仿宋_GB2312" w:hint="eastAsia"/>
          <w:sz w:val="32"/>
        </w:rPr>
        <w:t>亿元，比上年增长16%。分产业看，第一产业完成投资0.8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亿元，下降46.3%；第二产业投资64.</w:t>
      </w:r>
      <w:r>
        <w:rPr>
          <w:rFonts w:ascii="仿宋_GB2312" w:eastAsia="仿宋_GB2312"/>
          <w:sz w:val="32"/>
        </w:rPr>
        <w:t>6</w:t>
      </w:r>
      <w:r>
        <w:rPr>
          <w:rFonts w:ascii="仿宋_GB2312" w:eastAsia="仿宋_GB2312" w:hint="eastAsia"/>
          <w:sz w:val="32"/>
        </w:rPr>
        <w:t>亿元，增长27.4%；第三产业投资154.</w:t>
      </w:r>
      <w:r>
        <w:rPr>
          <w:rFonts w:ascii="仿宋_GB2312" w:eastAsia="仿宋_GB2312"/>
          <w:sz w:val="32"/>
        </w:rPr>
        <w:t>76</w:t>
      </w:r>
      <w:r>
        <w:rPr>
          <w:rFonts w:ascii="仿宋_GB2312" w:eastAsia="仿宋_GB2312" w:hint="eastAsia"/>
          <w:sz w:val="32"/>
        </w:rPr>
        <w:t>亿元，增长12.5%。其中，国有投资86.2</w:t>
      </w:r>
      <w:r>
        <w:rPr>
          <w:rFonts w:ascii="仿宋_GB2312" w:eastAsia="仿宋_GB2312"/>
          <w:sz w:val="32"/>
        </w:rPr>
        <w:t>4</w:t>
      </w:r>
      <w:r>
        <w:rPr>
          <w:rFonts w:ascii="仿宋_GB2312" w:eastAsia="仿宋_GB2312" w:hint="eastAsia"/>
          <w:sz w:val="32"/>
        </w:rPr>
        <w:t>亿元，增长30.1%，民间投资129</w:t>
      </w:r>
      <w:r>
        <w:rPr>
          <w:rFonts w:ascii="仿宋_GB2312" w:eastAsia="仿宋_GB2312"/>
          <w:sz w:val="32"/>
        </w:rPr>
        <w:t>.05</w:t>
      </w:r>
      <w:r>
        <w:rPr>
          <w:rFonts w:ascii="仿宋_GB2312" w:eastAsia="仿宋_GB2312" w:hint="eastAsia"/>
          <w:sz w:val="32"/>
        </w:rPr>
        <w:t>亿元，增长13.2%；工业投资64.6亿元，增长27.2%，工业中技改投资31.</w:t>
      </w:r>
      <w:r>
        <w:rPr>
          <w:rFonts w:ascii="仿宋_GB2312" w:eastAsia="仿宋_GB2312"/>
          <w:sz w:val="32"/>
        </w:rPr>
        <w:t>69</w:t>
      </w:r>
      <w:r>
        <w:rPr>
          <w:rFonts w:ascii="仿宋_GB2312" w:eastAsia="仿宋_GB2312" w:hint="eastAsia"/>
          <w:sz w:val="32"/>
        </w:rPr>
        <w:t>亿元，增长30.7%；基础设施投资60.</w:t>
      </w:r>
      <w:r>
        <w:rPr>
          <w:rFonts w:ascii="仿宋_GB2312" w:eastAsia="仿宋_GB2312"/>
          <w:sz w:val="32"/>
        </w:rPr>
        <w:t>05</w:t>
      </w:r>
      <w:r>
        <w:rPr>
          <w:rFonts w:ascii="仿宋_GB2312" w:eastAsia="仿宋_GB2312" w:hint="eastAsia"/>
          <w:sz w:val="32"/>
        </w:rPr>
        <w:t>亿元，增长5.6%，公共服务投资12.</w:t>
      </w:r>
      <w:r>
        <w:rPr>
          <w:rFonts w:ascii="仿宋_GB2312" w:eastAsia="仿宋_GB2312"/>
          <w:sz w:val="32"/>
        </w:rPr>
        <w:t>27</w:t>
      </w:r>
      <w:r>
        <w:rPr>
          <w:rFonts w:ascii="仿宋_GB2312" w:eastAsia="仿宋_GB2312" w:hint="eastAsia"/>
          <w:sz w:val="32"/>
        </w:rPr>
        <w:t>亿元，增长48.9%。</w:t>
      </w:r>
    </w:p>
    <w:p w:rsidR="00961C1A" w:rsidRDefault="00772122">
      <w:pPr>
        <w:tabs>
          <w:tab w:val="left" w:pos="1876"/>
        </w:tabs>
        <w:ind w:leftChars="50" w:left="210" w:hangingChars="50" w:hanging="105"/>
        <w:jc w:val="center"/>
        <w:rPr>
          <w:rFonts w:ascii="仿宋_GB2312" w:eastAsia="仿宋_GB2312"/>
          <w:sz w:val="32"/>
        </w:rPr>
      </w:pPr>
      <w:r>
        <w:rPr>
          <w:noProof/>
        </w:rPr>
        <w:lastRenderedPageBreak/>
        <w:drawing>
          <wp:inline distT="0" distB="0" distL="0" distR="0">
            <wp:extent cx="5381625" cy="3209925"/>
            <wp:effectExtent l="0" t="0" r="9525" b="952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61C1A" w:rsidRPr="00816CE4" w:rsidRDefault="00772122">
      <w:pPr>
        <w:tabs>
          <w:tab w:val="left" w:pos="1876"/>
        </w:tabs>
        <w:ind w:firstLine="642"/>
        <w:jc w:val="center"/>
        <w:rPr>
          <w:rFonts w:ascii="仿宋" w:eastAsia="仿宋" w:hAnsi="仿宋"/>
          <w:b/>
          <w:sz w:val="28"/>
          <w:szCs w:val="28"/>
        </w:rPr>
      </w:pPr>
      <w:r w:rsidRPr="00816CE4">
        <w:rPr>
          <w:rFonts w:ascii="仿宋" w:eastAsia="仿宋" w:hAnsi="仿宋" w:hint="eastAsia"/>
          <w:b/>
          <w:sz w:val="28"/>
          <w:szCs w:val="28"/>
        </w:rPr>
        <w:t>表</w:t>
      </w:r>
      <w:r w:rsidRPr="00816CE4">
        <w:rPr>
          <w:rFonts w:ascii="仿宋" w:eastAsia="仿宋" w:hAnsi="仿宋"/>
          <w:b/>
          <w:sz w:val="28"/>
          <w:szCs w:val="28"/>
        </w:rPr>
        <w:t>7   2019</w:t>
      </w:r>
      <w:r w:rsidRPr="00816CE4">
        <w:rPr>
          <w:rFonts w:ascii="仿宋" w:eastAsia="仿宋" w:hAnsi="仿宋" w:hint="eastAsia"/>
          <w:b/>
          <w:sz w:val="28"/>
          <w:szCs w:val="28"/>
        </w:rPr>
        <w:t>年分行业固定资产投资（不含</w:t>
      </w:r>
      <w:r w:rsidRPr="00816CE4">
        <w:rPr>
          <w:rFonts w:ascii="仿宋" w:eastAsia="仿宋" w:hAnsi="仿宋"/>
          <w:b/>
          <w:sz w:val="28"/>
          <w:szCs w:val="28"/>
        </w:rPr>
        <w:t>农户</w:t>
      </w:r>
      <w:r w:rsidRPr="00816CE4">
        <w:rPr>
          <w:rFonts w:ascii="仿宋" w:eastAsia="仿宋" w:hAnsi="仿宋" w:hint="eastAsia"/>
          <w:b/>
          <w:sz w:val="28"/>
          <w:szCs w:val="28"/>
        </w:rPr>
        <w:t>）及增</w:t>
      </w:r>
      <w:r w:rsidRPr="00816CE4">
        <w:rPr>
          <w:rFonts w:ascii="仿宋" w:eastAsia="仿宋" w:hAnsi="仿宋"/>
          <w:b/>
          <w:sz w:val="28"/>
          <w:szCs w:val="28"/>
        </w:rPr>
        <w:t>速</w:t>
      </w:r>
    </w:p>
    <w:tbl>
      <w:tblPr>
        <w:tblW w:w="84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559"/>
        <w:gridCol w:w="2041"/>
      </w:tblGrid>
      <w:tr w:rsidR="00816CE4" w:rsidRPr="00816CE4">
        <w:trPr>
          <w:trHeight w:val="510"/>
        </w:trPr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C1A" w:rsidRPr="00816CE4" w:rsidRDefault="00772122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16CE4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C1A" w:rsidRPr="00816CE4" w:rsidRDefault="00772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16CE4">
              <w:rPr>
                <w:rFonts w:ascii="仿宋" w:eastAsia="仿宋" w:hAnsi="仿宋" w:cs="宋体" w:hint="eastAsia"/>
                <w:b/>
                <w:kern w:val="0"/>
                <w:sz w:val="24"/>
              </w:rPr>
              <w:t>实绩（亿元）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1C1A" w:rsidRPr="00816CE4" w:rsidRDefault="00772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16CE4">
              <w:rPr>
                <w:rFonts w:ascii="仿宋" w:eastAsia="仿宋" w:hAnsi="仿宋" w:cs="宋体" w:hint="eastAsia"/>
                <w:b/>
                <w:kern w:val="0"/>
                <w:sz w:val="24"/>
              </w:rPr>
              <w:t>比上年增长（%）</w:t>
            </w:r>
          </w:p>
        </w:tc>
      </w:tr>
      <w:tr w:rsidR="00961C1A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总计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220.17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  <w:r>
              <w:rPr>
                <w:rFonts w:ascii="仿宋" w:eastAsia="仿宋" w:hAnsi="仿宋" w:cs="宋体"/>
                <w:kern w:val="0"/>
                <w:sz w:val="24"/>
              </w:rPr>
              <w:t>.0</w:t>
            </w:r>
          </w:p>
        </w:tc>
      </w:tr>
      <w:tr w:rsidR="00961C1A">
        <w:trPr>
          <w:trHeight w:val="510"/>
        </w:trPr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项目投资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156.55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30.4</w:t>
            </w:r>
          </w:p>
        </w:tc>
      </w:tr>
      <w:tr w:rsidR="00961C1A">
        <w:trPr>
          <w:trHeight w:val="510"/>
        </w:trPr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其中：5000万元及以上项目投资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127.58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34.2</w:t>
            </w:r>
          </w:p>
        </w:tc>
      </w:tr>
      <w:tr w:rsidR="00961C1A">
        <w:trPr>
          <w:trHeight w:val="510"/>
        </w:trPr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建安工程投资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149.27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42.1</w:t>
            </w:r>
          </w:p>
        </w:tc>
      </w:tr>
      <w:tr w:rsidR="00961C1A">
        <w:trPr>
          <w:trHeight w:val="510"/>
        </w:trPr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交通运输业投资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25.15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22.8</w:t>
            </w:r>
          </w:p>
        </w:tc>
      </w:tr>
      <w:tr w:rsidR="00961C1A">
        <w:trPr>
          <w:trHeight w:val="510"/>
        </w:trPr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水利管理业投资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2.84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-39.7</w:t>
            </w:r>
          </w:p>
        </w:tc>
      </w:tr>
      <w:tr w:rsidR="00961C1A">
        <w:trPr>
          <w:trHeight w:val="510"/>
        </w:trPr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生态保护和环境治理业投资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0.54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-38</w:t>
            </w:r>
          </w:p>
        </w:tc>
      </w:tr>
      <w:tr w:rsidR="00961C1A">
        <w:trPr>
          <w:trHeight w:val="510"/>
        </w:trPr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公共设施管理业投资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20.41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-0.1</w:t>
            </w:r>
          </w:p>
        </w:tc>
      </w:tr>
      <w:tr w:rsidR="00961C1A">
        <w:trPr>
          <w:trHeight w:val="510"/>
        </w:trPr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高新技术产业投资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23.76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22.6</w:t>
            </w:r>
          </w:p>
        </w:tc>
      </w:tr>
      <w:tr w:rsidR="00961C1A">
        <w:trPr>
          <w:trHeight w:val="510"/>
        </w:trPr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#高新技术工业投资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23.23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25.1</w:t>
            </w:r>
          </w:p>
        </w:tc>
      </w:tr>
      <w:tr w:rsidR="00961C1A">
        <w:trPr>
          <w:trHeight w:val="510"/>
        </w:trPr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#高技术服务业投资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0.53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-35.7</w:t>
            </w:r>
          </w:p>
        </w:tc>
      </w:tr>
      <w:tr w:rsidR="00961C1A">
        <w:trPr>
          <w:trHeight w:val="510"/>
        </w:trPr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产业投资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115.42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41.6</w:t>
            </w:r>
          </w:p>
        </w:tc>
      </w:tr>
      <w:tr w:rsidR="00961C1A">
        <w:trPr>
          <w:trHeight w:val="510"/>
        </w:trPr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制造业投资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53.49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37</w:t>
            </w:r>
          </w:p>
        </w:tc>
      </w:tr>
      <w:tr w:rsidR="00961C1A">
        <w:trPr>
          <w:trHeight w:val="510"/>
        </w:trPr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电力、热力、燃气及水的生产和供应业投资 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11.11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7.5</w:t>
            </w:r>
          </w:p>
        </w:tc>
      </w:tr>
      <w:tr w:rsidR="00961C1A">
        <w:trPr>
          <w:trHeight w:val="510"/>
        </w:trPr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 xml:space="preserve">批发和零售业投资 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17.35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460.5</w:t>
            </w:r>
          </w:p>
        </w:tc>
      </w:tr>
      <w:tr w:rsidR="00961C1A">
        <w:trPr>
          <w:trHeight w:val="510"/>
        </w:trPr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住宿和餐饮业投资 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5.62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78</w:t>
            </w:r>
          </w:p>
        </w:tc>
      </w:tr>
      <w:tr w:rsidR="00961C1A">
        <w:trPr>
          <w:trHeight w:val="510"/>
        </w:trPr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房地产开发投资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63.62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-8.7</w:t>
            </w:r>
          </w:p>
        </w:tc>
      </w:tr>
      <w:tr w:rsidR="00961C1A">
        <w:trPr>
          <w:trHeight w:val="510"/>
        </w:trPr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教育投资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4.36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3.7</w:t>
            </w:r>
          </w:p>
        </w:tc>
      </w:tr>
      <w:tr w:rsidR="00961C1A">
        <w:trPr>
          <w:trHeight w:val="510"/>
        </w:trPr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卫生和社会工作投资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1.91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-34.9</w:t>
            </w:r>
          </w:p>
        </w:tc>
      </w:tr>
      <w:tr w:rsidR="00961C1A">
        <w:trPr>
          <w:trHeight w:val="510"/>
        </w:trPr>
        <w:tc>
          <w:tcPr>
            <w:tcW w:w="482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文化、体育和娱乐业投资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6.69</w:t>
            </w:r>
          </w:p>
        </w:tc>
        <w:tc>
          <w:tcPr>
            <w:tcW w:w="2041" w:type="dxa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86.2</w:t>
            </w:r>
          </w:p>
        </w:tc>
      </w:tr>
    </w:tbl>
    <w:p w:rsidR="00961C1A" w:rsidRDefault="00961C1A">
      <w:pPr>
        <w:tabs>
          <w:tab w:val="left" w:pos="1876"/>
        </w:tabs>
        <w:ind w:firstLine="642"/>
        <w:rPr>
          <w:rFonts w:ascii="仿宋_GB2312" w:eastAsia="仿宋_GB2312"/>
          <w:sz w:val="32"/>
        </w:rPr>
      </w:pPr>
    </w:p>
    <w:p w:rsidR="00961C1A" w:rsidRDefault="00772122">
      <w:pPr>
        <w:tabs>
          <w:tab w:val="left" w:pos="1876"/>
        </w:tabs>
        <w:ind w:firstLine="64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全年完成房地产开发投资63.6</w:t>
      </w: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亿元，比上年下降8.7%。房屋施工面积418.4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万平方米，下降2.1%；竣工面积11.48万平方米，下降55.4%。商品房屋销售面积83.1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万平方米，下降11.7%；销售额78.8</w:t>
      </w: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亿元，下降13.3%。</w:t>
      </w:r>
    </w:p>
    <w:p w:rsidR="00961C1A" w:rsidRDefault="00772122">
      <w:pPr>
        <w:numPr>
          <w:ilvl w:val="0"/>
          <w:numId w:val="2"/>
        </w:numPr>
        <w:tabs>
          <w:tab w:val="left" w:pos="1876"/>
        </w:tabs>
        <w:ind w:firstLine="640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贸易业和住宿餐饮业</w:t>
      </w:r>
    </w:p>
    <w:p w:rsidR="00961C1A" w:rsidRDefault="00772122">
      <w:pPr>
        <w:pStyle w:val="a6"/>
        <w:widowControl/>
        <w:wordWrap w:val="0"/>
        <w:spacing w:line="450" w:lineRule="atLeast"/>
        <w:ind w:firstLineChars="200" w:firstLine="640"/>
        <w:jc w:val="both"/>
        <w:rPr>
          <w:rFonts w:ascii="仿宋_GB2312" w:eastAsia="仿宋_GB2312" w:cstheme="minorBidi"/>
          <w:color w:val="000000"/>
          <w:kern w:val="2"/>
          <w:sz w:val="32"/>
        </w:rPr>
      </w:pPr>
      <w:r>
        <w:rPr>
          <w:rFonts w:ascii="仿宋_GB2312" w:eastAsia="仿宋_GB2312" w:cstheme="minorBidi" w:hint="eastAsia"/>
          <w:color w:val="000000"/>
          <w:kern w:val="2"/>
          <w:sz w:val="32"/>
        </w:rPr>
        <w:t>全</w:t>
      </w:r>
      <w:r>
        <w:rPr>
          <w:rFonts w:ascii="仿宋_GB2312" w:eastAsia="仿宋_GB2312" w:cstheme="minorBidi"/>
          <w:color w:val="000000"/>
          <w:kern w:val="2"/>
          <w:sz w:val="32"/>
        </w:rPr>
        <w:t>年社会消费品零售总额</w:t>
      </w:r>
      <w:r>
        <w:rPr>
          <w:rFonts w:ascii="仿宋_GB2312" w:eastAsia="仿宋_GB2312" w:cstheme="minorBidi" w:hint="eastAsia"/>
          <w:color w:val="000000"/>
          <w:kern w:val="2"/>
          <w:sz w:val="32"/>
        </w:rPr>
        <w:t>2</w:t>
      </w:r>
      <w:r>
        <w:rPr>
          <w:rFonts w:ascii="仿宋_GB2312" w:eastAsia="仿宋_GB2312" w:cstheme="minorBidi"/>
          <w:color w:val="000000"/>
          <w:kern w:val="2"/>
          <w:sz w:val="32"/>
        </w:rPr>
        <w:t>32.47亿元，比上年增长</w:t>
      </w:r>
      <w:r>
        <w:rPr>
          <w:rFonts w:ascii="仿宋_GB2312" w:eastAsia="仿宋_GB2312" w:cstheme="minorBidi" w:hint="eastAsia"/>
          <w:color w:val="000000"/>
          <w:kern w:val="2"/>
          <w:sz w:val="32"/>
        </w:rPr>
        <w:t>9.7</w:t>
      </w:r>
      <w:r>
        <w:rPr>
          <w:rFonts w:ascii="仿宋_GB2312" w:eastAsia="仿宋_GB2312" w:cstheme="minorBidi"/>
          <w:color w:val="000000"/>
          <w:kern w:val="2"/>
          <w:sz w:val="32"/>
        </w:rPr>
        <w:t>%。按经营地</w:t>
      </w:r>
      <w:r>
        <w:rPr>
          <w:rFonts w:ascii="仿宋_GB2312" w:eastAsia="仿宋_GB2312" w:cstheme="minorBidi" w:hint="eastAsia"/>
          <w:color w:val="000000"/>
          <w:kern w:val="2"/>
          <w:sz w:val="32"/>
        </w:rPr>
        <w:t>分</w:t>
      </w:r>
      <w:r>
        <w:rPr>
          <w:rFonts w:ascii="仿宋_GB2312" w:eastAsia="仿宋_GB2312" w:cstheme="minorBidi"/>
          <w:color w:val="000000"/>
          <w:kern w:val="2"/>
          <w:sz w:val="32"/>
        </w:rPr>
        <w:t>，城镇消费品零售额</w:t>
      </w:r>
      <w:r>
        <w:rPr>
          <w:rFonts w:ascii="仿宋_GB2312" w:eastAsia="仿宋_GB2312" w:cstheme="minorBidi" w:hint="eastAsia"/>
          <w:color w:val="000000"/>
          <w:kern w:val="2"/>
          <w:sz w:val="32"/>
        </w:rPr>
        <w:t>1</w:t>
      </w:r>
      <w:r>
        <w:rPr>
          <w:rFonts w:ascii="仿宋_GB2312" w:eastAsia="仿宋_GB2312" w:cstheme="minorBidi"/>
          <w:color w:val="000000"/>
          <w:kern w:val="2"/>
          <w:sz w:val="32"/>
        </w:rPr>
        <w:t>36.36亿元，增长</w:t>
      </w:r>
      <w:r>
        <w:rPr>
          <w:rFonts w:ascii="仿宋_GB2312" w:eastAsia="仿宋_GB2312" w:cstheme="minorBidi" w:hint="eastAsia"/>
          <w:color w:val="000000"/>
          <w:kern w:val="2"/>
          <w:sz w:val="32"/>
        </w:rPr>
        <w:t>1</w:t>
      </w:r>
      <w:r>
        <w:rPr>
          <w:rFonts w:ascii="仿宋_GB2312" w:eastAsia="仿宋_GB2312" w:cstheme="minorBidi"/>
          <w:color w:val="000000"/>
          <w:kern w:val="2"/>
          <w:sz w:val="32"/>
        </w:rPr>
        <w:t>1.2%；乡村消费品零售额</w:t>
      </w:r>
      <w:r>
        <w:rPr>
          <w:rFonts w:ascii="仿宋_GB2312" w:eastAsia="仿宋_GB2312" w:cstheme="minorBidi" w:hint="eastAsia"/>
          <w:color w:val="000000"/>
          <w:kern w:val="2"/>
          <w:sz w:val="32"/>
        </w:rPr>
        <w:t>9</w:t>
      </w:r>
      <w:r>
        <w:rPr>
          <w:rFonts w:ascii="仿宋_GB2312" w:eastAsia="仿宋_GB2312" w:cstheme="minorBidi"/>
          <w:color w:val="000000"/>
          <w:kern w:val="2"/>
          <w:sz w:val="32"/>
        </w:rPr>
        <w:t>6.11亿元，增长</w:t>
      </w:r>
      <w:r>
        <w:rPr>
          <w:rFonts w:ascii="仿宋_GB2312" w:eastAsia="仿宋_GB2312" w:cstheme="minorBidi" w:hint="eastAsia"/>
          <w:color w:val="000000"/>
          <w:kern w:val="2"/>
          <w:sz w:val="32"/>
        </w:rPr>
        <w:t>7.7</w:t>
      </w:r>
      <w:r>
        <w:rPr>
          <w:rFonts w:ascii="仿宋_GB2312" w:eastAsia="仿宋_GB2312" w:cstheme="minorBidi"/>
          <w:color w:val="000000"/>
          <w:kern w:val="2"/>
          <w:sz w:val="32"/>
        </w:rPr>
        <w:t>%。按消费类型</w:t>
      </w:r>
      <w:r>
        <w:rPr>
          <w:rFonts w:ascii="仿宋_GB2312" w:eastAsia="仿宋_GB2312" w:cstheme="minorBidi" w:hint="eastAsia"/>
          <w:color w:val="000000"/>
          <w:kern w:val="2"/>
          <w:sz w:val="32"/>
        </w:rPr>
        <w:t>分</w:t>
      </w:r>
      <w:r>
        <w:rPr>
          <w:rFonts w:ascii="仿宋_GB2312" w:eastAsia="仿宋_GB2312" w:cstheme="minorBidi"/>
          <w:color w:val="000000"/>
          <w:kern w:val="2"/>
          <w:sz w:val="32"/>
        </w:rPr>
        <w:t>，批发零售业零售额165.78亿元，增长7.6%，住宿餐饮业零售额66.69亿元，增长15.5%。</w:t>
      </w:r>
      <w:r>
        <w:rPr>
          <w:rFonts w:ascii="仿宋_GB2312" w:eastAsia="仿宋_GB2312" w:cstheme="minorBidi" w:hint="eastAsia"/>
          <w:color w:val="000000"/>
          <w:kern w:val="2"/>
          <w:sz w:val="32"/>
        </w:rPr>
        <w:t>实现网络零售总额</w:t>
      </w:r>
      <w:r>
        <w:rPr>
          <w:rFonts w:ascii="仿宋_GB2312" w:eastAsia="仿宋_GB2312" w:cstheme="minorBidi"/>
          <w:color w:val="000000"/>
          <w:kern w:val="2"/>
          <w:sz w:val="32"/>
        </w:rPr>
        <w:t>16.3</w:t>
      </w:r>
      <w:r>
        <w:rPr>
          <w:rFonts w:ascii="仿宋_GB2312" w:eastAsia="仿宋_GB2312" w:cstheme="minorBidi" w:hint="eastAsia"/>
          <w:color w:val="000000"/>
          <w:kern w:val="2"/>
          <w:sz w:val="32"/>
        </w:rPr>
        <w:t>亿元，增长</w:t>
      </w:r>
      <w:r>
        <w:rPr>
          <w:rFonts w:ascii="仿宋_GB2312" w:eastAsia="仿宋_GB2312" w:cstheme="minorBidi"/>
          <w:color w:val="000000"/>
          <w:kern w:val="2"/>
          <w:sz w:val="32"/>
        </w:rPr>
        <w:t>20%</w:t>
      </w:r>
      <w:r>
        <w:rPr>
          <w:rFonts w:ascii="仿宋_GB2312" w:eastAsia="仿宋_GB2312" w:cstheme="minorBidi" w:hint="eastAsia"/>
          <w:color w:val="000000"/>
          <w:kern w:val="2"/>
          <w:sz w:val="32"/>
        </w:rPr>
        <w:t>。在限额以上批发零售贸易业零售额中，家具类增长14.5%，金银珠宝类增长17.8%，建筑及装潢材料类增长16.7%，汽车类下降4.7%。全县批发零售业商品销售总额</w:t>
      </w:r>
      <w:r>
        <w:rPr>
          <w:rFonts w:ascii="仿宋_GB2312" w:eastAsia="仿宋_GB2312" w:cstheme="minorBidi"/>
          <w:color w:val="000000"/>
          <w:kern w:val="2"/>
          <w:sz w:val="32"/>
        </w:rPr>
        <w:t>539.4</w:t>
      </w:r>
      <w:r>
        <w:rPr>
          <w:rFonts w:ascii="仿宋_GB2312" w:eastAsia="仿宋_GB2312" w:cstheme="minorBidi" w:hint="eastAsia"/>
          <w:color w:val="000000"/>
          <w:kern w:val="2"/>
          <w:sz w:val="32"/>
        </w:rPr>
        <w:t>亿元，增长</w:t>
      </w:r>
      <w:r>
        <w:rPr>
          <w:rFonts w:ascii="仿宋_GB2312" w:eastAsia="仿宋_GB2312" w:cstheme="minorBidi"/>
          <w:color w:val="000000"/>
          <w:kern w:val="2"/>
          <w:sz w:val="32"/>
        </w:rPr>
        <w:t>12.4%</w:t>
      </w:r>
      <w:r>
        <w:rPr>
          <w:rFonts w:ascii="仿宋_GB2312" w:eastAsia="仿宋_GB2312" w:cstheme="minorBidi" w:hint="eastAsia"/>
          <w:color w:val="000000"/>
          <w:kern w:val="2"/>
          <w:sz w:val="32"/>
        </w:rPr>
        <w:t>。</w:t>
      </w:r>
      <w:r>
        <w:rPr>
          <w:rFonts w:ascii="仿宋_GB2312" w:eastAsia="仿宋_GB2312" w:cstheme="minorBidi"/>
          <w:color w:val="000000"/>
          <w:kern w:val="2"/>
          <w:sz w:val="32"/>
        </w:rPr>
        <w:t> </w:t>
      </w:r>
      <w:r>
        <w:rPr>
          <w:rFonts w:ascii="仿宋_GB2312" w:eastAsia="仿宋_GB2312" w:cstheme="minorBidi" w:hint="eastAsia"/>
          <w:color w:val="000000"/>
          <w:kern w:val="2"/>
          <w:sz w:val="32"/>
        </w:rPr>
        <w:t>住宿业营业额8.84亿元，增长7.7%。</w:t>
      </w:r>
    </w:p>
    <w:p w:rsidR="00961C1A" w:rsidRDefault="00961C1A">
      <w:pPr>
        <w:pStyle w:val="a6"/>
        <w:widowControl/>
        <w:wordWrap w:val="0"/>
        <w:spacing w:line="450" w:lineRule="atLeast"/>
        <w:ind w:firstLine="640"/>
        <w:jc w:val="both"/>
        <w:rPr>
          <w:rFonts w:ascii="仿宋_GB2312" w:eastAsia="仿宋_GB2312" w:cstheme="minorBidi"/>
          <w:kern w:val="2"/>
          <w:sz w:val="32"/>
        </w:rPr>
      </w:pPr>
    </w:p>
    <w:p w:rsidR="00961C1A" w:rsidRDefault="00772122">
      <w:pPr>
        <w:pStyle w:val="a6"/>
        <w:widowControl/>
        <w:spacing w:line="450" w:lineRule="atLeast"/>
        <w:ind w:firstLine="640"/>
        <w:rPr>
          <w:rFonts w:ascii="仿宋_GB2312" w:eastAsia="仿宋_GB2312" w:cstheme="minorBidi"/>
          <w:kern w:val="2"/>
          <w:sz w:val="32"/>
        </w:rPr>
      </w:pPr>
      <w:r>
        <w:rPr>
          <w:noProof/>
        </w:rPr>
        <w:lastRenderedPageBreak/>
        <w:drawing>
          <wp:inline distT="0" distB="0" distL="0" distR="0">
            <wp:extent cx="4667250" cy="2619375"/>
            <wp:effectExtent l="0" t="0" r="0" b="952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61C1A" w:rsidRDefault="00772122">
      <w:pPr>
        <w:pStyle w:val="a6"/>
        <w:widowControl/>
        <w:numPr>
          <w:ilvl w:val="0"/>
          <w:numId w:val="2"/>
        </w:numPr>
        <w:wordWrap w:val="0"/>
        <w:spacing w:line="450" w:lineRule="atLeast"/>
        <w:ind w:firstLine="640"/>
        <w:jc w:val="both"/>
        <w:rPr>
          <w:rFonts w:ascii="仿宋_GB2312" w:eastAsia="仿宋_GB2312" w:cstheme="minorBidi"/>
          <w:b/>
          <w:bCs/>
          <w:kern w:val="2"/>
          <w:sz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</w:rPr>
        <w:t>对外经济</w:t>
      </w:r>
    </w:p>
    <w:p w:rsidR="00961C1A" w:rsidRDefault="00772122">
      <w:pPr>
        <w:tabs>
          <w:tab w:val="left" w:pos="1876"/>
        </w:tabs>
        <w:ind w:firstLineChars="200" w:firstLine="640"/>
        <w:rPr>
          <w:rFonts w:ascii="仿宋" w:eastAsia="仿宋" w:hAnsi="仿宋"/>
          <w:b/>
          <w:sz w:val="28"/>
          <w:szCs w:val="28"/>
        </w:rPr>
      </w:pPr>
      <w:r>
        <w:rPr>
          <w:rFonts w:ascii="仿宋_GB2312" w:eastAsia="仿宋_GB2312"/>
          <w:sz w:val="32"/>
        </w:rPr>
        <w:t>全年货物进出口总额</w:t>
      </w:r>
      <w:r>
        <w:rPr>
          <w:rFonts w:ascii="仿宋_GB2312" w:eastAsia="仿宋_GB2312" w:hint="eastAsia"/>
          <w:sz w:val="32"/>
        </w:rPr>
        <w:t>201.9</w:t>
      </w:r>
      <w:r>
        <w:rPr>
          <w:rFonts w:ascii="仿宋_GB2312" w:eastAsia="仿宋_GB2312"/>
          <w:sz w:val="32"/>
        </w:rPr>
        <w:t>亿元，比上年增长</w:t>
      </w:r>
      <w:r>
        <w:rPr>
          <w:rFonts w:ascii="仿宋_GB2312" w:eastAsia="仿宋_GB2312" w:hint="eastAsia"/>
          <w:sz w:val="32"/>
        </w:rPr>
        <w:t>5.5</w:t>
      </w:r>
      <w:r>
        <w:rPr>
          <w:rFonts w:ascii="仿宋_GB2312" w:eastAsia="仿宋_GB2312"/>
          <w:sz w:val="32"/>
        </w:rPr>
        <w:t>%。</w:t>
      </w:r>
      <w:r>
        <w:rPr>
          <w:rFonts w:ascii="仿宋_GB2312" w:eastAsia="仿宋_GB2312" w:hint="eastAsia"/>
          <w:sz w:val="32"/>
        </w:rPr>
        <w:t>货物</w:t>
      </w:r>
      <w:r>
        <w:rPr>
          <w:rFonts w:ascii="仿宋_GB2312" w:eastAsia="仿宋_GB2312"/>
          <w:sz w:val="32"/>
        </w:rPr>
        <w:t>出口</w:t>
      </w:r>
      <w:r>
        <w:rPr>
          <w:rFonts w:ascii="仿宋_GB2312" w:eastAsia="仿宋_GB2312" w:hint="eastAsia"/>
          <w:sz w:val="32"/>
        </w:rPr>
        <w:t>总额184.45</w:t>
      </w:r>
      <w:r>
        <w:rPr>
          <w:rFonts w:ascii="仿宋_GB2312" w:eastAsia="仿宋_GB2312"/>
          <w:sz w:val="32"/>
        </w:rPr>
        <w:t>亿元，增长</w:t>
      </w:r>
      <w:r>
        <w:rPr>
          <w:rFonts w:ascii="仿宋_GB2312" w:eastAsia="仿宋_GB2312" w:hint="eastAsia"/>
          <w:sz w:val="32"/>
        </w:rPr>
        <w:t>8.7</w:t>
      </w:r>
      <w:r>
        <w:rPr>
          <w:rFonts w:ascii="仿宋_GB2312" w:eastAsia="仿宋_GB2312"/>
          <w:sz w:val="32"/>
        </w:rPr>
        <w:t>%</w:t>
      </w:r>
      <w:r>
        <w:rPr>
          <w:rFonts w:ascii="仿宋_GB2312" w:eastAsia="仿宋_GB2312" w:hint="eastAsia"/>
          <w:sz w:val="32"/>
        </w:rPr>
        <w:t>，其中一般贸易174.97亿元，增长9.2%；加工贸易8.96亿元，下降1.1%。其中民营经济出口183.87亿元，增长8.7%。高新技术产品出口4.98亿元，下降1.5%。对“一带一路”沿线国家合计出口63.82亿元，增长21.1%。货物</w:t>
      </w:r>
      <w:r>
        <w:rPr>
          <w:rFonts w:ascii="仿宋_GB2312" w:eastAsia="仿宋_GB2312"/>
          <w:sz w:val="32"/>
        </w:rPr>
        <w:t>进口</w:t>
      </w:r>
      <w:r>
        <w:rPr>
          <w:rFonts w:ascii="仿宋_GB2312" w:eastAsia="仿宋_GB2312" w:hint="eastAsia"/>
          <w:sz w:val="32"/>
        </w:rPr>
        <w:t>17.45</w:t>
      </w:r>
      <w:r>
        <w:rPr>
          <w:rFonts w:ascii="仿宋_GB2312" w:eastAsia="仿宋_GB2312"/>
          <w:sz w:val="32"/>
        </w:rPr>
        <w:t>亿元，</w:t>
      </w:r>
      <w:r>
        <w:rPr>
          <w:rFonts w:ascii="仿宋_GB2312" w:eastAsia="仿宋_GB2312" w:hint="eastAsia"/>
          <w:sz w:val="32"/>
        </w:rPr>
        <w:t>下降19.3</w:t>
      </w:r>
      <w:r>
        <w:rPr>
          <w:rFonts w:ascii="仿宋_GB2312" w:eastAsia="仿宋_GB2312"/>
          <w:sz w:val="32"/>
        </w:rPr>
        <w:t>%。</w:t>
      </w:r>
      <w:r>
        <w:rPr>
          <w:rFonts w:ascii="仿宋_GB2312" w:eastAsia="仿宋_GB2312" w:hint="eastAsia"/>
          <w:sz w:val="32"/>
        </w:rPr>
        <w:t>全县共有出口实绩企业472家，比上年减少14家。</w:t>
      </w:r>
    </w:p>
    <w:p w:rsidR="00961C1A" w:rsidRDefault="00772122">
      <w:pPr>
        <w:tabs>
          <w:tab w:val="left" w:pos="1876"/>
        </w:tabs>
        <w:ind w:firstLineChars="600" w:firstLine="1687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表8</w:t>
      </w:r>
      <w:r>
        <w:rPr>
          <w:rFonts w:ascii="仿宋" w:eastAsia="仿宋" w:hAnsi="仿宋"/>
          <w:b/>
          <w:sz w:val="28"/>
          <w:szCs w:val="28"/>
        </w:rPr>
        <w:t xml:space="preserve">   2019</w:t>
      </w:r>
      <w:r>
        <w:rPr>
          <w:rFonts w:ascii="仿宋" w:eastAsia="仿宋" w:hAnsi="仿宋" w:hint="eastAsia"/>
          <w:b/>
          <w:sz w:val="28"/>
          <w:szCs w:val="28"/>
        </w:rPr>
        <w:t>年货物进</w:t>
      </w:r>
      <w:r>
        <w:rPr>
          <w:rFonts w:ascii="仿宋" w:eastAsia="仿宋" w:hAnsi="仿宋"/>
          <w:b/>
          <w:sz w:val="28"/>
          <w:szCs w:val="28"/>
        </w:rPr>
        <w:t>出口</w:t>
      </w:r>
      <w:r>
        <w:rPr>
          <w:rFonts w:ascii="仿宋" w:eastAsia="仿宋" w:hAnsi="仿宋" w:hint="eastAsia"/>
          <w:b/>
          <w:sz w:val="28"/>
          <w:szCs w:val="28"/>
        </w:rPr>
        <w:t>总额</w:t>
      </w:r>
      <w:r>
        <w:rPr>
          <w:rFonts w:ascii="仿宋" w:eastAsia="仿宋" w:hAnsi="仿宋"/>
          <w:b/>
          <w:sz w:val="28"/>
          <w:szCs w:val="28"/>
        </w:rPr>
        <w:t>及增速</w:t>
      </w:r>
    </w:p>
    <w:tbl>
      <w:tblPr>
        <w:tblW w:w="648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1984"/>
      </w:tblGrid>
      <w:tr w:rsidR="00961C1A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:rsidR="00961C1A" w:rsidRDefault="00961C1A">
            <w:pPr>
              <w:pStyle w:val="a6"/>
              <w:spacing w:line="580" w:lineRule="exact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1C1A" w:rsidRDefault="00772122">
            <w:pPr>
              <w:pStyle w:val="a6"/>
              <w:spacing w:line="580" w:lineRule="exact"/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2"/>
                <w:sz w:val="28"/>
                <w:szCs w:val="28"/>
              </w:rPr>
              <w:t>实绩（亿元）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1C1A" w:rsidRDefault="00772122">
            <w:pPr>
              <w:pStyle w:val="a6"/>
              <w:spacing w:line="580" w:lineRule="exact"/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2"/>
                <w:sz w:val="28"/>
                <w:szCs w:val="28"/>
              </w:rPr>
              <w:t>比上年增长</w:t>
            </w:r>
            <w:r>
              <w:rPr>
                <w:rFonts w:ascii="仿宋" w:eastAsia="仿宋" w:hAnsi="仿宋"/>
                <w:b/>
                <w:kern w:val="2"/>
                <w:sz w:val="28"/>
                <w:szCs w:val="28"/>
              </w:rPr>
              <w:t>%</w:t>
            </w:r>
          </w:p>
        </w:tc>
      </w:tr>
      <w:tr w:rsidR="00961C1A">
        <w:trPr>
          <w:trHeight w:hRule="exact" w:val="510"/>
          <w:jc w:val="center"/>
        </w:trPr>
        <w:tc>
          <w:tcPr>
            <w:tcW w:w="2660" w:type="dxa"/>
            <w:tcBorders>
              <w:bottom w:val="nil"/>
            </w:tcBorders>
          </w:tcPr>
          <w:p w:rsidR="00961C1A" w:rsidRDefault="00772122">
            <w:pPr>
              <w:pStyle w:val="a6"/>
              <w:spacing w:line="580" w:lineRule="exact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货物进出口总额</w:t>
            </w:r>
            <w:r>
              <w:rPr>
                <w:rFonts w:ascii="仿宋" w:eastAsia="仿宋" w:hAnsi="仿宋"/>
                <w:kern w:val="2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bottom w:val="nil"/>
            </w:tcBorders>
          </w:tcPr>
          <w:p w:rsidR="00961C1A" w:rsidRDefault="007721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201.90</w:t>
            </w:r>
          </w:p>
        </w:tc>
        <w:tc>
          <w:tcPr>
            <w:tcW w:w="1984" w:type="dxa"/>
            <w:tcBorders>
              <w:bottom w:val="nil"/>
            </w:tcBorders>
          </w:tcPr>
          <w:p w:rsidR="00961C1A" w:rsidRDefault="007721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5.5</w:t>
            </w:r>
          </w:p>
        </w:tc>
      </w:tr>
      <w:tr w:rsidR="00961C1A">
        <w:trPr>
          <w:trHeight w:hRule="exact" w:val="510"/>
          <w:jc w:val="center"/>
        </w:trPr>
        <w:tc>
          <w:tcPr>
            <w:tcW w:w="2660" w:type="dxa"/>
            <w:tcBorders>
              <w:top w:val="nil"/>
              <w:bottom w:val="nil"/>
            </w:tcBorders>
          </w:tcPr>
          <w:p w:rsidR="00961C1A" w:rsidRDefault="00772122">
            <w:pPr>
              <w:pStyle w:val="a6"/>
              <w:spacing w:line="580" w:lineRule="exact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货物进口额</w:t>
            </w:r>
            <w:r>
              <w:rPr>
                <w:rFonts w:ascii="仿宋" w:eastAsia="仿宋" w:hAnsi="仿宋"/>
                <w:kern w:val="2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61C1A" w:rsidRDefault="007721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17.45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61C1A" w:rsidRDefault="007721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-19.3</w:t>
            </w:r>
          </w:p>
        </w:tc>
      </w:tr>
      <w:tr w:rsidR="00961C1A">
        <w:trPr>
          <w:trHeight w:hRule="exact" w:val="510"/>
          <w:jc w:val="center"/>
        </w:trPr>
        <w:tc>
          <w:tcPr>
            <w:tcW w:w="2660" w:type="dxa"/>
            <w:tcBorders>
              <w:top w:val="nil"/>
              <w:bottom w:val="nil"/>
            </w:tcBorders>
          </w:tcPr>
          <w:p w:rsidR="00961C1A" w:rsidRDefault="00772122">
            <w:pPr>
              <w:pStyle w:val="a6"/>
              <w:spacing w:line="580" w:lineRule="exact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货物出口额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61C1A" w:rsidRDefault="007721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184.45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61C1A" w:rsidRDefault="007721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8.7</w:t>
            </w:r>
          </w:p>
        </w:tc>
      </w:tr>
      <w:tr w:rsidR="00961C1A">
        <w:trPr>
          <w:trHeight w:hRule="exact" w:val="510"/>
          <w:jc w:val="center"/>
        </w:trPr>
        <w:tc>
          <w:tcPr>
            <w:tcW w:w="2660" w:type="dxa"/>
            <w:tcBorders>
              <w:top w:val="nil"/>
              <w:bottom w:val="nil"/>
            </w:tcBorders>
          </w:tcPr>
          <w:p w:rsidR="00961C1A" w:rsidRDefault="00772122">
            <w:pPr>
              <w:pStyle w:val="a6"/>
              <w:spacing w:line="580" w:lineRule="exact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其中：针纺织类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61C1A" w:rsidRDefault="007721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68.83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61C1A" w:rsidRDefault="007721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6.1</w:t>
            </w:r>
          </w:p>
        </w:tc>
      </w:tr>
      <w:tr w:rsidR="00961C1A">
        <w:trPr>
          <w:trHeight w:hRule="exact" w:val="510"/>
          <w:jc w:val="center"/>
        </w:trPr>
        <w:tc>
          <w:tcPr>
            <w:tcW w:w="2660" w:type="dxa"/>
            <w:tcBorders>
              <w:top w:val="nil"/>
              <w:bottom w:val="nil"/>
            </w:tcBorders>
          </w:tcPr>
          <w:p w:rsidR="00961C1A" w:rsidRDefault="00772122">
            <w:pPr>
              <w:pStyle w:val="a6"/>
              <w:spacing w:line="580" w:lineRule="exact"/>
              <w:ind w:firstLineChars="100" w:firstLine="280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 xml:space="preserve"> 农产品类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61C1A" w:rsidRDefault="007721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13.94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61C1A" w:rsidRDefault="007721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-16.2</w:t>
            </w:r>
          </w:p>
        </w:tc>
      </w:tr>
      <w:tr w:rsidR="00961C1A">
        <w:trPr>
          <w:trHeight w:hRule="exact" w:val="510"/>
          <w:jc w:val="center"/>
        </w:trPr>
        <w:tc>
          <w:tcPr>
            <w:tcW w:w="2660" w:type="dxa"/>
            <w:tcBorders>
              <w:top w:val="nil"/>
            </w:tcBorders>
          </w:tcPr>
          <w:p w:rsidR="00961C1A" w:rsidRDefault="00772122">
            <w:pPr>
              <w:pStyle w:val="a6"/>
              <w:spacing w:line="580" w:lineRule="exact"/>
              <w:ind w:firstLineChars="300" w:firstLine="840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机电类</w:t>
            </w:r>
            <w:r>
              <w:rPr>
                <w:rFonts w:ascii="仿宋" w:eastAsia="仿宋" w:hAnsi="仿宋"/>
                <w:kern w:val="2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</w:tcBorders>
          </w:tcPr>
          <w:p w:rsidR="00961C1A" w:rsidRDefault="007721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72.70</w:t>
            </w:r>
          </w:p>
        </w:tc>
        <w:tc>
          <w:tcPr>
            <w:tcW w:w="1984" w:type="dxa"/>
            <w:tcBorders>
              <w:top w:val="nil"/>
            </w:tcBorders>
          </w:tcPr>
          <w:p w:rsidR="00961C1A" w:rsidRDefault="007721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14.0</w:t>
            </w:r>
          </w:p>
        </w:tc>
      </w:tr>
    </w:tbl>
    <w:p w:rsidR="00961C1A" w:rsidRDefault="00961C1A">
      <w:pPr>
        <w:tabs>
          <w:tab w:val="left" w:pos="1876"/>
        </w:tabs>
        <w:rPr>
          <w:rFonts w:ascii="仿宋_GB2312" w:eastAsia="仿宋_GB2312"/>
          <w:sz w:val="32"/>
        </w:rPr>
      </w:pPr>
    </w:p>
    <w:p w:rsidR="00961C1A" w:rsidRDefault="00772122">
      <w:pPr>
        <w:tabs>
          <w:tab w:val="left" w:pos="1876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全年服务贸易进出口额26.</w:t>
      </w:r>
      <w:r>
        <w:rPr>
          <w:rFonts w:ascii="仿宋_GB2312" w:eastAsia="仿宋_GB2312"/>
          <w:sz w:val="32"/>
        </w:rPr>
        <w:t>16</w:t>
      </w:r>
      <w:r>
        <w:rPr>
          <w:rFonts w:ascii="仿宋_GB2312" w:eastAsia="仿宋_GB2312" w:hint="eastAsia"/>
          <w:sz w:val="32"/>
        </w:rPr>
        <w:t>亿元，比上年增长53%。其中，出口22.</w:t>
      </w:r>
      <w:r>
        <w:rPr>
          <w:rFonts w:ascii="仿宋_GB2312" w:eastAsia="仿宋_GB2312"/>
          <w:sz w:val="32"/>
        </w:rPr>
        <w:t>54</w:t>
      </w:r>
      <w:r>
        <w:rPr>
          <w:rFonts w:ascii="仿宋_GB2312" w:eastAsia="仿宋_GB2312" w:hint="eastAsia"/>
          <w:sz w:val="32"/>
        </w:rPr>
        <w:t>亿元，增长72%</w:t>
      </w:r>
      <w:r>
        <w:rPr>
          <w:rFonts w:ascii="仿宋_GB2312" w:eastAsia="仿宋_GB2312"/>
          <w:sz w:val="32"/>
        </w:rPr>
        <w:t>。</w:t>
      </w:r>
      <w:r>
        <w:rPr>
          <w:rFonts w:ascii="仿宋_GB2312" w:eastAsia="仿宋_GB2312"/>
          <w:sz w:val="32"/>
        </w:rPr>
        <w:t> </w:t>
      </w:r>
    </w:p>
    <w:p w:rsidR="00961C1A" w:rsidRDefault="00772122">
      <w:pPr>
        <w:tabs>
          <w:tab w:val="left" w:pos="1876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全年</w:t>
      </w:r>
      <w:r>
        <w:rPr>
          <w:rFonts w:ascii="仿宋_GB2312" w:eastAsia="仿宋_GB2312"/>
          <w:sz w:val="32"/>
        </w:rPr>
        <w:t>新批外商直接投资项目</w:t>
      </w:r>
      <w:r>
        <w:rPr>
          <w:rFonts w:ascii="仿宋_GB2312" w:eastAsia="仿宋_GB2312" w:hint="eastAsia"/>
          <w:sz w:val="32"/>
        </w:rPr>
        <w:t>23</w:t>
      </w:r>
      <w:r>
        <w:rPr>
          <w:rFonts w:ascii="仿宋_GB2312" w:eastAsia="仿宋_GB2312"/>
          <w:sz w:val="32"/>
        </w:rPr>
        <w:t>个，合同外资</w:t>
      </w:r>
      <w:r>
        <w:rPr>
          <w:rFonts w:ascii="仿宋_GB2312" w:eastAsia="仿宋_GB2312" w:hint="eastAsia"/>
          <w:sz w:val="32"/>
        </w:rPr>
        <w:t>7.61亿</w:t>
      </w:r>
      <w:r>
        <w:rPr>
          <w:rFonts w:ascii="仿宋_GB2312" w:eastAsia="仿宋_GB2312"/>
          <w:sz w:val="32"/>
        </w:rPr>
        <w:t>美元，实际利用外资</w:t>
      </w:r>
      <w:r>
        <w:rPr>
          <w:rFonts w:ascii="仿宋_GB2312" w:eastAsia="仿宋_GB2312" w:hint="eastAsia"/>
          <w:sz w:val="32"/>
        </w:rPr>
        <w:t>1.1亿</w:t>
      </w:r>
      <w:r>
        <w:rPr>
          <w:rFonts w:ascii="仿宋_GB2312" w:eastAsia="仿宋_GB2312"/>
          <w:sz w:val="32"/>
        </w:rPr>
        <w:t>美元，分别增长</w:t>
      </w:r>
      <w:r>
        <w:rPr>
          <w:rFonts w:ascii="仿宋_GB2312" w:eastAsia="仿宋_GB2312" w:hint="eastAsia"/>
          <w:sz w:val="32"/>
        </w:rPr>
        <w:t>68.5</w:t>
      </w:r>
      <w:r>
        <w:rPr>
          <w:rFonts w:ascii="仿宋_GB2312" w:eastAsia="仿宋_GB2312"/>
          <w:sz w:val="32"/>
        </w:rPr>
        <w:t>%和</w:t>
      </w:r>
      <w:r>
        <w:rPr>
          <w:rFonts w:ascii="仿宋_GB2312" w:eastAsia="仿宋_GB2312" w:hint="eastAsia"/>
          <w:sz w:val="32"/>
        </w:rPr>
        <w:t>8.8</w:t>
      </w:r>
      <w:r>
        <w:rPr>
          <w:rFonts w:ascii="仿宋_GB2312" w:eastAsia="仿宋_GB2312"/>
          <w:sz w:val="32"/>
        </w:rPr>
        <w:t>%。</w:t>
      </w:r>
      <w:r>
        <w:rPr>
          <w:rFonts w:ascii="仿宋_GB2312" w:eastAsia="仿宋_GB2312" w:hint="eastAsia"/>
          <w:sz w:val="32"/>
        </w:rPr>
        <w:t>利用内资100.35亿元，增长</w:t>
      </w:r>
      <w:r>
        <w:rPr>
          <w:rFonts w:ascii="仿宋_GB2312" w:eastAsia="仿宋_GB2312"/>
          <w:sz w:val="32"/>
        </w:rPr>
        <w:t>43</w:t>
      </w:r>
      <w:r>
        <w:rPr>
          <w:rFonts w:ascii="仿宋_GB2312" w:eastAsia="仿宋_GB2312" w:hint="eastAsia"/>
          <w:sz w:val="32"/>
        </w:rPr>
        <w:t>%，其中浙商回归资金47.21亿元，下降10.9%。境外承包工程实绩企业10家，在建项目15个，完成境外承包工程营业额3.37亿美元。</w:t>
      </w:r>
    </w:p>
    <w:p w:rsidR="00961C1A" w:rsidRDefault="00772122">
      <w:pPr>
        <w:numPr>
          <w:ilvl w:val="0"/>
          <w:numId w:val="2"/>
        </w:numPr>
        <w:tabs>
          <w:tab w:val="left" w:pos="1876"/>
        </w:tabs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bCs/>
          <w:sz w:val="32"/>
        </w:rPr>
        <w:t>旅游、交通、通讯</w:t>
      </w:r>
      <w:r>
        <w:rPr>
          <w:rFonts w:ascii="仿宋_GB2312" w:eastAsia="仿宋_GB2312"/>
          <w:b/>
          <w:bCs/>
          <w:sz w:val="32"/>
        </w:rPr>
        <w:t xml:space="preserve">　</w:t>
      </w:r>
      <w:r>
        <w:rPr>
          <w:rFonts w:ascii="仿宋_GB2312" w:eastAsia="仿宋_GB2312"/>
          <w:sz w:val="32"/>
        </w:rPr>
        <w:t xml:space="preserve">　</w:t>
      </w:r>
    </w:p>
    <w:p w:rsidR="00961C1A" w:rsidRDefault="00772122">
      <w:pPr>
        <w:tabs>
          <w:tab w:val="left" w:pos="1876"/>
        </w:tabs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全年旅游经济收入326亿元，接待游客2915万人次，分别增长18%、16.1%。景区景点门票收入3.24亿元，增长4.3%。乡村旅游接待游客795万人次，直接营业收入9.21亿元，分别增长25.6%、36.2%。</w:t>
      </w:r>
    </w:p>
    <w:p w:rsidR="00961C1A" w:rsidRDefault="00772122">
      <w:pPr>
        <w:tabs>
          <w:tab w:val="left" w:pos="1876"/>
        </w:tabs>
        <w:ind w:firstLine="640"/>
        <w:rPr>
          <w:rFonts w:ascii="仿宋_GB2312" w:eastAsia="仿宋_GB2312"/>
          <w:color w:val="FF0000"/>
          <w:sz w:val="32"/>
        </w:rPr>
      </w:pPr>
      <w:r>
        <w:rPr>
          <w:rFonts w:ascii="仿宋_GB2312" w:eastAsia="仿宋_GB2312" w:hint="eastAsia"/>
          <w:sz w:val="32"/>
        </w:rPr>
        <w:t>全年全社会货物运输量</w:t>
      </w:r>
      <w:r>
        <w:rPr>
          <w:rFonts w:ascii="仿宋_GB2312" w:eastAsia="仿宋_GB2312"/>
          <w:sz w:val="32"/>
        </w:rPr>
        <w:t>4111.4</w:t>
      </w:r>
      <w:r>
        <w:rPr>
          <w:rFonts w:ascii="仿宋_GB2312" w:eastAsia="仿宋_GB2312" w:hint="eastAsia"/>
          <w:sz w:val="32"/>
        </w:rPr>
        <w:t>万吨，增长</w:t>
      </w:r>
      <w:r>
        <w:rPr>
          <w:rFonts w:ascii="仿宋_GB2312" w:eastAsia="仿宋_GB2312"/>
          <w:sz w:val="32"/>
        </w:rPr>
        <w:t>18.1</w:t>
      </w:r>
      <w:r>
        <w:rPr>
          <w:rFonts w:ascii="仿宋_GB2312" w:eastAsia="仿宋_GB2312" w:hint="eastAsia"/>
          <w:sz w:val="32"/>
        </w:rPr>
        <w:t>%</w:t>
      </w:r>
      <w:r w:rsidR="00816CE4" w:rsidRPr="00816CE4">
        <w:rPr>
          <w:rFonts w:ascii="仿宋_GB2312" w:eastAsia="仿宋_GB2312" w:hint="eastAsia"/>
          <w:sz w:val="32"/>
        </w:rPr>
        <w:t>；</w:t>
      </w:r>
      <w:r>
        <w:rPr>
          <w:rFonts w:ascii="仿宋_GB2312" w:eastAsia="仿宋_GB2312" w:hint="eastAsia"/>
          <w:sz w:val="32"/>
        </w:rPr>
        <w:t>货物周转量</w:t>
      </w:r>
      <w:r>
        <w:rPr>
          <w:rFonts w:ascii="仿宋_GB2312" w:eastAsia="仿宋_GB2312"/>
          <w:sz w:val="32"/>
        </w:rPr>
        <w:t>405.7</w:t>
      </w:r>
      <w:r>
        <w:rPr>
          <w:rFonts w:ascii="仿宋_GB2312" w:eastAsia="仿宋_GB2312" w:hint="eastAsia"/>
          <w:sz w:val="32"/>
        </w:rPr>
        <w:t>亿吨公里，增长</w:t>
      </w:r>
      <w:r>
        <w:rPr>
          <w:rFonts w:ascii="仿宋_GB2312" w:eastAsia="仿宋_GB2312"/>
          <w:sz w:val="32"/>
        </w:rPr>
        <w:t>12.2</w:t>
      </w:r>
      <w:r>
        <w:rPr>
          <w:rFonts w:ascii="仿宋_GB2312" w:eastAsia="仿宋_GB2312" w:hint="eastAsia"/>
          <w:sz w:val="32"/>
        </w:rPr>
        <w:t>%。旅客运输量</w:t>
      </w:r>
      <w:r>
        <w:rPr>
          <w:rFonts w:ascii="仿宋_GB2312" w:eastAsia="仿宋_GB2312"/>
          <w:sz w:val="32"/>
        </w:rPr>
        <w:t>413.2</w:t>
      </w:r>
      <w:r>
        <w:rPr>
          <w:rFonts w:ascii="仿宋_GB2312" w:eastAsia="仿宋_GB2312" w:hint="eastAsia"/>
          <w:sz w:val="32"/>
        </w:rPr>
        <w:t>万人，增长</w:t>
      </w:r>
      <w:r>
        <w:rPr>
          <w:rFonts w:ascii="仿宋_GB2312" w:eastAsia="仿宋_GB2312"/>
          <w:sz w:val="32"/>
        </w:rPr>
        <w:t>5.3</w:t>
      </w:r>
      <w:r>
        <w:rPr>
          <w:rFonts w:ascii="仿宋_GB2312" w:eastAsia="仿宋_GB2312" w:hint="eastAsia"/>
          <w:sz w:val="32"/>
        </w:rPr>
        <w:t>%；旅客周转量</w:t>
      </w:r>
      <w:r>
        <w:rPr>
          <w:rFonts w:ascii="仿宋_GB2312" w:eastAsia="仿宋_GB2312"/>
          <w:sz w:val="32"/>
        </w:rPr>
        <w:t>2.18</w:t>
      </w:r>
      <w:r>
        <w:rPr>
          <w:rFonts w:ascii="仿宋_GB2312" w:eastAsia="仿宋_GB2312" w:hint="eastAsia"/>
          <w:sz w:val="32"/>
        </w:rPr>
        <w:t>亿人公里，下降</w:t>
      </w:r>
      <w:r>
        <w:rPr>
          <w:rFonts w:ascii="仿宋_GB2312" w:eastAsia="仿宋_GB2312"/>
          <w:sz w:val="32"/>
        </w:rPr>
        <w:t>14.7</w:t>
      </w:r>
      <w:r>
        <w:rPr>
          <w:rFonts w:ascii="仿宋_GB2312" w:eastAsia="仿宋_GB2312" w:hint="eastAsia"/>
          <w:sz w:val="32"/>
        </w:rPr>
        <w:t>%。年末有海洋运输船舶</w:t>
      </w:r>
      <w:r>
        <w:rPr>
          <w:rFonts w:ascii="仿宋_GB2312" w:eastAsia="仿宋_GB2312"/>
          <w:sz w:val="32"/>
        </w:rPr>
        <w:t>105</w:t>
      </w:r>
      <w:r>
        <w:rPr>
          <w:rFonts w:ascii="仿宋_GB2312" w:eastAsia="仿宋_GB2312" w:hint="eastAsia"/>
          <w:sz w:val="32"/>
        </w:rPr>
        <w:t>艘，总运力</w:t>
      </w:r>
      <w:r>
        <w:rPr>
          <w:rFonts w:ascii="仿宋_GB2312" w:eastAsia="仿宋_GB2312"/>
          <w:sz w:val="32"/>
        </w:rPr>
        <w:t>158.2</w:t>
      </w:r>
      <w:r>
        <w:rPr>
          <w:rFonts w:ascii="仿宋_GB2312" w:eastAsia="仿宋_GB2312" w:hint="eastAsia"/>
          <w:sz w:val="32"/>
        </w:rPr>
        <w:t>万吨，增长3.8%；海洋货物运输量</w:t>
      </w:r>
      <w:r>
        <w:rPr>
          <w:rFonts w:ascii="仿宋_GB2312" w:eastAsia="仿宋_GB2312"/>
          <w:sz w:val="32"/>
        </w:rPr>
        <w:t>3463.8</w:t>
      </w:r>
      <w:r>
        <w:rPr>
          <w:rFonts w:ascii="仿宋_GB2312" w:eastAsia="仿宋_GB2312" w:hint="eastAsia"/>
          <w:sz w:val="32"/>
        </w:rPr>
        <w:t>万吨，增长</w:t>
      </w:r>
      <w:r>
        <w:rPr>
          <w:rFonts w:ascii="仿宋_GB2312" w:eastAsia="仿宋_GB2312"/>
          <w:sz w:val="32"/>
        </w:rPr>
        <w:t>20.9</w:t>
      </w:r>
      <w:r>
        <w:rPr>
          <w:rFonts w:ascii="仿宋_GB2312" w:eastAsia="仿宋_GB2312" w:hint="eastAsia"/>
          <w:sz w:val="32"/>
        </w:rPr>
        <w:t>%；海洋货物周转量</w:t>
      </w:r>
      <w:r>
        <w:rPr>
          <w:rFonts w:ascii="仿宋_GB2312" w:eastAsia="仿宋_GB2312"/>
          <w:sz w:val="32"/>
        </w:rPr>
        <w:t>384.1</w:t>
      </w:r>
      <w:r>
        <w:rPr>
          <w:rFonts w:ascii="仿宋_GB2312" w:eastAsia="仿宋_GB2312" w:hint="eastAsia"/>
          <w:sz w:val="32"/>
        </w:rPr>
        <w:t>亿吨公里，增长</w:t>
      </w:r>
      <w:r>
        <w:rPr>
          <w:rFonts w:ascii="仿宋_GB2312" w:eastAsia="仿宋_GB2312"/>
          <w:sz w:val="32"/>
        </w:rPr>
        <w:t>10.8</w:t>
      </w:r>
      <w:r>
        <w:rPr>
          <w:rFonts w:ascii="仿宋_GB2312" w:eastAsia="仿宋_GB2312" w:hint="eastAsia"/>
          <w:sz w:val="32"/>
        </w:rPr>
        <w:t>%。年末全县机动车保有量1</w:t>
      </w:r>
      <w:r>
        <w:rPr>
          <w:rFonts w:ascii="仿宋_GB2312" w:eastAsia="仿宋_GB2312"/>
          <w:sz w:val="32"/>
        </w:rPr>
        <w:t>5.5</w:t>
      </w:r>
      <w:r>
        <w:rPr>
          <w:rFonts w:ascii="仿宋_GB2312" w:eastAsia="仿宋_GB2312" w:hint="eastAsia"/>
          <w:sz w:val="32"/>
        </w:rPr>
        <w:t>万辆，增长7.2%，其中９座以下私家车12</w:t>
      </w:r>
      <w:r>
        <w:rPr>
          <w:rFonts w:ascii="仿宋_GB2312" w:eastAsia="仿宋_GB2312"/>
          <w:sz w:val="32"/>
        </w:rPr>
        <w:t>.</w:t>
      </w:r>
      <w:r>
        <w:rPr>
          <w:rFonts w:ascii="仿宋_GB2312" w:eastAsia="仿宋_GB2312" w:hint="eastAsia"/>
          <w:sz w:val="32"/>
        </w:rPr>
        <w:t>8万辆，增长8.5%。全年</w:t>
      </w:r>
      <w:r>
        <w:rPr>
          <w:rFonts w:ascii="仿宋_GB2312" w:eastAsia="仿宋_GB2312"/>
          <w:sz w:val="32"/>
        </w:rPr>
        <w:t>提升改造农村公路</w:t>
      </w:r>
      <w:r>
        <w:rPr>
          <w:rFonts w:ascii="仿宋_GB2312" w:eastAsia="仿宋_GB2312" w:hint="eastAsia"/>
          <w:sz w:val="32"/>
        </w:rPr>
        <w:t>37.6公里</w:t>
      </w:r>
      <w:r>
        <w:rPr>
          <w:rFonts w:ascii="仿宋_GB2312" w:eastAsia="仿宋_GB2312"/>
          <w:sz w:val="32"/>
        </w:rPr>
        <w:t>，</w:t>
      </w:r>
      <w:r>
        <w:rPr>
          <w:rFonts w:ascii="仿宋_GB2312" w:eastAsia="仿宋_GB2312" w:hint="eastAsia"/>
          <w:sz w:val="32"/>
        </w:rPr>
        <w:t>年末公路总里程1402.</w:t>
      </w:r>
      <w:r>
        <w:rPr>
          <w:rFonts w:ascii="仿宋_GB2312" w:eastAsia="仿宋_GB2312"/>
          <w:sz w:val="32"/>
        </w:rPr>
        <w:t>6</w:t>
      </w:r>
      <w:r w:rsidR="00E10B06" w:rsidRPr="00816CE4">
        <w:rPr>
          <w:rFonts w:ascii="仿宋_GB2312" w:eastAsia="仿宋_GB2312" w:hint="eastAsia"/>
          <w:sz w:val="32"/>
        </w:rPr>
        <w:t>公</w:t>
      </w:r>
      <w:r>
        <w:rPr>
          <w:rFonts w:ascii="仿宋_GB2312" w:eastAsia="仿宋_GB2312" w:hint="eastAsia"/>
          <w:sz w:val="32"/>
        </w:rPr>
        <w:t>里。年末全县共有城市公交标准运营车辆202.5标台，城</w:t>
      </w:r>
      <w:r>
        <w:rPr>
          <w:rFonts w:ascii="仿宋_GB2312" w:eastAsia="仿宋_GB2312" w:hint="eastAsia"/>
          <w:sz w:val="32"/>
        </w:rPr>
        <w:lastRenderedPageBreak/>
        <w:t>乡公交标准运营车辆315.2 标台，出租车辆252 辆。</w:t>
      </w:r>
    </w:p>
    <w:p w:rsidR="00961C1A" w:rsidRDefault="00772122">
      <w:pPr>
        <w:tabs>
          <w:tab w:val="left" w:pos="1876"/>
        </w:tabs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年末全县城乡固定电话用户（活跃</w:t>
      </w:r>
      <w:r>
        <w:rPr>
          <w:rFonts w:ascii="仿宋_GB2312" w:eastAsia="仿宋_GB2312"/>
          <w:sz w:val="32"/>
        </w:rPr>
        <w:t>用户，下同</w:t>
      </w:r>
      <w:r>
        <w:rPr>
          <w:rFonts w:ascii="仿宋_GB2312" w:eastAsia="仿宋_GB2312" w:hint="eastAsia"/>
          <w:sz w:val="32"/>
        </w:rPr>
        <w:t>）10.5万户；</w:t>
      </w:r>
      <w:r>
        <w:rPr>
          <w:rFonts w:ascii="仿宋_GB2312" w:eastAsia="仿宋_GB2312"/>
          <w:sz w:val="32"/>
        </w:rPr>
        <w:t>移动电话用户</w:t>
      </w:r>
      <w:r>
        <w:rPr>
          <w:rFonts w:ascii="仿宋_GB2312" w:eastAsia="仿宋_GB2312" w:hint="eastAsia"/>
          <w:sz w:val="32"/>
        </w:rPr>
        <w:t>77.3</w:t>
      </w:r>
      <w:r>
        <w:rPr>
          <w:rFonts w:ascii="仿宋_GB2312" w:eastAsia="仿宋_GB2312"/>
          <w:sz w:val="32"/>
        </w:rPr>
        <w:t>万户，其中使用4G移动电话用户</w:t>
      </w:r>
      <w:r>
        <w:rPr>
          <w:rFonts w:ascii="仿宋_GB2312" w:eastAsia="仿宋_GB2312" w:hint="eastAsia"/>
          <w:sz w:val="32"/>
        </w:rPr>
        <w:t>54.9</w:t>
      </w:r>
      <w:r>
        <w:rPr>
          <w:rFonts w:ascii="仿宋_GB2312" w:eastAsia="仿宋_GB2312"/>
          <w:sz w:val="32"/>
        </w:rPr>
        <w:t>万户</w:t>
      </w:r>
      <w:r>
        <w:rPr>
          <w:rFonts w:ascii="仿宋_GB2312" w:eastAsia="仿宋_GB2312" w:hint="eastAsia"/>
          <w:sz w:val="32"/>
        </w:rPr>
        <w:t>，5G用户0.</w:t>
      </w:r>
      <w:r>
        <w:rPr>
          <w:rFonts w:ascii="仿宋_GB2312" w:eastAsia="仿宋_GB2312"/>
          <w:sz w:val="32"/>
        </w:rPr>
        <w:t>8</w:t>
      </w:r>
      <w:r>
        <w:rPr>
          <w:rFonts w:ascii="仿宋_GB2312" w:eastAsia="仿宋_GB2312" w:hint="eastAsia"/>
          <w:sz w:val="32"/>
        </w:rPr>
        <w:t>万户</w:t>
      </w:r>
      <w:r>
        <w:rPr>
          <w:rFonts w:ascii="仿宋_GB2312" w:eastAsia="仿宋_GB2312"/>
          <w:sz w:val="32"/>
        </w:rPr>
        <w:t>。固定互联网宽带接入用户</w:t>
      </w:r>
      <w:r>
        <w:rPr>
          <w:rFonts w:ascii="仿宋_GB2312" w:eastAsia="仿宋_GB2312" w:hint="eastAsia"/>
          <w:sz w:val="32"/>
        </w:rPr>
        <w:t>23.8</w:t>
      </w:r>
      <w:r>
        <w:rPr>
          <w:rFonts w:ascii="仿宋_GB2312" w:eastAsia="仿宋_GB2312"/>
          <w:sz w:val="32"/>
        </w:rPr>
        <w:t>万户。</w:t>
      </w:r>
      <w:r>
        <w:rPr>
          <w:rFonts w:ascii="仿宋_GB2312" w:eastAsia="仿宋_GB2312" w:hint="eastAsia"/>
          <w:sz w:val="32"/>
        </w:rPr>
        <w:t>全县快递业务量1174.1万件，比上年增长30.6%</w:t>
      </w:r>
      <w:r>
        <w:rPr>
          <w:rFonts w:ascii="仿宋_GB2312" w:eastAsia="仿宋_GB2312"/>
          <w:sz w:val="32"/>
        </w:rPr>
        <w:t>。</w:t>
      </w:r>
      <w:r>
        <w:rPr>
          <w:rFonts w:ascii="仿宋_GB2312" w:eastAsia="仿宋_GB2312"/>
          <w:sz w:val="32"/>
        </w:rPr>
        <w:t> </w:t>
      </w:r>
    </w:p>
    <w:p w:rsidR="00961C1A" w:rsidRDefault="00772122">
      <w:pPr>
        <w:numPr>
          <w:ilvl w:val="0"/>
          <w:numId w:val="2"/>
        </w:numPr>
        <w:tabs>
          <w:tab w:val="left" w:pos="1876"/>
        </w:tabs>
        <w:ind w:firstLine="640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金融和</w:t>
      </w:r>
      <w:r>
        <w:rPr>
          <w:rFonts w:ascii="仿宋_GB2312" w:eastAsia="仿宋_GB2312"/>
          <w:b/>
          <w:bCs/>
          <w:sz w:val="32"/>
        </w:rPr>
        <w:t>保险</w:t>
      </w:r>
    </w:p>
    <w:p w:rsidR="00961C1A" w:rsidRDefault="00772122">
      <w:pPr>
        <w:tabs>
          <w:tab w:val="left" w:pos="1876"/>
        </w:tabs>
        <w:ind w:firstLine="6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年末，全县金融机构本外币存款余额</w:t>
      </w:r>
      <w:r>
        <w:rPr>
          <w:rFonts w:ascii="仿宋_GB2312" w:eastAsia="仿宋_GB2312"/>
          <w:sz w:val="32"/>
        </w:rPr>
        <w:t>662.34</w:t>
      </w:r>
      <w:r>
        <w:rPr>
          <w:rFonts w:ascii="仿宋_GB2312" w:eastAsia="仿宋_GB2312" w:hint="eastAsia"/>
          <w:sz w:val="32"/>
        </w:rPr>
        <w:t>亿元，比上年增长14.6%，本年新增存款84.61亿元，同比多增45.49亿元。其中住户存款余额334.6亿元，增长17.1%。金融</w:t>
      </w:r>
      <w:r>
        <w:rPr>
          <w:rFonts w:ascii="仿宋_GB2312" w:eastAsia="仿宋_GB2312"/>
          <w:sz w:val="32"/>
        </w:rPr>
        <w:t>机构</w:t>
      </w:r>
      <w:r>
        <w:rPr>
          <w:rFonts w:ascii="仿宋_GB2312" w:eastAsia="仿宋_GB2312" w:hint="eastAsia"/>
          <w:sz w:val="32"/>
        </w:rPr>
        <w:t>本外币</w:t>
      </w:r>
      <w:r>
        <w:rPr>
          <w:rFonts w:ascii="仿宋_GB2312" w:eastAsia="仿宋_GB2312"/>
          <w:sz w:val="32"/>
        </w:rPr>
        <w:t>贷款余额</w:t>
      </w:r>
      <w:r>
        <w:rPr>
          <w:rFonts w:ascii="仿宋_GB2312" w:eastAsia="仿宋_GB2312" w:hint="eastAsia"/>
          <w:sz w:val="32"/>
        </w:rPr>
        <w:t>863.11亿元</w:t>
      </w:r>
      <w:r>
        <w:rPr>
          <w:rFonts w:ascii="仿宋_GB2312" w:eastAsia="仿宋_GB2312"/>
          <w:sz w:val="32"/>
        </w:rPr>
        <w:t>，增长</w:t>
      </w:r>
      <w:r>
        <w:rPr>
          <w:rFonts w:ascii="仿宋_GB2312" w:eastAsia="仿宋_GB2312" w:hint="eastAsia"/>
          <w:sz w:val="32"/>
        </w:rPr>
        <w:t>8.4%</w:t>
      </w:r>
      <w:r>
        <w:rPr>
          <w:rFonts w:ascii="仿宋_GB2312" w:eastAsia="仿宋_GB2312"/>
          <w:sz w:val="32"/>
        </w:rPr>
        <w:t>，</w:t>
      </w:r>
      <w:r>
        <w:rPr>
          <w:rFonts w:ascii="仿宋_GB2312" w:eastAsia="仿宋_GB2312" w:hint="eastAsia"/>
          <w:sz w:val="32"/>
        </w:rPr>
        <w:t>本年新增贷款66.89亿元，同比少增5.6亿元</w:t>
      </w:r>
      <w:r>
        <w:rPr>
          <w:rFonts w:ascii="仿宋_GB2312" w:eastAsia="仿宋_GB2312"/>
          <w:sz w:val="32"/>
        </w:rPr>
        <w:t>。</w:t>
      </w:r>
      <w:r>
        <w:rPr>
          <w:rFonts w:ascii="仿宋_GB2312" w:eastAsia="仿宋_GB2312" w:hint="eastAsia"/>
          <w:sz w:val="32"/>
        </w:rPr>
        <w:t>其中非金融企业及机关团体贷款余额474.28亿元，增长9.4%；住户贷款余额388.82亿元，增长7.2%。年末主要农村金融机构（农村合作金融机构、新型农村金融机构）人民币贷款余额137.59亿元，比上年末增加13.23亿元。</w:t>
      </w:r>
    </w:p>
    <w:p w:rsidR="00961C1A" w:rsidRDefault="00772122">
      <w:pPr>
        <w:tabs>
          <w:tab w:val="left" w:pos="1876"/>
        </w:tabs>
        <w:ind w:firstLine="660"/>
        <w:rPr>
          <w:rFonts w:ascii="仿宋_GB2312" w:eastAsia="仿宋_GB2312"/>
          <w:sz w:val="32"/>
        </w:rPr>
      </w:pPr>
      <w:r>
        <w:rPr>
          <w:noProof/>
        </w:rPr>
        <w:drawing>
          <wp:inline distT="0" distB="0" distL="0" distR="0">
            <wp:extent cx="4762500" cy="2476500"/>
            <wp:effectExtent l="0" t="0" r="0" b="0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61C1A" w:rsidRDefault="00961C1A">
      <w:pPr>
        <w:tabs>
          <w:tab w:val="left" w:pos="1876"/>
        </w:tabs>
        <w:ind w:firstLine="660"/>
        <w:rPr>
          <w:rFonts w:ascii="仿宋_GB2312" w:eastAsia="仿宋_GB2312"/>
          <w:sz w:val="32"/>
        </w:rPr>
      </w:pPr>
    </w:p>
    <w:p w:rsidR="00961C1A" w:rsidRDefault="00772122">
      <w:pPr>
        <w:tabs>
          <w:tab w:val="left" w:pos="1876"/>
        </w:tabs>
        <w:ind w:firstLine="660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表</w:t>
      </w:r>
      <w:r>
        <w:rPr>
          <w:rFonts w:ascii="仿宋" w:eastAsia="仿宋" w:hAnsi="仿宋"/>
          <w:b/>
          <w:sz w:val="28"/>
          <w:szCs w:val="28"/>
        </w:rPr>
        <w:t>9   2019</w:t>
      </w:r>
      <w:r>
        <w:rPr>
          <w:rFonts w:ascii="仿宋" w:eastAsia="仿宋" w:hAnsi="仿宋" w:hint="eastAsia"/>
          <w:b/>
          <w:sz w:val="28"/>
          <w:szCs w:val="28"/>
        </w:rPr>
        <w:t>年年末</w:t>
      </w:r>
      <w:r>
        <w:rPr>
          <w:rFonts w:ascii="仿宋" w:eastAsia="仿宋" w:hAnsi="仿宋"/>
          <w:b/>
          <w:sz w:val="28"/>
          <w:szCs w:val="28"/>
        </w:rPr>
        <w:t>金融机构人民币存贷款</w:t>
      </w:r>
      <w:r>
        <w:rPr>
          <w:rFonts w:ascii="仿宋" w:eastAsia="仿宋" w:hAnsi="仿宋" w:hint="eastAsia"/>
          <w:b/>
          <w:sz w:val="28"/>
          <w:szCs w:val="28"/>
        </w:rPr>
        <w:t>余额及</w:t>
      </w:r>
      <w:r>
        <w:rPr>
          <w:rFonts w:ascii="仿宋" w:eastAsia="仿宋" w:hAnsi="仿宋"/>
          <w:b/>
          <w:sz w:val="28"/>
          <w:szCs w:val="28"/>
        </w:rPr>
        <w:t>增速</w:t>
      </w:r>
    </w:p>
    <w:tbl>
      <w:tblPr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1701"/>
        <w:gridCol w:w="1585"/>
      </w:tblGrid>
      <w:tr w:rsidR="00816CE4" w:rsidRPr="00816CE4">
        <w:trPr>
          <w:trHeight w:val="750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1A" w:rsidRPr="00E10B06" w:rsidRDefault="00772122">
            <w:pPr>
              <w:widowControl/>
              <w:rPr>
                <w:rFonts w:ascii="仿宋" w:eastAsia="仿宋" w:hAnsi="仿宋" w:cs="宋体"/>
                <w:b/>
                <w:color w:val="FF0000"/>
                <w:kern w:val="0"/>
                <w:sz w:val="28"/>
                <w:szCs w:val="28"/>
              </w:rPr>
            </w:pPr>
            <w:r w:rsidRPr="00E10B06">
              <w:rPr>
                <w:rFonts w:ascii="仿宋" w:eastAsia="仿宋" w:hAnsi="仿宋" w:cs="宋体" w:hint="eastAsia"/>
                <w:b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1A" w:rsidRPr="00816CE4" w:rsidRDefault="00772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16CE4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年末余额（亿元）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1A" w:rsidRPr="00816CE4" w:rsidRDefault="00772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16CE4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比上年末增加（亿元）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1A" w:rsidRPr="00816CE4" w:rsidRDefault="00772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16CE4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比上年末增长（%）</w:t>
            </w:r>
          </w:p>
        </w:tc>
      </w:tr>
      <w:tr w:rsidR="00961C1A">
        <w:trPr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各项存款余额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655.14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84.00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14.7</w:t>
            </w:r>
          </w:p>
        </w:tc>
      </w:tr>
      <w:tr w:rsidR="00961C1A">
        <w:trPr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其中：住户存款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333.57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48.93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17.2</w:t>
            </w:r>
          </w:p>
        </w:tc>
      </w:tr>
      <w:tr w:rsidR="00961C1A">
        <w:trPr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ind w:firstLineChars="300" w:firstLine="8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非金融企业存款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223.28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14.92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7.2</w:t>
            </w:r>
          </w:p>
        </w:tc>
      </w:tr>
      <w:tr w:rsidR="00961C1A">
        <w:trPr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各项贷款余额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862.05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67.94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8.6</w:t>
            </w:r>
          </w:p>
        </w:tc>
      </w:tr>
      <w:tr w:rsidR="00961C1A">
        <w:trPr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其中：住户贷款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388.81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26.00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7.2</w:t>
            </w:r>
          </w:p>
        </w:tc>
      </w:tr>
      <w:tr w:rsidR="00961C1A">
        <w:trPr>
          <w:trHeight w:val="37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ind w:firstLineChars="300" w:firstLine="8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非金融企业及机关团体贷款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473.23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41.93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1A" w:rsidRDefault="007721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9.7</w:t>
            </w:r>
          </w:p>
        </w:tc>
      </w:tr>
    </w:tbl>
    <w:p w:rsidR="00961C1A" w:rsidRDefault="00961C1A">
      <w:pPr>
        <w:tabs>
          <w:tab w:val="left" w:pos="1876"/>
        </w:tabs>
        <w:ind w:firstLine="660"/>
        <w:rPr>
          <w:rFonts w:ascii="仿宋_GB2312" w:eastAsia="仿宋_GB2312"/>
          <w:sz w:val="32"/>
        </w:rPr>
      </w:pPr>
    </w:p>
    <w:p w:rsidR="00961C1A" w:rsidRDefault="00772122">
      <w:pPr>
        <w:tabs>
          <w:tab w:val="left" w:pos="1876"/>
        </w:tabs>
        <w:ind w:firstLine="6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年末</w:t>
      </w:r>
      <w:r>
        <w:rPr>
          <w:rFonts w:ascii="仿宋_GB2312" w:eastAsia="仿宋_GB2312"/>
          <w:sz w:val="32"/>
        </w:rPr>
        <w:t>全县共有各级保险机构</w:t>
      </w:r>
      <w:r>
        <w:rPr>
          <w:rFonts w:ascii="仿宋_GB2312" w:eastAsia="仿宋_GB2312" w:hint="eastAsia"/>
          <w:sz w:val="32"/>
        </w:rPr>
        <w:t>23家</w:t>
      </w:r>
      <w:r>
        <w:rPr>
          <w:rFonts w:ascii="仿宋_GB2312" w:eastAsia="仿宋_GB2312"/>
          <w:sz w:val="32"/>
        </w:rPr>
        <w:t>，其中财险机构</w:t>
      </w:r>
      <w:r>
        <w:rPr>
          <w:rFonts w:ascii="仿宋_GB2312" w:eastAsia="仿宋_GB2312" w:hint="eastAsia"/>
          <w:sz w:val="32"/>
        </w:rPr>
        <w:t>15家</w:t>
      </w:r>
      <w:r>
        <w:rPr>
          <w:rFonts w:ascii="仿宋_GB2312" w:eastAsia="仿宋_GB2312"/>
          <w:sz w:val="32"/>
        </w:rPr>
        <w:t>，寿险机构</w:t>
      </w:r>
      <w:r>
        <w:rPr>
          <w:rFonts w:ascii="仿宋_GB2312" w:eastAsia="仿宋_GB2312" w:hint="eastAsia"/>
          <w:sz w:val="32"/>
        </w:rPr>
        <w:t>8家</w:t>
      </w:r>
      <w:r>
        <w:rPr>
          <w:rFonts w:ascii="仿宋_GB2312" w:eastAsia="仿宋_GB2312"/>
          <w:sz w:val="32"/>
        </w:rPr>
        <w:t>。</w:t>
      </w:r>
      <w:r>
        <w:rPr>
          <w:rFonts w:ascii="仿宋_GB2312" w:eastAsia="仿宋_GB2312" w:hint="eastAsia"/>
          <w:sz w:val="32"/>
        </w:rPr>
        <w:t>全年保险业</w:t>
      </w:r>
      <w:r>
        <w:rPr>
          <w:rFonts w:ascii="仿宋_GB2312" w:eastAsia="仿宋_GB2312"/>
          <w:sz w:val="32"/>
        </w:rPr>
        <w:t>保费收入</w:t>
      </w:r>
      <w:r>
        <w:rPr>
          <w:rFonts w:ascii="仿宋_GB2312" w:eastAsia="仿宋_GB2312" w:hint="eastAsia"/>
          <w:sz w:val="32"/>
        </w:rPr>
        <w:t>14.88亿元</w:t>
      </w:r>
      <w:r>
        <w:rPr>
          <w:rFonts w:ascii="仿宋_GB2312" w:eastAsia="仿宋_GB2312"/>
          <w:sz w:val="32"/>
        </w:rPr>
        <w:t>，比上年增长</w:t>
      </w:r>
      <w:r>
        <w:rPr>
          <w:rFonts w:ascii="仿宋_GB2312" w:eastAsia="仿宋_GB2312" w:hint="eastAsia"/>
          <w:sz w:val="32"/>
        </w:rPr>
        <w:t>9</w:t>
      </w:r>
      <w:r>
        <w:rPr>
          <w:rFonts w:ascii="仿宋_GB2312" w:eastAsia="仿宋_GB2312"/>
          <w:sz w:val="32"/>
        </w:rPr>
        <w:t>.0%。其中</w:t>
      </w:r>
      <w:r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/>
          <w:sz w:val="32"/>
        </w:rPr>
        <w:t>财产险保费收入</w:t>
      </w:r>
      <w:r>
        <w:rPr>
          <w:rFonts w:ascii="仿宋_GB2312" w:eastAsia="仿宋_GB2312" w:hint="eastAsia"/>
          <w:sz w:val="32"/>
        </w:rPr>
        <w:t>6.58</w:t>
      </w:r>
      <w:r>
        <w:rPr>
          <w:rFonts w:ascii="仿宋_GB2312" w:eastAsia="仿宋_GB2312"/>
          <w:sz w:val="32"/>
        </w:rPr>
        <w:t>亿元，增长</w:t>
      </w:r>
      <w:r>
        <w:rPr>
          <w:rFonts w:ascii="仿宋_GB2312" w:eastAsia="仿宋_GB2312" w:hint="eastAsia"/>
          <w:sz w:val="32"/>
        </w:rPr>
        <w:t>11.2</w:t>
      </w:r>
      <w:r>
        <w:rPr>
          <w:rFonts w:ascii="仿宋_GB2312" w:eastAsia="仿宋_GB2312"/>
          <w:sz w:val="32"/>
        </w:rPr>
        <w:t>%，人身险保费收入</w:t>
      </w:r>
      <w:r>
        <w:rPr>
          <w:rFonts w:ascii="仿宋_GB2312" w:eastAsia="仿宋_GB2312" w:hint="eastAsia"/>
          <w:sz w:val="32"/>
        </w:rPr>
        <w:t>8.3</w:t>
      </w:r>
      <w:r>
        <w:rPr>
          <w:rFonts w:ascii="仿宋_GB2312" w:eastAsia="仿宋_GB2312"/>
          <w:sz w:val="32"/>
        </w:rPr>
        <w:t>亿元</w:t>
      </w:r>
      <w:r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/>
          <w:sz w:val="32"/>
        </w:rPr>
        <w:t>增长</w:t>
      </w:r>
      <w:r>
        <w:rPr>
          <w:rFonts w:ascii="仿宋_GB2312" w:eastAsia="仿宋_GB2312" w:hint="eastAsia"/>
          <w:sz w:val="32"/>
        </w:rPr>
        <w:t>7.3</w:t>
      </w:r>
      <w:r>
        <w:rPr>
          <w:rFonts w:ascii="仿宋_GB2312" w:eastAsia="仿宋_GB2312"/>
          <w:sz w:val="32"/>
        </w:rPr>
        <w:t>%。支付</w:t>
      </w:r>
      <w:r>
        <w:rPr>
          <w:rFonts w:ascii="仿宋_GB2312" w:eastAsia="仿宋_GB2312" w:hint="eastAsia"/>
          <w:sz w:val="32"/>
        </w:rPr>
        <w:t>各类</w:t>
      </w:r>
      <w:r>
        <w:rPr>
          <w:rFonts w:ascii="仿宋_GB2312" w:eastAsia="仿宋_GB2312"/>
          <w:sz w:val="32"/>
        </w:rPr>
        <w:t>赔款及给付</w:t>
      </w:r>
      <w:r>
        <w:rPr>
          <w:rFonts w:ascii="仿宋_GB2312" w:eastAsia="仿宋_GB2312" w:hint="eastAsia"/>
          <w:sz w:val="32"/>
        </w:rPr>
        <w:t>5.82</w:t>
      </w:r>
      <w:r>
        <w:rPr>
          <w:rFonts w:ascii="仿宋_GB2312" w:eastAsia="仿宋_GB2312"/>
          <w:sz w:val="32"/>
        </w:rPr>
        <w:t>亿元，增长</w:t>
      </w:r>
      <w:r>
        <w:rPr>
          <w:rFonts w:ascii="仿宋_GB2312" w:eastAsia="仿宋_GB2312" w:hint="eastAsia"/>
          <w:sz w:val="32"/>
        </w:rPr>
        <w:t>19.5</w:t>
      </w:r>
      <w:r>
        <w:rPr>
          <w:rFonts w:ascii="仿宋_GB2312" w:eastAsia="仿宋_GB2312"/>
          <w:sz w:val="32"/>
        </w:rPr>
        <w:t>%。其中</w:t>
      </w:r>
      <w:r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/>
          <w:sz w:val="32"/>
        </w:rPr>
        <w:t>财产险赔付支出</w:t>
      </w:r>
      <w:r>
        <w:rPr>
          <w:rFonts w:ascii="仿宋_GB2312" w:eastAsia="仿宋_GB2312" w:hint="eastAsia"/>
          <w:sz w:val="32"/>
        </w:rPr>
        <w:t>4.21</w:t>
      </w:r>
      <w:r>
        <w:rPr>
          <w:rFonts w:ascii="仿宋_GB2312" w:eastAsia="仿宋_GB2312"/>
          <w:sz w:val="32"/>
        </w:rPr>
        <w:t>亿元，人身险赔付支出</w:t>
      </w:r>
      <w:r>
        <w:rPr>
          <w:rFonts w:ascii="仿宋_GB2312" w:eastAsia="仿宋_GB2312" w:hint="eastAsia"/>
          <w:sz w:val="32"/>
        </w:rPr>
        <w:t>1.61</w:t>
      </w:r>
      <w:r>
        <w:rPr>
          <w:rFonts w:ascii="仿宋_GB2312" w:eastAsia="仿宋_GB2312"/>
          <w:sz w:val="32"/>
        </w:rPr>
        <w:t>亿元。</w:t>
      </w:r>
    </w:p>
    <w:p w:rsidR="00961C1A" w:rsidRDefault="00772122">
      <w:pPr>
        <w:tabs>
          <w:tab w:val="left" w:pos="1876"/>
        </w:tabs>
        <w:ind w:firstLineChars="200" w:firstLine="643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 xml:space="preserve">九、科技和教育 </w:t>
      </w:r>
    </w:p>
    <w:p w:rsidR="00961C1A" w:rsidRDefault="00772122">
      <w:pPr>
        <w:tabs>
          <w:tab w:val="left" w:pos="1876"/>
        </w:tabs>
        <w:ind w:firstLineChars="200" w:firstLine="640"/>
        <w:rPr>
          <w:rFonts w:ascii="仿宋_GB2312" w:eastAsia="仿宋_GB2312"/>
          <w:sz w:val="32"/>
          <w:shd w:val="pct10" w:color="auto" w:fill="FFFFFF"/>
        </w:rPr>
      </w:pPr>
      <w:r>
        <w:rPr>
          <w:rFonts w:ascii="仿宋_GB2312" w:eastAsia="仿宋_GB2312" w:hint="eastAsia"/>
          <w:sz w:val="32"/>
        </w:rPr>
        <w:t>全年新增高新技术企业22家，累计达到103家。规上工业中高新技术产业增加值64.46亿元，比上年增长9.4%。高新技术产业投资额23.8亿元，增长22.6%。全年完成技术交易额5.26亿元，增长111.4%。机械科学研究总院南方中心挂牌运作，中国电子科学研究院创新分中心开展合作研</w:t>
      </w:r>
      <w:r>
        <w:rPr>
          <w:rFonts w:ascii="仿宋_GB2312" w:eastAsia="仿宋_GB2312" w:hint="eastAsia"/>
          <w:sz w:val="32"/>
        </w:rPr>
        <w:lastRenderedPageBreak/>
        <w:t>究，中化膜研发创新中心成立，科创中心入驻企业</w:t>
      </w:r>
      <w:r>
        <w:rPr>
          <w:rFonts w:ascii="仿宋_GB2312" w:eastAsia="仿宋_GB2312"/>
          <w:sz w:val="32"/>
        </w:rPr>
        <w:t>123</w:t>
      </w:r>
      <w:r>
        <w:rPr>
          <w:rFonts w:ascii="仿宋_GB2312" w:eastAsia="仿宋_GB2312" w:hint="eastAsia"/>
          <w:sz w:val="32"/>
        </w:rPr>
        <w:t>家。新认定“浙江制造”标准4项、“品字标”企业3家</w:t>
      </w:r>
      <w:r>
        <w:rPr>
          <w:rFonts w:ascii="仿宋_GB2312" w:eastAsia="仿宋_GB2312"/>
          <w:sz w:val="32"/>
        </w:rPr>
        <w:t>，</w:t>
      </w:r>
      <w:r>
        <w:rPr>
          <w:rFonts w:ascii="仿宋_GB2312" w:eastAsia="仿宋_GB2312" w:hint="eastAsia"/>
          <w:sz w:val="32"/>
        </w:rPr>
        <w:t>新增注册商标</w:t>
      </w:r>
      <w:r>
        <w:rPr>
          <w:rFonts w:ascii="仿宋_GB2312" w:eastAsia="仿宋_GB2312"/>
          <w:sz w:val="32"/>
        </w:rPr>
        <w:t>1337</w:t>
      </w:r>
      <w:r>
        <w:rPr>
          <w:rFonts w:ascii="仿宋_GB2312" w:eastAsia="仿宋_GB2312" w:hint="eastAsia"/>
          <w:sz w:val="32"/>
        </w:rPr>
        <w:t>件。全年专利申请2296件，获得授权专利1249件，其中发明专利178件，增长71.2%。财政一般公共预算支出中科技支出3.</w:t>
      </w:r>
      <w:r>
        <w:rPr>
          <w:rFonts w:ascii="仿宋_GB2312" w:eastAsia="仿宋_GB2312"/>
          <w:sz w:val="32"/>
        </w:rPr>
        <w:t>5</w:t>
      </w:r>
      <w:r>
        <w:rPr>
          <w:rFonts w:ascii="仿宋_GB2312" w:eastAsia="仿宋_GB2312" w:hint="eastAsia"/>
          <w:sz w:val="32"/>
        </w:rPr>
        <w:t>亿元，增长5.9%。</w:t>
      </w:r>
    </w:p>
    <w:p w:rsidR="00961C1A" w:rsidRDefault="00772122">
      <w:pPr>
        <w:tabs>
          <w:tab w:val="left" w:pos="1876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年末全县共有小学2</w:t>
      </w:r>
      <w:r>
        <w:rPr>
          <w:rFonts w:ascii="仿宋_GB2312" w:eastAsia="仿宋_GB2312"/>
          <w:sz w:val="32"/>
        </w:rPr>
        <w:t>4</w:t>
      </w:r>
      <w:r>
        <w:rPr>
          <w:rFonts w:ascii="仿宋_GB2312" w:eastAsia="仿宋_GB2312" w:hint="eastAsia"/>
          <w:sz w:val="32"/>
        </w:rPr>
        <w:t>所，招生5845人；在校生3</w:t>
      </w:r>
      <w:r>
        <w:rPr>
          <w:rFonts w:ascii="仿宋_GB2312" w:eastAsia="仿宋_GB2312"/>
          <w:sz w:val="32"/>
        </w:rPr>
        <w:t>6832</w:t>
      </w:r>
      <w:r>
        <w:rPr>
          <w:rFonts w:ascii="仿宋_GB2312" w:eastAsia="仿宋_GB2312" w:hint="eastAsia"/>
          <w:sz w:val="32"/>
        </w:rPr>
        <w:t>人。小学生均校舍建筑面积11.32平方米;生均图书40.89册。共有</w:t>
      </w:r>
      <w:r>
        <w:rPr>
          <w:rFonts w:ascii="仿宋_GB2312" w:eastAsia="仿宋_GB2312"/>
          <w:sz w:val="32"/>
        </w:rPr>
        <w:t>普通</w:t>
      </w:r>
      <w:r>
        <w:rPr>
          <w:rFonts w:ascii="仿宋_GB2312" w:eastAsia="仿宋_GB2312" w:hint="eastAsia"/>
          <w:sz w:val="32"/>
        </w:rPr>
        <w:t>初中22所，招生5</w:t>
      </w:r>
      <w:r>
        <w:rPr>
          <w:rFonts w:ascii="仿宋_GB2312" w:eastAsia="仿宋_GB2312"/>
          <w:sz w:val="32"/>
        </w:rPr>
        <w:t>394</w:t>
      </w:r>
      <w:r>
        <w:rPr>
          <w:rFonts w:ascii="仿宋_GB2312" w:eastAsia="仿宋_GB2312" w:hint="eastAsia"/>
          <w:sz w:val="32"/>
        </w:rPr>
        <w:t>人；在校生1</w:t>
      </w:r>
      <w:r>
        <w:rPr>
          <w:rFonts w:ascii="仿宋_GB2312" w:eastAsia="仿宋_GB2312"/>
          <w:sz w:val="32"/>
        </w:rPr>
        <w:t>5881</w:t>
      </w:r>
      <w:r>
        <w:rPr>
          <w:rFonts w:ascii="仿宋_GB2312" w:eastAsia="仿宋_GB2312" w:hint="eastAsia"/>
          <w:sz w:val="32"/>
        </w:rPr>
        <w:t>人。初中生均校舍建筑面积13.31平方米；生均图书37.81册。普通高中6所,招生2</w:t>
      </w:r>
      <w:r>
        <w:rPr>
          <w:rFonts w:ascii="仿宋_GB2312" w:eastAsia="仿宋_GB2312"/>
          <w:sz w:val="32"/>
        </w:rPr>
        <w:t>434</w:t>
      </w:r>
      <w:r>
        <w:rPr>
          <w:rFonts w:ascii="仿宋_GB2312" w:eastAsia="仿宋_GB2312" w:hint="eastAsia"/>
          <w:sz w:val="32"/>
        </w:rPr>
        <w:t>人，在校生6</w:t>
      </w:r>
      <w:r>
        <w:rPr>
          <w:rFonts w:ascii="仿宋_GB2312" w:eastAsia="仿宋_GB2312"/>
          <w:sz w:val="32"/>
        </w:rPr>
        <w:t>724</w:t>
      </w:r>
      <w:r>
        <w:rPr>
          <w:rFonts w:ascii="仿宋_GB2312" w:eastAsia="仿宋_GB2312" w:hint="eastAsia"/>
          <w:sz w:val="32"/>
        </w:rPr>
        <w:t>人，毕业生2</w:t>
      </w:r>
      <w:r>
        <w:rPr>
          <w:rFonts w:ascii="仿宋_GB2312" w:eastAsia="仿宋_GB2312"/>
          <w:sz w:val="32"/>
        </w:rPr>
        <w:t>139</w:t>
      </w:r>
      <w:r>
        <w:rPr>
          <w:rFonts w:ascii="仿宋_GB2312" w:eastAsia="仿宋_GB2312" w:hint="eastAsia"/>
          <w:sz w:val="32"/>
        </w:rPr>
        <w:t>人。中等职业教育学校</w:t>
      </w:r>
      <w:r>
        <w:rPr>
          <w:rFonts w:ascii="仿宋_GB2312" w:eastAsia="仿宋_GB2312"/>
          <w:sz w:val="32"/>
        </w:rPr>
        <w:t>3</w:t>
      </w:r>
      <w:r>
        <w:rPr>
          <w:rFonts w:ascii="仿宋_GB2312" w:eastAsia="仿宋_GB2312" w:hint="eastAsia"/>
          <w:sz w:val="32"/>
        </w:rPr>
        <w:t>所,招生1</w:t>
      </w:r>
      <w:r>
        <w:rPr>
          <w:rFonts w:ascii="仿宋_GB2312" w:eastAsia="仿宋_GB2312"/>
          <w:sz w:val="32"/>
        </w:rPr>
        <w:t>742</w:t>
      </w:r>
      <w:r>
        <w:rPr>
          <w:rFonts w:ascii="仿宋_GB2312" w:eastAsia="仿宋_GB2312" w:hint="eastAsia"/>
          <w:sz w:val="32"/>
        </w:rPr>
        <w:t>人，在校生4</w:t>
      </w:r>
      <w:r>
        <w:rPr>
          <w:rFonts w:ascii="仿宋_GB2312" w:eastAsia="仿宋_GB2312"/>
          <w:sz w:val="32"/>
        </w:rPr>
        <w:t>635</w:t>
      </w:r>
      <w:r>
        <w:rPr>
          <w:rFonts w:ascii="仿宋_GB2312" w:eastAsia="仿宋_GB2312" w:hint="eastAsia"/>
          <w:sz w:val="32"/>
        </w:rPr>
        <w:t>人。</w:t>
      </w:r>
    </w:p>
    <w:p w:rsidR="00961C1A" w:rsidRDefault="00772122">
      <w:pPr>
        <w:tabs>
          <w:tab w:val="left" w:pos="1876"/>
        </w:tabs>
        <w:ind w:firstLineChars="200" w:firstLine="640"/>
        <w:rPr>
          <w:rFonts w:ascii="仿宋_GB2312" w:eastAsia="仿宋_GB2312"/>
          <w:color w:val="FF0000"/>
          <w:sz w:val="32"/>
        </w:rPr>
      </w:pPr>
      <w:r>
        <w:rPr>
          <w:rFonts w:ascii="仿宋_GB2312" w:eastAsia="仿宋_GB2312" w:hint="eastAsia"/>
          <w:sz w:val="32"/>
        </w:rPr>
        <w:t>全县</w:t>
      </w:r>
      <w:r>
        <w:rPr>
          <w:rFonts w:ascii="仿宋_GB2312" w:eastAsia="仿宋_GB2312"/>
          <w:sz w:val="32"/>
        </w:rPr>
        <w:t>专任教师</w:t>
      </w:r>
      <w:r>
        <w:rPr>
          <w:rFonts w:ascii="仿宋_GB2312" w:eastAsia="仿宋_GB2312" w:hint="eastAsia"/>
          <w:sz w:val="32"/>
        </w:rPr>
        <w:t>5</w:t>
      </w:r>
      <w:r>
        <w:rPr>
          <w:rFonts w:ascii="仿宋_GB2312" w:eastAsia="仿宋_GB2312"/>
          <w:sz w:val="32"/>
        </w:rPr>
        <w:t>642</w:t>
      </w:r>
      <w:r>
        <w:rPr>
          <w:rFonts w:ascii="仿宋_GB2312" w:eastAsia="仿宋_GB2312" w:hint="eastAsia"/>
          <w:sz w:val="32"/>
        </w:rPr>
        <w:t>人。其中</w:t>
      </w:r>
      <w:r>
        <w:rPr>
          <w:rFonts w:ascii="仿宋_GB2312" w:eastAsia="仿宋_GB2312"/>
          <w:sz w:val="32"/>
        </w:rPr>
        <w:t>，</w:t>
      </w:r>
      <w:r>
        <w:rPr>
          <w:rFonts w:ascii="仿宋_GB2312" w:eastAsia="仿宋_GB2312" w:hint="eastAsia"/>
          <w:sz w:val="32"/>
        </w:rPr>
        <w:t>中小学专任教师3</w:t>
      </w:r>
      <w:r>
        <w:rPr>
          <w:rFonts w:ascii="仿宋_GB2312" w:eastAsia="仿宋_GB2312"/>
          <w:sz w:val="32"/>
        </w:rPr>
        <w:t>872</w:t>
      </w:r>
      <w:r>
        <w:rPr>
          <w:rFonts w:ascii="仿宋_GB2312" w:eastAsia="仿宋_GB2312" w:hint="eastAsia"/>
          <w:sz w:val="32"/>
        </w:rPr>
        <w:t>人，中等职业教育专任教师</w:t>
      </w:r>
      <w:r>
        <w:rPr>
          <w:rFonts w:ascii="仿宋_GB2312" w:eastAsia="仿宋_GB2312"/>
          <w:sz w:val="32"/>
        </w:rPr>
        <w:t>376</w:t>
      </w:r>
      <w:r>
        <w:rPr>
          <w:rFonts w:ascii="仿宋_GB2312" w:eastAsia="仿宋_GB2312" w:hint="eastAsia"/>
          <w:sz w:val="32"/>
        </w:rPr>
        <w:t>人。</w:t>
      </w:r>
    </w:p>
    <w:p w:rsidR="00961C1A" w:rsidRDefault="00772122">
      <w:pPr>
        <w:tabs>
          <w:tab w:val="left" w:pos="1876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全县共有幼儿园83所,在园幼儿18427人。幼儿园专任教师1366人。 </w:t>
      </w:r>
    </w:p>
    <w:p w:rsidR="00961C1A" w:rsidRDefault="00772122">
      <w:pPr>
        <w:tabs>
          <w:tab w:val="left" w:pos="1876"/>
        </w:tabs>
        <w:ind w:firstLineChars="200" w:firstLine="643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十</w:t>
      </w:r>
      <w:r>
        <w:rPr>
          <w:rFonts w:ascii="仿宋_GB2312" w:eastAsia="仿宋_GB2312"/>
          <w:b/>
          <w:bCs/>
          <w:sz w:val="32"/>
        </w:rPr>
        <w:t>、文化</w:t>
      </w:r>
      <w:r>
        <w:rPr>
          <w:rFonts w:ascii="仿宋_GB2312" w:eastAsia="仿宋_GB2312" w:hint="eastAsia"/>
          <w:b/>
          <w:bCs/>
          <w:sz w:val="32"/>
        </w:rPr>
        <w:t>、卫生、</w:t>
      </w:r>
      <w:r>
        <w:rPr>
          <w:rFonts w:ascii="仿宋_GB2312" w:eastAsia="仿宋_GB2312"/>
          <w:b/>
          <w:bCs/>
          <w:sz w:val="32"/>
        </w:rPr>
        <w:t>体育</w:t>
      </w:r>
    </w:p>
    <w:p w:rsidR="00961C1A" w:rsidRDefault="00772122">
      <w:pPr>
        <w:tabs>
          <w:tab w:val="left" w:pos="1876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年末全县有县级公共图书馆1个，乡镇图书分馆18个，县级文化馆1个，乡镇文化馆分馆18个，文化站18个，县公共博物馆1个，隶属文化部门艺术表演团体12个。成功举办第22届中国（宁波象山）开渔节、第三届群众文化艺术节、第13届陈汉章读书节、庆祝中华人民共和国成立70周年系列活动。完成民生实事工程“千影百戏”2240场农村</w:t>
      </w:r>
      <w:r>
        <w:rPr>
          <w:rFonts w:ascii="仿宋_GB2312" w:eastAsia="仿宋_GB2312" w:hint="eastAsia"/>
          <w:sz w:val="32"/>
        </w:rPr>
        <w:lastRenderedPageBreak/>
        <w:t>公益电影和150场送戏进文化礼堂、举办各类文化活动3000场次。“一人一艺”公益课堂开设12类艺术公益培训班，培训人数1.5万人次。</w:t>
      </w:r>
    </w:p>
    <w:p w:rsidR="00961C1A" w:rsidRPr="0064449F" w:rsidRDefault="00772122">
      <w:pPr>
        <w:tabs>
          <w:tab w:val="left" w:pos="1876"/>
        </w:tabs>
        <w:ind w:firstLineChars="200" w:firstLine="640"/>
        <w:rPr>
          <w:rFonts w:ascii="仿宋_GB2312" w:eastAsia="仿宋_GB2312"/>
          <w:color w:val="FF0000"/>
          <w:sz w:val="32"/>
        </w:rPr>
      </w:pPr>
      <w:r>
        <w:rPr>
          <w:rFonts w:ascii="仿宋_GB2312" w:eastAsia="仿宋_GB2312" w:hint="eastAsia"/>
          <w:sz w:val="32"/>
        </w:rPr>
        <w:t>年末全县共有卫生机构</w:t>
      </w:r>
      <w:r>
        <w:rPr>
          <w:rFonts w:ascii="仿宋_GB2312" w:eastAsia="仿宋_GB2312"/>
          <w:sz w:val="32"/>
        </w:rPr>
        <w:t>309</w:t>
      </w:r>
      <w:r>
        <w:rPr>
          <w:rFonts w:ascii="仿宋_GB2312" w:eastAsia="仿宋_GB2312" w:hint="eastAsia"/>
          <w:sz w:val="32"/>
        </w:rPr>
        <w:t>个(含村卫生室）。其中，</w:t>
      </w:r>
      <w:r w:rsidR="001760E8" w:rsidRPr="001760E8">
        <w:rPr>
          <w:rFonts w:ascii="仿宋_GB2312" w:eastAsia="仿宋_GB2312" w:hint="eastAsia"/>
          <w:sz w:val="32"/>
        </w:rPr>
        <w:t>县级公立</w:t>
      </w:r>
      <w:r w:rsidR="001760E8" w:rsidRPr="001760E8">
        <w:rPr>
          <w:rFonts w:ascii="仿宋_GB2312" w:eastAsia="仿宋_GB2312"/>
          <w:sz w:val="32"/>
        </w:rPr>
        <w:t>医院</w:t>
      </w:r>
      <w:r w:rsidR="001760E8" w:rsidRPr="001760E8">
        <w:rPr>
          <w:rFonts w:ascii="仿宋_GB2312" w:eastAsia="仿宋_GB2312" w:hint="eastAsia"/>
          <w:sz w:val="32"/>
        </w:rPr>
        <w:t>5家</w:t>
      </w:r>
      <w:r w:rsidR="008669FA">
        <w:rPr>
          <w:rFonts w:ascii="仿宋_GB2312" w:eastAsia="仿宋_GB2312"/>
          <w:sz w:val="32"/>
        </w:rPr>
        <w:t>，</w:t>
      </w:r>
      <w:r>
        <w:rPr>
          <w:rFonts w:ascii="仿宋_GB2312" w:eastAsia="仿宋_GB2312" w:hint="eastAsia"/>
          <w:sz w:val="32"/>
        </w:rPr>
        <w:t>民营医院9家</w:t>
      </w:r>
      <w:r w:rsidR="008669FA"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 w:hint="eastAsia"/>
          <w:sz w:val="32"/>
        </w:rPr>
        <w:t>村卫生室180家。卫生技术人员</w:t>
      </w:r>
      <w:r>
        <w:rPr>
          <w:rFonts w:ascii="仿宋_GB2312" w:eastAsia="仿宋_GB2312"/>
          <w:sz w:val="32"/>
        </w:rPr>
        <w:t>4327</w:t>
      </w:r>
      <w:r>
        <w:rPr>
          <w:rFonts w:ascii="仿宋_GB2312" w:eastAsia="仿宋_GB2312" w:hint="eastAsia"/>
          <w:sz w:val="32"/>
        </w:rPr>
        <w:t>人，比上年末增长</w:t>
      </w:r>
      <w:r>
        <w:rPr>
          <w:rFonts w:ascii="仿宋_GB2312" w:eastAsia="仿宋_GB2312"/>
          <w:sz w:val="32"/>
        </w:rPr>
        <w:t>14.4</w:t>
      </w:r>
      <w:r>
        <w:rPr>
          <w:rFonts w:ascii="仿宋_GB2312" w:eastAsia="仿宋_GB2312" w:hint="eastAsia"/>
          <w:sz w:val="32"/>
        </w:rPr>
        <w:t>%，其中，执业（助理）医师1674人，注册护士1692人，分别增长13.7%和16%。全县医疗机构实有床位</w:t>
      </w:r>
      <w:r>
        <w:rPr>
          <w:rFonts w:ascii="仿宋_GB2312" w:eastAsia="仿宋_GB2312"/>
          <w:sz w:val="32"/>
        </w:rPr>
        <w:t>2406</w:t>
      </w:r>
      <w:r>
        <w:rPr>
          <w:rFonts w:ascii="仿宋_GB2312" w:eastAsia="仿宋_GB2312" w:hint="eastAsia"/>
          <w:sz w:val="32"/>
        </w:rPr>
        <w:t>张（不含</w:t>
      </w:r>
      <w:r>
        <w:rPr>
          <w:rFonts w:ascii="仿宋_GB2312" w:eastAsia="仿宋_GB2312"/>
          <w:sz w:val="32"/>
        </w:rPr>
        <w:t>部队医院、半边山疗养院</w:t>
      </w:r>
      <w:r>
        <w:rPr>
          <w:rFonts w:ascii="仿宋_GB2312" w:eastAsia="仿宋_GB2312" w:hint="eastAsia"/>
          <w:sz w:val="32"/>
        </w:rPr>
        <w:t>），其中县级公立医院1561张，民营医院</w:t>
      </w:r>
      <w:r>
        <w:rPr>
          <w:rFonts w:ascii="仿宋_GB2312" w:eastAsia="仿宋_GB2312"/>
          <w:sz w:val="32"/>
        </w:rPr>
        <w:t>403</w:t>
      </w:r>
      <w:r>
        <w:rPr>
          <w:rFonts w:ascii="仿宋_GB2312" w:eastAsia="仿宋_GB2312" w:hint="eastAsia"/>
          <w:sz w:val="32"/>
        </w:rPr>
        <w:t>张，乡镇卫生院</w:t>
      </w:r>
      <w:r>
        <w:rPr>
          <w:rFonts w:ascii="仿宋_GB2312" w:eastAsia="仿宋_GB2312"/>
          <w:sz w:val="32"/>
        </w:rPr>
        <w:t>342</w:t>
      </w:r>
      <w:r>
        <w:rPr>
          <w:rFonts w:ascii="仿宋_GB2312" w:eastAsia="仿宋_GB2312" w:hint="eastAsia"/>
          <w:sz w:val="32"/>
        </w:rPr>
        <w:t>张。</w:t>
      </w:r>
      <w:r w:rsidRPr="0064449F">
        <w:rPr>
          <w:rFonts w:ascii="仿宋_GB2312" w:eastAsia="仿宋_GB2312" w:hint="eastAsia"/>
          <w:sz w:val="32"/>
        </w:rPr>
        <w:t>医院全年总诊疗</w:t>
      </w:r>
      <w:r w:rsidR="0064449F" w:rsidRPr="0064449F">
        <w:rPr>
          <w:rFonts w:ascii="仿宋_GB2312" w:eastAsia="仿宋_GB2312"/>
          <w:sz w:val="32"/>
        </w:rPr>
        <w:t>53.8</w:t>
      </w:r>
      <w:r w:rsidRPr="0064449F">
        <w:rPr>
          <w:rFonts w:ascii="仿宋_GB2312" w:eastAsia="仿宋_GB2312" w:hint="eastAsia"/>
          <w:sz w:val="32"/>
        </w:rPr>
        <w:t>万人次，增长</w:t>
      </w:r>
      <w:r w:rsidR="0064449F" w:rsidRPr="0064449F">
        <w:rPr>
          <w:rFonts w:ascii="仿宋_GB2312" w:eastAsia="仿宋_GB2312"/>
          <w:sz w:val="32"/>
        </w:rPr>
        <w:t>6.5</w:t>
      </w:r>
      <w:r w:rsidRPr="0064449F">
        <w:rPr>
          <w:rFonts w:ascii="仿宋_GB2312" w:eastAsia="仿宋_GB2312" w:hint="eastAsia"/>
          <w:sz w:val="32"/>
        </w:rPr>
        <w:t>%。全县预约诊疗服务平台预约成功3.3万人次，比上年增长46.5%，新增注册用户7</w:t>
      </w:r>
      <w:r w:rsidRPr="0064449F">
        <w:rPr>
          <w:rFonts w:ascii="仿宋_GB2312" w:eastAsia="仿宋_GB2312"/>
          <w:sz w:val="32"/>
        </w:rPr>
        <w:t>785</w:t>
      </w:r>
      <w:r w:rsidRPr="0064449F">
        <w:rPr>
          <w:rFonts w:ascii="仿宋_GB2312" w:eastAsia="仿宋_GB2312" w:hint="eastAsia"/>
          <w:sz w:val="32"/>
        </w:rPr>
        <w:t>人，增长18.1%。</w:t>
      </w:r>
    </w:p>
    <w:p w:rsidR="00961C1A" w:rsidRDefault="00772122">
      <w:pPr>
        <w:tabs>
          <w:tab w:val="left" w:pos="1876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年末全县人均体育场地面积2.82平方米，经常参加体育锻炼人数（不含学生）比例为29.2%，城乡居民国民体质合格率为94.2%。有省级以上全民健身中心2个、中心村全民健身广场（体育休闲公园）16个、社区多功能运动场6个。全年销售体育彩票1.1亿元。举办县级赛事活动110次，市级赛事活动6次，省级赛事活动2次，国家级赛事活动4次。新建小康体育村升级工程15个、社区多动能运动场6个、足球场2片、游泳池2个、体育休闲公园1个，学校体育设施对外开放率98.6%。亚帆中心项目和亚运会沙滩排球场馆项目建设较快推进。</w:t>
      </w:r>
    </w:p>
    <w:p w:rsidR="00961C1A" w:rsidRDefault="00772122">
      <w:pPr>
        <w:tabs>
          <w:tab w:val="left" w:pos="1876"/>
        </w:tabs>
        <w:ind w:firstLineChars="200" w:firstLine="643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lastRenderedPageBreak/>
        <w:t>十一</w:t>
      </w:r>
      <w:r>
        <w:rPr>
          <w:rFonts w:ascii="仿宋_GB2312" w:eastAsia="仿宋_GB2312"/>
          <w:b/>
          <w:bCs/>
          <w:sz w:val="32"/>
        </w:rPr>
        <w:t>、</w:t>
      </w:r>
      <w:r>
        <w:rPr>
          <w:rFonts w:ascii="仿宋_GB2312" w:eastAsia="仿宋_GB2312" w:hint="eastAsia"/>
          <w:b/>
          <w:bCs/>
          <w:sz w:val="32"/>
        </w:rPr>
        <w:t>居</w:t>
      </w:r>
      <w:r>
        <w:rPr>
          <w:rFonts w:ascii="仿宋_GB2312" w:eastAsia="仿宋_GB2312"/>
          <w:b/>
          <w:bCs/>
          <w:sz w:val="32"/>
        </w:rPr>
        <w:t>民生活和</w:t>
      </w:r>
      <w:r>
        <w:rPr>
          <w:rFonts w:ascii="仿宋_GB2312" w:eastAsia="仿宋_GB2312" w:hint="eastAsia"/>
          <w:b/>
          <w:bCs/>
          <w:sz w:val="32"/>
        </w:rPr>
        <w:t>社会</w:t>
      </w:r>
      <w:r>
        <w:rPr>
          <w:rFonts w:ascii="仿宋_GB2312" w:eastAsia="仿宋_GB2312"/>
          <w:b/>
          <w:bCs/>
          <w:sz w:val="32"/>
        </w:rPr>
        <w:t>保障</w:t>
      </w:r>
    </w:p>
    <w:p w:rsidR="00961C1A" w:rsidRDefault="00772122">
      <w:pPr>
        <w:tabs>
          <w:tab w:val="left" w:pos="1876"/>
        </w:tabs>
        <w:ind w:firstLine="6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城乡一体化住户抽样调查,全年全县居民人均可支配收入49386元，比上年增长8.2%。按常住地分，城镇和农村居民人均可支配收入分别为58747元和33435元，增长7.4%和8.3%。全县居民人均消费支出27990元，比上年增长13.8%。按常住地分，城镇和农村居民人均消费支出分别为33457元和21367元，增长11.8%和17.5%。</w:t>
      </w:r>
    </w:p>
    <w:p w:rsidR="00961C1A" w:rsidRDefault="00772122">
      <w:pPr>
        <w:tabs>
          <w:tab w:val="left" w:pos="1876"/>
        </w:tabs>
        <w:ind w:firstLine="6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</w:p>
    <w:p w:rsidR="00961C1A" w:rsidRDefault="00772122">
      <w:pPr>
        <w:tabs>
          <w:tab w:val="left" w:pos="1876"/>
        </w:tabs>
        <w:ind w:firstLine="660"/>
        <w:rPr>
          <w:rFonts w:ascii="仿宋_GB2312" w:eastAsia="仿宋_GB2312"/>
          <w:sz w:val="32"/>
        </w:rPr>
      </w:pPr>
      <w:r>
        <w:rPr>
          <w:noProof/>
        </w:rPr>
        <w:drawing>
          <wp:inline distT="0" distB="0" distL="0" distR="0">
            <wp:extent cx="4800600" cy="2886075"/>
            <wp:effectExtent l="0" t="0" r="0" b="952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61C1A" w:rsidRDefault="00772122">
      <w:pPr>
        <w:tabs>
          <w:tab w:val="left" w:pos="1876"/>
        </w:tabs>
        <w:adjustRightInd w:val="0"/>
        <w:ind w:firstLine="658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全县企业职工基本养老保险参保25.1万人，其中在职职工16.4万人，离退休人员8.7万人</w:t>
      </w:r>
      <w:r w:rsidR="00E10B06" w:rsidRPr="00816CE4">
        <w:rPr>
          <w:rFonts w:ascii="仿宋_GB2312" w:eastAsia="仿宋_GB2312" w:hint="eastAsia"/>
          <w:sz w:val="32"/>
        </w:rPr>
        <w:t>。</w:t>
      </w:r>
      <w:r>
        <w:rPr>
          <w:rFonts w:ascii="仿宋_GB2312" w:eastAsia="仿宋_GB2312" w:hint="eastAsia"/>
          <w:sz w:val="32"/>
        </w:rPr>
        <w:t>工伤保险参保14.2万人，城乡居民养老保险参保12.5万人，其中缴费5.1万人，待遇领取7.4万人，失业保险基金参保11.3万人</w:t>
      </w:r>
      <w:r w:rsidR="00E10B06" w:rsidRPr="00816CE4">
        <w:rPr>
          <w:rFonts w:ascii="仿宋_GB2312" w:eastAsia="仿宋_GB2312" w:hint="eastAsia"/>
          <w:sz w:val="32"/>
        </w:rPr>
        <w:t>。</w:t>
      </w:r>
      <w:r>
        <w:rPr>
          <w:rFonts w:ascii="仿宋_GB2312" w:eastAsia="仿宋_GB2312" w:hint="eastAsia"/>
          <w:sz w:val="32"/>
        </w:rPr>
        <w:t>全县困难群体24456人全部纳入养老保障范围，全县本地户籍社保参保率94%。医疗保险参保人数51.7万人，其中职工医保参保19.4万人，城乡居民医保参保32.3万人</w:t>
      </w:r>
      <w:r>
        <w:rPr>
          <w:rFonts w:ascii="仿宋_GB2312" w:eastAsia="仿宋_GB2312"/>
          <w:sz w:val="32"/>
        </w:rPr>
        <w:t>。</w:t>
      </w:r>
    </w:p>
    <w:p w:rsidR="00961C1A" w:rsidRDefault="00772122">
      <w:pPr>
        <w:tabs>
          <w:tab w:val="left" w:pos="1876"/>
        </w:tabs>
        <w:adjustRightInd w:val="0"/>
        <w:ind w:firstLine="658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新建居家养老服务站点13个，区域性居家养老服务中心5个，全县累计建成居家养老服务站点484个，累计建成居家养老服务中心10个。有等级居家养老服务站370个，其中AAA级5个，AA级50个。全年新增养老机构床位516张，累计床位数6449张，每千老人拥有养老机构床位数49.7张。484个居家养老服务站与乡镇卫生院签订医养结合协议，签约率100%。全县低保对象9299人，特困人员6648人，困境儿童813人，发放社会救助资金1.1亿元，其中低保资金（含各类补贴）支出</w:t>
      </w:r>
      <w:r>
        <w:rPr>
          <w:rFonts w:ascii="仿宋_GB2312" w:eastAsia="仿宋_GB2312"/>
          <w:sz w:val="32"/>
        </w:rPr>
        <w:t>0.88</w:t>
      </w:r>
      <w:r>
        <w:rPr>
          <w:rFonts w:ascii="仿宋_GB2312" w:eastAsia="仿宋_GB2312" w:hint="eastAsia"/>
          <w:sz w:val="32"/>
        </w:rPr>
        <w:t>亿元，比上年增长11%,城乡低保资金一体化发放,平均每人每月799元。</w:t>
      </w:r>
    </w:p>
    <w:p w:rsidR="00961C1A" w:rsidRDefault="00772122">
      <w:pPr>
        <w:tabs>
          <w:tab w:val="left" w:pos="1876"/>
        </w:tabs>
        <w:adjustRightInd w:val="0"/>
        <w:ind w:firstLine="658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全年全县发行各类福利彩票1.07亿元，为国家筹集公益金3040.</w:t>
      </w:r>
      <w:r>
        <w:rPr>
          <w:rFonts w:ascii="仿宋_GB2312" w:eastAsia="仿宋_GB2312"/>
          <w:sz w:val="32"/>
        </w:rPr>
        <w:t>3</w:t>
      </w:r>
      <w:r>
        <w:rPr>
          <w:rFonts w:ascii="仿宋_GB2312" w:eastAsia="仿宋_GB2312" w:hint="eastAsia"/>
          <w:sz w:val="32"/>
        </w:rPr>
        <w:t>万元。</w:t>
      </w:r>
      <w:r>
        <w:rPr>
          <w:rFonts w:ascii="仿宋_GB2312" w:eastAsia="仿宋_GB2312"/>
          <w:sz w:val="32"/>
        </w:rPr>
        <w:t>慈善机构募集善款</w:t>
      </w:r>
      <w:r>
        <w:rPr>
          <w:rFonts w:ascii="仿宋_GB2312" w:eastAsia="仿宋_GB2312" w:hint="eastAsia"/>
          <w:sz w:val="32"/>
        </w:rPr>
        <w:t>5146.9万元</w:t>
      </w:r>
      <w:r>
        <w:rPr>
          <w:rFonts w:ascii="仿宋_GB2312" w:eastAsia="仿宋_GB2312"/>
          <w:sz w:val="32"/>
        </w:rPr>
        <w:t>，</w:t>
      </w:r>
      <w:r>
        <w:rPr>
          <w:rFonts w:ascii="仿宋_GB2312" w:eastAsia="仿宋_GB2312" w:hint="eastAsia"/>
          <w:sz w:val="32"/>
        </w:rPr>
        <w:t>增长20.2</w:t>
      </w:r>
      <w:r>
        <w:rPr>
          <w:rFonts w:ascii="仿宋_GB2312" w:eastAsia="仿宋_GB2312"/>
          <w:sz w:val="32"/>
        </w:rPr>
        <w:t>%，慈善机构救助支出</w:t>
      </w:r>
      <w:r>
        <w:rPr>
          <w:rFonts w:ascii="仿宋_GB2312" w:eastAsia="仿宋_GB2312" w:hint="eastAsia"/>
          <w:sz w:val="32"/>
        </w:rPr>
        <w:t>4737.2万元</w:t>
      </w:r>
      <w:r>
        <w:rPr>
          <w:rFonts w:ascii="仿宋_GB2312" w:eastAsia="仿宋_GB2312"/>
          <w:sz w:val="32"/>
        </w:rPr>
        <w:t>，受助人群</w:t>
      </w:r>
      <w:r>
        <w:rPr>
          <w:rFonts w:ascii="仿宋_GB2312" w:eastAsia="仿宋_GB2312" w:hint="eastAsia"/>
          <w:sz w:val="32"/>
        </w:rPr>
        <w:t>28683人次</w:t>
      </w:r>
      <w:r>
        <w:rPr>
          <w:rFonts w:ascii="仿宋_GB2312" w:eastAsia="仿宋_GB2312"/>
          <w:sz w:val="32"/>
        </w:rPr>
        <w:t>。</w:t>
      </w:r>
    </w:p>
    <w:p w:rsidR="00961C1A" w:rsidRDefault="00772122">
      <w:pPr>
        <w:tabs>
          <w:tab w:val="left" w:pos="1876"/>
        </w:tabs>
        <w:ind w:firstLineChars="200" w:firstLine="643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十二</w:t>
      </w:r>
      <w:r>
        <w:rPr>
          <w:rFonts w:ascii="仿宋_GB2312" w:eastAsia="仿宋_GB2312"/>
          <w:b/>
          <w:bCs/>
          <w:sz w:val="32"/>
        </w:rPr>
        <w:t>、</w:t>
      </w:r>
      <w:r>
        <w:rPr>
          <w:rFonts w:ascii="仿宋_GB2312" w:eastAsia="仿宋_GB2312" w:hint="eastAsia"/>
          <w:b/>
          <w:bCs/>
          <w:sz w:val="32"/>
        </w:rPr>
        <w:t>生态建设</w:t>
      </w:r>
      <w:r>
        <w:rPr>
          <w:rFonts w:ascii="仿宋_GB2312" w:eastAsia="仿宋_GB2312"/>
          <w:b/>
          <w:bCs/>
          <w:sz w:val="32"/>
        </w:rPr>
        <w:t>和社会安全</w:t>
      </w:r>
    </w:p>
    <w:p w:rsidR="00961C1A" w:rsidRDefault="00772122">
      <w:pPr>
        <w:tabs>
          <w:tab w:val="left" w:pos="1876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全年完成人工造林1674公顷。森林抚育面积5729公顷，义务植树25万株。全县森林覆盖率为56.24%（含灌木林）。完成水土流失治理面积2.2平方公里。全年平均降水量为1741毫米。 </w:t>
      </w:r>
    </w:p>
    <w:p w:rsidR="00961C1A" w:rsidRDefault="00772122">
      <w:pPr>
        <w:tabs>
          <w:tab w:val="left" w:pos="1876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全县空气PM2.5年均浓度平均为24微克/立方米，比上年下降4%；日空气质量优良天数比例为94.8%，大气环境</w:t>
      </w:r>
      <w:r>
        <w:rPr>
          <w:rFonts w:ascii="仿宋_GB2312" w:eastAsia="仿宋_GB2312"/>
          <w:sz w:val="32"/>
        </w:rPr>
        <w:t>质量优良率</w:t>
      </w:r>
      <w:r>
        <w:rPr>
          <w:rFonts w:ascii="仿宋_GB2312" w:eastAsia="仿宋_GB2312" w:hint="eastAsia"/>
          <w:sz w:val="32"/>
        </w:rPr>
        <w:t>95.1</w:t>
      </w:r>
      <w:r>
        <w:rPr>
          <w:rFonts w:ascii="仿宋_GB2312" w:eastAsia="仿宋_GB2312"/>
          <w:sz w:val="32"/>
        </w:rPr>
        <w:t>%，</w:t>
      </w:r>
      <w:r>
        <w:rPr>
          <w:rFonts w:ascii="仿宋_GB2312" w:eastAsia="仿宋_GB2312" w:hint="eastAsia"/>
          <w:sz w:val="32"/>
        </w:rPr>
        <w:t>比</w:t>
      </w:r>
      <w:r>
        <w:rPr>
          <w:rFonts w:ascii="仿宋_GB2312" w:eastAsia="仿宋_GB2312"/>
          <w:sz w:val="32"/>
        </w:rPr>
        <w:t>上年提高</w:t>
      </w:r>
      <w:r>
        <w:rPr>
          <w:rFonts w:ascii="仿宋_GB2312" w:eastAsia="仿宋_GB2312" w:hint="eastAsia"/>
          <w:sz w:val="32"/>
        </w:rPr>
        <w:t>1.9个</w:t>
      </w:r>
      <w:r>
        <w:rPr>
          <w:rFonts w:ascii="仿宋_GB2312" w:eastAsia="仿宋_GB2312"/>
          <w:sz w:val="32"/>
        </w:rPr>
        <w:t>百分点</w:t>
      </w:r>
      <w:r>
        <w:rPr>
          <w:rFonts w:ascii="仿宋_GB2312" w:eastAsia="仿宋_GB2312" w:hint="eastAsia"/>
          <w:sz w:val="32"/>
        </w:rPr>
        <w:t xml:space="preserve">。 </w:t>
      </w:r>
    </w:p>
    <w:p w:rsidR="00961C1A" w:rsidRDefault="00772122">
      <w:pPr>
        <w:tabs>
          <w:tab w:val="left" w:pos="1876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 xml:space="preserve">全县6个市控饮用水源地、9个农村千吨万人集中式饮用水源地水质达标率100%。近岸海域发现赤潮2次，累计面积约260平方千米。 </w:t>
      </w:r>
    </w:p>
    <w:p w:rsidR="00961C1A" w:rsidRDefault="00772122">
      <w:pPr>
        <w:tabs>
          <w:tab w:val="left" w:pos="1876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全年中心城区污水排放0.24亿立方米，比上年下降9.08%,城市污水处理量为0.23亿立方米，增长1.8%，城市污水处理率97.01%，比上年提高2.85个百分点。城市生活垃圾无害化处理率100%。人均公园绿地面积14.03平方米。 </w:t>
      </w:r>
    </w:p>
    <w:p w:rsidR="00961C1A" w:rsidRDefault="00772122">
      <w:pPr>
        <w:tabs>
          <w:tab w:val="left" w:pos="1876"/>
        </w:tabs>
        <w:ind w:firstLine="64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全年规模以上工业企业能源消费量比上年增长2.5%，其中千吨以上用能企业能源消费量增长2.1%。万元工业增加值能耗0.50吨标准煤，比上年下降1.1%。</w:t>
      </w:r>
    </w:p>
    <w:p w:rsidR="00961C1A" w:rsidRDefault="00772122">
      <w:pPr>
        <w:tabs>
          <w:tab w:val="left" w:pos="1876"/>
        </w:tabs>
        <w:ind w:firstLineChars="200" w:firstLine="640"/>
        <w:rPr>
          <w:rFonts w:ascii="仿宋_GB2312" w:eastAsia="仿宋_GB2312"/>
          <w:color w:val="FF0000"/>
          <w:sz w:val="32"/>
        </w:rPr>
      </w:pPr>
      <w:r>
        <w:rPr>
          <w:rFonts w:ascii="仿宋_GB2312" w:eastAsia="仿宋_GB2312" w:hint="eastAsia"/>
          <w:sz w:val="32"/>
        </w:rPr>
        <w:t>全年发生各类生产安全事故（包括工矿商贸企业、道路运输、水上交通、渔业船舶、铁路交通、海上交通事故）19起、死亡21人，比上年分别下降24%和30%。</w:t>
      </w:r>
    </w:p>
    <w:p w:rsidR="00961C1A" w:rsidRDefault="00772122">
      <w:pPr>
        <w:widowControl/>
        <w:spacing w:line="375" w:lineRule="atLeast"/>
        <w:ind w:firstLine="482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楷体" w:eastAsia="楷体" w:hAnsi="楷体" w:cs="宋体" w:hint="eastAsia"/>
          <w:b/>
          <w:bCs/>
          <w:color w:val="333333"/>
          <w:kern w:val="0"/>
          <w:sz w:val="24"/>
        </w:rPr>
        <w:t>注释：</w:t>
      </w:r>
    </w:p>
    <w:p w:rsidR="00961C1A" w:rsidRDefault="00772122">
      <w:pPr>
        <w:widowControl/>
        <w:spacing w:line="375" w:lineRule="atLeast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楷体" w:eastAsia="楷体" w:hAnsi="楷体" w:cs="宋体" w:hint="eastAsia"/>
          <w:color w:val="333333"/>
          <w:kern w:val="0"/>
          <w:sz w:val="24"/>
        </w:rPr>
        <w:t xml:space="preserve">　　[1]本公报中数据均为初步统计数。部分数据因四舍五入的原因，存在总计与分项合计不等的情况。正式数据</w:t>
      </w:r>
      <w:r>
        <w:rPr>
          <w:rFonts w:ascii="楷体" w:eastAsia="楷体" w:hAnsi="楷体" w:cs="宋体"/>
          <w:color w:val="333333"/>
          <w:kern w:val="0"/>
          <w:sz w:val="24"/>
        </w:rPr>
        <w:t>以《</w:t>
      </w:r>
      <w:r>
        <w:rPr>
          <w:rFonts w:ascii="楷体" w:eastAsia="楷体" w:hAnsi="楷体" w:cs="宋体" w:hint="eastAsia"/>
          <w:color w:val="333333"/>
          <w:kern w:val="0"/>
          <w:sz w:val="24"/>
        </w:rPr>
        <w:t>象山</w:t>
      </w:r>
      <w:r>
        <w:rPr>
          <w:rFonts w:ascii="楷体" w:eastAsia="楷体" w:hAnsi="楷体" w:cs="宋体"/>
          <w:color w:val="333333"/>
          <w:kern w:val="0"/>
          <w:sz w:val="24"/>
        </w:rPr>
        <w:t>县统计年鉴-2019</w:t>
      </w:r>
      <w:r>
        <w:rPr>
          <w:rFonts w:ascii="楷体" w:eastAsia="楷体" w:hAnsi="楷体" w:cs="宋体" w:hint="eastAsia"/>
          <w:color w:val="333333"/>
          <w:kern w:val="0"/>
          <w:sz w:val="24"/>
        </w:rPr>
        <w:t>年</w:t>
      </w:r>
      <w:r>
        <w:rPr>
          <w:rFonts w:ascii="楷体" w:eastAsia="楷体" w:hAnsi="楷体" w:cs="宋体"/>
          <w:color w:val="333333"/>
          <w:kern w:val="0"/>
          <w:sz w:val="24"/>
        </w:rPr>
        <w:t>》</w:t>
      </w:r>
      <w:r>
        <w:rPr>
          <w:rFonts w:ascii="楷体" w:eastAsia="楷体" w:hAnsi="楷体" w:cs="宋体" w:hint="eastAsia"/>
          <w:color w:val="333333"/>
          <w:kern w:val="0"/>
          <w:sz w:val="24"/>
        </w:rPr>
        <w:t>为准</w:t>
      </w:r>
      <w:r>
        <w:rPr>
          <w:rFonts w:ascii="楷体" w:eastAsia="楷体" w:hAnsi="楷体" w:cs="宋体"/>
          <w:color w:val="333333"/>
          <w:kern w:val="0"/>
          <w:sz w:val="24"/>
        </w:rPr>
        <w:t>。</w:t>
      </w:r>
    </w:p>
    <w:p w:rsidR="00961C1A" w:rsidRDefault="00772122">
      <w:pPr>
        <w:widowControl/>
        <w:spacing w:line="375" w:lineRule="atLeast"/>
        <w:ind w:firstLine="480"/>
        <w:jc w:val="left"/>
        <w:rPr>
          <w:rFonts w:ascii="楷体" w:eastAsia="楷体" w:hAnsi="楷体" w:cs="宋体"/>
          <w:color w:val="333333"/>
          <w:kern w:val="0"/>
          <w:sz w:val="24"/>
        </w:rPr>
      </w:pPr>
      <w:r>
        <w:rPr>
          <w:rFonts w:ascii="楷体" w:eastAsia="楷体" w:hAnsi="楷体" w:cs="宋体" w:hint="eastAsia"/>
          <w:color w:val="333333"/>
          <w:kern w:val="0"/>
          <w:sz w:val="24"/>
        </w:rPr>
        <w:t>[2]国内生产总值、各产业增加值、人均国内生产总值绝对数按现价计算，增长速度按可比价格计算。</w:t>
      </w:r>
    </w:p>
    <w:p w:rsidR="00961C1A" w:rsidRDefault="00772122">
      <w:pPr>
        <w:widowControl/>
        <w:spacing w:line="37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楷体" w:eastAsia="楷体" w:hAnsi="楷体" w:cs="宋体" w:hint="eastAsia"/>
          <w:color w:val="333333"/>
          <w:kern w:val="0"/>
          <w:sz w:val="24"/>
        </w:rPr>
        <w:t>[3]规模以上工业企业指年主营业务收入2000万元及以上的工业企业。限额以上批发业指年主营业务收入2000万元及以上的批发企业；限额以上零售业指年主营业务收入500万元及以上的零售企业；限额以上住宿业、餐饮业指年主营业务收入200万元及以上的住宿、餐饮企业。规模以上服务业统计范围包括年营业收入1000万元及以上，或年末从业人员50人及以上的交通运输、仓储和邮政业，信息传输、软件和信息技术服务业，房地产业（不含房地产开发经营），租赁和商务服务业，科学研究和技术服务业，水利、环境和公共设施管理业，教育，卫生和社会工作；年营业收入500万元及以上，或年末从业人员50人及以上的居民服务、修理和其他服务业，文化、体育和娱乐业法人单位。</w:t>
      </w:r>
    </w:p>
    <w:p w:rsidR="00961C1A" w:rsidRDefault="00772122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楷体" w:eastAsia="楷体" w:hAnsi="楷体" w:cs="宋体" w:hint="eastAsia"/>
          <w:color w:val="333333"/>
          <w:kern w:val="0"/>
          <w:sz w:val="24"/>
        </w:rPr>
        <w:lastRenderedPageBreak/>
        <w:t>[4]工业战略性新兴产业包括节能环保产业，新一代信息技术产业，生物产业，高端装备制造产业，新能源产业，新材料产业，新能源汽车产业等七大产业中的工业相关行业。</w:t>
      </w:r>
    </w:p>
    <w:p w:rsidR="00961C1A" w:rsidRDefault="00772122">
      <w:pPr>
        <w:widowControl/>
        <w:spacing w:line="375" w:lineRule="atLeast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楷体" w:eastAsia="楷体" w:hAnsi="楷体" w:cs="宋体" w:hint="eastAsia"/>
          <w:color w:val="333333"/>
          <w:kern w:val="0"/>
          <w:sz w:val="24"/>
        </w:rPr>
        <w:t xml:space="preserve">　　[5]高技术制造业包括医药制造业，航空、航天器及设备制造业，电子及通信设备制造业，计算机及办公设备制造业，医疗仪器设备及仪器仪表制造业，信息化学品制造业。</w:t>
      </w:r>
    </w:p>
    <w:p w:rsidR="00961C1A" w:rsidRDefault="00772122">
      <w:pPr>
        <w:widowControl/>
        <w:spacing w:line="375" w:lineRule="atLeast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楷体" w:eastAsia="楷体" w:hAnsi="楷体" w:cs="宋体" w:hint="eastAsia"/>
          <w:color w:val="333333"/>
          <w:kern w:val="0"/>
          <w:sz w:val="24"/>
        </w:rPr>
        <w:t xml:space="preserve">　　[6]装备制造业包括金属制品业，通用设备制造业，专用设备制造业，汽车制造业，铁路、船舶、航空航天和其他运输设备制造业，电气机械和器材制造业，计算机、通信和其他电子设备制造业，仪器仪表制造业。</w:t>
      </w:r>
    </w:p>
    <w:p w:rsidR="00961C1A" w:rsidRDefault="00772122">
      <w:pPr>
        <w:widowControl/>
        <w:spacing w:line="375" w:lineRule="atLeast"/>
        <w:ind w:firstLineChars="200" w:firstLine="480"/>
        <w:jc w:val="left"/>
        <w:rPr>
          <w:rFonts w:ascii="楷体" w:eastAsia="楷体" w:hAnsi="楷体" w:cs="宋体"/>
          <w:color w:val="333333"/>
          <w:kern w:val="0"/>
          <w:sz w:val="24"/>
        </w:rPr>
      </w:pPr>
      <w:r>
        <w:rPr>
          <w:rFonts w:ascii="楷体" w:eastAsia="楷体" w:hAnsi="楷体" w:cs="宋体" w:hint="eastAsia"/>
          <w:color w:val="333333"/>
          <w:kern w:val="0"/>
          <w:sz w:val="24"/>
        </w:rPr>
        <w:t>[7]工业技术改造投资是指工业企业利用新技术、新工艺、新设备、新材料对现有设施、工艺条件及生产服务等进行改造提升，实现内涵式发展的投资活动。</w:t>
      </w:r>
    </w:p>
    <w:p w:rsidR="00961C1A" w:rsidRDefault="00772122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楷体" w:eastAsia="楷体" w:hAnsi="楷体" w:cs="宋体" w:hint="eastAsia"/>
          <w:color w:val="333333"/>
          <w:kern w:val="0"/>
          <w:sz w:val="24"/>
        </w:rPr>
        <w:t>[8]民间固定资产投资是指具有集体、私营、个人性质的内资企事业单位以及由其控股（包括绝对控股和相对控股）的企业单位建造或购置固定资产的投资。</w:t>
      </w:r>
    </w:p>
    <w:p w:rsidR="00961C1A" w:rsidRDefault="00772122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楷体" w:eastAsia="楷体" w:hAnsi="楷体" w:cs="宋体" w:hint="eastAsia"/>
          <w:color w:val="333333"/>
          <w:kern w:val="0"/>
          <w:sz w:val="24"/>
        </w:rPr>
        <w:t>[9]基础设施投资包括电力、热力、燃气及水生产和供应业、交通运输、邮政业，电信、广播电视和卫星传输服务业，互联网和相关服务业，水利、环境和公共设施管理业投资。</w:t>
      </w:r>
    </w:p>
    <w:p w:rsidR="00961C1A" w:rsidRDefault="00772122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楷体" w:eastAsia="楷体" w:hAnsi="楷体" w:cs="宋体" w:hint="eastAsia"/>
          <w:color w:val="333333"/>
          <w:kern w:val="0"/>
          <w:sz w:val="24"/>
        </w:rPr>
        <w:t>[10]网上零售额是指通过公共网络交易平台（主要从事实物商品交易的网上平台，包括自建网站和第三方平台）实现的商品和服务零售额。网上零售额增速按可比口径计算。</w:t>
      </w:r>
    </w:p>
    <w:p w:rsidR="00961C1A" w:rsidRDefault="00772122">
      <w:pPr>
        <w:widowControl/>
        <w:spacing w:line="375" w:lineRule="atLeast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楷体" w:eastAsia="楷体" w:hAnsi="楷体" w:cs="宋体" w:hint="eastAsia"/>
          <w:color w:val="333333"/>
          <w:kern w:val="0"/>
          <w:sz w:val="24"/>
        </w:rPr>
        <w:t xml:space="preserve">　　[11]旅客运输总量包括公路、水运旅客运输量。近年来，随着人们出行方式的变化，居民自驾出行、网络约车及拼车人数增长较快，分流了公路客运量，导致旅客运输周转量下降。</w:t>
      </w:r>
    </w:p>
    <w:p w:rsidR="00961C1A" w:rsidRDefault="00772122">
      <w:pPr>
        <w:widowControl/>
        <w:spacing w:line="375" w:lineRule="atLeast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楷体" w:eastAsia="楷体" w:hAnsi="楷体" w:cs="宋体" w:hint="eastAsia"/>
          <w:color w:val="333333"/>
          <w:kern w:val="0"/>
          <w:sz w:val="24"/>
        </w:rPr>
        <w:t xml:space="preserve">　　[</w:t>
      </w:r>
      <w:r>
        <w:rPr>
          <w:rFonts w:ascii="楷体" w:eastAsia="楷体" w:hAnsi="楷体" w:cs="宋体"/>
          <w:color w:val="333333"/>
          <w:kern w:val="0"/>
          <w:sz w:val="24"/>
        </w:rPr>
        <w:t>1</w:t>
      </w:r>
      <w:r>
        <w:rPr>
          <w:rFonts w:ascii="楷体" w:eastAsia="楷体" w:hAnsi="楷体" w:cs="宋体" w:hint="eastAsia"/>
          <w:color w:val="333333"/>
          <w:kern w:val="0"/>
          <w:sz w:val="24"/>
        </w:rPr>
        <w:t>2]“一带一路”是指“丝绸之路经济带”和“21世纪海上丝绸之路”。</w:t>
      </w:r>
    </w:p>
    <w:p w:rsidR="00961C1A" w:rsidRDefault="00772122">
      <w:pPr>
        <w:widowControl/>
        <w:spacing w:line="375" w:lineRule="atLeast"/>
        <w:jc w:val="left"/>
      </w:pPr>
      <w:r>
        <w:rPr>
          <w:rFonts w:ascii="楷体" w:eastAsia="楷体" w:hAnsi="楷体" w:cs="宋体" w:hint="eastAsia"/>
          <w:color w:val="333333"/>
          <w:kern w:val="0"/>
          <w:sz w:val="24"/>
        </w:rPr>
        <w:t xml:space="preserve">　　[</w:t>
      </w:r>
      <w:r>
        <w:rPr>
          <w:rFonts w:ascii="楷体" w:eastAsia="楷体" w:hAnsi="楷体" w:cs="宋体"/>
          <w:color w:val="333333"/>
          <w:kern w:val="0"/>
          <w:sz w:val="24"/>
        </w:rPr>
        <w:t>1</w:t>
      </w:r>
      <w:r>
        <w:rPr>
          <w:rFonts w:ascii="楷体" w:eastAsia="楷体" w:hAnsi="楷体" w:cs="宋体" w:hint="eastAsia"/>
          <w:color w:val="333333"/>
          <w:kern w:val="0"/>
          <w:sz w:val="24"/>
        </w:rPr>
        <w:t>3]总诊疗人次指所有诊疗工作的总人次数，包括门诊、急诊、出诊、预约诊疗、单项健康检查、健康咨询指导（不含健康讲座）人次。</w:t>
      </w:r>
    </w:p>
    <w:p w:rsidR="00961C1A" w:rsidRDefault="00961C1A">
      <w:pPr>
        <w:widowControl/>
        <w:spacing w:line="375" w:lineRule="atLeast"/>
        <w:jc w:val="left"/>
      </w:pPr>
    </w:p>
    <w:sectPr w:rsidR="00961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FE9" w:rsidRDefault="00225FE9" w:rsidP="008669FA">
      <w:r>
        <w:separator/>
      </w:r>
    </w:p>
  </w:endnote>
  <w:endnote w:type="continuationSeparator" w:id="0">
    <w:p w:rsidR="00225FE9" w:rsidRDefault="00225FE9" w:rsidP="0086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瀹嬩綋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FE9" w:rsidRDefault="00225FE9" w:rsidP="008669FA">
      <w:r>
        <w:separator/>
      </w:r>
    </w:p>
  </w:footnote>
  <w:footnote w:type="continuationSeparator" w:id="0">
    <w:p w:rsidR="00225FE9" w:rsidRDefault="00225FE9" w:rsidP="0086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89778FA"/>
    <w:multiLevelType w:val="singleLevel"/>
    <w:tmpl w:val="C89778FA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 w15:restartNumberingAfterBreak="0">
    <w:nsid w:val="2E0C6970"/>
    <w:multiLevelType w:val="singleLevel"/>
    <w:tmpl w:val="2E0C697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77F1C"/>
    <w:rsid w:val="6E777F1C"/>
    <w:rsid w:val="966E3049"/>
    <w:rsid w:val="D7FEADF9"/>
    <w:rsid w:val="EF7B20FA"/>
    <w:rsid w:val="FDFE4C72"/>
    <w:rsid w:val="FFCFDCA0"/>
    <w:rsid w:val="0001007E"/>
    <w:rsid w:val="000121CF"/>
    <w:rsid w:val="00014C57"/>
    <w:rsid w:val="00015BDA"/>
    <w:rsid w:val="00015E45"/>
    <w:rsid w:val="00017B2C"/>
    <w:rsid w:val="000218F5"/>
    <w:rsid w:val="000328DF"/>
    <w:rsid w:val="000476EA"/>
    <w:rsid w:val="000513E6"/>
    <w:rsid w:val="00062F76"/>
    <w:rsid w:val="0006662F"/>
    <w:rsid w:val="00066D8A"/>
    <w:rsid w:val="00071DD1"/>
    <w:rsid w:val="0007603F"/>
    <w:rsid w:val="000933D5"/>
    <w:rsid w:val="000953BB"/>
    <w:rsid w:val="000A169C"/>
    <w:rsid w:val="000A70B9"/>
    <w:rsid w:val="000A795E"/>
    <w:rsid w:val="000D179C"/>
    <w:rsid w:val="000D26D2"/>
    <w:rsid w:val="000D2B61"/>
    <w:rsid w:val="000D488C"/>
    <w:rsid w:val="000D4FC1"/>
    <w:rsid w:val="000D6882"/>
    <w:rsid w:val="000E1F9C"/>
    <w:rsid w:val="000E35CF"/>
    <w:rsid w:val="000E37D9"/>
    <w:rsid w:val="000F0593"/>
    <w:rsid w:val="001053F2"/>
    <w:rsid w:val="00111772"/>
    <w:rsid w:val="0014176B"/>
    <w:rsid w:val="00153F34"/>
    <w:rsid w:val="00160EDC"/>
    <w:rsid w:val="00163CC7"/>
    <w:rsid w:val="001760E8"/>
    <w:rsid w:val="00187B05"/>
    <w:rsid w:val="001A187E"/>
    <w:rsid w:val="001B6353"/>
    <w:rsid w:val="001C645E"/>
    <w:rsid w:val="001C7821"/>
    <w:rsid w:val="001D037B"/>
    <w:rsid w:val="001F0EC9"/>
    <w:rsid w:val="001F23AE"/>
    <w:rsid w:val="001F73E3"/>
    <w:rsid w:val="0020663A"/>
    <w:rsid w:val="002122B5"/>
    <w:rsid w:val="00212B7A"/>
    <w:rsid w:val="00225FE9"/>
    <w:rsid w:val="002268AB"/>
    <w:rsid w:val="00245A1C"/>
    <w:rsid w:val="0024709B"/>
    <w:rsid w:val="002521F0"/>
    <w:rsid w:val="00252568"/>
    <w:rsid w:val="002603D7"/>
    <w:rsid w:val="0026181C"/>
    <w:rsid w:val="00261E83"/>
    <w:rsid w:val="002823A8"/>
    <w:rsid w:val="002A2BC8"/>
    <w:rsid w:val="002A3D61"/>
    <w:rsid w:val="002A7B35"/>
    <w:rsid w:val="002C017A"/>
    <w:rsid w:val="002C3A9C"/>
    <w:rsid w:val="002D75BB"/>
    <w:rsid w:val="002E1C0D"/>
    <w:rsid w:val="002E2755"/>
    <w:rsid w:val="002F13A7"/>
    <w:rsid w:val="0030350D"/>
    <w:rsid w:val="00310B8A"/>
    <w:rsid w:val="00311DB2"/>
    <w:rsid w:val="00317496"/>
    <w:rsid w:val="003372C3"/>
    <w:rsid w:val="003439FF"/>
    <w:rsid w:val="00343D86"/>
    <w:rsid w:val="003514A8"/>
    <w:rsid w:val="0035204B"/>
    <w:rsid w:val="003529B2"/>
    <w:rsid w:val="00357CE4"/>
    <w:rsid w:val="00363F83"/>
    <w:rsid w:val="00365A4C"/>
    <w:rsid w:val="00390D56"/>
    <w:rsid w:val="00391083"/>
    <w:rsid w:val="00392185"/>
    <w:rsid w:val="00392A9C"/>
    <w:rsid w:val="003A3D65"/>
    <w:rsid w:val="003B2C9C"/>
    <w:rsid w:val="003C48C6"/>
    <w:rsid w:val="003E2838"/>
    <w:rsid w:val="003E2BC3"/>
    <w:rsid w:val="003E5194"/>
    <w:rsid w:val="003F51A2"/>
    <w:rsid w:val="00401552"/>
    <w:rsid w:val="00406876"/>
    <w:rsid w:val="004204FB"/>
    <w:rsid w:val="0042323F"/>
    <w:rsid w:val="00434CCE"/>
    <w:rsid w:val="00476D80"/>
    <w:rsid w:val="004803D6"/>
    <w:rsid w:val="00482E02"/>
    <w:rsid w:val="00487D13"/>
    <w:rsid w:val="004B261B"/>
    <w:rsid w:val="004D779B"/>
    <w:rsid w:val="004F5EF0"/>
    <w:rsid w:val="005075A3"/>
    <w:rsid w:val="005079FD"/>
    <w:rsid w:val="00513421"/>
    <w:rsid w:val="00516BB6"/>
    <w:rsid w:val="00547AF3"/>
    <w:rsid w:val="00560B3F"/>
    <w:rsid w:val="0056136C"/>
    <w:rsid w:val="005715CF"/>
    <w:rsid w:val="0058300D"/>
    <w:rsid w:val="00596E91"/>
    <w:rsid w:val="005A0777"/>
    <w:rsid w:val="005A13C2"/>
    <w:rsid w:val="005B40BD"/>
    <w:rsid w:val="005D02E4"/>
    <w:rsid w:val="005D4C6B"/>
    <w:rsid w:val="005E09B7"/>
    <w:rsid w:val="005E176C"/>
    <w:rsid w:val="005E3E8F"/>
    <w:rsid w:val="005E531E"/>
    <w:rsid w:val="005E612A"/>
    <w:rsid w:val="006050F6"/>
    <w:rsid w:val="0064449F"/>
    <w:rsid w:val="00647636"/>
    <w:rsid w:val="006903B7"/>
    <w:rsid w:val="00691C57"/>
    <w:rsid w:val="006A0791"/>
    <w:rsid w:val="006A1D68"/>
    <w:rsid w:val="006B3BE1"/>
    <w:rsid w:val="006C28D3"/>
    <w:rsid w:val="006C5AE4"/>
    <w:rsid w:val="006E6C7D"/>
    <w:rsid w:val="006F45AA"/>
    <w:rsid w:val="00711F2E"/>
    <w:rsid w:val="00714BD6"/>
    <w:rsid w:val="00732C8D"/>
    <w:rsid w:val="00732FEB"/>
    <w:rsid w:val="00742D76"/>
    <w:rsid w:val="00754071"/>
    <w:rsid w:val="00755D48"/>
    <w:rsid w:val="00756EC4"/>
    <w:rsid w:val="00757786"/>
    <w:rsid w:val="0076168C"/>
    <w:rsid w:val="00766EDB"/>
    <w:rsid w:val="00771A98"/>
    <w:rsid w:val="00772122"/>
    <w:rsid w:val="0077248B"/>
    <w:rsid w:val="00785AB6"/>
    <w:rsid w:val="007C3A50"/>
    <w:rsid w:val="007C6DA3"/>
    <w:rsid w:val="007D3DEB"/>
    <w:rsid w:val="007E18B4"/>
    <w:rsid w:val="007F3787"/>
    <w:rsid w:val="007F5EC0"/>
    <w:rsid w:val="0080180B"/>
    <w:rsid w:val="0081400B"/>
    <w:rsid w:val="00816CE4"/>
    <w:rsid w:val="00817BBC"/>
    <w:rsid w:val="008245C3"/>
    <w:rsid w:val="00826BA8"/>
    <w:rsid w:val="00831A00"/>
    <w:rsid w:val="0083212C"/>
    <w:rsid w:val="008325C3"/>
    <w:rsid w:val="00844886"/>
    <w:rsid w:val="00846AFA"/>
    <w:rsid w:val="00850525"/>
    <w:rsid w:val="00852602"/>
    <w:rsid w:val="00852D20"/>
    <w:rsid w:val="00861A5C"/>
    <w:rsid w:val="008669FA"/>
    <w:rsid w:val="00870BFE"/>
    <w:rsid w:val="008917B3"/>
    <w:rsid w:val="00893EE8"/>
    <w:rsid w:val="00894231"/>
    <w:rsid w:val="008970D8"/>
    <w:rsid w:val="008A5BFD"/>
    <w:rsid w:val="008C136B"/>
    <w:rsid w:val="008C4C62"/>
    <w:rsid w:val="008D2DFB"/>
    <w:rsid w:val="008E4AC3"/>
    <w:rsid w:val="008F1FF7"/>
    <w:rsid w:val="00933A73"/>
    <w:rsid w:val="00955F8B"/>
    <w:rsid w:val="00961C1A"/>
    <w:rsid w:val="00962A80"/>
    <w:rsid w:val="00973168"/>
    <w:rsid w:val="009844B6"/>
    <w:rsid w:val="00993C57"/>
    <w:rsid w:val="009B18C2"/>
    <w:rsid w:val="009B4F52"/>
    <w:rsid w:val="009C5F1A"/>
    <w:rsid w:val="009D2A39"/>
    <w:rsid w:val="009D38C4"/>
    <w:rsid w:val="009E18C2"/>
    <w:rsid w:val="009F241A"/>
    <w:rsid w:val="009F7289"/>
    <w:rsid w:val="00A244C3"/>
    <w:rsid w:val="00A2565F"/>
    <w:rsid w:val="00A31312"/>
    <w:rsid w:val="00A352A3"/>
    <w:rsid w:val="00A359BA"/>
    <w:rsid w:val="00A43431"/>
    <w:rsid w:val="00A440DD"/>
    <w:rsid w:val="00A5248E"/>
    <w:rsid w:val="00A531EA"/>
    <w:rsid w:val="00A565C4"/>
    <w:rsid w:val="00A60103"/>
    <w:rsid w:val="00A73C2B"/>
    <w:rsid w:val="00A8180C"/>
    <w:rsid w:val="00A855F8"/>
    <w:rsid w:val="00A9438E"/>
    <w:rsid w:val="00AA6D3A"/>
    <w:rsid w:val="00AC1861"/>
    <w:rsid w:val="00AC305E"/>
    <w:rsid w:val="00AC4D99"/>
    <w:rsid w:val="00AD1C7B"/>
    <w:rsid w:val="00AF0AD2"/>
    <w:rsid w:val="00AF3BE1"/>
    <w:rsid w:val="00AF4593"/>
    <w:rsid w:val="00B01E1B"/>
    <w:rsid w:val="00B13C81"/>
    <w:rsid w:val="00B21E3C"/>
    <w:rsid w:val="00B259BC"/>
    <w:rsid w:val="00B370CD"/>
    <w:rsid w:val="00B45492"/>
    <w:rsid w:val="00B45E10"/>
    <w:rsid w:val="00B60E21"/>
    <w:rsid w:val="00B7374D"/>
    <w:rsid w:val="00B841A6"/>
    <w:rsid w:val="00BA19E3"/>
    <w:rsid w:val="00BB4C8D"/>
    <w:rsid w:val="00BD0B95"/>
    <w:rsid w:val="00BD0C96"/>
    <w:rsid w:val="00BD489B"/>
    <w:rsid w:val="00BD5FBC"/>
    <w:rsid w:val="00C45492"/>
    <w:rsid w:val="00C61386"/>
    <w:rsid w:val="00C653F9"/>
    <w:rsid w:val="00C71791"/>
    <w:rsid w:val="00C7634A"/>
    <w:rsid w:val="00C87BBB"/>
    <w:rsid w:val="00C919AC"/>
    <w:rsid w:val="00C956D7"/>
    <w:rsid w:val="00C96A2C"/>
    <w:rsid w:val="00CA1E72"/>
    <w:rsid w:val="00CA23FA"/>
    <w:rsid w:val="00CA35D2"/>
    <w:rsid w:val="00CC4868"/>
    <w:rsid w:val="00CD346F"/>
    <w:rsid w:val="00CD3C36"/>
    <w:rsid w:val="00CE311E"/>
    <w:rsid w:val="00CF1D04"/>
    <w:rsid w:val="00D211E7"/>
    <w:rsid w:val="00D27AA2"/>
    <w:rsid w:val="00D36B6B"/>
    <w:rsid w:val="00D42CDB"/>
    <w:rsid w:val="00D5021A"/>
    <w:rsid w:val="00D5206B"/>
    <w:rsid w:val="00D56574"/>
    <w:rsid w:val="00D572FC"/>
    <w:rsid w:val="00D71A4F"/>
    <w:rsid w:val="00D76745"/>
    <w:rsid w:val="00D94AE3"/>
    <w:rsid w:val="00DB5A0A"/>
    <w:rsid w:val="00DC028F"/>
    <w:rsid w:val="00DC072B"/>
    <w:rsid w:val="00DF4053"/>
    <w:rsid w:val="00E07513"/>
    <w:rsid w:val="00E10B06"/>
    <w:rsid w:val="00E14E1A"/>
    <w:rsid w:val="00E26EE2"/>
    <w:rsid w:val="00E372D5"/>
    <w:rsid w:val="00E47110"/>
    <w:rsid w:val="00E5493F"/>
    <w:rsid w:val="00E54C55"/>
    <w:rsid w:val="00E67F1E"/>
    <w:rsid w:val="00E834F8"/>
    <w:rsid w:val="00E84B9A"/>
    <w:rsid w:val="00E921ED"/>
    <w:rsid w:val="00E93CB8"/>
    <w:rsid w:val="00EB4375"/>
    <w:rsid w:val="00EB63F6"/>
    <w:rsid w:val="00EB7DA6"/>
    <w:rsid w:val="00ED0458"/>
    <w:rsid w:val="00EE53BA"/>
    <w:rsid w:val="00F15867"/>
    <w:rsid w:val="00F25CF1"/>
    <w:rsid w:val="00F271C2"/>
    <w:rsid w:val="00F42D41"/>
    <w:rsid w:val="00F43592"/>
    <w:rsid w:val="00F43E12"/>
    <w:rsid w:val="00F45EE0"/>
    <w:rsid w:val="00F460FD"/>
    <w:rsid w:val="00F63479"/>
    <w:rsid w:val="00F65496"/>
    <w:rsid w:val="00F70E32"/>
    <w:rsid w:val="00F851E0"/>
    <w:rsid w:val="00F94435"/>
    <w:rsid w:val="00F9619A"/>
    <w:rsid w:val="00FA2CD6"/>
    <w:rsid w:val="00FB741E"/>
    <w:rsid w:val="00FB767C"/>
    <w:rsid w:val="00FC46F4"/>
    <w:rsid w:val="00FD0B8F"/>
    <w:rsid w:val="00FD667B"/>
    <w:rsid w:val="00FD6B4E"/>
    <w:rsid w:val="00FE557D"/>
    <w:rsid w:val="00FE600A"/>
    <w:rsid w:val="00FF18A5"/>
    <w:rsid w:val="00FF7901"/>
    <w:rsid w:val="06AB0AFB"/>
    <w:rsid w:val="079A5F73"/>
    <w:rsid w:val="0B5A180C"/>
    <w:rsid w:val="2825495A"/>
    <w:rsid w:val="37E14E9D"/>
    <w:rsid w:val="39E92488"/>
    <w:rsid w:val="44D26F3F"/>
    <w:rsid w:val="4CDF68FE"/>
    <w:rsid w:val="521C3380"/>
    <w:rsid w:val="6E777F1C"/>
    <w:rsid w:val="6F921CE8"/>
    <w:rsid w:val="751573D8"/>
    <w:rsid w:val="76650365"/>
    <w:rsid w:val="7D642036"/>
    <w:rsid w:val="7FC6C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B74DF96-827A-4E19-AE8B-8252FDD3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"/>
    <w:basedOn w:val="a"/>
    <w:qFormat/>
    <w:rPr>
      <w:rFonts w:eastAsia="仿宋_GB2312"/>
      <w:sz w:val="32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32508;&#21512;&#31185;\2020\&#27010;&#35272;\&#22270;&#34920;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pitchFamily="49" charset="-122"/>
                <a:ea typeface="黑体" panose="02010609060101010101" pitchFamily="49" charset="-122"/>
                <a:cs typeface="+mn-cs"/>
              </a:defRPr>
            </a:pPr>
            <a:r>
              <a:rPr lang="zh-CN" altLang="en-US" sz="1200">
                <a:latin typeface="黑体" panose="02010609060101010101" pitchFamily="49" charset="-122"/>
                <a:ea typeface="黑体" panose="02010609060101010101" pitchFamily="49" charset="-122"/>
              </a:rPr>
              <a:t>图</a:t>
            </a:r>
            <a:r>
              <a:rPr lang="en-US" altLang="zh-CN" sz="1200">
                <a:latin typeface="黑体" panose="02010609060101010101" pitchFamily="49" charset="-122"/>
                <a:ea typeface="黑体" panose="02010609060101010101" pitchFamily="49" charset="-122"/>
              </a:rPr>
              <a:t>1   2015-2019</a:t>
            </a:r>
            <a:r>
              <a:rPr lang="zh-CN" altLang="en-US" sz="1200">
                <a:latin typeface="黑体" panose="02010609060101010101" pitchFamily="49" charset="-122"/>
                <a:ea typeface="黑体" panose="02010609060101010101" pitchFamily="49" charset="-122"/>
              </a:rPr>
              <a:t>年地区生产总值和增速</a:t>
            </a:r>
          </a:p>
        </c:rich>
      </c:tx>
      <c:layout>
        <c:manualLayout>
          <c:xMode val="edge"/>
          <c:yMode val="edge"/>
          <c:x val="0.26975466745902044"/>
          <c:y val="2.7729613383102199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地区生产总值!$B$15</c:f>
              <c:strCache>
                <c:ptCount val="1"/>
                <c:pt idx="0">
                  <c:v>地区生产总值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overflow" horzOverflow="overflow" vert="horz" wrap="square" lIns="38100" tIns="19050" rIns="38100" bIns="19050" anchor="b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地区生产总值!$A$16:$A$20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地区生产总值!$B$16:$B$20</c:f>
              <c:numCache>
                <c:formatCode>0.00_ </c:formatCode>
                <c:ptCount val="5"/>
                <c:pt idx="0">
                  <c:v>410.2</c:v>
                </c:pt>
                <c:pt idx="1">
                  <c:v>444.22</c:v>
                </c:pt>
                <c:pt idx="2">
                  <c:v>478.22</c:v>
                </c:pt>
                <c:pt idx="3">
                  <c:v>514.91999999999996</c:v>
                </c:pt>
                <c:pt idx="4">
                  <c:v>548.59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3591176"/>
        <c:axId val="409672568"/>
      </c:barChart>
      <c:lineChart>
        <c:grouping val="standard"/>
        <c:varyColors val="0"/>
        <c:ser>
          <c:idx val="1"/>
          <c:order val="1"/>
          <c:tx>
            <c:strRef>
              <c:f>地区生产总值!$C$15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地区生产总值!$A$16:$A$20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地区生产总值!$C$16:$C$20</c:f>
              <c:numCache>
                <c:formatCode>0.0_ </c:formatCode>
                <c:ptCount val="5"/>
                <c:pt idx="0">
                  <c:v>7.5</c:v>
                </c:pt>
                <c:pt idx="1">
                  <c:v>5.4</c:v>
                </c:pt>
                <c:pt idx="2">
                  <c:v>6</c:v>
                </c:pt>
                <c:pt idx="3">
                  <c:v>6.8</c:v>
                </c:pt>
                <c:pt idx="4">
                  <c:v>5.5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9674136"/>
        <c:axId val="409675312"/>
      </c:lineChart>
      <c:catAx>
        <c:axId val="313591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09672568"/>
        <c:crosses val="autoZero"/>
        <c:auto val="1"/>
        <c:lblAlgn val="ctr"/>
        <c:lblOffset val="100"/>
        <c:noMultiLvlLbl val="0"/>
      </c:catAx>
      <c:valAx>
        <c:axId val="409672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亿元</a:t>
                </a:r>
              </a:p>
            </c:rich>
          </c:tx>
          <c:layout>
            <c:manualLayout>
              <c:xMode val="edge"/>
              <c:yMode val="edge"/>
              <c:x val="0.10052414202941613"/>
              <c:y val="5.4193571824283207E-2"/>
            </c:manualLayout>
          </c:layout>
          <c:overlay val="0"/>
          <c:spPr>
            <a:noFill/>
            <a:ln w="25400">
              <a:noFill/>
            </a:ln>
          </c:spPr>
        </c:title>
        <c:numFmt formatCode="0.00_ 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13591176"/>
        <c:crosses val="autoZero"/>
        <c:crossBetween val="between"/>
      </c:valAx>
      <c:catAx>
        <c:axId val="4096741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09675312"/>
        <c:crosses val="autoZero"/>
        <c:auto val="1"/>
        <c:lblAlgn val="ctr"/>
        <c:lblOffset val="100"/>
        <c:noMultiLvlLbl val="0"/>
      </c:catAx>
      <c:valAx>
        <c:axId val="409675312"/>
        <c:scaling>
          <c:orientation val="minMax"/>
        </c:scaling>
        <c:delete val="0"/>
        <c:axPos val="r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%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90105085920863659"/>
              <c:y val="6.5301110717561686E-2"/>
            </c:manualLayout>
          </c:layout>
          <c:overlay val="0"/>
          <c:spPr>
            <a:noFill/>
            <a:ln w="25400">
              <a:noFill/>
            </a:ln>
          </c:spPr>
        </c:title>
        <c:numFmt formatCode="0.0_ 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09674136"/>
        <c:crosses val="max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>
                <a:latin typeface="黑体" panose="02010609060101010101" pitchFamily="49" charset="-122"/>
                <a:ea typeface="黑体" panose="02010609060101010101" pitchFamily="49" charset="-122"/>
              </a:rPr>
              <a:t>图</a:t>
            </a:r>
            <a:r>
              <a:rPr lang="en-US" altLang="zh-CN" sz="1200">
                <a:latin typeface="黑体" panose="02010609060101010101" pitchFamily="49" charset="-122"/>
                <a:ea typeface="黑体" panose="02010609060101010101" pitchFamily="49" charset="-122"/>
              </a:rPr>
              <a:t>2</a:t>
            </a:r>
            <a:r>
              <a:rPr lang="zh-CN" altLang="en-US" sz="1200" baseline="0">
                <a:latin typeface="黑体" panose="02010609060101010101" pitchFamily="49" charset="-122"/>
                <a:ea typeface="黑体" panose="02010609060101010101" pitchFamily="49" charset="-122"/>
              </a:rPr>
              <a:t>   </a:t>
            </a:r>
            <a:r>
              <a:rPr lang="en-US" altLang="zh-CN" sz="1200" baseline="0">
                <a:latin typeface="黑体" panose="02010609060101010101" pitchFamily="49" charset="-122"/>
                <a:ea typeface="黑体" panose="02010609060101010101" pitchFamily="49" charset="-122"/>
              </a:rPr>
              <a:t>2015-2019</a:t>
            </a:r>
            <a:r>
              <a:rPr lang="zh-CN" altLang="en-US" sz="1200" baseline="0">
                <a:latin typeface="黑体" panose="02010609060101010101" pitchFamily="49" charset="-122"/>
                <a:ea typeface="黑体" panose="02010609060101010101" pitchFamily="49" charset="-122"/>
              </a:rPr>
              <a:t>年居民消费价格指数</a:t>
            </a:r>
            <a:endParaRPr lang="en-US" altLang="zh-CN" sz="1200">
              <a:latin typeface="黑体" panose="02010609060101010101" pitchFamily="49" charset="-122"/>
              <a:ea typeface="黑体" panose="02010609060101010101" pitchFamily="49" charset="-122"/>
            </a:endParaRPr>
          </a:p>
        </c:rich>
      </c:tx>
      <c:layout>
        <c:manualLayout>
          <c:xMode val="edge"/>
          <c:yMode val="edge"/>
          <c:x val="0.23333333333333334"/>
          <c:y val="2.7777777777777776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cpi!$B$1</c:f>
              <c:strCache>
                <c:ptCount val="1"/>
                <c:pt idx="0">
                  <c:v>CPI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cpi!$A$2:$A$6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cpi!$B$2:$B$6</c:f>
              <c:numCache>
                <c:formatCode>General</c:formatCode>
                <c:ptCount val="5"/>
                <c:pt idx="0">
                  <c:v>100.7</c:v>
                </c:pt>
                <c:pt idx="1">
                  <c:v>101.6</c:v>
                </c:pt>
                <c:pt idx="2">
                  <c:v>100.9</c:v>
                </c:pt>
                <c:pt idx="3">
                  <c:v>102.1</c:v>
                </c:pt>
                <c:pt idx="4">
                  <c:v>103.1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9671000"/>
        <c:axId val="409671392"/>
      </c:lineChart>
      <c:catAx>
        <c:axId val="409671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09671392"/>
        <c:crosses val="autoZero"/>
        <c:auto val="1"/>
        <c:lblAlgn val="ctr"/>
        <c:lblOffset val="100"/>
        <c:noMultiLvlLbl val="0"/>
      </c:catAx>
      <c:valAx>
        <c:axId val="409671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%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8.3333333333333329E-2"/>
              <c:y val="6.731882473024206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096710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+mn-cs"/>
              </a:defRPr>
            </a:pPr>
            <a:r>
              <a:rPr lang="zh-CN" altLang="en-US" sz="1200" b="0">
                <a:latin typeface="黑体" panose="02010609060101010101" charset="-122"/>
                <a:ea typeface="黑体" panose="02010609060101010101" charset="-122"/>
              </a:rPr>
              <a:t>图</a:t>
            </a:r>
            <a:r>
              <a:rPr lang="en-US" altLang="zh-CN" sz="1200" b="0">
                <a:latin typeface="黑体" panose="02010609060101010101" charset="-122"/>
                <a:ea typeface="黑体" panose="02010609060101010101" charset="-122"/>
              </a:rPr>
              <a:t>3   2015-2019</a:t>
            </a:r>
            <a:r>
              <a:rPr lang="zh-CN" altLang="en-US" sz="1200" b="0">
                <a:latin typeface="黑体" panose="02010609060101010101" charset="-122"/>
                <a:ea typeface="黑体" panose="02010609060101010101" charset="-122"/>
              </a:rPr>
              <a:t>年财政收入和支出</a:t>
            </a:r>
          </a:p>
        </c:rich>
      </c:tx>
      <c:layout>
        <c:manualLayout>
          <c:xMode val="edge"/>
          <c:yMode val="edge"/>
          <c:x val="0.34346906123035997"/>
          <c:y val="3.31463983668707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黑体" panose="02010609060101010101" charset="-122"/>
              <a:ea typeface="黑体" panose="02010609060101010101" charset="-122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财政收支!$B$1</c:f>
              <c:strCache>
                <c:ptCount val="1"/>
                <c:pt idx="0">
                  <c:v>财政总收入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财政收支!$A$2:$A$6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财政收支!$B$2:$B$6</c:f>
              <c:numCache>
                <c:formatCode>General</c:formatCode>
                <c:ptCount val="5"/>
                <c:pt idx="0">
                  <c:v>61.4</c:v>
                </c:pt>
                <c:pt idx="1">
                  <c:v>62.61</c:v>
                </c:pt>
                <c:pt idx="2">
                  <c:v>67.19</c:v>
                </c:pt>
                <c:pt idx="3">
                  <c:v>71.28</c:v>
                </c:pt>
                <c:pt idx="4">
                  <c:v>76.88</c:v>
                </c:pt>
              </c:numCache>
            </c:numRef>
          </c:val>
        </c:ser>
        <c:ser>
          <c:idx val="1"/>
          <c:order val="1"/>
          <c:tx>
            <c:strRef>
              <c:f>财政收支!$C$1</c:f>
              <c:strCache>
                <c:ptCount val="1"/>
                <c:pt idx="0">
                  <c:v>一般公共预算支出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财政收支!$A$2:$A$6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财政收支!$C$2:$C$6</c:f>
              <c:numCache>
                <c:formatCode>General</c:formatCode>
                <c:ptCount val="5"/>
                <c:pt idx="0">
                  <c:v>61.31</c:v>
                </c:pt>
                <c:pt idx="1">
                  <c:v>61.37</c:v>
                </c:pt>
                <c:pt idx="2">
                  <c:v>70.27</c:v>
                </c:pt>
                <c:pt idx="3">
                  <c:v>68.66</c:v>
                </c:pt>
                <c:pt idx="4">
                  <c:v>77.459999999999994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7076992"/>
        <c:axId val="407076600"/>
      </c:barChart>
      <c:catAx>
        <c:axId val="407076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07076600"/>
        <c:crosses val="autoZero"/>
        <c:auto val="1"/>
        <c:lblAlgn val="ctr"/>
        <c:lblOffset val="100"/>
        <c:noMultiLvlLbl val="0"/>
      </c:catAx>
      <c:valAx>
        <c:axId val="407076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亿元</a:t>
                </a:r>
              </a:p>
            </c:rich>
          </c:tx>
          <c:layout>
            <c:manualLayout>
              <c:xMode val="edge"/>
              <c:yMode val="edge"/>
              <c:x val="0.18122958263734973"/>
              <c:y val="4.8036109744094488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070769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+mn-cs"/>
              </a:defRPr>
            </a:pPr>
            <a:r>
              <a:rPr lang="zh-CN" altLang="en-US" sz="1200">
                <a:latin typeface="黑体" panose="02010609060101010101" charset="-122"/>
                <a:ea typeface="黑体" panose="02010609060101010101" charset="-122"/>
              </a:rPr>
              <a:t>图</a:t>
            </a:r>
            <a:r>
              <a:rPr lang="en-US" altLang="zh-CN" sz="1200">
                <a:latin typeface="黑体" panose="02010609060101010101" charset="-122"/>
                <a:ea typeface="黑体" panose="02010609060101010101" charset="-122"/>
              </a:rPr>
              <a:t>4</a:t>
            </a:r>
            <a:r>
              <a:rPr lang="en-US" altLang="zh-CN" sz="1200" baseline="0">
                <a:latin typeface="黑体" panose="02010609060101010101" charset="-122"/>
                <a:ea typeface="黑体" panose="02010609060101010101" charset="-122"/>
              </a:rPr>
              <a:t>   </a:t>
            </a:r>
            <a:r>
              <a:rPr lang="en-US" altLang="zh-CN" sz="1200">
                <a:latin typeface="黑体" panose="02010609060101010101" charset="-122"/>
                <a:ea typeface="黑体" panose="02010609060101010101" charset="-122"/>
              </a:rPr>
              <a:t>2015-2019</a:t>
            </a:r>
            <a:r>
              <a:rPr lang="zh-CN" altLang="en-US" sz="1200">
                <a:latin typeface="黑体" panose="02010609060101010101" charset="-122"/>
                <a:ea typeface="黑体" panose="02010609060101010101" charset="-122"/>
              </a:rPr>
              <a:t>年固定资产投资增速</a:t>
            </a:r>
          </a:p>
        </c:rich>
      </c:tx>
      <c:layout>
        <c:manualLayout>
          <c:xMode val="edge"/>
          <c:yMode val="edge"/>
          <c:x val="0.27183648061691401"/>
          <c:y val="2.584079067267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黑体" panose="02010609060101010101" charset="-122"/>
              <a:ea typeface="黑体" panose="02010609060101010101" charset="-122"/>
              <a:cs typeface="+mn-cs"/>
            </a:defRPr>
          </a:pPr>
          <a:endParaRPr lang="zh-CN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tz!$A$29:$A$33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tz!$B$29:$B$33</c:f>
              <c:numCache>
                <c:formatCode>0.0_ </c:formatCode>
                <c:ptCount val="5"/>
                <c:pt idx="0">
                  <c:v>-13.6</c:v>
                </c:pt>
                <c:pt idx="1">
                  <c:v>11.4</c:v>
                </c:pt>
                <c:pt idx="2">
                  <c:v>10.8</c:v>
                </c:pt>
                <c:pt idx="3">
                  <c:v>25.4</c:v>
                </c:pt>
                <c:pt idx="4">
                  <c:v>16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07077384"/>
        <c:axId val="407077776"/>
      </c:lineChart>
      <c:catAx>
        <c:axId val="407077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07077776"/>
        <c:crosses val="autoZero"/>
        <c:auto val="1"/>
        <c:lblAlgn val="ctr"/>
        <c:lblOffset val="100"/>
        <c:noMultiLvlLbl val="0"/>
      </c:catAx>
      <c:valAx>
        <c:axId val="407077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%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7.6671637284277505E-2"/>
              <c:y val="5.091427369798359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07077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+mn-cs"/>
              </a:defRPr>
            </a:pPr>
            <a:r>
              <a:rPr lang="zh-CN" altLang="en-US" sz="1200">
                <a:latin typeface="黑体" panose="02010609060101010101" charset="-122"/>
                <a:ea typeface="黑体" panose="02010609060101010101" charset="-122"/>
              </a:rPr>
              <a:t>图</a:t>
            </a:r>
            <a:r>
              <a:rPr lang="en-US" altLang="zh-CN" sz="1200">
                <a:latin typeface="黑体" panose="02010609060101010101" charset="-122"/>
                <a:ea typeface="黑体" panose="02010609060101010101" charset="-122"/>
              </a:rPr>
              <a:t>5   2015-2019</a:t>
            </a:r>
            <a:r>
              <a:rPr lang="zh-CN" altLang="en-US" sz="1200">
                <a:latin typeface="黑体" panose="02010609060101010101" charset="-122"/>
                <a:ea typeface="黑体" panose="02010609060101010101" charset="-122"/>
              </a:rPr>
              <a:t>年社会消费品零售总额和增速</a:t>
            </a:r>
          </a:p>
        </c:rich>
      </c:tx>
      <c:layout>
        <c:manualLayout>
          <c:xMode val="edge"/>
          <c:yMode val="edge"/>
          <c:x val="0.19132269788921699"/>
          <c:y val="2.56410256410255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黑体" panose="02010609060101010101" charset="-122"/>
              <a:ea typeface="黑体" panose="02010609060101010101" charset="-122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社会消费品零售总额增速!$B$1</c:f>
              <c:strCache>
                <c:ptCount val="1"/>
                <c:pt idx="0">
                  <c:v>社会消费品零售总额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社会消费品零售总额增速!$A$2:$A$6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社会消费品零售总额增速!$B$2:$B$6</c:f>
              <c:numCache>
                <c:formatCode>General</c:formatCode>
                <c:ptCount val="5"/>
                <c:pt idx="0">
                  <c:v>154.72</c:v>
                </c:pt>
                <c:pt idx="1">
                  <c:v>171.08</c:v>
                </c:pt>
                <c:pt idx="2">
                  <c:v>191.25</c:v>
                </c:pt>
                <c:pt idx="3">
                  <c:v>211.87</c:v>
                </c:pt>
                <c:pt idx="4">
                  <c:v>232.47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58223352"/>
        <c:axId val="458223744"/>
      </c:barChart>
      <c:lineChart>
        <c:grouping val="standard"/>
        <c:varyColors val="0"/>
        <c:ser>
          <c:idx val="1"/>
          <c:order val="1"/>
          <c:tx>
            <c:strRef>
              <c:f>社会消费品零售总额增速!$C$1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社会消费品零售总额增速!$A$2:$A$6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社会消费品零售总额增速!$C$2:$C$6</c:f>
              <c:numCache>
                <c:formatCode>General</c:formatCode>
                <c:ptCount val="5"/>
                <c:pt idx="0">
                  <c:v>12.5</c:v>
                </c:pt>
                <c:pt idx="1">
                  <c:v>10.6</c:v>
                </c:pt>
                <c:pt idx="2">
                  <c:v>11.8</c:v>
                </c:pt>
                <c:pt idx="3">
                  <c:v>11.2</c:v>
                </c:pt>
                <c:pt idx="4">
                  <c:v>9.6999999999999993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58224136"/>
        <c:axId val="458224528"/>
      </c:lineChart>
      <c:catAx>
        <c:axId val="458223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58223744"/>
        <c:crosses val="autoZero"/>
        <c:auto val="1"/>
        <c:lblAlgn val="ctr"/>
        <c:lblOffset val="100"/>
        <c:noMultiLvlLbl val="0"/>
      </c:catAx>
      <c:valAx>
        <c:axId val="458223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亿元</a:t>
                </a:r>
              </a:p>
            </c:rich>
          </c:tx>
          <c:layout>
            <c:manualLayout>
              <c:xMode val="edge"/>
              <c:yMode val="edge"/>
              <c:x val="8.6997722479078901E-2"/>
              <c:y val="5.133151625277609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58223352"/>
        <c:crosses val="autoZero"/>
        <c:crossBetween val="between"/>
      </c:valAx>
      <c:catAx>
        <c:axId val="4582241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58224528"/>
        <c:crosses val="autoZero"/>
        <c:auto val="1"/>
        <c:lblAlgn val="ctr"/>
        <c:lblOffset val="100"/>
        <c:noMultiLvlLbl val="0"/>
      </c:catAx>
      <c:valAx>
        <c:axId val="458224528"/>
        <c:scaling>
          <c:orientation val="minMax"/>
        </c:scaling>
        <c:delete val="0"/>
        <c:axPos val="r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%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90294268326679605"/>
              <c:y val="4.854196110101619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5822413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+mn-cs"/>
              </a:defRPr>
            </a:pPr>
            <a:r>
              <a:rPr lang="zh-CN" altLang="en-US" sz="1200">
                <a:latin typeface="黑体" panose="02010609060101010101" charset="-122"/>
                <a:ea typeface="黑体" panose="02010609060101010101" charset="-122"/>
              </a:rPr>
              <a:t>图</a:t>
            </a:r>
            <a:r>
              <a:rPr lang="en-US" altLang="zh-CN" sz="1200">
                <a:latin typeface="黑体" panose="02010609060101010101" charset="-122"/>
                <a:ea typeface="黑体" panose="02010609060101010101" charset="-122"/>
              </a:rPr>
              <a:t>6</a:t>
            </a:r>
            <a:r>
              <a:rPr lang="en-US" altLang="zh-CN" sz="1200" baseline="0">
                <a:latin typeface="黑体" panose="02010609060101010101" charset="-122"/>
                <a:ea typeface="黑体" panose="02010609060101010101" charset="-122"/>
              </a:rPr>
              <a:t>   </a:t>
            </a:r>
            <a:r>
              <a:rPr lang="en-US" altLang="zh-CN" sz="1200">
                <a:latin typeface="黑体" panose="02010609060101010101" charset="-122"/>
                <a:ea typeface="黑体" panose="02010609060101010101" charset="-122"/>
              </a:rPr>
              <a:t>2015-2019</a:t>
            </a:r>
            <a:r>
              <a:rPr lang="zh-CN" altLang="en-US" sz="1200">
                <a:latin typeface="黑体" panose="02010609060101010101" charset="-122"/>
                <a:ea typeface="黑体" panose="02010609060101010101" charset="-122"/>
              </a:rPr>
              <a:t>年末本外币存贷款余额</a:t>
            </a:r>
          </a:p>
        </c:rich>
      </c:tx>
      <c:layout>
        <c:manualLayout>
          <c:xMode val="edge"/>
          <c:yMode val="edge"/>
          <c:x val="0.245770778652668"/>
          <c:y val="2.77777777777778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黑体" panose="02010609060101010101" charset="-122"/>
              <a:ea typeface="黑体" panose="02010609060101010101" charset="-122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存贷款!$B$1</c:f>
              <c:strCache>
                <c:ptCount val="1"/>
                <c:pt idx="0">
                  <c:v>本外币存款余额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存贷款!$A$2:$A$6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存贷款!$B$2:$B$6</c:f>
              <c:numCache>
                <c:formatCode>General</c:formatCode>
                <c:ptCount val="5"/>
                <c:pt idx="0">
                  <c:v>462.58</c:v>
                </c:pt>
                <c:pt idx="1">
                  <c:v>524.97</c:v>
                </c:pt>
                <c:pt idx="2">
                  <c:v>538.62</c:v>
                </c:pt>
                <c:pt idx="3">
                  <c:v>577.73</c:v>
                </c:pt>
                <c:pt idx="4">
                  <c:v>662.34</c:v>
                </c:pt>
              </c:numCache>
            </c:numRef>
          </c:val>
        </c:ser>
        <c:ser>
          <c:idx val="1"/>
          <c:order val="1"/>
          <c:tx>
            <c:strRef>
              <c:f>存贷款!$C$1</c:f>
              <c:strCache>
                <c:ptCount val="1"/>
                <c:pt idx="0">
                  <c:v>本外币贷款余额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存贷款!$A$2:$A$6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存贷款!$C$2:$C$6</c:f>
              <c:numCache>
                <c:formatCode>General</c:formatCode>
                <c:ptCount val="5"/>
                <c:pt idx="0">
                  <c:v>645.82000000000005</c:v>
                </c:pt>
                <c:pt idx="1">
                  <c:v>670.09</c:v>
                </c:pt>
                <c:pt idx="2">
                  <c:v>723.74</c:v>
                </c:pt>
                <c:pt idx="3">
                  <c:v>796.22</c:v>
                </c:pt>
                <c:pt idx="4">
                  <c:v>863.11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58225312"/>
        <c:axId val="405118056"/>
      </c:barChart>
      <c:catAx>
        <c:axId val="458225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05118056"/>
        <c:crosses val="autoZero"/>
        <c:auto val="1"/>
        <c:lblAlgn val="ctr"/>
        <c:lblOffset val="100"/>
        <c:noMultiLvlLbl val="0"/>
      </c:catAx>
      <c:valAx>
        <c:axId val="405118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亿元</a:t>
                </a:r>
              </a:p>
            </c:rich>
          </c:tx>
          <c:layout>
            <c:manualLayout>
              <c:xMode val="edge"/>
              <c:yMode val="edge"/>
              <c:x val="9.6115065616797904E-2"/>
              <c:y val="6.3405208964264104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58225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>
                <a:latin typeface="黑体" panose="02010609060101010101" charset="-122"/>
                <a:ea typeface="黑体" panose="02010609060101010101" charset="-122"/>
              </a:rPr>
              <a:t>图</a:t>
            </a:r>
            <a:r>
              <a:rPr lang="en-US" altLang="zh-CN" sz="1200">
                <a:latin typeface="黑体" panose="02010609060101010101" charset="-122"/>
                <a:ea typeface="黑体" panose="02010609060101010101" charset="-122"/>
              </a:rPr>
              <a:t>7</a:t>
            </a:r>
            <a:r>
              <a:rPr lang="zh-CN" altLang="en-US" sz="1200">
                <a:latin typeface="黑体" panose="02010609060101010101" charset="-122"/>
                <a:ea typeface="黑体" panose="02010609060101010101" charset="-122"/>
              </a:rPr>
              <a:t>   </a:t>
            </a:r>
            <a:r>
              <a:rPr lang="en-US" altLang="zh-CN" sz="1200">
                <a:latin typeface="黑体" panose="02010609060101010101" charset="-122"/>
                <a:ea typeface="黑体" panose="02010609060101010101" charset="-122"/>
              </a:rPr>
              <a:t>2015-2019</a:t>
            </a:r>
            <a:r>
              <a:rPr lang="zh-CN" altLang="en-US" sz="1200">
                <a:latin typeface="黑体" panose="02010609060101010101" charset="-122"/>
                <a:ea typeface="黑体" panose="02010609060101010101" charset="-122"/>
              </a:rPr>
              <a:t>年城乡居民人均可支配收入及增速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居民收支!$B$8</c:f>
              <c:strCache>
                <c:ptCount val="1"/>
                <c:pt idx="0">
                  <c:v>城镇居民人均可支配收入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居民收支!$A$9:$A$13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居民收支!$B$9:$B$13</c:f>
              <c:numCache>
                <c:formatCode>General</c:formatCode>
                <c:ptCount val="5"/>
                <c:pt idx="0">
                  <c:v>43565</c:v>
                </c:pt>
                <c:pt idx="1">
                  <c:v>46836</c:v>
                </c:pt>
                <c:pt idx="2">
                  <c:v>50677</c:v>
                </c:pt>
                <c:pt idx="3">
                  <c:v>54706</c:v>
                </c:pt>
                <c:pt idx="4">
                  <c:v>58747</c:v>
                </c:pt>
              </c:numCache>
            </c:numRef>
          </c:val>
        </c:ser>
        <c:ser>
          <c:idx val="2"/>
          <c:order val="2"/>
          <c:tx>
            <c:strRef>
              <c:f>居民收支!$D$8</c:f>
              <c:strCache>
                <c:ptCount val="1"/>
                <c:pt idx="0">
                  <c:v>农村居民人均可支配收入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居民收支!$A$9:$A$13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居民收支!$D$9:$D$13</c:f>
              <c:numCache>
                <c:formatCode>0.0_ </c:formatCode>
                <c:ptCount val="5"/>
                <c:pt idx="0">
                  <c:v>24228</c:v>
                </c:pt>
                <c:pt idx="1">
                  <c:v>26113</c:v>
                </c:pt>
                <c:pt idx="2">
                  <c:v>28385</c:v>
                </c:pt>
                <c:pt idx="3">
                  <c:v>30882</c:v>
                </c:pt>
                <c:pt idx="4">
                  <c:v>33435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05114920"/>
        <c:axId val="405117664"/>
      </c:barChart>
      <c:lineChart>
        <c:grouping val="standard"/>
        <c:varyColors val="0"/>
        <c:ser>
          <c:idx val="1"/>
          <c:order val="1"/>
          <c:tx>
            <c:strRef>
              <c:f>居民收支!$C$8</c:f>
              <c:strCache>
                <c:ptCount val="1"/>
                <c:pt idx="0">
                  <c:v>城镇居民人均可支配收入增速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居民收支!$A$9:$A$13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居民收支!$C$9:$C$13</c:f>
              <c:numCache>
                <c:formatCode>0.0_ </c:formatCode>
                <c:ptCount val="5"/>
                <c:pt idx="0">
                  <c:v>8.4</c:v>
                </c:pt>
                <c:pt idx="1">
                  <c:v>7.5</c:v>
                </c:pt>
                <c:pt idx="2">
                  <c:v>8.1999999999999993</c:v>
                </c:pt>
                <c:pt idx="3">
                  <c:v>8</c:v>
                </c:pt>
                <c:pt idx="4">
                  <c:v>7.4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居民收支!$E$8</c:f>
              <c:strCache>
                <c:ptCount val="1"/>
                <c:pt idx="0">
                  <c:v>农村居民人均可支配收入增速</c:v>
                </c:pt>
              </c:strCache>
            </c:strRef>
          </c:tx>
          <c:spPr>
            <a:ln w="28575" cap="flat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居民收支!$A$9:$A$13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居民收支!$E$9:$E$13</c:f>
              <c:numCache>
                <c:formatCode>0.0_ </c:formatCode>
                <c:ptCount val="5"/>
                <c:pt idx="0">
                  <c:v>9.4</c:v>
                </c:pt>
                <c:pt idx="1">
                  <c:v>7.8</c:v>
                </c:pt>
                <c:pt idx="2">
                  <c:v>8.6999999999999993</c:v>
                </c:pt>
                <c:pt idx="3">
                  <c:v>8.8000000000000007</c:v>
                </c:pt>
                <c:pt idx="4">
                  <c:v>8.3000000000000007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5115312"/>
        <c:axId val="463343152"/>
      </c:lineChart>
      <c:catAx>
        <c:axId val="405114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05117664"/>
        <c:crosses val="autoZero"/>
        <c:auto val="1"/>
        <c:lblAlgn val="ctr"/>
        <c:lblOffset val="100"/>
        <c:noMultiLvlLbl val="0"/>
      </c:catAx>
      <c:valAx>
        <c:axId val="405117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元</a:t>
                </a:r>
              </a:p>
            </c:rich>
          </c:tx>
          <c:layout>
            <c:manualLayout>
              <c:xMode val="edge"/>
              <c:yMode val="edge"/>
              <c:x val="8.0578971746178799E-2"/>
              <c:y val="6.0318069997347901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05114920"/>
        <c:crosses val="autoZero"/>
        <c:crossBetween val="between"/>
      </c:valAx>
      <c:catAx>
        <c:axId val="4051153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63343152"/>
        <c:crosses val="autoZero"/>
        <c:auto val="1"/>
        <c:lblAlgn val="ctr"/>
        <c:lblOffset val="100"/>
        <c:noMultiLvlLbl val="0"/>
      </c:catAx>
      <c:valAx>
        <c:axId val="463343152"/>
        <c:scaling>
          <c:orientation val="minMax"/>
        </c:scaling>
        <c:delete val="0"/>
        <c:axPos val="r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%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88248364787734901"/>
              <c:y val="6.6302157774832601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05115312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21</Pages>
  <Words>1551</Words>
  <Characters>8846</Characters>
  <Application>Microsoft Office Word</Application>
  <DocSecurity>0</DocSecurity>
  <Lines>73</Lines>
  <Paragraphs>20</Paragraphs>
  <ScaleCrop>false</ScaleCrop>
  <Company>国家统计局</Company>
  <LinksUpToDate>false</LinksUpToDate>
  <CharactersWithSpaces>10377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78</cp:revision>
  <dcterms:created xsi:type="dcterms:W3CDTF">2020-03-04T23:05:00Z</dcterms:created>
  <dcterms:modified xsi:type="dcterms:W3CDTF">2020-03-16T01:13:00Z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