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szCs w:val="28"/>
        </w:rPr>
      </w:pPr>
      <w:r>
        <w:rPr>
          <w:rFonts w:hint="eastAsia" w:ascii="仿宋" w:hAnsi="仿宋" w:eastAsia="仿宋"/>
          <w:b/>
          <w:sz w:val="28"/>
          <w:szCs w:val="28"/>
        </w:rPr>
        <w:t>附件1</w:t>
      </w:r>
    </w:p>
    <w:p>
      <w:pPr>
        <w:jc w:val="center"/>
        <w:rPr>
          <w:rFonts w:ascii="仿宋_GB2312" w:hAnsi="仿宋" w:eastAsia="仿宋_GB2312"/>
          <w:b/>
          <w:sz w:val="28"/>
          <w:szCs w:val="28"/>
        </w:rPr>
      </w:pPr>
      <w:bookmarkStart w:id="0" w:name="_GoBack"/>
      <w:r>
        <w:rPr>
          <w:rFonts w:hint="eastAsia" w:ascii="仿宋_GB2312" w:hAnsi="仿宋" w:eastAsia="仿宋_GB2312"/>
          <w:b/>
          <w:sz w:val="28"/>
          <w:szCs w:val="28"/>
        </w:rPr>
        <w:t>象山县2018年度影视产业地方财政贡献奖励项目指标体系</w:t>
      </w:r>
    </w:p>
    <w:bookmarkEnd w:id="0"/>
    <w:tbl>
      <w:tblPr>
        <w:tblStyle w:val="3"/>
        <w:tblW w:w="13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67"/>
        <w:gridCol w:w="1810"/>
        <w:gridCol w:w="992"/>
        <w:gridCol w:w="787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trPr>
        <w:tc>
          <w:tcPr>
            <w:tcW w:w="709" w:type="dxa"/>
            <w:shd w:val="clear" w:color="auto" w:fill="auto"/>
            <w:noWrap/>
            <w:vAlign w:val="center"/>
          </w:tcPr>
          <w:p>
            <w:pPr>
              <w:widowControl/>
              <w:spacing w:line="240" w:lineRule="exact"/>
              <w:rPr>
                <w:rFonts w:ascii="宋体" w:hAnsi="宋体" w:eastAsia="宋体" w:cs="宋体"/>
                <w:b/>
                <w:bCs/>
                <w:color w:val="000000"/>
                <w:kern w:val="0"/>
                <w:szCs w:val="21"/>
              </w:rPr>
            </w:pPr>
            <w:r>
              <w:rPr>
                <w:rFonts w:hint="eastAsia" w:ascii="宋体" w:hAnsi="宋体" w:eastAsia="宋体" w:cs="宋体"/>
                <w:b/>
                <w:bCs/>
                <w:color w:val="000000"/>
                <w:kern w:val="0"/>
                <w:szCs w:val="21"/>
              </w:rPr>
              <w:t>一级指标</w:t>
            </w:r>
          </w:p>
        </w:tc>
        <w:tc>
          <w:tcPr>
            <w:tcW w:w="1167" w:type="dxa"/>
            <w:shd w:val="clear" w:color="auto" w:fill="auto"/>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二级指标</w:t>
            </w:r>
          </w:p>
        </w:tc>
        <w:tc>
          <w:tcPr>
            <w:tcW w:w="1810" w:type="dxa"/>
            <w:shd w:val="clear" w:color="auto" w:fill="auto"/>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三级指标</w:t>
            </w:r>
          </w:p>
        </w:tc>
        <w:tc>
          <w:tcPr>
            <w:tcW w:w="992" w:type="dxa"/>
            <w:shd w:val="clear" w:color="auto" w:fill="auto"/>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参考</w:t>
            </w:r>
          </w:p>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7875" w:type="dxa"/>
            <w:shd w:val="clear" w:color="auto" w:fill="auto"/>
            <w:noWrap/>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评价要点及标准</w:t>
            </w:r>
          </w:p>
        </w:tc>
        <w:tc>
          <w:tcPr>
            <w:tcW w:w="767" w:type="dxa"/>
            <w:shd w:val="clear" w:color="auto" w:fill="auto"/>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09"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项目决策    </w:t>
            </w:r>
            <w:r>
              <w:rPr>
                <w:rFonts w:hint="eastAsia" w:ascii="宋体" w:hAnsi="宋体" w:eastAsia="宋体" w:cs="宋体"/>
                <w:color w:val="000000"/>
                <w:kern w:val="0"/>
                <w:sz w:val="13"/>
                <w:szCs w:val="21"/>
              </w:rPr>
              <w:t>（20分）</w:t>
            </w:r>
          </w:p>
        </w:tc>
        <w:tc>
          <w:tcPr>
            <w:tcW w:w="11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项目目标 （4分）</w:t>
            </w: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目标内容</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①是否设立绩效目标（1分），若未设立绩效目标，整个指标得0分；</w:t>
            </w:r>
          </w:p>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②是否将项目绩效目标细化分解为具体的绩效指标（1分）；</w:t>
            </w:r>
          </w:p>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③是否通过清晰、可衡量的指标值予以体现（2分）。</w:t>
            </w:r>
          </w:p>
          <w:p>
            <w:pPr>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④绩效目标的设置是否合理（2分）。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决策依据 （5分）</w:t>
            </w: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政策依据</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w:t>
            </w:r>
            <w:r>
              <w:rPr>
                <w:rFonts w:ascii="宋体" w:hAnsi="宋体" w:eastAsia="宋体" w:cs="Times New Roman"/>
                <w:color w:val="000000"/>
                <w:kern w:val="0"/>
                <w:sz w:val="14"/>
                <w:szCs w:val="14"/>
              </w:rPr>
              <w:t xml:space="preserve">  </w:t>
            </w:r>
            <w:r>
              <w:rPr>
                <w:rFonts w:hint="eastAsia" w:ascii="宋体" w:hAnsi="宋体" w:eastAsia="宋体" w:cs="宋体"/>
                <w:color w:val="000000"/>
                <w:kern w:val="0"/>
                <w:szCs w:val="21"/>
              </w:rPr>
              <w:t>影视产业地方财政贡献奖励补助项目是否符合宁波影视文化产业区年度工作计划（2分）；</w:t>
            </w:r>
          </w:p>
          <w:p>
            <w:pPr>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② 影视产业地方财政贡献奖励补助项目是否为促进文化产业发展所必需（1分）。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实施规划</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①影视产业地方财政贡献奖励补助项目是否根据需要制定中长期实施规划（1分）；</w:t>
            </w:r>
          </w:p>
          <w:p>
            <w:pPr>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②影视产业地方财政贡献奖励补助项目的实施规划是否符合实际，并根据情况变化适时调整（1分）。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资金分配（9分）</w:t>
            </w: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分配办法</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①是否根据需要制定相关资金管理办法（2分），并在管理办法中明确资金补助办法（1分）；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预算完整性细化</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预算是否按要求细化至基层单位或明细项目，发现一项不符合扣1分，扣完为止</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预算资金匹配性</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资金规模与绩效目标之间是否匹配，匹配的3分，资金规模过大或过小，酌情扣分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项目管理   </w:t>
            </w:r>
            <w:r>
              <w:rPr>
                <w:rFonts w:hint="eastAsia" w:ascii="宋体" w:hAnsi="宋体" w:eastAsia="宋体" w:cs="宋体"/>
                <w:color w:val="000000"/>
                <w:kern w:val="0"/>
                <w:sz w:val="13"/>
                <w:szCs w:val="21"/>
              </w:rPr>
              <w:t>（25分）</w:t>
            </w: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资金到位 （2分）</w:t>
            </w:r>
          </w:p>
        </w:tc>
        <w:tc>
          <w:tcPr>
            <w:tcW w:w="1810" w:type="dxa"/>
            <w:vMerge w:val="restart"/>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到位率</w:t>
            </w:r>
          </w:p>
        </w:tc>
        <w:tc>
          <w:tcPr>
            <w:tcW w:w="992"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到位率=实际到位/计划到位×100%，根据项目到位率×1分计算得分，满分1分；</w:t>
            </w:r>
          </w:p>
        </w:tc>
        <w:tc>
          <w:tcPr>
            <w:tcW w:w="7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vMerge w:val="continue"/>
            <w:vAlign w:val="center"/>
          </w:tcPr>
          <w:p>
            <w:pPr>
              <w:widowControl/>
              <w:spacing w:line="240" w:lineRule="exact"/>
              <w:rPr>
                <w:rFonts w:ascii="宋体" w:hAnsi="宋体" w:eastAsia="宋体" w:cs="宋体"/>
                <w:color w:val="000000"/>
                <w:kern w:val="0"/>
                <w:szCs w:val="21"/>
              </w:rPr>
            </w:pPr>
          </w:p>
        </w:tc>
        <w:tc>
          <w:tcPr>
            <w:tcW w:w="992" w:type="dxa"/>
            <w:vMerge w:val="continue"/>
            <w:vAlign w:val="center"/>
          </w:tcPr>
          <w:p>
            <w:pPr>
              <w:widowControl/>
              <w:spacing w:line="240" w:lineRule="exact"/>
              <w:jc w:val="left"/>
              <w:rPr>
                <w:rFonts w:ascii="宋体" w:hAnsi="宋体" w:eastAsia="宋体" w:cs="宋体"/>
                <w:color w:val="000000"/>
                <w:kern w:val="0"/>
                <w:szCs w:val="21"/>
              </w:rPr>
            </w:pP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实际到位是指2018年度实际到位资金；计划到位是指2018年度调整后预算资金。</w:t>
            </w:r>
          </w:p>
        </w:tc>
        <w:tc>
          <w:tcPr>
            <w:tcW w:w="767" w:type="dxa"/>
            <w:vMerge w:val="continue"/>
            <w:vAlign w:val="center"/>
          </w:tcPr>
          <w:p>
            <w:pPr>
              <w:widowControl/>
              <w:spacing w:line="24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到位时效</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资金是否及时到位，及时到位的，1分；若未及时到位，未影响项目进度，0.5分；未及时到位并影响项目进度的，0分。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资金管理  （13分）</w:t>
            </w: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资金使用</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875" w:type="dxa"/>
            <w:shd w:val="clear" w:color="auto" w:fill="auto"/>
            <w:vAlign w:val="center"/>
          </w:tcPr>
          <w:p>
            <w:pPr>
              <w:widowControl/>
              <w:spacing w:line="240" w:lineRule="exact"/>
              <w:jc w:val="left"/>
              <w:rPr>
                <w:rFonts w:ascii="宋体" w:hAnsi="宋体" w:eastAsia="宋体" w:cs="宋体"/>
                <w:color w:val="000000"/>
                <w:kern w:val="0"/>
                <w:sz w:val="20"/>
                <w:szCs w:val="21"/>
              </w:rPr>
            </w:pPr>
            <w:r>
              <w:rPr>
                <w:rFonts w:hint="eastAsia" w:ascii="宋体" w:hAnsi="宋体" w:eastAsia="宋体" w:cs="宋体"/>
                <w:color w:val="000000"/>
                <w:kern w:val="0"/>
                <w:sz w:val="20"/>
                <w:szCs w:val="21"/>
              </w:rPr>
              <w:t xml:space="preserve">是否存在支出依据不合规、虚列项目支出的情况；是否存在超标准开支情况，发现一处扣2分，扣完为止。如发现存在截留、挤占、挪用项目资金情况的，本指标得0分 </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资金使用率</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资金使用率=（实际使用资金/实际到位资金）×100%，实际得分=资金使用率×3分。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资金发放及时性</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按规定及时发放,2分，略有滞后得1分，严重滞后不得分。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财务管理</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专项资金核算规范的，1分；资金拨付按规定程序手续的，2分，存在问题的按程度扣分。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组织实施 （10分）</w:t>
            </w: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组织机构</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机构是否健全（0.5分）、分工是否明确（0.5分）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管理制度</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是否建立健全项目管理制度（2分）；是否严格执行相关项目管理制度（7分），发现1例不合规事项，扣2分，扣完为止</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项目绩效</w:t>
            </w:r>
            <w:r>
              <w:rPr>
                <w:rFonts w:hint="eastAsia" w:ascii="宋体" w:hAnsi="宋体" w:eastAsia="宋体" w:cs="宋体"/>
                <w:color w:val="000000"/>
                <w:kern w:val="0"/>
                <w:sz w:val="13"/>
                <w:szCs w:val="21"/>
              </w:rPr>
              <w:t>（55分）</w:t>
            </w: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项目产出  （15分）</w:t>
            </w: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产出数量</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项目产出数量是否达到绩效目标，剧组拍摄数达到110部及以上，3分；新增落户企业数（含工作室）达到100家的，3分；新增上规文化企业1家，2分；实际得分=实际完成率×相应分值。</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产出质量</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是否有上星黄金档电视剧、获奖影视剧、高点击量网络剧等，1.5分；是否有对地方财政贡献突破500万元以上的影视企业，1.5分。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产出时效</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拨款及时率达到100%的，2分；项目完成度达到90%的，2分，实际得分按完成比率计算得分。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项目效果   （40分）</w:t>
            </w:r>
          </w:p>
        </w:tc>
        <w:tc>
          <w:tcPr>
            <w:tcW w:w="1810" w:type="dxa"/>
            <w:vMerge w:val="restart"/>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经济效益</w:t>
            </w:r>
          </w:p>
        </w:tc>
        <w:tc>
          <w:tcPr>
            <w:tcW w:w="992"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营业收入6分：2017年营业收入达到10亿元及以上的，3分，实际得分=实际营业收入/10亿元*3分；较上年增长10%的，3分，每降低1%，扣1分，扣完为止</w:t>
            </w:r>
          </w:p>
        </w:tc>
        <w:tc>
          <w:tcPr>
            <w:tcW w:w="767" w:type="dxa"/>
            <w:vMerge w:val="restart"/>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vMerge w:val="continue"/>
            <w:vAlign w:val="center"/>
          </w:tcPr>
          <w:p>
            <w:pPr>
              <w:widowControl/>
              <w:spacing w:line="240" w:lineRule="exact"/>
              <w:rPr>
                <w:rFonts w:ascii="宋体" w:hAnsi="宋体" w:eastAsia="宋体" w:cs="宋体"/>
                <w:color w:val="000000"/>
                <w:kern w:val="0"/>
                <w:szCs w:val="21"/>
              </w:rPr>
            </w:pPr>
          </w:p>
        </w:tc>
        <w:tc>
          <w:tcPr>
            <w:tcW w:w="992" w:type="dxa"/>
            <w:vMerge w:val="continue"/>
            <w:vAlign w:val="center"/>
          </w:tcPr>
          <w:p>
            <w:pPr>
              <w:widowControl/>
              <w:spacing w:line="240" w:lineRule="exact"/>
              <w:jc w:val="left"/>
              <w:rPr>
                <w:rFonts w:ascii="宋体" w:hAnsi="宋体" w:eastAsia="宋体" w:cs="宋体"/>
                <w:color w:val="000000"/>
                <w:kern w:val="0"/>
                <w:szCs w:val="21"/>
              </w:rPr>
            </w:pP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税收</w:t>
            </w:r>
            <w:r>
              <w:rPr>
                <w:rFonts w:ascii="宋体" w:hAnsi="宋体" w:eastAsia="宋体" w:cs="宋体"/>
                <w:color w:val="000000"/>
                <w:kern w:val="0"/>
                <w:szCs w:val="21"/>
              </w:rPr>
              <w:t xml:space="preserve">6分：2017年实现税收收入4000万元的，3分，实际得分=实际税收收入/4000万元*3分；较上年增长10%的3分 </w:t>
            </w:r>
            <w:r>
              <w:rPr>
                <w:rFonts w:hint="eastAsia" w:ascii="宋体" w:hAnsi="宋体" w:eastAsia="宋体" w:cs="宋体"/>
                <w:color w:val="000000"/>
                <w:kern w:val="0"/>
                <w:szCs w:val="21"/>
              </w:rPr>
              <w:t>，每降低</w:t>
            </w:r>
            <w:r>
              <w:rPr>
                <w:rFonts w:ascii="宋体" w:hAnsi="宋体" w:eastAsia="宋体" w:cs="宋体"/>
                <w:color w:val="000000"/>
                <w:kern w:val="0"/>
                <w:szCs w:val="21"/>
              </w:rPr>
              <w:t>1分，扣完为止</w:t>
            </w:r>
          </w:p>
        </w:tc>
        <w:tc>
          <w:tcPr>
            <w:tcW w:w="767" w:type="dxa"/>
            <w:vMerge w:val="continue"/>
            <w:vAlign w:val="center"/>
          </w:tcPr>
          <w:p>
            <w:pPr>
              <w:widowControl/>
              <w:spacing w:line="24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vMerge w:val="restart"/>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社会效益</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旅游人次达到200万人次的，8分，实际得分=旅游人次/200万*8分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vMerge w:val="continue"/>
            <w:vAlign w:val="center"/>
          </w:tcPr>
          <w:p>
            <w:pPr>
              <w:widowControl/>
              <w:spacing w:line="240" w:lineRule="exact"/>
              <w:rPr>
                <w:rFonts w:ascii="宋体" w:hAnsi="宋体" w:eastAsia="宋体" w:cs="宋体"/>
                <w:color w:val="000000"/>
                <w:kern w:val="0"/>
                <w:szCs w:val="21"/>
              </w:rPr>
            </w:pP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象山影视城的知名度是否逐年上升，3分，</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vMerge w:val="continue"/>
            <w:vAlign w:val="center"/>
          </w:tcPr>
          <w:p>
            <w:pPr>
              <w:widowControl/>
              <w:spacing w:line="240" w:lineRule="exact"/>
              <w:rPr>
                <w:rFonts w:ascii="宋体" w:hAnsi="宋体" w:eastAsia="宋体" w:cs="宋体"/>
                <w:color w:val="000000"/>
                <w:kern w:val="0"/>
                <w:szCs w:val="21"/>
              </w:rPr>
            </w:pP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政策知晓度达到80%，3分，每降低1%，扣1分，扣完为止</w:t>
            </w:r>
          </w:p>
        </w:tc>
        <w:tc>
          <w:tcPr>
            <w:tcW w:w="767" w:type="dxa"/>
            <w:shd w:val="clear" w:color="auto" w:fill="auto"/>
            <w:vAlign w:val="center"/>
          </w:tcPr>
          <w:p>
            <w:pPr>
              <w:widowControl/>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Merge w:val="continue"/>
            <w:vAlign w:val="center"/>
          </w:tcPr>
          <w:p>
            <w:pPr>
              <w:widowControl/>
              <w:spacing w:line="240" w:lineRule="exact"/>
              <w:jc w:val="left"/>
              <w:rPr>
                <w:rFonts w:ascii="宋体" w:hAnsi="宋体" w:eastAsia="宋体" w:cs="宋体"/>
                <w:color w:val="000000"/>
                <w:kern w:val="0"/>
                <w:szCs w:val="21"/>
              </w:rPr>
            </w:pPr>
          </w:p>
        </w:tc>
        <w:tc>
          <w:tcPr>
            <w:tcW w:w="1167" w:type="dxa"/>
            <w:vMerge w:val="continue"/>
            <w:vAlign w:val="center"/>
          </w:tcPr>
          <w:p>
            <w:pPr>
              <w:widowControl/>
              <w:spacing w:line="240" w:lineRule="exact"/>
              <w:jc w:val="left"/>
              <w:rPr>
                <w:rFonts w:ascii="宋体" w:hAnsi="宋体" w:eastAsia="宋体" w:cs="宋体"/>
                <w:color w:val="000000"/>
                <w:kern w:val="0"/>
                <w:szCs w:val="21"/>
              </w:rPr>
            </w:pPr>
          </w:p>
        </w:tc>
        <w:tc>
          <w:tcPr>
            <w:tcW w:w="1810" w:type="dxa"/>
            <w:shd w:val="clear" w:color="auto" w:fill="auto"/>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受益对象满意度</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875" w:type="dxa"/>
            <w:shd w:val="clear" w:color="auto" w:fill="auto"/>
            <w:vAlign w:val="center"/>
          </w:tcPr>
          <w:p>
            <w:pPr>
              <w:widowControl/>
              <w:spacing w:line="2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受益对象满意度达到90%及以上的，14分；不足90%的，实际得分=14分*受益对象满意度/90%。</w:t>
            </w:r>
          </w:p>
        </w:tc>
        <w:tc>
          <w:tcPr>
            <w:tcW w:w="767"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686" w:type="dxa"/>
            <w:gridSpan w:val="3"/>
            <w:shd w:val="clear" w:color="auto" w:fill="auto"/>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总计</w:t>
            </w:r>
          </w:p>
        </w:tc>
        <w:tc>
          <w:tcPr>
            <w:tcW w:w="992" w:type="dxa"/>
            <w:shd w:val="clear" w:color="auto" w:fill="auto"/>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100</w:t>
            </w:r>
          </w:p>
        </w:tc>
        <w:tc>
          <w:tcPr>
            <w:tcW w:w="7875" w:type="dxa"/>
            <w:shd w:val="clear" w:color="auto" w:fill="auto"/>
            <w:noWrap/>
            <w:vAlign w:val="center"/>
          </w:tcPr>
          <w:p>
            <w:pPr>
              <w:widowControl/>
              <w:spacing w:line="2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767" w:type="dxa"/>
            <w:shd w:val="clear" w:color="auto" w:fill="auto"/>
            <w:vAlign w:val="center"/>
          </w:tcPr>
          <w:p>
            <w:pPr>
              <w:widowControl/>
              <w:spacing w:line="240" w:lineRule="exact"/>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88.47</w:t>
            </w:r>
          </w:p>
        </w:tc>
      </w:tr>
    </w:tbl>
    <w:p>
      <w:pPr>
        <w:ind w:firstLine="840" w:firstLineChars="300"/>
        <w:rPr>
          <w:rFonts w:ascii="仿宋" w:hAnsi="仿宋" w:eastAsia="仿宋"/>
          <w:sz w:val="28"/>
          <w:szCs w:val="28"/>
        </w:rPr>
      </w:pPr>
    </w:p>
    <w:p>
      <w:pPr>
        <w:ind w:firstLine="840" w:firstLineChars="300"/>
        <w:rPr>
          <w:rFonts w:ascii="仿宋" w:hAnsi="仿宋" w:eastAsia="仿宋"/>
          <w:sz w:val="28"/>
          <w:szCs w:val="28"/>
        </w:rPr>
        <w:sectPr>
          <w:pgSz w:w="16839" w:h="11907" w:orient="landscape"/>
          <w:pgMar w:top="1440" w:right="1800" w:bottom="1440" w:left="1800" w:header="851" w:footer="992" w:gutter="0"/>
          <w:cols w:space="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E025C"/>
    <w:rsid w:val="03BE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2020-06-12T08:49:00Z</dcterms:created>
  <dc:creator>Administrator</dc:creator>
  <cp:lastModifiedBy>Administrator</cp:lastModifiedBy>
  <dcterms:modified xsi:type="dcterms:W3CDTF">2020-06-12T08:50:06Z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