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36"/>
        </w:rPr>
      </w:pPr>
      <w:r>
        <w:rPr>
          <w:rFonts w:hint="eastAsia"/>
          <w:sz w:val="28"/>
          <w:szCs w:val="36"/>
        </w:rPr>
        <w:t>慈溪市水利局2019年度政府信息公开工作年度报告</w:t>
      </w:r>
    </w:p>
    <w:p/>
    <w:p>
      <w:pPr>
        <w:pStyle w:val="2"/>
        <w:keepNext w:val="0"/>
        <w:keepLines w:val="0"/>
        <w:widowControl/>
        <w:suppressLineNumbers w:val="0"/>
        <w:ind w:left="0" w:firstLine="420"/>
      </w:pPr>
      <w:r>
        <w:t>一、总体情况</w:t>
      </w:r>
    </w:p>
    <w:p>
      <w:pPr>
        <w:pStyle w:val="2"/>
        <w:keepNext w:val="0"/>
        <w:keepLines w:val="0"/>
        <w:widowControl/>
        <w:suppressLineNumbers w:val="0"/>
        <w:ind w:left="0" w:firstLine="420"/>
      </w:pPr>
      <w:r>
        <w:t>2019年，本局以“不忘初心、牢记使命”主题教育为契机，深入学习贯彻习近平新时代中国特色社会主义思想，根据《条例》和市政务公开办的要求，大力推进水利领域政府信息公开。在公开内容上，按照“公开为原则，不公开为例外”的要求，凡涉及公共利益、公众权益、社会关切及需要社会广泛知晓的政府信息，特别是重大行政决策信息、社会关注热点信息和公共服务信息，都依法、全面、准确、及时公开。在公开形式上，适应信息公开工作新形势、新要求，在认真抓好主动公开和依申请公开工作的同时，加强水利政策解读和社会关切事项回应工作，注重水利舆情的收集和回应，强化正面宣传引导。在公开载体上，以水利局门户网站和“慈溪水利”微信公众号、微博为主阵地，发挥各类新闻媒体的重要作用，不断提升我局信息公开工作水平。</w:t>
      </w:r>
    </w:p>
    <w:p>
      <w:pPr>
        <w:pStyle w:val="2"/>
        <w:keepNext w:val="0"/>
        <w:keepLines w:val="0"/>
        <w:widowControl/>
        <w:suppressLineNumbers w:val="0"/>
        <w:ind w:left="0" w:firstLine="420"/>
      </w:pPr>
      <w:r>
        <w:t>（一）主动公开情况。本局围绕社会公众关切的水利问题，扎实做好水旱灾害防御、最严格水资源管理制度、水利行政审批、部门预算决算等水利重点领域的信息公开。及时发布汛情、旱情、灾情及预警信息；主动公开《浙江省水域保护办法》、《宁波市河道管理条例》等最新法规制度；加大重点水利工程建设、农村饮水安全工程建设、小型水利工程改造提升等民生工程信息公开力度；公开2018年“三公”经费财政拨款支出决算情况和2019年部门预算，加大财政专项资金管理和使用情况公开力度；按审批日期公开行政审批结果，按行政处罚结果不断推进行政执法类信息公开。</w:t>
      </w:r>
    </w:p>
    <w:p>
      <w:pPr>
        <w:pStyle w:val="2"/>
        <w:keepNext w:val="0"/>
        <w:keepLines w:val="0"/>
        <w:widowControl/>
        <w:suppressLineNumbers w:val="0"/>
        <w:ind w:left="0" w:firstLine="420"/>
      </w:pPr>
      <w:r>
        <w:t>（二）依申请公开情况。公布依申请公开的受理机构、联系人、联系电话和电子邮箱，公开《慈溪市水利局政府信息公开申请表》，设置下载表格及网上申请功能。在市政府网站慈溪市水利局信息公开平台公布依申请公开指南和工作程序，方便群众查询有关政府信息。严格按照工作规程、办理时限等要求，通过网络、邮件、现场等多种渠道接受信息公开申请。编制发布依申请公开目录，梳理依申请公开办理情况，及时在网上公开。2019年度我局共收到依申请公开办理3件，并依规答复申请人，按时完成办理流程。</w:t>
      </w:r>
    </w:p>
    <w:p>
      <w:pPr>
        <w:pStyle w:val="2"/>
        <w:keepNext w:val="0"/>
        <w:keepLines w:val="0"/>
        <w:widowControl/>
        <w:suppressLineNumbers w:val="0"/>
        <w:ind w:left="0" w:firstLine="420"/>
      </w:pPr>
      <w:r>
        <w:t>（三）政府信息管理情况。按照市政务公开办统一要求，实施政府信息公开发布标准，规范政府信息发布流程、格式和核心数据等。进一步规范政府信息公开基本目录清单，完善政府信息公开程序。在基础信息公开方面，根据政务公开考评第三方机构测评要求，及时对公开指南、机构领导、机构设置等基础信息进行补充、修改和完善。加强对政府信息公开网站和浙江政务服务网上已发布信息的日常监测和排查。</w:t>
      </w:r>
    </w:p>
    <w:p>
      <w:pPr>
        <w:pStyle w:val="2"/>
        <w:keepNext w:val="0"/>
        <w:keepLines w:val="0"/>
        <w:widowControl/>
        <w:suppressLineNumbers w:val="0"/>
        <w:ind w:left="0" w:firstLine="420"/>
      </w:pPr>
      <w:r>
        <w:t>（四）平台建设情况。积极优化完善政府信息公开网站、政务新媒体等政务公开平台，充分利用新闻媒体发布渠道，加强“慈溪水利”微信公众号、微博建设，同时拓宽“慈溪发布”、《慈溪日报》、慈溪电视台等主流媒体的宣传渠道，扩大政务公开的受众范围。本年度，本局通过政府信息公开网公开政务信息524条；通过官方微信公众号发布信息79条，微博信息7条。</w:t>
      </w:r>
    </w:p>
    <w:p>
      <w:pPr>
        <w:pStyle w:val="2"/>
        <w:keepNext w:val="0"/>
        <w:keepLines w:val="0"/>
        <w:widowControl/>
        <w:suppressLineNumbers w:val="0"/>
        <w:ind w:left="0" w:firstLine="420"/>
      </w:pPr>
      <w:r>
        <w:t>（五）监督保障情况。完善政府信息公开工作统计、考核、社会评议和责任追究制度，完善政务信息主动公开和依申请公开受理的工作机制，同时建立内部监督制度，重点监测各栏目信息的更新维护情况，及时做好反馈整改工作。完善群众利益诉求受理机制，向社会公布监督举报电话，明确责任科室负责受理信息公开工作的举报、投诉，并按规定查处。要求组织全体干部职工认真学习《条例》，提高对政府信息公开重要性的认识。组织政府信息公开工作人员参加市各类培训，熟练掌握和规范政府信息公开的编制和发布，切实提高具体经办人员的业务素质和工作能力，提升政府信息公开的水平和质量。要求局各科室及下属单位主动及时报送各类动态工作信息。</w:t>
      </w:r>
    </w:p>
    <w:p>
      <w:pPr>
        <w:pStyle w:val="2"/>
        <w:keepNext w:val="0"/>
        <w:keepLines w:val="0"/>
        <w:widowControl/>
        <w:suppressLineNumbers w:val="0"/>
        <w:ind w:left="0" w:firstLine="420"/>
      </w:pPr>
      <w:r>
        <w:t>二、主动公开政府信息情况</w:t>
      </w:r>
    </w:p>
    <w:tbl>
      <w:tblPr>
        <w:tblStyle w:val="3"/>
        <w:tblW w:w="8140" w:type="dxa"/>
        <w:jc w:val="center"/>
        <w:shd w:val="clear" w:color="auto" w:fill="auto"/>
        <w:tblLayout w:type="autofit"/>
        <w:tblCellMar>
          <w:top w:w="15" w:type="dxa"/>
          <w:left w:w="15" w:type="dxa"/>
          <w:bottom w:w="15" w:type="dxa"/>
          <w:right w:w="15" w:type="dxa"/>
        </w:tblCellMar>
      </w:tblPr>
      <w:tblGrid>
        <w:gridCol w:w="3113"/>
        <w:gridCol w:w="1875"/>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ascii="sans-serif" w:hAnsi="sans-serif" w:eastAsia="sans-serif" w:cs="sans-serif"/>
                <w:sz w:val="24"/>
                <w:szCs w:val="24"/>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本年新</w:t>
            </w:r>
            <w:r>
              <w:rPr>
                <w:rFonts w:hint="default" w:ascii="sans-serif" w:hAnsi="sans-serif" w:eastAsia="sans-serif" w:cs="sans-serif"/>
                <w:sz w:val="24"/>
                <w:szCs w:val="24"/>
              </w:rPr>
              <w:br w:type="textWrapping"/>
            </w:r>
            <w:r>
              <w:rPr>
                <w:rFonts w:hint="default" w:ascii="sans-serif" w:hAnsi="sans-serif" w:eastAsia="sans-serif" w:cs="sans-serif"/>
                <w:sz w:val="24"/>
                <w:szCs w:val="24"/>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本年新</w:t>
            </w:r>
            <w:r>
              <w:rPr>
                <w:rFonts w:hint="default" w:ascii="sans-serif" w:hAnsi="sans-serif" w:eastAsia="sans-serif" w:cs="sans-serif"/>
                <w:sz w:val="24"/>
                <w:szCs w:val="24"/>
              </w:rPr>
              <w:br w:type="textWrapping"/>
            </w:r>
            <w:r>
              <w:rPr>
                <w:rFonts w:hint="default" w:ascii="sans-serif" w:hAnsi="sans-serif" w:eastAsia="sans-serif" w:cs="sans-serif"/>
                <w:sz w:val="24"/>
                <w:szCs w:val="24"/>
              </w:rPr>
              <w:t>公开数量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对外公开总数量</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eastAsiaTheme="minorEastAsia"/>
                <w:lang w:eastAsia="zh-CN"/>
              </w:rPr>
            </w:pPr>
            <w:r>
              <w:rPr>
                <w:rFonts w:hint="eastAsia" w:ascii="sans-serif" w:hAnsi="sans-serif" w:eastAsia="宋体" w:cs="sans-serif"/>
                <w:sz w:val="24"/>
                <w:szCs w:val="24"/>
                <w:lang w:val="en-US" w:eastAsia="zh-CN"/>
              </w:rPr>
              <w:t>规章</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eastAsia" w:ascii="Arial" w:hAnsi="Arial" w:eastAsia="宋体" w:cs="Arial"/>
                <w:sz w:val="24"/>
                <w:szCs w:val="24"/>
                <w:lang w:eastAsia="zh-CN"/>
              </w:rPr>
            </w:pPr>
            <w:r>
              <w:rPr>
                <w:rFonts w:hint="eastAsia" w:ascii="Arial" w:hAnsi="Arial" w:eastAsia="宋体" w:cs="Arial"/>
                <w:sz w:val="24"/>
                <w:szCs w:val="24"/>
                <w:lang w:val="en-US" w:eastAsia="zh-CN"/>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eastAsia" w:ascii="Arial" w:hAnsi="Arial" w:eastAsia="宋体" w:cs="Arial"/>
                <w:sz w:val="24"/>
                <w:szCs w:val="24"/>
                <w:lang w:eastAsia="zh-CN"/>
              </w:rPr>
            </w:pPr>
            <w:r>
              <w:rPr>
                <w:rFonts w:hint="eastAsia" w:ascii="Arial" w:hAnsi="Arial" w:eastAsia="宋体" w:cs="Arial"/>
                <w:sz w:val="24"/>
                <w:szCs w:val="24"/>
                <w:lang w:val="en-US" w:eastAsia="zh-CN"/>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eastAsia" w:ascii="Arial" w:hAnsi="Arial" w:eastAsia="宋体" w:cs="Arial"/>
                <w:sz w:val="24"/>
                <w:szCs w:val="24"/>
                <w:lang w:eastAsia="zh-CN"/>
              </w:rPr>
            </w:pPr>
            <w:r>
              <w:rPr>
                <w:rFonts w:hint="eastAsia" w:ascii="Arial" w:hAnsi="Arial" w:eastAsia="宋体" w:cs="Arial"/>
                <w:sz w:val="24"/>
                <w:szCs w:val="24"/>
                <w:lang w:val="en-US" w:eastAsia="zh-CN"/>
              </w:rPr>
              <w:t>0</w:t>
            </w:r>
          </w:p>
        </w:tc>
      </w:tr>
      <w:tr>
        <w:tblPrEx>
          <w:tblCellMar>
            <w:top w:w="15" w:type="dxa"/>
            <w:left w:w="15" w:type="dxa"/>
            <w:bottom w:w="15" w:type="dxa"/>
            <w:right w:w="15" w:type="dxa"/>
          </w:tblCellMar>
        </w:tblPrEx>
        <w:trPr>
          <w:trHeight w:val="50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leftChars="0" w:right="0" w:rightChars="0"/>
              <w:jc w:val="left"/>
              <w:rPr>
                <w:rFonts w:hint="default" w:ascii="sans-serif" w:hAnsi="sans-serif" w:eastAsia="sans-serif" w:cs="sans-serif"/>
                <w:sz w:val="24"/>
                <w:szCs w:val="24"/>
              </w:rPr>
            </w:pPr>
            <w:r>
              <w:rPr>
                <w:rFonts w:hint="default" w:ascii="sans-serif" w:hAnsi="sans-serif" w:eastAsia="sans-serif" w:cs="sans-serif"/>
                <w:sz w:val="24"/>
                <w:szCs w:val="24"/>
              </w:rPr>
              <w:t>规范性文件</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leftChars="0" w:right="0" w:rightChars="0"/>
              <w:jc w:val="center"/>
              <w:rPr>
                <w:rFonts w:hint="default" w:ascii="Arial" w:hAnsi="Arial" w:eastAsia="sans-serif" w:cs="Arial"/>
                <w:sz w:val="24"/>
                <w:szCs w:val="24"/>
              </w:rPr>
            </w:pPr>
            <w:r>
              <w:rPr>
                <w:rFonts w:hint="default" w:ascii="Arial" w:hAnsi="Arial" w:eastAsia="sans-serif" w:cs="Arial"/>
                <w:sz w:val="24"/>
                <w:szCs w:val="24"/>
              </w:rPr>
              <w:t>2</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leftChars="0" w:right="0" w:rightChars="0"/>
              <w:jc w:val="center"/>
              <w:rPr>
                <w:rFonts w:hint="default" w:ascii="Arial" w:hAnsi="Arial" w:eastAsia="sans-serif" w:cs="Arial"/>
                <w:sz w:val="24"/>
                <w:szCs w:val="24"/>
              </w:rPr>
            </w:pPr>
            <w:r>
              <w:rPr>
                <w:rFonts w:hint="default" w:ascii="Arial" w:hAnsi="Arial" w:eastAsia="sans-serif" w:cs="Arial"/>
                <w:sz w:val="24"/>
                <w:szCs w:val="24"/>
              </w:rPr>
              <w:t>2</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leftChars="0" w:right="0" w:rightChars="0"/>
              <w:jc w:val="center"/>
              <w:rPr>
                <w:rFonts w:hint="default" w:ascii="Arial" w:hAnsi="Arial" w:eastAsia="sans-serif" w:cs="Arial"/>
                <w:sz w:val="24"/>
                <w:szCs w:val="24"/>
              </w:rPr>
            </w:pPr>
            <w:r>
              <w:rPr>
                <w:rFonts w:hint="default" w:ascii="Arial" w:hAnsi="Arial" w:eastAsia="sans-serif" w:cs="Arial"/>
                <w:sz w:val="24"/>
                <w:szCs w:val="24"/>
              </w:rPr>
              <w:t>10</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行政许可</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12</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18</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149</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其他对外管理服务事项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15</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17</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15</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行政处罚</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139</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12</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行政强制</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7</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第二十条第（八）项</w:t>
            </w:r>
          </w:p>
        </w:tc>
      </w:tr>
      <w:tr>
        <w:tblPrEx>
          <w:shd w:val="clear" w:color="auto" w:fill="auto"/>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本年增/减</w:t>
            </w:r>
          </w:p>
        </w:tc>
      </w:tr>
      <w:tr>
        <w:tblPrEx>
          <w:shd w:val="clear" w:color="auto" w:fill="auto"/>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行政事业性收费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3</w:t>
            </w:r>
          </w:p>
        </w:tc>
        <w:tc>
          <w:tcPr>
            <w:tcW w:w="3146"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政府集中采购</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17</w:t>
            </w:r>
          </w:p>
        </w:tc>
        <w:tc>
          <w:tcPr>
            <w:tcW w:w="3146"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eastAsia="sans-serif" w:cs="Arial"/>
                <w:sz w:val="24"/>
                <w:szCs w:val="24"/>
              </w:rPr>
            </w:pPr>
            <w:r>
              <w:rPr>
                <w:rFonts w:hint="default" w:ascii="Arial" w:hAnsi="Arial" w:eastAsia="sans-serif" w:cs="Arial"/>
                <w:sz w:val="24"/>
                <w:szCs w:val="24"/>
              </w:rPr>
              <w:t>1913.62万元</w:t>
            </w:r>
          </w:p>
        </w:tc>
      </w:tr>
    </w:tbl>
    <w:p>
      <w:pPr>
        <w:pStyle w:val="2"/>
        <w:keepNext w:val="0"/>
        <w:keepLines w:val="0"/>
        <w:widowControl/>
        <w:suppressLineNumbers w:val="0"/>
        <w:ind w:left="0" w:firstLine="420"/>
      </w:pPr>
      <w:r>
        <w:t> 三、收到和处理政府信息公开申请情况</w:t>
      </w:r>
    </w:p>
    <w:tbl>
      <w:tblPr>
        <w:tblStyle w:val="3"/>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6"/>
        <w:gridCol w:w="936"/>
        <w:gridCol w:w="2025"/>
        <w:gridCol w:w="799"/>
        <w:gridCol w:w="742"/>
        <w:gridCol w:w="742"/>
        <w:gridCol w:w="799"/>
        <w:gridCol w:w="952"/>
        <w:gridCol w:w="620"/>
        <w:gridCol w:w="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自然人</w:t>
            </w:r>
          </w:p>
        </w:tc>
        <w:tc>
          <w:tcPr>
            <w:tcW w:w="39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法人或其他组织</w:t>
            </w:r>
          </w:p>
        </w:tc>
        <w:tc>
          <w:tcPr>
            <w:tcW w:w="77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科研机构</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社会公益组织</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法律服务机构</w:t>
            </w:r>
          </w:p>
        </w:tc>
        <w:tc>
          <w:tcPr>
            <w:tcW w:w="6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其他</w:t>
            </w:r>
          </w:p>
        </w:tc>
        <w:tc>
          <w:tcPr>
            <w:tcW w:w="77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一、本年新收政府信息公开申请数量</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3</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二、上年结转政府信息公开申请数量</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三、本年度办理结果</w:t>
            </w: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（一）予以公开</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1</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（三）不予公开</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1.属于国家秘密</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1"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2.其他法律行政法规禁止公开</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3.危及“三安全一稳定”</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4.保护第三方合法权益</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31"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5.属于三类内部事务信息</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6.属于四类过程性信息</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7.属于行政执法案卷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8.属于行政查询事项</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（四）无法提供</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1.本机关不掌握相关政府信息</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2 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2.没有现成信息需要另行制作</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3.补正后申请内容仍不明确</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7"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（五）不予处理</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1.信访举报投诉类申请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2.重复申请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3.要求提供公开出版物</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4.无正当理由大量反复申请</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（六）其他处理</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（七）总计</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3</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四、结转下年度继续办理</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9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bl>
    <w:p>
      <w:pPr>
        <w:pStyle w:val="2"/>
        <w:keepNext w:val="0"/>
        <w:keepLines w:val="0"/>
        <w:widowControl/>
        <w:suppressLineNumbers w:val="0"/>
        <w:ind w:left="0" w:firstLine="420"/>
      </w:pPr>
      <w:r>
        <w:t>四、政府信息公开行政复议、行政诉讼情况</w:t>
      </w:r>
    </w:p>
    <w:tbl>
      <w:tblPr>
        <w:tblStyle w:val="3"/>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ans-serif" w:hAnsi="sans-serif" w:eastAsia="sans-serif" w:cs="sans-serif"/>
                <w:sz w:val="24"/>
                <w:szCs w:val="24"/>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default" w:ascii="sans-serif" w:hAnsi="sans-serif" w:eastAsia="sans-serif" w:cs="sans-serif"/>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rPr>
                <w:rFonts w:hint="default" w:ascii="Arial" w:hAnsi="Arial" w:cs="Arial"/>
              </w:rPr>
            </w:pPr>
            <w:r>
              <w:rPr>
                <w:rFonts w:hint="default" w:ascii="Arial" w:hAnsi="Arial" w:eastAsia="sans-serif" w:cs="Arial"/>
                <w:sz w:val="24"/>
                <w:szCs w:val="24"/>
              </w:rPr>
              <w:t>0</w:t>
            </w:r>
          </w:p>
        </w:tc>
      </w:tr>
    </w:tbl>
    <w:p>
      <w:pPr>
        <w:pStyle w:val="2"/>
        <w:keepNext w:val="0"/>
        <w:keepLines w:val="0"/>
        <w:widowControl/>
        <w:suppressLineNumbers w:val="0"/>
        <w:ind w:left="0" w:firstLine="420"/>
      </w:pPr>
      <w:r>
        <w:t>五、存在的主要问题及改进情况</w:t>
      </w:r>
    </w:p>
    <w:p>
      <w:pPr>
        <w:pStyle w:val="2"/>
        <w:keepNext w:val="0"/>
        <w:keepLines w:val="0"/>
        <w:widowControl/>
        <w:suppressLineNumbers w:val="0"/>
        <w:ind w:left="0" w:firstLine="420"/>
        <w:jc w:val="left"/>
      </w:pPr>
      <w:r>
        <w:t>2019年，本局对政府信息公开工作进行了新的探索和实践，在组织领导、制度建设、规范程序、提高效率等方面不断推进和完善，但仍存在一些问题有待改进和提高：一是主动公开的政府信息在内容方面还需要更加完善，涉及的业务范围还需进一步扩大；二是对政务公开的认识和重视程度有待提高，特别在重点领域的信息公开和重大政策解读方面需进一步加强；三是政务公开在形式上的多样性和生动性还不足，在发布时效上需进一步快捷。</w:t>
      </w:r>
    </w:p>
    <w:p>
      <w:pPr>
        <w:pStyle w:val="2"/>
        <w:keepNext w:val="0"/>
        <w:keepLines w:val="0"/>
        <w:widowControl/>
        <w:suppressLineNumbers w:val="0"/>
        <w:ind w:left="0" w:firstLine="420"/>
        <w:jc w:val="left"/>
      </w:pPr>
      <w:r>
        <w:t>2020年，本局将继续认真贯彻市委市政府工作部署，紧紧围绕中心、服务大局、突出重点，不断提升政府信息公开工作水平。今后，将从以下几个方面加强推进政府信息公开工作：</w:t>
      </w:r>
    </w:p>
    <w:p>
      <w:pPr>
        <w:pStyle w:val="2"/>
        <w:keepNext w:val="0"/>
        <w:keepLines w:val="0"/>
        <w:widowControl/>
        <w:suppressLineNumbers w:val="0"/>
        <w:ind w:left="0" w:firstLine="420"/>
        <w:jc w:val="left"/>
      </w:pPr>
      <w:r>
        <w:t>一是加强主动公开。属于涉及公共利益、公众权益、社会关切及需要社会广泛知晓的政府信息，都依法、全面、准确、及时地予以公开。</w:t>
      </w:r>
    </w:p>
    <w:p>
      <w:pPr>
        <w:pStyle w:val="2"/>
        <w:keepNext w:val="0"/>
        <w:keepLines w:val="0"/>
        <w:widowControl/>
        <w:suppressLineNumbers w:val="0"/>
        <w:ind w:left="0" w:firstLine="420"/>
        <w:jc w:val="left"/>
      </w:pPr>
      <w:r>
        <w:t>二是推进重点领域政府信息的公开。以社会关注度高、公共利益大的信息作为重点推进内容，更深入细致地开展政府信息公开工作,充分回应社会关注热点。</w:t>
      </w:r>
    </w:p>
    <w:p>
      <w:pPr>
        <w:pStyle w:val="2"/>
        <w:keepNext w:val="0"/>
        <w:keepLines w:val="0"/>
        <w:widowControl/>
        <w:suppressLineNumbers w:val="0"/>
        <w:ind w:left="0" w:firstLine="420"/>
        <w:jc w:val="left"/>
      </w:pPr>
      <w:r>
        <w:t>三是强化监督检查。严格按照考核标准，加强对本部门政府信息公开的督促检查，同时广泛听取各方面的意见和要求，以确保政府信息公开内容的真实性、全面性和有效性。</w:t>
      </w:r>
    </w:p>
    <w:p>
      <w:pPr>
        <w:pStyle w:val="2"/>
        <w:keepNext w:val="0"/>
        <w:keepLines w:val="0"/>
        <w:widowControl/>
        <w:suppressLineNumbers w:val="0"/>
        <w:ind w:left="0" w:firstLine="420"/>
        <w:jc w:val="left"/>
      </w:pPr>
      <w:r>
        <w:t>四是创新政府信息公开方式。充分发挥新形势下微博微信、移动版本等公开平台“微动力”作用，增强政府信息公开服务能力。</w:t>
      </w:r>
    </w:p>
    <w:p>
      <w:pPr>
        <w:pStyle w:val="2"/>
        <w:keepNext w:val="0"/>
        <w:keepLines w:val="0"/>
        <w:widowControl/>
        <w:suppressLineNumbers w:val="0"/>
        <w:ind w:left="0" w:firstLine="420"/>
        <w:jc w:val="left"/>
      </w:pPr>
      <w:r>
        <w:t>六、其他需要报告的事项</w:t>
      </w:r>
    </w:p>
    <w:p>
      <w:pPr>
        <w:pStyle w:val="2"/>
        <w:keepNext w:val="0"/>
        <w:keepLines w:val="0"/>
        <w:widowControl/>
        <w:suppressLineNumbers w:val="0"/>
        <w:ind w:left="0" w:firstLine="420"/>
        <w:jc w:val="left"/>
      </w:pPr>
      <w:r>
        <w:t>本年度无其他需要报告的事项。</w:t>
      </w:r>
    </w:p>
    <w:p>
      <w:pPr>
        <w:pStyle w:val="2"/>
        <w:keepNext w:val="0"/>
        <w:keepLines w:val="0"/>
        <w:widowControl/>
        <w:suppressLineNumbers w:val="0"/>
        <w:ind w:left="0" w:firstLine="420"/>
        <w:jc w:val="left"/>
      </w:pPr>
    </w:p>
    <w:p>
      <w:pPr>
        <w:pStyle w:val="2"/>
        <w:keepNext w:val="0"/>
        <w:keepLines w:val="0"/>
        <w:widowControl/>
        <w:suppressLineNumbers w:val="0"/>
        <w:ind w:left="0" w:firstLine="420"/>
        <w:jc w:val="left"/>
      </w:pPr>
    </w:p>
    <w:p>
      <w:pPr>
        <w:pStyle w:val="2"/>
        <w:keepNext w:val="0"/>
        <w:keepLines w:val="0"/>
        <w:widowControl/>
        <w:suppressLineNumbers w:val="0"/>
        <w:ind w:left="0" w:firstLine="420"/>
        <w:jc w:val="right"/>
        <w:rPr>
          <w:rFonts w:hint="default" w:eastAsiaTheme="minorEastAsia"/>
          <w:lang w:val="en-US" w:eastAsia="zh-CN"/>
        </w:rPr>
      </w:pPr>
      <w:r>
        <w:rPr>
          <w:rFonts w:hint="eastAsia"/>
          <w:lang w:val="en-US" w:eastAsia="zh-CN"/>
        </w:rPr>
        <w:t>2020年1月23日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E48AE"/>
    <w:rsid w:val="08A8104C"/>
    <w:rsid w:val="11073BCB"/>
    <w:rsid w:val="23695730"/>
    <w:rsid w:val="3B9C556E"/>
    <w:rsid w:val="491E4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2020-02-17T02:56:00Z</dcterms:created>
  <dc:creator>慢慢</dc:creator>
  <cp:lastModifiedBy>王致奇</cp:lastModifiedBy>
  <dcterms:modified xsi:type="dcterms:W3CDTF">2020-03-30T02:01:29Z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