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宁波市商务局关于征求《鼓励外贸企业开拓国内市场促进内外贸一体化的若干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意见（试行）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各有关单位及专家：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eastAsia="zh-CN"/>
        </w:rPr>
        <w:t>为贯彻落实国家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构建以国内大循环为主体、国内国际双循环相互促进的新发展格局要求，</w:t>
      </w:r>
      <w:r>
        <w:rPr>
          <w:rFonts w:hint="eastAsia" w:ascii="仿宋_GB2312" w:cs="仿宋_GB2312"/>
          <w:sz w:val="32"/>
          <w:szCs w:val="32"/>
          <w:lang w:eastAsia="zh-CN"/>
        </w:rPr>
        <w:t>宁波市商务局会同相关部门拟定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鼓励外贸企业开拓国内市场促进内外贸一体化的若干意见（试行）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》，现公开征求意见。请于202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1日前将意见以电子邮件或传真等形式反馈给宁波市商务局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商贸运行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处。回函请务必留下您的姓名、单位名称及联系方式，便于起草人与您联系。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姚老师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9387137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89387134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1256094268</w:t>
      </w:r>
      <w:r>
        <w:rPr>
          <w:rFonts w:hint="eastAsia" w:ascii="仿宋_GB2312" w:hAnsi="仿宋_GB2312" w:eastAsia="仿宋_GB2312" w:cs="仿宋_GB2312"/>
          <w:sz w:val="32"/>
          <w:szCs w:val="32"/>
        </w:rPr>
        <w:t>＠qq.com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鼓励外贸企业开拓国内市场促进内外贸一体化的若干意见（试行）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关于鼓励外贸企业开拓国内市场促进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内外贸一体化的若干意见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sz w:val="32"/>
          <w:szCs w:val="32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、国务院关于加快构建新发展格局的系列部署要求，积极发挥政府引导作用和企业主体作用，推动外贸企业应用新技术、招引新人才、培育新模式，在开拓国际市场的同时，发挥优势，创新举措，大力开拓国内市场，争创内外贸一体化发展先行示范区，加快形成以国内大循环为主体，国内国际双循环相互促进的新发展格局，现提出如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一、支持企业加强自有品牌建设。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外贸企业增强品牌意识，提升品牌建设能力，推动“OEM”企业向“ODM”企业转化，“ODM”企业向“OBM”企业提升。对新获得国家“驰名商标”（行政认定）的外贸企业，给予一次性不超过50万元的奖励，对外贸企业新认定为“品字标”品牌认证企业（制造业类）、浙江省商标品牌示范企业的，给予一次性不超过30万元的奖励；对外贸企业（制造业类）通过自我声明方式新获得“品字标”授权的，给予一次性不超过20万元的奖励；对外贸企业（非制造业类）通过“品字标”认证或自我声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给予每家不高于10万元的补助（通过转化获得“品字标”品牌授权的不予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对“品字标”外贸企业在国家级官方媒体或省级电视台上开展品牌宣传的，给予合同金额20%的补助，最高不超过10万元。加大外贸企业知识产权保护力度，着力解决侵犯商业秘密、商标恶意抢注和商业标识混淆不正当竞争、专利侵权假冒、网络盗版侵权等问题,并依法加大惩治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加强行政执法与刑事司法衔接，形成治理侵权假冒行为工作合力。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二、推动实施“同线同标同质”工程。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将“三同”产品适用范围扩大至一般消费品、工业品领域。允许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企业以“三同”自我声明承诺，并在商品或包装上标注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“三同”标识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的方式进行销售（法律法规政策另有规定的从其规定）。鼓励区县（市）开设“三同”产品示范馆（“三同”产品示范店），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开展“三同”产品系列宣传活动，探索建立“三同”产品知识产权纠纷多元化解决机制。对于高端三同产品投资规模在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万元（含）以上的技改项目，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符合相关扶持政策且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列入市级重点扶持计划的，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实际投入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总额的</w:t>
      </w:r>
      <w:r>
        <w:rPr>
          <w:rFonts w:ascii="仿宋_GB2312" w:hAnsi="仿宋_GB2312" w:eastAsia="仿宋_GB2312" w:cs="仿宋_GB2312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三、支持企业提升供应链建设管理水平。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鼓励外贸企业利用数字化技术手段，转变业务模式、组织架构、运营流程和管理体系，加快推进供应链数字化转型，提升自身竞争力。扶持培育一批年销售额大、内外贸业务并重、处于供应链核心的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双循环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（具体认定办法在《关于鼓励外贸企业开拓国内市场促进内外贸一体化实施细则》中明确）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，支持其搭建数字化供应链平台，为上下游企业提供贸易、物流、仓储、金融、信息等“一站式”服务，构建高效共赢的供应链生态圈。对每家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双循环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示范企业，成立“一对一”服务专班，建立市和区县（市）两级常态化“三服务”工作机制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给予“一事一议”综合扶持政策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四、支持企业扩大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内销规模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鼓励外贸企业积极开拓国内市场，对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1000万美元</w:t>
      </w:r>
      <w:r>
        <w:rPr>
          <w:rFonts w:hint="eastAsia" w:ascii="仿宋_GB2312" w:hAnsi="仿宋_GB2312" w:eastAsia="仿宋_GB2312" w:cs="仿宋_GB2312"/>
          <w:sz w:val="32"/>
          <w:szCs w:val="32"/>
        </w:rPr>
        <w:t>的外贸企业，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实现国内商品销售额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增量超过1000万元的，按照企业国内销售额年增量2%的比例给予奖励，最高不超过200万元。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五、鼓励商场、超市销售外贸产品。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在本地注册的商场、超市与拥有自主品牌的外贸企业建立长期直采供货关系。支持商场、超市设立外贸产品专柜、专区，集中销售外贸产品，对进入外贸专柜（区）的企业，鼓励商场、超市实行“多费合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、支持企业参加境内专业性展会。</w:t>
      </w:r>
      <w:r>
        <w:rPr>
          <w:rFonts w:hint="eastAsia" w:ascii="仿宋_GB2312" w:hAnsi="仿宋_GB2312" w:eastAsia="仿宋_GB2312" w:cs="仿宋_GB2312"/>
          <w:sz w:val="32"/>
          <w:szCs w:val="32"/>
        </w:rPr>
        <w:t>梳理一批不同行业的境内专业性展会名录（具体名录另行制定），支持外贸企业参加展会，有效搭建国内销售渠道。对参加境内专业性展会的外贸企业，展位费按不高于50%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，且单个标准展会最高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0.8万元。每家企业年度展位费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总额最高不超过20万元。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、加大办展支持力度。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积极鼓励办展企业（机构）多办展、办好展，更好地服务外贸企业开拓国内市场，提升市场占有率。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符合条件的新办展会，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贸易类展会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前四年（届）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以展览面积8000平米补助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为起点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，每增加2000平米增加补助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万元，最高不超过200万元；消费类展会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前四年（届）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以展览面积12000平方米补助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为起点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，每增加2000平米增加补助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万元，最高不超过80万元。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四年（届）后，按相关规定给予递减补助或奖励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、有效利用商业载体促进内销。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鼓励外贸企业在市内商业综合体、步行街、社区商业、夜间集市等开设内销产品直营店、社区门店。对出口额在1000万美元以上、之前从未在国内开设门店的外贸企业，对其新开设的前3个门店，每个门店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投入费用（仅限房租、装修费用）超过10万元的，按照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投入费用的20%给予补助,每个门店最高不超过50万元，单家企业累计不超过150万元。市政府每年出资举办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外贸企业开拓国内市场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商品交易会，在宁波国际会展中心开设内外贸一体化馆，集中展示和销售宁波市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外贸企业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优质内销产品。结合市、区县（市）两级促消费活动，依托步行街、夜间经济地标商圈、特色街区等主要商业载体，在规范管理的基础上，鼓励外贸企业开展集中展销活动。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、加大政府采购扶持力度。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组织外贸企业入驻浙江省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外贸企业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内销专属销售平台——浙江内销馆，参与承接全省政府系统采购业务订单。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筛选品质优良的外贸企业内销商品进入宁波市政府采购目录，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鼓励政府机关优先采购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外贸企业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优质内销产品。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、加强金融支持。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加大国内贸易信用保险承保力度，提升保险覆盖面和限额满足率。鼓励外贸企业用足用好再贷款再贴现等货币政策工具，使用订单融资、预付款融资等新模式。探索基于供应链核心示范企业和政府采购平台的供应链金融服务，鼓励银保联动，发展国内贸易信用保险保单融资，畅通企业资金链。鼓励金融机构适度减费让利，合理降低企业融资成本和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费率水平。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、加强人才服务。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依托重点人才工程、重点人才项目，加大对高端内销人才引进力度。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推进内销领域队伍建设，将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国内市场开发营销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技能培训纳入全市职业技能培训提升行动范畴，鼓励外贸企业自主或委托第三方开展本企业职工相关职业技能培训，并按照规定给予相应的职业技能培训补贴。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、加强工作保障。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成立工作专班，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统筹协调，细化专项政策。各地、各部门要结合《宁波市人民政府办公厅关于支持外贸企业开拓国内市场的若干意见》（甬政办发〔2020〕43号），继续做好外贸产品进电商平台、进大型超市、进特色街区、进夜市、进展会、进政府采购目录等“六进”工作。市级财政统筹各类资金2亿元用于今年外贸企业开拓国内市场工作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具体细则在《关于鼓励外贸企业开拓国内市场促进内外贸一体化实施细则》中明确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符合本意见和我市其他产业政策的企业（项目），按照“从高、不重复”的原则享受政策。国家和省有其他支持政策措施的，遵照执行。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本意见自印发之日起施行，有效期至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日。相关政策措施已明确施行期限的，从其规定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19ED"/>
    <w:rsid w:val="298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2021-04-13T08:26:00Z</dcterms:created>
  <dc:creator>Administrator</dc:creator>
  <cp:lastModifiedBy>Administrator</cp:lastModifiedBy>
  <dcterms:modified xsi:type="dcterms:W3CDTF">2021-04-13T08:56:25Z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