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45" w:rsidRDefault="000B6745" w:rsidP="000B6745">
      <w:pPr>
        <w:spacing w:line="40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1</w:t>
      </w:r>
    </w:p>
    <w:p w:rsidR="000B6745" w:rsidRDefault="000B6745" w:rsidP="000B6745">
      <w:pPr>
        <w:spacing w:line="400" w:lineRule="exact"/>
        <w:jc w:val="center"/>
        <w:rPr>
          <w:rFonts w:ascii="黑体" w:eastAsia="黑体" w:hAnsi="黑体"/>
          <w:sz w:val="34"/>
          <w:szCs w:val="34"/>
        </w:rPr>
      </w:pPr>
    </w:p>
    <w:p w:rsidR="000B6745" w:rsidRDefault="000B6745" w:rsidP="000B6745">
      <w:pPr>
        <w:spacing w:line="400" w:lineRule="exact"/>
        <w:jc w:val="center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“热血国资战疫青春”原创文化作品大赛指标分配表</w:t>
      </w:r>
    </w:p>
    <w:p w:rsidR="000B6745" w:rsidRDefault="000B6745" w:rsidP="000B6745">
      <w:pPr>
        <w:spacing w:line="400" w:lineRule="exact"/>
        <w:jc w:val="center"/>
        <w:rPr>
          <w:rFonts w:ascii="黑体" w:eastAsia="黑体" w:hAnsi="黑体"/>
          <w:sz w:val="34"/>
          <w:szCs w:val="34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3"/>
        <w:gridCol w:w="1516"/>
        <w:gridCol w:w="1698"/>
        <w:gridCol w:w="1698"/>
        <w:gridCol w:w="1702"/>
      </w:tblGrid>
      <w:tr w:rsidR="000B6745" w:rsidTr="00E5489F">
        <w:trPr>
          <w:trHeight w:val="880"/>
          <w:jc w:val="center"/>
        </w:trPr>
        <w:tc>
          <w:tcPr>
            <w:tcW w:w="1883" w:type="dxa"/>
            <w:tcBorders>
              <w:tl2br w:val="single" w:sz="4" w:space="0" w:color="auto"/>
            </w:tcBorders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类别</w:t>
            </w:r>
          </w:p>
          <w:p w:rsidR="000B6745" w:rsidRDefault="000B6745" w:rsidP="00E5489F">
            <w:pPr>
              <w:spacing w:line="320" w:lineRule="exact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书法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绘画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摄影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</w:rPr>
              <w:t>小计</w:t>
            </w:r>
          </w:p>
        </w:tc>
      </w:tr>
      <w:tr w:rsidR="000B6745" w:rsidTr="00E5489F">
        <w:trPr>
          <w:trHeight w:val="634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FF"/>
                <w:spacing w:val="-30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宁兴集团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FF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FF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FF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FF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12</w:t>
            </w:r>
          </w:p>
        </w:tc>
      </w:tr>
      <w:tr w:rsidR="000B6745" w:rsidTr="00E5489F">
        <w:trPr>
          <w:trHeight w:val="622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工投集团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24</w:t>
            </w:r>
          </w:p>
        </w:tc>
      </w:tr>
      <w:tr w:rsidR="000B6745" w:rsidTr="00E5489F">
        <w:trPr>
          <w:trHeight w:val="616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开投集团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24</w:t>
            </w:r>
          </w:p>
        </w:tc>
      </w:tr>
      <w:tr w:rsidR="000B6745" w:rsidTr="00E5489F">
        <w:trPr>
          <w:trHeight w:val="596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城投公司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24</w:t>
            </w:r>
          </w:p>
        </w:tc>
      </w:tr>
      <w:tr w:rsidR="000B6745" w:rsidTr="00E5489F">
        <w:trPr>
          <w:trHeight w:val="632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交投公司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24</w:t>
            </w:r>
          </w:p>
        </w:tc>
      </w:tr>
      <w:tr w:rsidR="000B6745" w:rsidTr="00E5489F">
        <w:trPr>
          <w:trHeight w:val="599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商贸集团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12</w:t>
            </w:r>
          </w:p>
        </w:tc>
      </w:tr>
      <w:tr w:rsidR="000B6745" w:rsidTr="00E5489F">
        <w:trPr>
          <w:trHeight w:val="607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旅投公司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12</w:t>
            </w:r>
          </w:p>
        </w:tc>
      </w:tr>
      <w:tr w:rsidR="000B6745" w:rsidTr="00E5489F">
        <w:trPr>
          <w:trHeight w:val="615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供排水集团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color w:val="000000" w:themeColor="text1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color w:val="000000" w:themeColor="text1"/>
                <w:sz w:val="32"/>
              </w:rPr>
              <w:t>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color w:val="000000" w:themeColor="text1"/>
                <w:sz w:val="32"/>
              </w:rPr>
              <w:t>8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sz w:val="32"/>
              </w:rPr>
            </w:pPr>
            <w:r>
              <w:rPr>
                <w:rFonts w:ascii="仿宋_GB2312" w:eastAsia="仿宋_GB2312" w:hAnsi="仿宋"/>
                <w:color w:val="000000" w:themeColor="text1"/>
                <w:sz w:val="32"/>
              </w:rPr>
              <w:t>24</w:t>
            </w:r>
          </w:p>
        </w:tc>
      </w:tr>
      <w:tr w:rsidR="000B6745" w:rsidTr="00E5489F">
        <w:trPr>
          <w:trHeight w:val="608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sz w:val="32"/>
              </w:rPr>
              <w:t>原水集团</w:t>
            </w:r>
            <w:bookmarkStart w:id="0" w:name="_GoBack"/>
            <w:bookmarkEnd w:id="0"/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4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/>
                <w:sz w:val="32"/>
              </w:rPr>
              <w:t>12</w:t>
            </w:r>
          </w:p>
        </w:tc>
      </w:tr>
      <w:tr w:rsidR="000B6745" w:rsidTr="00E5489F">
        <w:trPr>
          <w:trHeight w:val="616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中华纸业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/>
                <w:color w:val="000000" w:themeColor="text1"/>
                <w:sz w:val="32"/>
              </w:rPr>
              <w:t>2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4</w:t>
            </w:r>
          </w:p>
        </w:tc>
      </w:tr>
      <w:tr w:rsidR="000B6745" w:rsidTr="00E5489F">
        <w:trPr>
          <w:trHeight w:val="610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中航钢贸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3</w:t>
            </w:r>
          </w:p>
        </w:tc>
      </w:tr>
      <w:tr w:rsidR="000B6745" w:rsidTr="00E5489F">
        <w:trPr>
          <w:trHeight w:val="807"/>
          <w:jc w:val="center"/>
        </w:trPr>
        <w:tc>
          <w:tcPr>
            <w:tcW w:w="8497" w:type="dxa"/>
            <w:gridSpan w:val="5"/>
            <w:vAlign w:val="center"/>
          </w:tcPr>
          <w:p w:rsidR="000B6745" w:rsidRDefault="000B6745" w:rsidP="00E5489F">
            <w:pPr>
              <w:spacing w:line="320" w:lineRule="exact"/>
              <w:ind w:firstLineChars="100" w:firstLine="320"/>
              <w:jc w:val="left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邀请参加：</w:t>
            </w:r>
            <w:r>
              <w:rPr>
                <w:rFonts w:ascii="仿宋_GB2312" w:eastAsia="仿宋_GB2312" w:hAnsi="仿宋" w:hint="eastAsia"/>
                <w:color w:val="000000" w:themeColor="text1"/>
                <w:spacing w:val="-30"/>
                <w:sz w:val="32"/>
              </w:rPr>
              <w:t>轨道交通集团、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市国资委妇委会</w:t>
            </w:r>
          </w:p>
        </w:tc>
      </w:tr>
      <w:tr w:rsidR="000B6745" w:rsidTr="00E5489F">
        <w:trPr>
          <w:trHeight w:val="807"/>
          <w:jc w:val="center"/>
        </w:trPr>
        <w:tc>
          <w:tcPr>
            <w:tcW w:w="1883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合计</w:t>
            </w:r>
          </w:p>
        </w:tc>
        <w:tc>
          <w:tcPr>
            <w:tcW w:w="1516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58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58</w:t>
            </w:r>
          </w:p>
        </w:tc>
        <w:tc>
          <w:tcPr>
            <w:tcW w:w="1698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59</w:t>
            </w:r>
          </w:p>
        </w:tc>
        <w:tc>
          <w:tcPr>
            <w:tcW w:w="1702" w:type="dxa"/>
            <w:vAlign w:val="center"/>
          </w:tcPr>
          <w:p w:rsidR="000B6745" w:rsidRDefault="000B6745" w:rsidP="00E5489F">
            <w:pPr>
              <w:spacing w:line="32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</w:rPr>
              <w:t>175</w:t>
            </w:r>
          </w:p>
        </w:tc>
      </w:tr>
    </w:tbl>
    <w:p w:rsidR="000B6745" w:rsidRDefault="000B6745" w:rsidP="000B6745">
      <w:pPr>
        <w:spacing w:line="320" w:lineRule="exact"/>
        <w:ind w:firstLine="648"/>
        <w:jc w:val="left"/>
        <w:rPr>
          <w:rFonts w:ascii="仿宋_GB2312" w:eastAsia="仿宋_GB2312" w:hAnsi="仿宋"/>
          <w:sz w:val="32"/>
        </w:rPr>
      </w:pPr>
    </w:p>
    <w:p w:rsidR="000B6745" w:rsidRDefault="000B6745" w:rsidP="000B6745">
      <w:pPr>
        <w:spacing w:line="320" w:lineRule="exact"/>
        <w:ind w:firstLine="648"/>
        <w:jc w:val="left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sz w:val="32"/>
        </w:rPr>
        <w:t>备注：以上各类别分配指标之间可以适当调剂，但报送的总量为保底数量。另外，根据作品质量鼓励多报送。</w:t>
      </w:r>
    </w:p>
    <w:p w:rsidR="00DD74B5" w:rsidRPr="000B6745" w:rsidRDefault="00DD74B5"/>
    <w:sectPr w:rsidR="00DD74B5" w:rsidRPr="000B6745" w:rsidSect="00DD74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745"/>
    <w:rsid w:val="000B6745"/>
    <w:rsid w:val="00DD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NBGZW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2020-04-27T07:38:00Z</dcterms:created>
  <dcterms:modified xsi:type="dcterms:W3CDTF">2020-04-27T07:39:00Z</dcterms:modified>
</cp:coreProperties>
</file>