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E03661" w:rsidTr="00E91509">
        <w:trPr>
          <w:trHeight w:val="14449"/>
        </w:trPr>
        <w:tc>
          <w:tcPr>
            <w:tcW w:w="9000" w:type="dxa"/>
          </w:tcPr>
          <w:p w:rsidR="00E03661" w:rsidRDefault="00E03661" w:rsidP="00E03661">
            <w:pPr>
              <w:ind w:firstLineChars="543" w:firstLine="31680"/>
              <w:rPr>
                <w:b/>
                <w:bCs/>
                <w:sz w:val="44"/>
              </w:rPr>
            </w:pPr>
            <w:r>
              <w:rPr>
                <w:rFonts w:hint="eastAsia"/>
                <w:b/>
                <w:bCs/>
                <w:sz w:val="44"/>
              </w:rPr>
              <w:t>环保部门审批意见</w:t>
            </w:r>
            <w:r>
              <w:rPr>
                <w:b/>
                <w:bCs/>
                <w:sz w:val="44"/>
              </w:rPr>
              <w:t xml:space="preserve">  </w:t>
            </w:r>
            <w:r>
              <w:rPr>
                <w:rFonts w:hint="eastAsia"/>
                <w:bCs/>
                <w:sz w:val="24"/>
              </w:rPr>
              <w:t>奉环建表</w:t>
            </w:r>
            <w:r>
              <w:rPr>
                <w:bCs/>
                <w:sz w:val="24"/>
              </w:rPr>
              <w:t>[2019]011</w:t>
            </w:r>
            <w:r>
              <w:rPr>
                <w:rFonts w:hint="eastAsia"/>
                <w:bCs/>
                <w:sz w:val="24"/>
              </w:rPr>
              <w:t>号</w:t>
            </w:r>
          </w:p>
          <w:p w:rsidR="00E03661" w:rsidRPr="00120FF3" w:rsidRDefault="00E03661" w:rsidP="00120FF3">
            <w:pPr>
              <w:spacing w:line="440" w:lineRule="exact"/>
              <w:rPr>
                <w:sz w:val="24"/>
              </w:rPr>
            </w:pPr>
            <w:r w:rsidRPr="00120FF3">
              <w:rPr>
                <w:rFonts w:hint="eastAsia"/>
                <w:sz w:val="24"/>
              </w:rPr>
              <w:t>宁波沃腾玛尔洁具有限公司：</w:t>
            </w:r>
          </w:p>
          <w:p w:rsidR="00E03661" w:rsidRPr="00120FF3" w:rsidRDefault="00E03661" w:rsidP="00E03661">
            <w:pPr>
              <w:spacing w:line="440" w:lineRule="exact"/>
              <w:ind w:firstLineChars="200" w:firstLine="31680"/>
              <w:rPr>
                <w:sz w:val="24"/>
              </w:rPr>
            </w:pPr>
            <w:r w:rsidRPr="00120FF3">
              <w:rPr>
                <w:rFonts w:hint="eastAsia"/>
                <w:sz w:val="24"/>
              </w:rPr>
              <w:t>你单位报送的《申请报告》、《宁波沃腾玛尔洁具有限公司年产</w:t>
            </w:r>
            <w:r w:rsidRPr="00120FF3">
              <w:rPr>
                <w:sz w:val="24"/>
              </w:rPr>
              <w:t>50000</w:t>
            </w:r>
            <w:r w:rsidRPr="00120FF3">
              <w:rPr>
                <w:rFonts w:hint="eastAsia"/>
                <w:sz w:val="24"/>
              </w:rPr>
              <w:t>套浴缸项目环境影响报告表》收悉，经研究，批复如下：</w:t>
            </w:r>
          </w:p>
          <w:p w:rsidR="00E03661" w:rsidRPr="00120FF3" w:rsidRDefault="00E03661" w:rsidP="00E03661">
            <w:pPr>
              <w:spacing w:line="440" w:lineRule="exact"/>
              <w:ind w:firstLineChars="200" w:firstLine="31680"/>
              <w:rPr>
                <w:sz w:val="24"/>
              </w:rPr>
            </w:pPr>
            <w:r w:rsidRPr="00120FF3">
              <w:rPr>
                <w:rFonts w:hint="eastAsia"/>
                <w:sz w:val="24"/>
              </w:rPr>
              <w:t>一、该项目拟建于奉化区尚田镇镇西路</w:t>
            </w:r>
            <w:r w:rsidRPr="00120FF3">
              <w:rPr>
                <w:sz w:val="24"/>
              </w:rPr>
              <w:t>75</w:t>
            </w:r>
            <w:r w:rsidRPr="00120FF3">
              <w:rPr>
                <w:rFonts w:hint="eastAsia"/>
                <w:sz w:val="24"/>
              </w:rPr>
              <w:t>号，总投资</w:t>
            </w:r>
            <w:r w:rsidRPr="00120FF3">
              <w:rPr>
                <w:sz w:val="24"/>
              </w:rPr>
              <w:t>2300</w:t>
            </w:r>
            <w:r w:rsidRPr="00120FF3">
              <w:rPr>
                <w:rFonts w:hint="eastAsia"/>
                <w:sz w:val="24"/>
              </w:rPr>
              <w:t>万元，环保投资</w:t>
            </w:r>
            <w:r w:rsidRPr="00120FF3">
              <w:rPr>
                <w:sz w:val="24"/>
              </w:rPr>
              <w:t>90</w:t>
            </w:r>
            <w:r w:rsidRPr="00120FF3">
              <w:rPr>
                <w:rFonts w:hint="eastAsia"/>
                <w:sz w:val="24"/>
              </w:rPr>
              <w:t>万元，法人代表：俞良华。本项目为扩建项目，新增年产</w:t>
            </w:r>
            <w:r w:rsidRPr="00120FF3">
              <w:rPr>
                <w:sz w:val="24"/>
              </w:rPr>
              <w:t>50000</w:t>
            </w:r>
            <w:r w:rsidRPr="00120FF3">
              <w:rPr>
                <w:rFonts w:hint="eastAsia"/>
                <w:sz w:val="24"/>
              </w:rPr>
              <w:t>套浴缸。项目主要生产工艺：</w:t>
            </w:r>
            <w:r>
              <w:rPr>
                <w:sz w:val="24"/>
              </w:rPr>
              <w:t>1</w:t>
            </w:r>
            <w:r>
              <w:rPr>
                <w:rFonts w:hint="eastAsia"/>
                <w:sz w:val="24"/>
              </w:rPr>
              <w:t>、不锈钢管</w:t>
            </w:r>
            <w:r>
              <w:rPr>
                <w:sz w:val="24"/>
              </w:rPr>
              <w:t>-</w:t>
            </w:r>
            <w:r>
              <w:rPr>
                <w:rFonts w:hint="eastAsia"/>
                <w:sz w:val="24"/>
              </w:rPr>
              <w:t>切割</w:t>
            </w:r>
            <w:r>
              <w:rPr>
                <w:sz w:val="24"/>
              </w:rPr>
              <w:t>-</w:t>
            </w:r>
            <w:r>
              <w:rPr>
                <w:rFonts w:hint="eastAsia"/>
                <w:sz w:val="24"/>
              </w:rPr>
              <w:t>焊接</w:t>
            </w:r>
            <w:r>
              <w:rPr>
                <w:sz w:val="24"/>
              </w:rPr>
              <w:t>-</w:t>
            </w:r>
            <w:r>
              <w:rPr>
                <w:rFonts w:hint="eastAsia"/>
                <w:sz w:val="24"/>
              </w:rPr>
              <w:t>钢架成型</w:t>
            </w:r>
            <w:r>
              <w:rPr>
                <w:sz w:val="24"/>
              </w:rPr>
              <w:t>-</w:t>
            </w:r>
            <w:r>
              <w:rPr>
                <w:rFonts w:hint="eastAsia"/>
                <w:sz w:val="24"/>
              </w:rPr>
              <w:t>加固；</w:t>
            </w:r>
            <w:r>
              <w:rPr>
                <w:sz w:val="24"/>
              </w:rPr>
              <w:t>2</w:t>
            </w:r>
            <w:r>
              <w:rPr>
                <w:rFonts w:hint="eastAsia"/>
                <w:sz w:val="24"/>
              </w:rPr>
              <w:t>、亚克力板</w:t>
            </w:r>
            <w:r>
              <w:rPr>
                <w:sz w:val="24"/>
              </w:rPr>
              <w:t>-</w:t>
            </w:r>
            <w:r>
              <w:rPr>
                <w:rFonts w:hint="eastAsia"/>
                <w:sz w:val="24"/>
              </w:rPr>
              <w:t>吸塑成型</w:t>
            </w:r>
            <w:r>
              <w:rPr>
                <w:sz w:val="24"/>
              </w:rPr>
              <w:t>-</w:t>
            </w:r>
            <w:r>
              <w:rPr>
                <w:rFonts w:hint="eastAsia"/>
                <w:sz w:val="24"/>
              </w:rPr>
              <w:t>修边</w:t>
            </w:r>
            <w:r>
              <w:rPr>
                <w:sz w:val="24"/>
              </w:rPr>
              <w:t>-</w:t>
            </w:r>
            <w:r>
              <w:rPr>
                <w:rFonts w:hint="eastAsia"/>
                <w:sz w:val="24"/>
              </w:rPr>
              <w:t>敷缸</w:t>
            </w:r>
            <w:r>
              <w:rPr>
                <w:sz w:val="24"/>
              </w:rPr>
              <w:t>-</w:t>
            </w:r>
            <w:r>
              <w:rPr>
                <w:rFonts w:hint="eastAsia"/>
                <w:sz w:val="24"/>
              </w:rPr>
              <w:t>锯边、钻孔；</w:t>
            </w:r>
            <w:r>
              <w:rPr>
                <w:sz w:val="24"/>
              </w:rPr>
              <w:t>1+2-</w:t>
            </w:r>
            <w:r>
              <w:rPr>
                <w:rFonts w:hint="eastAsia"/>
                <w:sz w:val="24"/>
              </w:rPr>
              <w:t>浴缸安装钢架</w:t>
            </w:r>
            <w:r>
              <w:rPr>
                <w:sz w:val="24"/>
              </w:rPr>
              <w:t>-</w:t>
            </w:r>
            <w:r>
              <w:rPr>
                <w:rFonts w:hint="eastAsia"/>
                <w:sz w:val="24"/>
              </w:rPr>
              <w:t>配裙边</w:t>
            </w:r>
            <w:r>
              <w:rPr>
                <w:sz w:val="24"/>
              </w:rPr>
              <w:t>-</w:t>
            </w:r>
            <w:r>
              <w:rPr>
                <w:rFonts w:hint="eastAsia"/>
                <w:sz w:val="24"/>
              </w:rPr>
              <w:t>修裙边</w:t>
            </w:r>
            <w:r>
              <w:rPr>
                <w:sz w:val="24"/>
              </w:rPr>
              <w:t>-</w:t>
            </w:r>
            <w:r>
              <w:rPr>
                <w:rFonts w:hint="eastAsia"/>
                <w:sz w:val="24"/>
              </w:rPr>
              <w:t>喷漆</w:t>
            </w:r>
            <w:r>
              <w:rPr>
                <w:sz w:val="24"/>
              </w:rPr>
              <w:t>-</w:t>
            </w:r>
            <w:r>
              <w:rPr>
                <w:rFonts w:hint="eastAsia"/>
                <w:sz w:val="24"/>
              </w:rPr>
              <w:t>烤漆</w:t>
            </w:r>
            <w:r>
              <w:rPr>
                <w:sz w:val="24"/>
              </w:rPr>
              <w:t>-</w:t>
            </w:r>
            <w:r>
              <w:rPr>
                <w:rFonts w:hint="eastAsia"/>
                <w:sz w:val="24"/>
              </w:rPr>
              <w:t>测试</w:t>
            </w:r>
            <w:r>
              <w:rPr>
                <w:sz w:val="24"/>
              </w:rPr>
              <w:t>-</w:t>
            </w:r>
            <w:r>
              <w:rPr>
                <w:rFonts w:hint="eastAsia"/>
                <w:sz w:val="24"/>
              </w:rPr>
              <w:t>抛光</w:t>
            </w:r>
            <w:r>
              <w:rPr>
                <w:sz w:val="24"/>
              </w:rPr>
              <w:t>-</w:t>
            </w:r>
            <w:r>
              <w:rPr>
                <w:rFonts w:hint="eastAsia"/>
                <w:sz w:val="24"/>
              </w:rPr>
              <w:t>成品</w:t>
            </w:r>
            <w:r w:rsidRPr="00120FF3">
              <w:rPr>
                <w:rFonts w:hint="eastAsia"/>
                <w:sz w:val="24"/>
              </w:rPr>
              <w:t>。经我局审查，原则同意报告表结论和报告表提出的污染防治措施，经批复后的环境影响报告表可以作为本项目建设和日常运行管理的环境保护依据。如有变化，须按法定程序重新报批。</w:t>
            </w:r>
          </w:p>
          <w:p w:rsidR="00E03661" w:rsidRPr="00120FF3" w:rsidRDefault="00E03661" w:rsidP="00E03661">
            <w:pPr>
              <w:spacing w:line="440" w:lineRule="exact"/>
              <w:ind w:firstLineChars="200" w:firstLine="31680"/>
              <w:rPr>
                <w:sz w:val="24"/>
              </w:rPr>
            </w:pPr>
            <w:r w:rsidRPr="00120FF3">
              <w:rPr>
                <w:rFonts w:hint="eastAsia"/>
                <w:sz w:val="24"/>
              </w:rPr>
              <w:t>二、在项目建设过程中和建成运行后应做到以下几点：</w:t>
            </w:r>
          </w:p>
          <w:p w:rsidR="00E03661" w:rsidRPr="00120FF3" w:rsidRDefault="00E03661" w:rsidP="00E03661">
            <w:pPr>
              <w:spacing w:line="440" w:lineRule="exact"/>
              <w:ind w:firstLineChars="200" w:firstLine="31680"/>
              <w:rPr>
                <w:sz w:val="24"/>
              </w:rPr>
            </w:pPr>
            <w:r w:rsidRPr="00120FF3">
              <w:rPr>
                <w:sz w:val="24"/>
              </w:rPr>
              <w:t>1</w:t>
            </w:r>
            <w:r w:rsidRPr="00120FF3">
              <w:rPr>
                <w:rFonts w:hint="eastAsia"/>
                <w:sz w:val="24"/>
              </w:rPr>
              <w:t>、</w:t>
            </w:r>
            <w:r w:rsidRPr="00120FF3">
              <w:rPr>
                <w:rFonts w:ascii="宋体" w:hAnsi="宋体" w:cs="宋体" w:hint="eastAsia"/>
                <w:sz w:val="24"/>
              </w:rPr>
              <w:t>加强项目建设的施工期环境管理。按照《环境影响报告表》要求，认真落实施工期各项污染防治措施。确保施工场界噪声达到《建筑施工场界环境噪声排放标准》（</w:t>
            </w:r>
            <w:r w:rsidRPr="00120FF3">
              <w:rPr>
                <w:rFonts w:ascii="宋体" w:hAnsi="宋体" w:cs="宋体"/>
                <w:sz w:val="24"/>
              </w:rPr>
              <w:t>GB12523-2011</w:t>
            </w:r>
            <w:r w:rsidRPr="00120FF3">
              <w:rPr>
                <w:rFonts w:ascii="宋体" w:hAnsi="宋体" w:cs="宋体" w:hint="eastAsia"/>
                <w:sz w:val="24"/>
              </w:rPr>
              <w:t>），施工期生活废水利用现有生活设施处理，施工废水须经收集沉淀后回用；有效控制施工扬尘和汽车尾气，妥善处置施工弃土、弃渣和固体废弃物，防止施工废水、扬尘、固废、噪声等污染环境。</w:t>
            </w:r>
          </w:p>
          <w:p w:rsidR="00E03661" w:rsidRPr="00120FF3" w:rsidRDefault="00E03661" w:rsidP="00E03661">
            <w:pPr>
              <w:spacing w:line="440" w:lineRule="exact"/>
              <w:ind w:firstLineChars="200" w:firstLine="31680"/>
              <w:rPr>
                <w:sz w:val="24"/>
              </w:rPr>
            </w:pPr>
            <w:r w:rsidRPr="00120FF3">
              <w:rPr>
                <w:sz w:val="24"/>
              </w:rPr>
              <w:t>2</w:t>
            </w:r>
            <w:r w:rsidRPr="00120FF3">
              <w:rPr>
                <w:rFonts w:hint="eastAsia"/>
                <w:sz w:val="24"/>
              </w:rPr>
              <w:t>、加强管理，逐项落实《浙江省、宁波市涂装业挥发性有机物污染整治规范》的要求，喷漆房、烤漆房须单独密闭设置。项目使用油性油漆，喷漆废气经“水帘</w:t>
            </w:r>
            <w:r w:rsidRPr="00120FF3">
              <w:rPr>
                <w:sz w:val="24"/>
              </w:rPr>
              <w:t>+</w:t>
            </w:r>
            <w:r w:rsidRPr="00120FF3">
              <w:rPr>
                <w:rFonts w:hint="eastAsia"/>
                <w:sz w:val="24"/>
              </w:rPr>
              <w:t>水喷淋</w:t>
            </w:r>
            <w:r w:rsidRPr="00120FF3">
              <w:rPr>
                <w:sz w:val="24"/>
              </w:rPr>
              <w:t>+</w:t>
            </w:r>
            <w:r w:rsidRPr="00120FF3">
              <w:rPr>
                <w:rFonts w:hint="eastAsia"/>
                <w:sz w:val="24"/>
              </w:rPr>
              <w:t>光催化氧化</w:t>
            </w:r>
            <w:r w:rsidRPr="00120FF3">
              <w:rPr>
                <w:sz w:val="24"/>
              </w:rPr>
              <w:t>+</w:t>
            </w:r>
            <w:r w:rsidRPr="00120FF3">
              <w:rPr>
                <w:rFonts w:hint="eastAsia"/>
                <w:sz w:val="24"/>
              </w:rPr>
              <w:t>活性炭吸附”装置处理，烘干废气经另一套“水喷淋</w:t>
            </w:r>
            <w:r w:rsidRPr="00120FF3">
              <w:rPr>
                <w:sz w:val="24"/>
              </w:rPr>
              <w:t>+</w:t>
            </w:r>
            <w:r w:rsidRPr="00120FF3">
              <w:rPr>
                <w:rFonts w:hint="eastAsia"/>
                <w:sz w:val="24"/>
              </w:rPr>
              <w:t>催化氧化</w:t>
            </w:r>
            <w:r w:rsidRPr="00120FF3">
              <w:rPr>
                <w:sz w:val="24"/>
              </w:rPr>
              <w:t>+</w:t>
            </w:r>
            <w:r w:rsidRPr="00120FF3">
              <w:rPr>
                <w:rFonts w:hint="eastAsia"/>
                <w:sz w:val="24"/>
              </w:rPr>
              <w:t>活性炭吸附”废气装置处理，两种废气处理率分别达到</w:t>
            </w:r>
            <w:r w:rsidRPr="00120FF3">
              <w:rPr>
                <w:sz w:val="24"/>
              </w:rPr>
              <w:t>95%</w:t>
            </w:r>
            <w:r w:rsidRPr="00120FF3">
              <w:rPr>
                <w:rFonts w:hint="eastAsia"/>
                <w:sz w:val="24"/>
              </w:rPr>
              <w:t>后，汇合通过</w:t>
            </w:r>
            <w:r w:rsidRPr="00120FF3">
              <w:rPr>
                <w:sz w:val="24"/>
              </w:rPr>
              <w:t>15m</w:t>
            </w:r>
            <w:r w:rsidRPr="00120FF3">
              <w:rPr>
                <w:rFonts w:hint="eastAsia"/>
                <w:sz w:val="24"/>
              </w:rPr>
              <w:t>高的</w:t>
            </w:r>
            <w:r>
              <w:rPr>
                <w:sz w:val="24"/>
              </w:rPr>
              <w:t>5</w:t>
            </w:r>
            <w:r w:rsidRPr="00120FF3">
              <w:rPr>
                <w:sz w:val="24"/>
              </w:rPr>
              <w:t>#</w:t>
            </w:r>
            <w:r w:rsidRPr="00120FF3">
              <w:rPr>
                <w:rFonts w:hint="eastAsia"/>
                <w:sz w:val="24"/>
              </w:rPr>
              <w:t>排气筒排放，废气排放须满足《工业涂装工序大气污染物排放标准》（</w:t>
            </w:r>
            <w:r w:rsidRPr="00120FF3">
              <w:rPr>
                <w:sz w:val="24"/>
              </w:rPr>
              <w:t>DB33/2146-2018</w:t>
            </w:r>
            <w:r w:rsidRPr="00120FF3">
              <w:rPr>
                <w:rFonts w:hint="eastAsia"/>
                <w:sz w:val="24"/>
              </w:rPr>
              <w:t>）中大气污染物特别排放限值；树脂废气经</w:t>
            </w:r>
            <w:r>
              <w:rPr>
                <w:rFonts w:hint="eastAsia"/>
                <w:sz w:val="24"/>
              </w:rPr>
              <w:t>集气罩</w:t>
            </w:r>
            <w:r w:rsidRPr="00120FF3">
              <w:rPr>
                <w:rFonts w:hint="eastAsia"/>
                <w:sz w:val="24"/>
              </w:rPr>
              <w:t>收集后通过水喷淋</w:t>
            </w:r>
            <w:r w:rsidRPr="00120FF3">
              <w:rPr>
                <w:sz w:val="24"/>
              </w:rPr>
              <w:t>+</w:t>
            </w:r>
            <w:r w:rsidRPr="00120FF3">
              <w:rPr>
                <w:rFonts w:hint="eastAsia"/>
                <w:sz w:val="24"/>
              </w:rPr>
              <w:t>催化氧化</w:t>
            </w:r>
            <w:r w:rsidRPr="00120FF3">
              <w:rPr>
                <w:sz w:val="24"/>
              </w:rPr>
              <w:t>+</w:t>
            </w:r>
            <w:r w:rsidRPr="00120FF3">
              <w:rPr>
                <w:rFonts w:hint="eastAsia"/>
                <w:sz w:val="24"/>
              </w:rPr>
              <w:t>活性炭吸附处理后通过</w:t>
            </w:r>
            <w:r w:rsidRPr="00120FF3">
              <w:rPr>
                <w:sz w:val="24"/>
              </w:rPr>
              <w:t>15m</w:t>
            </w:r>
            <w:r w:rsidRPr="00120FF3">
              <w:rPr>
                <w:rFonts w:hint="eastAsia"/>
                <w:sz w:val="24"/>
              </w:rPr>
              <w:t>高的</w:t>
            </w:r>
            <w:r w:rsidRPr="00120FF3">
              <w:rPr>
                <w:sz w:val="24"/>
              </w:rPr>
              <w:t>1#</w:t>
            </w:r>
            <w:r>
              <w:rPr>
                <w:rFonts w:hint="eastAsia"/>
                <w:sz w:val="24"/>
              </w:rPr>
              <w:t>排气筒排放，相关废气排放须满足</w:t>
            </w:r>
            <w:r w:rsidRPr="00120FF3">
              <w:rPr>
                <w:rFonts w:hint="eastAsia"/>
                <w:sz w:val="24"/>
              </w:rPr>
              <w:t>《工业涂装工序大气污染物排放标准》（</w:t>
            </w:r>
            <w:r w:rsidRPr="00120FF3">
              <w:rPr>
                <w:sz w:val="24"/>
              </w:rPr>
              <w:t>DB33/2146-2018</w:t>
            </w:r>
            <w:r>
              <w:rPr>
                <w:rFonts w:hint="eastAsia"/>
                <w:sz w:val="24"/>
              </w:rPr>
              <w:t>）中大气污染物特别排放限值</w:t>
            </w:r>
            <w:r w:rsidRPr="00120FF3">
              <w:rPr>
                <w:rFonts w:hint="eastAsia"/>
                <w:sz w:val="24"/>
              </w:rPr>
              <w:t>；吸塑机上方设置集气罩，吸塑废气经集气罩收集后通过水喷淋</w:t>
            </w:r>
            <w:r w:rsidRPr="00120FF3">
              <w:rPr>
                <w:sz w:val="24"/>
              </w:rPr>
              <w:t>+</w:t>
            </w:r>
            <w:r w:rsidRPr="00120FF3">
              <w:rPr>
                <w:rFonts w:hint="eastAsia"/>
                <w:sz w:val="24"/>
              </w:rPr>
              <w:t>活性炭吸附处理，并通过</w:t>
            </w:r>
            <w:r w:rsidRPr="00120FF3">
              <w:rPr>
                <w:sz w:val="24"/>
              </w:rPr>
              <w:t>15m</w:t>
            </w:r>
            <w:r w:rsidRPr="00120FF3">
              <w:rPr>
                <w:rFonts w:hint="eastAsia"/>
                <w:sz w:val="24"/>
              </w:rPr>
              <w:t>高的</w:t>
            </w:r>
            <w:r w:rsidRPr="00120FF3">
              <w:rPr>
                <w:sz w:val="24"/>
              </w:rPr>
              <w:t>2#</w:t>
            </w:r>
            <w:r w:rsidRPr="00120FF3">
              <w:rPr>
                <w:rFonts w:hint="eastAsia"/>
                <w:sz w:val="24"/>
              </w:rPr>
              <w:t>排气筒排放，相关废气排放须满足《大气污染物综合排放标准》（</w:t>
            </w:r>
            <w:r w:rsidRPr="00120FF3">
              <w:rPr>
                <w:sz w:val="24"/>
              </w:rPr>
              <w:t>GB16297-1996</w:t>
            </w:r>
            <w:r w:rsidRPr="00120FF3">
              <w:rPr>
                <w:rFonts w:hint="eastAsia"/>
                <w:sz w:val="24"/>
              </w:rPr>
              <w:t>）表</w:t>
            </w:r>
            <w:r w:rsidRPr="00120FF3">
              <w:rPr>
                <w:sz w:val="24"/>
              </w:rPr>
              <w:t>2</w:t>
            </w:r>
            <w:r w:rsidRPr="00120FF3">
              <w:rPr>
                <w:rFonts w:hint="eastAsia"/>
                <w:sz w:val="24"/>
              </w:rPr>
              <w:t>中的二级标准；焊接烟尘经过移动式集尘器收集处理后无组织排放</w:t>
            </w:r>
            <w:r>
              <w:rPr>
                <w:rFonts w:hint="eastAsia"/>
                <w:sz w:val="24"/>
              </w:rPr>
              <w:t>，</w:t>
            </w:r>
            <w:r w:rsidRPr="00120FF3">
              <w:rPr>
                <w:rFonts w:hint="eastAsia"/>
                <w:sz w:val="24"/>
              </w:rPr>
              <w:t>相关废气排放须满足《大气污染物综合排放标准》（</w:t>
            </w:r>
            <w:r w:rsidRPr="00120FF3">
              <w:rPr>
                <w:sz w:val="24"/>
              </w:rPr>
              <w:t>GB16297-1996</w:t>
            </w:r>
            <w:r w:rsidRPr="00120FF3">
              <w:rPr>
                <w:rFonts w:hint="eastAsia"/>
                <w:sz w:val="24"/>
              </w:rPr>
              <w:t>）表</w:t>
            </w:r>
            <w:r w:rsidRPr="00120FF3">
              <w:rPr>
                <w:sz w:val="24"/>
              </w:rPr>
              <w:t>2</w:t>
            </w:r>
            <w:r w:rsidRPr="00120FF3">
              <w:rPr>
                <w:rFonts w:hint="eastAsia"/>
                <w:sz w:val="24"/>
              </w:rPr>
              <w:t>中的二级标准；加强切割、钻孔车间的密闭性，在切割和钻孔工序上方设置集气罩，废气经收集后通过布袋除尘器处理并通过</w:t>
            </w:r>
            <w:r w:rsidRPr="00120FF3">
              <w:rPr>
                <w:sz w:val="24"/>
              </w:rPr>
              <w:t>15m</w:t>
            </w:r>
            <w:r w:rsidRPr="00120FF3">
              <w:rPr>
                <w:rFonts w:hint="eastAsia"/>
                <w:sz w:val="24"/>
              </w:rPr>
              <w:t>高的</w:t>
            </w:r>
            <w:r w:rsidRPr="00120FF3">
              <w:rPr>
                <w:sz w:val="24"/>
              </w:rPr>
              <w:t>3#</w:t>
            </w:r>
            <w:r w:rsidRPr="00120FF3">
              <w:rPr>
                <w:rFonts w:hint="eastAsia"/>
                <w:sz w:val="24"/>
              </w:rPr>
              <w:t>排气筒排放，相关废气排放须满足《大气污染物综合排放标准》（</w:t>
            </w:r>
            <w:r w:rsidRPr="00120FF3">
              <w:rPr>
                <w:sz w:val="24"/>
              </w:rPr>
              <w:t>GB16297-1996</w:t>
            </w:r>
            <w:r w:rsidRPr="00120FF3">
              <w:rPr>
                <w:rFonts w:hint="eastAsia"/>
                <w:sz w:val="24"/>
              </w:rPr>
              <w:t>）表</w:t>
            </w:r>
            <w:r w:rsidRPr="00120FF3">
              <w:rPr>
                <w:sz w:val="24"/>
              </w:rPr>
              <w:t>2</w:t>
            </w:r>
            <w:r w:rsidRPr="00120FF3">
              <w:rPr>
                <w:rFonts w:hint="eastAsia"/>
                <w:sz w:val="24"/>
              </w:rPr>
              <w:t>中的二级标准；加强打磨车间的密闭性，打磨工序上方设置集气罩，废气经收集后通过布袋除尘器处理并通过</w:t>
            </w:r>
            <w:r w:rsidRPr="00120FF3">
              <w:rPr>
                <w:sz w:val="24"/>
              </w:rPr>
              <w:t>15m</w:t>
            </w:r>
            <w:r w:rsidRPr="00120FF3">
              <w:rPr>
                <w:rFonts w:hint="eastAsia"/>
                <w:sz w:val="24"/>
              </w:rPr>
              <w:t>高的</w:t>
            </w:r>
            <w:r w:rsidRPr="00120FF3">
              <w:rPr>
                <w:sz w:val="24"/>
              </w:rPr>
              <w:t>4#</w:t>
            </w:r>
            <w:r w:rsidRPr="00120FF3">
              <w:rPr>
                <w:rFonts w:hint="eastAsia"/>
                <w:sz w:val="24"/>
              </w:rPr>
              <w:t>排气筒排放，相关废气排放须满足《大气污染物综合排放标准》（</w:t>
            </w:r>
            <w:r w:rsidRPr="00120FF3">
              <w:rPr>
                <w:sz w:val="24"/>
              </w:rPr>
              <w:t>GB16297-1996</w:t>
            </w:r>
            <w:r w:rsidRPr="00120FF3">
              <w:rPr>
                <w:rFonts w:hint="eastAsia"/>
                <w:sz w:val="24"/>
              </w:rPr>
              <w:t>）表</w:t>
            </w:r>
            <w:r w:rsidRPr="00120FF3">
              <w:rPr>
                <w:sz w:val="24"/>
              </w:rPr>
              <w:t>2</w:t>
            </w:r>
            <w:r w:rsidRPr="00120FF3">
              <w:rPr>
                <w:rFonts w:hint="eastAsia"/>
                <w:sz w:val="24"/>
              </w:rPr>
              <w:t>中的二级标准。</w:t>
            </w:r>
          </w:p>
          <w:p w:rsidR="00E03661" w:rsidRPr="00120FF3" w:rsidRDefault="00E03661" w:rsidP="00E03661">
            <w:pPr>
              <w:spacing w:line="440" w:lineRule="exact"/>
              <w:ind w:firstLineChars="200" w:firstLine="31680"/>
              <w:rPr>
                <w:sz w:val="24"/>
              </w:rPr>
            </w:pPr>
            <w:r w:rsidRPr="00120FF3">
              <w:rPr>
                <w:sz w:val="24"/>
              </w:rPr>
              <w:t>2</w:t>
            </w:r>
            <w:r w:rsidRPr="00120FF3">
              <w:rPr>
                <w:rFonts w:hint="eastAsia"/>
                <w:sz w:val="24"/>
              </w:rPr>
              <w:t>、</w:t>
            </w:r>
            <w:r w:rsidRPr="00120FF3">
              <w:rPr>
                <w:rFonts w:ascii="宋体" w:hAnsi="宋体" w:cs="宋体" w:hint="eastAsia"/>
                <w:sz w:val="24"/>
              </w:rPr>
              <w:t>本项目做到</w:t>
            </w:r>
            <w:r w:rsidRPr="00120FF3">
              <w:rPr>
                <w:rFonts w:hint="eastAsia"/>
                <w:sz w:val="24"/>
              </w:rPr>
              <w:t>须雨污分流。扩建项目不新增员工，因此无新增生活废水。扩建项目产生的生产废水经厂区污水处理设施（气浮</w:t>
            </w:r>
            <w:r w:rsidRPr="00120FF3">
              <w:rPr>
                <w:sz w:val="24"/>
              </w:rPr>
              <w:t>+A/O</w:t>
            </w:r>
            <w:r w:rsidRPr="00120FF3">
              <w:rPr>
                <w:rFonts w:hint="eastAsia"/>
                <w:sz w:val="24"/>
              </w:rPr>
              <w:t>生化）处理，达到《污水综合排放标准》</w:t>
            </w:r>
            <w:r w:rsidRPr="00120FF3">
              <w:rPr>
                <w:sz w:val="24"/>
              </w:rPr>
              <w:t>(GB8978-1996)</w:t>
            </w:r>
            <w:r w:rsidRPr="00120FF3">
              <w:rPr>
                <w:rFonts w:hint="eastAsia"/>
                <w:sz w:val="24"/>
              </w:rPr>
              <w:t>中的三级标准后纳入市政污水管网，由奉化城区污水处理厂处理，达到《城镇污水处理厂污染物排放标准》（</w:t>
            </w:r>
            <w:r w:rsidRPr="00120FF3">
              <w:rPr>
                <w:sz w:val="24"/>
              </w:rPr>
              <w:t>GB18918-2002</w:t>
            </w:r>
            <w:r w:rsidRPr="00120FF3">
              <w:rPr>
                <w:rFonts w:hint="eastAsia"/>
                <w:sz w:val="24"/>
              </w:rPr>
              <w:t>）一级</w:t>
            </w:r>
            <w:r w:rsidRPr="00120FF3">
              <w:rPr>
                <w:sz w:val="24"/>
              </w:rPr>
              <w:t>A</w:t>
            </w:r>
            <w:r w:rsidRPr="00120FF3">
              <w:rPr>
                <w:rFonts w:hint="eastAsia"/>
                <w:sz w:val="24"/>
              </w:rPr>
              <w:t>标准后排放县江。</w:t>
            </w:r>
          </w:p>
          <w:p w:rsidR="00E03661" w:rsidRPr="00120FF3" w:rsidRDefault="00E03661" w:rsidP="00E03661">
            <w:pPr>
              <w:spacing w:line="440" w:lineRule="exact"/>
              <w:ind w:firstLineChars="200" w:firstLine="31680"/>
              <w:rPr>
                <w:sz w:val="24"/>
              </w:rPr>
            </w:pPr>
            <w:r w:rsidRPr="00120FF3">
              <w:rPr>
                <w:sz w:val="24"/>
              </w:rPr>
              <w:t>3</w:t>
            </w:r>
            <w:r w:rsidRPr="00120FF3">
              <w:rPr>
                <w:rFonts w:hint="eastAsia"/>
                <w:sz w:val="24"/>
              </w:rPr>
              <w:t>、</w:t>
            </w:r>
            <w:r w:rsidRPr="00120FF3">
              <w:rPr>
                <w:rFonts w:ascii="宋体" w:hAnsi="宋体" w:cs="宋体" w:hint="eastAsia"/>
                <w:sz w:val="24"/>
              </w:rPr>
              <w:t>合理布局，合理安排生产时间，采用低噪声设备，加强设备维护和管理，采取砖墙隔音，隔声降噪防震减震等有效措施。确保厂界噪声达到《工业企业厂界环境噪声排放标准》（</w:t>
            </w:r>
            <w:r w:rsidRPr="00120FF3">
              <w:rPr>
                <w:rFonts w:ascii="宋体" w:hAnsi="宋体" w:cs="宋体"/>
                <w:sz w:val="24"/>
              </w:rPr>
              <w:t>GB12348-2008</w:t>
            </w:r>
            <w:r w:rsidRPr="00120FF3">
              <w:rPr>
                <w:rFonts w:ascii="宋体" w:hAnsi="宋体" w:cs="宋体" w:hint="eastAsia"/>
                <w:sz w:val="24"/>
              </w:rPr>
              <w:t>）的</w:t>
            </w:r>
            <w:r w:rsidRPr="00120FF3">
              <w:rPr>
                <w:rFonts w:ascii="宋体" w:hAnsi="宋体" w:cs="宋体"/>
                <w:sz w:val="24"/>
              </w:rPr>
              <w:t>2</w:t>
            </w:r>
            <w:r w:rsidRPr="00120FF3">
              <w:rPr>
                <w:rFonts w:ascii="宋体" w:hAnsi="宋体" w:cs="宋体" w:hint="eastAsia"/>
                <w:sz w:val="24"/>
              </w:rPr>
              <w:t>类标准。</w:t>
            </w:r>
          </w:p>
          <w:p w:rsidR="00E03661" w:rsidRPr="00120FF3" w:rsidRDefault="00E03661" w:rsidP="00E03661">
            <w:pPr>
              <w:spacing w:line="440" w:lineRule="exact"/>
              <w:ind w:firstLineChars="200" w:firstLine="31680"/>
              <w:rPr>
                <w:sz w:val="24"/>
              </w:rPr>
            </w:pPr>
            <w:r w:rsidRPr="00120FF3">
              <w:rPr>
                <w:sz w:val="24"/>
              </w:rPr>
              <w:t>4</w:t>
            </w:r>
            <w:r w:rsidRPr="00120FF3">
              <w:rPr>
                <w:rFonts w:hint="eastAsia"/>
                <w:sz w:val="24"/>
              </w:rPr>
              <w:t>、油漆渣、废活性炭、污泥、废原料桶属于危险固废，</w:t>
            </w:r>
            <w:r w:rsidRPr="00120FF3">
              <w:rPr>
                <w:rFonts w:ascii="宋体" w:hAnsi="宋体" w:cs="宋体" w:hint="eastAsia"/>
                <w:sz w:val="24"/>
              </w:rPr>
              <w:t>须根据《危险废物贮存污染控制标准》（</w:t>
            </w:r>
            <w:r w:rsidRPr="00120FF3">
              <w:rPr>
                <w:rFonts w:ascii="宋体" w:hAnsi="宋体" w:cs="宋体"/>
                <w:sz w:val="24"/>
              </w:rPr>
              <w:t>GB18597-2001</w:t>
            </w:r>
            <w:r w:rsidRPr="00120FF3">
              <w:rPr>
                <w:rFonts w:ascii="宋体" w:hAnsi="宋体" w:cs="宋体" w:hint="eastAsia"/>
                <w:sz w:val="24"/>
              </w:rPr>
              <w:t>）相关规定要求，在厂区内暂存时，应注意封闭管理，委托有资质的单位安全处置；</w:t>
            </w:r>
            <w:r w:rsidRPr="00120FF3">
              <w:rPr>
                <w:rFonts w:hint="eastAsia"/>
                <w:sz w:val="24"/>
              </w:rPr>
              <w:t>亚克力板边角料、不锈钢边角料及屑、焊接烟尘收尘和切、钻、修裙边粉尘收尘经分类收集后外售综合利用。</w:t>
            </w:r>
          </w:p>
          <w:p w:rsidR="00E03661" w:rsidRPr="00120FF3" w:rsidRDefault="00E03661" w:rsidP="00E03661">
            <w:pPr>
              <w:spacing w:line="440" w:lineRule="exact"/>
              <w:ind w:firstLineChars="200" w:firstLine="31680"/>
              <w:rPr>
                <w:sz w:val="24"/>
              </w:rPr>
            </w:pPr>
            <w:r w:rsidRPr="00120FF3">
              <w:rPr>
                <w:sz w:val="24"/>
              </w:rPr>
              <w:t>5</w:t>
            </w:r>
            <w:r w:rsidRPr="00120FF3">
              <w:rPr>
                <w:rFonts w:hint="eastAsia"/>
                <w:sz w:val="24"/>
              </w:rPr>
              <w:t>、加强安全生产、环保教育，制定突发环境事件应急预案，落实各项事故防范和焊接风险应急措施，确保周边环境安全，应设置相应容积的事故应急池。</w:t>
            </w:r>
          </w:p>
          <w:p w:rsidR="00E03661" w:rsidRPr="00120FF3" w:rsidRDefault="00E03661" w:rsidP="00E03661">
            <w:pPr>
              <w:spacing w:line="440" w:lineRule="exact"/>
              <w:ind w:firstLineChars="200" w:firstLine="31680"/>
              <w:rPr>
                <w:sz w:val="24"/>
              </w:rPr>
            </w:pPr>
            <w:r w:rsidRPr="00120FF3">
              <w:rPr>
                <w:rFonts w:hint="eastAsia"/>
                <w:sz w:val="24"/>
              </w:rPr>
              <w:t>三、项目建设应严格执行环保“三同时”制度，落实环境保护投资概算，组织实施环境保护对策措施，建设项目竣工后，你单位应当按规定的标准和程序，对配套建设的环境保护设施进行验收，编制验收报告，并依法向社会公开，不得弄虚作假，经验收合格，方可投入生产。</w:t>
            </w:r>
          </w:p>
          <w:p w:rsidR="00E03661" w:rsidRDefault="00E03661" w:rsidP="00E03661">
            <w:pPr>
              <w:spacing w:line="500" w:lineRule="exact"/>
              <w:ind w:firstLineChars="200" w:firstLine="31680"/>
              <w:rPr>
                <w:sz w:val="28"/>
                <w:szCs w:val="28"/>
              </w:rPr>
            </w:pPr>
          </w:p>
          <w:p w:rsidR="00E03661" w:rsidRPr="000803B7" w:rsidRDefault="00E03661" w:rsidP="00364108">
            <w:pPr>
              <w:spacing w:line="500" w:lineRule="exact"/>
              <w:rPr>
                <w:rFonts w:ascii="宋体" w:cs="宋体"/>
                <w:b/>
                <w:bCs/>
                <w:sz w:val="28"/>
                <w:szCs w:val="28"/>
              </w:rPr>
            </w:pPr>
            <w:r w:rsidRPr="000803B7">
              <w:rPr>
                <w:rFonts w:ascii="宋体" w:hAnsi="宋体" w:cs="宋体"/>
                <w:sz w:val="28"/>
                <w:szCs w:val="28"/>
              </w:rPr>
              <w:t xml:space="preserve">   </w:t>
            </w:r>
            <w:r w:rsidRPr="000803B7">
              <w:rPr>
                <w:rFonts w:ascii="宋体" w:hAnsi="宋体" w:cs="宋体" w:hint="eastAsia"/>
                <w:b/>
                <w:bCs/>
                <w:sz w:val="28"/>
                <w:szCs w:val="28"/>
              </w:rPr>
              <w:t>经办人：</w:t>
            </w:r>
            <w:r w:rsidRPr="000803B7">
              <w:rPr>
                <w:rFonts w:ascii="宋体" w:hAnsi="宋体" w:cs="宋体"/>
                <w:sz w:val="28"/>
                <w:szCs w:val="28"/>
              </w:rPr>
              <w:t xml:space="preserve">                </w:t>
            </w:r>
            <w:r w:rsidRPr="000803B7">
              <w:rPr>
                <w:rFonts w:ascii="宋体" w:hAnsi="宋体" w:cs="宋体" w:hint="eastAsia"/>
                <w:b/>
                <w:bCs/>
                <w:sz w:val="28"/>
                <w:szCs w:val="28"/>
              </w:rPr>
              <w:t>签批人：</w:t>
            </w:r>
          </w:p>
          <w:p w:rsidR="00E03661" w:rsidRDefault="00E03661" w:rsidP="00364108">
            <w:pPr>
              <w:spacing w:line="500" w:lineRule="exact"/>
              <w:rPr>
                <w:rFonts w:ascii="宋体" w:cs="宋体"/>
                <w:sz w:val="28"/>
                <w:szCs w:val="28"/>
              </w:rPr>
            </w:pPr>
            <w:r w:rsidRPr="000803B7">
              <w:rPr>
                <w:rFonts w:ascii="宋体" w:hAnsi="宋体" w:cs="宋体"/>
                <w:sz w:val="28"/>
                <w:szCs w:val="28"/>
              </w:rPr>
              <w:t xml:space="preserve">             </w:t>
            </w:r>
            <w:r w:rsidRPr="000803B7">
              <w:rPr>
                <w:rFonts w:ascii="宋体" w:hAnsi="宋体" w:cs="宋体" w:hint="eastAsia"/>
                <w:sz w:val="28"/>
                <w:szCs w:val="28"/>
              </w:rPr>
              <w:t xml:space="preserve">　　</w:t>
            </w:r>
            <w:r w:rsidRPr="000803B7">
              <w:rPr>
                <w:rFonts w:ascii="宋体" w:hAnsi="宋体" w:cs="宋体"/>
                <w:sz w:val="28"/>
                <w:szCs w:val="28"/>
              </w:rPr>
              <w:t xml:space="preserve">               </w:t>
            </w:r>
          </w:p>
          <w:p w:rsidR="00E03661" w:rsidRPr="000803B7" w:rsidRDefault="00E03661" w:rsidP="00E03661">
            <w:pPr>
              <w:spacing w:line="500" w:lineRule="exact"/>
              <w:ind w:firstLineChars="1650" w:firstLine="31680"/>
              <w:rPr>
                <w:rFonts w:ascii="宋体" w:cs="宋体"/>
                <w:sz w:val="28"/>
                <w:szCs w:val="28"/>
              </w:rPr>
            </w:pPr>
            <w:r w:rsidRPr="000803B7">
              <w:rPr>
                <w:rFonts w:ascii="宋体" w:hAnsi="宋体" w:cs="宋体"/>
                <w:sz w:val="28"/>
                <w:szCs w:val="28"/>
              </w:rPr>
              <w:t xml:space="preserve">           </w:t>
            </w:r>
            <w:r w:rsidRPr="000803B7">
              <w:rPr>
                <w:rFonts w:ascii="宋体" w:hAnsi="宋体" w:cs="宋体" w:hint="eastAsia"/>
                <w:sz w:val="28"/>
                <w:szCs w:val="28"/>
              </w:rPr>
              <w:t>（公</w:t>
            </w:r>
            <w:r w:rsidRPr="000803B7">
              <w:rPr>
                <w:rFonts w:ascii="宋体" w:hAnsi="宋体" w:cs="宋体"/>
                <w:sz w:val="28"/>
                <w:szCs w:val="28"/>
              </w:rPr>
              <w:t xml:space="preserve">    </w:t>
            </w:r>
            <w:r w:rsidRPr="000803B7">
              <w:rPr>
                <w:rFonts w:ascii="宋体" w:hAnsi="宋体" w:cs="宋体" w:hint="eastAsia"/>
                <w:sz w:val="28"/>
                <w:szCs w:val="28"/>
              </w:rPr>
              <w:t>章）</w:t>
            </w:r>
          </w:p>
          <w:p w:rsidR="00E03661" w:rsidRDefault="00E03661" w:rsidP="00364108">
            <w:pPr>
              <w:spacing w:line="500" w:lineRule="exact"/>
              <w:rPr>
                <w:sz w:val="32"/>
              </w:rPr>
            </w:pPr>
            <w:r w:rsidRPr="000803B7">
              <w:rPr>
                <w:rFonts w:ascii="宋体" w:hAnsi="宋体" w:cs="宋体"/>
                <w:sz w:val="28"/>
                <w:szCs w:val="28"/>
              </w:rPr>
              <w:t xml:space="preserve">                                          </w:t>
            </w:r>
            <w:r w:rsidRPr="000803B7">
              <w:rPr>
                <w:rFonts w:ascii="宋体" w:hAnsi="宋体" w:cs="宋体" w:hint="eastAsia"/>
                <w:sz w:val="28"/>
                <w:szCs w:val="28"/>
              </w:rPr>
              <w:t>年</w:t>
            </w:r>
            <w:r w:rsidRPr="000803B7">
              <w:rPr>
                <w:rFonts w:ascii="宋体" w:hAnsi="宋体" w:cs="宋体"/>
                <w:sz w:val="28"/>
                <w:szCs w:val="28"/>
              </w:rPr>
              <w:t xml:space="preserve">     </w:t>
            </w:r>
            <w:r w:rsidRPr="000803B7">
              <w:rPr>
                <w:rFonts w:ascii="宋体" w:hAnsi="宋体" w:cs="宋体" w:hint="eastAsia"/>
                <w:sz w:val="28"/>
                <w:szCs w:val="28"/>
              </w:rPr>
              <w:t>月</w:t>
            </w:r>
            <w:r w:rsidRPr="000803B7">
              <w:rPr>
                <w:rFonts w:ascii="宋体" w:hAnsi="宋体" w:cs="宋体"/>
                <w:sz w:val="28"/>
                <w:szCs w:val="28"/>
              </w:rPr>
              <w:t xml:space="preserve">     </w:t>
            </w:r>
            <w:r w:rsidRPr="000803B7">
              <w:rPr>
                <w:rFonts w:ascii="宋体" w:hAnsi="宋体" w:cs="宋体" w:hint="eastAsia"/>
                <w:sz w:val="28"/>
                <w:szCs w:val="28"/>
              </w:rPr>
              <w:t>日</w:t>
            </w:r>
          </w:p>
        </w:tc>
      </w:tr>
    </w:tbl>
    <w:p w:rsidR="00E03661" w:rsidRDefault="00E03661" w:rsidP="001E1455">
      <w:pPr>
        <w:jc w:val="left"/>
      </w:pPr>
    </w:p>
    <w:p w:rsidR="00E03661" w:rsidRDefault="00E03661" w:rsidP="008B4986">
      <w:pPr>
        <w:jc w:val="center"/>
        <w:rPr>
          <w:rFonts w:ascii="方正小标宋简体" w:eastAsia="方正小标宋简体" w:cs="方正小标宋简体"/>
          <w:sz w:val="36"/>
          <w:szCs w:val="36"/>
        </w:rPr>
      </w:pPr>
    </w:p>
    <w:p w:rsidR="00E03661" w:rsidRDefault="00E03661" w:rsidP="008B4986">
      <w:pPr>
        <w:jc w:val="center"/>
        <w:rPr>
          <w:rFonts w:ascii="方正小标宋简体" w:eastAsia="方正小标宋简体"/>
          <w:sz w:val="36"/>
          <w:szCs w:val="36"/>
        </w:rPr>
      </w:pPr>
      <w:r>
        <w:rPr>
          <w:rFonts w:ascii="方正小标宋简体" w:eastAsia="方正小标宋简体" w:cs="方正小标宋简体" w:hint="eastAsia"/>
          <w:sz w:val="36"/>
          <w:szCs w:val="36"/>
        </w:rPr>
        <w:t>奉化区环境保护局建设项目环评批复文件送达回执单</w:t>
      </w:r>
    </w:p>
    <w:p w:rsidR="00E03661" w:rsidRDefault="00E03661" w:rsidP="008B4986">
      <w:pPr>
        <w:jc w:val="left"/>
        <w:rPr>
          <w:rFonts w:ascii="仿宋_GB2312" w:eastAsia="仿宋_GB2312"/>
          <w:sz w:val="32"/>
          <w:szCs w:val="32"/>
        </w:rPr>
      </w:pPr>
    </w:p>
    <w:p w:rsidR="00E03661" w:rsidRDefault="00E03661" w:rsidP="008B4986">
      <w:pPr>
        <w:jc w:val="left"/>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961"/>
        <w:gridCol w:w="959"/>
        <w:gridCol w:w="1582"/>
        <w:gridCol w:w="1956"/>
      </w:tblGrid>
      <w:tr w:rsidR="00E03661" w:rsidTr="009626E6">
        <w:tc>
          <w:tcPr>
            <w:tcW w:w="2070" w:type="dxa"/>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送达机关</w:t>
            </w:r>
          </w:p>
        </w:tc>
        <w:tc>
          <w:tcPr>
            <w:tcW w:w="6458" w:type="dxa"/>
            <w:gridSpan w:val="4"/>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hint="eastAsia"/>
                <w:sz w:val="32"/>
                <w:szCs w:val="32"/>
              </w:rPr>
              <w:t>奉化区环境保护局</w:t>
            </w:r>
          </w:p>
        </w:tc>
      </w:tr>
      <w:tr w:rsidR="00E03661" w:rsidTr="009626E6">
        <w:tc>
          <w:tcPr>
            <w:tcW w:w="2070" w:type="dxa"/>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送达文书名称及文号</w:t>
            </w:r>
          </w:p>
        </w:tc>
        <w:tc>
          <w:tcPr>
            <w:tcW w:w="6458" w:type="dxa"/>
            <w:gridSpan w:val="4"/>
            <w:vAlign w:val="center"/>
          </w:tcPr>
          <w:p w:rsidR="00E03661" w:rsidRDefault="00E03661" w:rsidP="009626E6">
            <w:pPr>
              <w:spacing w:line="560" w:lineRule="exact"/>
              <w:jc w:val="center"/>
              <w:rPr>
                <w:rFonts w:ascii="仿宋_GB2312" w:eastAsia="仿宋_GB2312"/>
                <w:sz w:val="32"/>
                <w:szCs w:val="32"/>
              </w:rPr>
            </w:pPr>
            <w:r w:rsidRPr="00C7542D">
              <w:rPr>
                <w:rFonts w:ascii="仿宋_GB2312" w:eastAsia="仿宋_GB2312" w:hint="eastAsia"/>
                <w:sz w:val="32"/>
                <w:szCs w:val="32"/>
              </w:rPr>
              <w:t>年产</w:t>
            </w:r>
            <w:r w:rsidRPr="00C7542D">
              <w:rPr>
                <w:rFonts w:ascii="仿宋_GB2312" w:eastAsia="仿宋_GB2312"/>
                <w:sz w:val="32"/>
                <w:szCs w:val="32"/>
              </w:rPr>
              <w:t>50000</w:t>
            </w:r>
            <w:r w:rsidRPr="00C7542D">
              <w:rPr>
                <w:rFonts w:ascii="仿宋_GB2312" w:eastAsia="仿宋_GB2312" w:hint="eastAsia"/>
                <w:sz w:val="32"/>
                <w:szCs w:val="32"/>
              </w:rPr>
              <w:t>套浴缸项目</w:t>
            </w:r>
          </w:p>
          <w:p w:rsidR="00E03661" w:rsidRDefault="00E03661" w:rsidP="00C7542D">
            <w:pPr>
              <w:spacing w:line="560" w:lineRule="exact"/>
              <w:jc w:val="center"/>
              <w:rPr>
                <w:rFonts w:ascii="仿宋_GB2312" w:eastAsia="仿宋_GB2312"/>
                <w:sz w:val="32"/>
                <w:szCs w:val="32"/>
              </w:rPr>
            </w:pPr>
            <w:r>
              <w:rPr>
                <w:rFonts w:ascii="仿宋_GB2312" w:eastAsia="仿宋_GB2312" w:hint="eastAsia"/>
                <w:sz w:val="32"/>
                <w:szCs w:val="32"/>
              </w:rPr>
              <w:t>环境影响报告表（</w:t>
            </w:r>
            <w:r w:rsidRPr="00F44CDB">
              <w:rPr>
                <w:rFonts w:ascii="仿宋_GB2312" w:eastAsia="仿宋_GB2312" w:hint="eastAsia"/>
                <w:sz w:val="32"/>
                <w:szCs w:val="32"/>
              </w:rPr>
              <w:t>奉环建表</w:t>
            </w:r>
            <w:r w:rsidRPr="00F44CDB">
              <w:rPr>
                <w:rFonts w:ascii="仿宋_GB2312" w:eastAsia="仿宋_GB2312"/>
                <w:sz w:val="32"/>
                <w:szCs w:val="32"/>
              </w:rPr>
              <w:t>[201</w:t>
            </w:r>
            <w:r>
              <w:rPr>
                <w:rFonts w:ascii="仿宋_GB2312" w:eastAsia="仿宋_GB2312"/>
                <w:sz w:val="32"/>
                <w:szCs w:val="32"/>
              </w:rPr>
              <w:t>9</w:t>
            </w:r>
            <w:r w:rsidRPr="00F44CDB">
              <w:rPr>
                <w:rFonts w:ascii="仿宋_GB2312" w:eastAsia="仿宋_GB2312"/>
                <w:sz w:val="32"/>
                <w:szCs w:val="32"/>
              </w:rPr>
              <w:t>]</w:t>
            </w:r>
            <w:r>
              <w:rPr>
                <w:rFonts w:ascii="仿宋_GB2312" w:eastAsia="仿宋_GB2312"/>
                <w:sz w:val="32"/>
                <w:szCs w:val="32"/>
              </w:rPr>
              <w:t>011</w:t>
            </w:r>
            <w:r w:rsidRPr="00F44CDB">
              <w:rPr>
                <w:rFonts w:ascii="仿宋_GB2312" w:eastAsia="仿宋_GB2312" w:hint="eastAsia"/>
                <w:sz w:val="32"/>
                <w:szCs w:val="32"/>
              </w:rPr>
              <w:t>号</w:t>
            </w:r>
            <w:r>
              <w:rPr>
                <w:rFonts w:ascii="仿宋_GB2312" w:eastAsia="仿宋_GB2312" w:hint="eastAsia"/>
                <w:sz w:val="32"/>
                <w:szCs w:val="32"/>
              </w:rPr>
              <w:t>）</w:t>
            </w:r>
          </w:p>
        </w:tc>
      </w:tr>
      <w:tr w:rsidR="00E03661" w:rsidTr="009626E6">
        <w:tc>
          <w:tcPr>
            <w:tcW w:w="2070" w:type="dxa"/>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送达地点</w:t>
            </w:r>
          </w:p>
        </w:tc>
        <w:tc>
          <w:tcPr>
            <w:tcW w:w="6458" w:type="dxa"/>
            <w:gridSpan w:val="4"/>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hint="eastAsia"/>
                <w:sz w:val="32"/>
                <w:szCs w:val="32"/>
              </w:rPr>
              <w:t>奉化区行政服务中心环保局窗口</w:t>
            </w:r>
          </w:p>
        </w:tc>
      </w:tr>
      <w:tr w:rsidR="00E03661" w:rsidTr="009626E6">
        <w:tc>
          <w:tcPr>
            <w:tcW w:w="2070" w:type="dxa"/>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送达人</w:t>
            </w:r>
          </w:p>
        </w:tc>
        <w:tc>
          <w:tcPr>
            <w:tcW w:w="2920" w:type="dxa"/>
            <w:gridSpan w:val="2"/>
            <w:vAlign w:val="center"/>
          </w:tcPr>
          <w:p w:rsidR="00E03661" w:rsidRDefault="00E03661" w:rsidP="009626E6">
            <w:pPr>
              <w:spacing w:line="560" w:lineRule="exact"/>
              <w:jc w:val="center"/>
              <w:rPr>
                <w:rFonts w:ascii="仿宋_GB2312" w:eastAsia="仿宋_GB2312"/>
                <w:sz w:val="32"/>
                <w:szCs w:val="32"/>
              </w:rPr>
            </w:pPr>
          </w:p>
          <w:p w:rsidR="00E03661" w:rsidRDefault="00E03661" w:rsidP="009626E6">
            <w:pPr>
              <w:spacing w:line="560" w:lineRule="exact"/>
              <w:jc w:val="center"/>
              <w:rPr>
                <w:rFonts w:ascii="仿宋_GB2312" w:eastAsia="仿宋_GB2312"/>
                <w:sz w:val="32"/>
                <w:szCs w:val="32"/>
              </w:rPr>
            </w:pPr>
          </w:p>
        </w:tc>
        <w:tc>
          <w:tcPr>
            <w:tcW w:w="1582" w:type="dxa"/>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送达时间</w:t>
            </w:r>
          </w:p>
        </w:tc>
        <w:tc>
          <w:tcPr>
            <w:tcW w:w="1956" w:type="dxa"/>
            <w:vAlign w:val="center"/>
          </w:tcPr>
          <w:p w:rsidR="00E03661" w:rsidRDefault="00E03661" w:rsidP="009626E6">
            <w:pPr>
              <w:spacing w:line="560" w:lineRule="exact"/>
              <w:jc w:val="center"/>
              <w:rPr>
                <w:rFonts w:ascii="仿宋_GB2312" w:eastAsia="仿宋_GB2312"/>
                <w:sz w:val="32"/>
                <w:szCs w:val="32"/>
              </w:rPr>
            </w:pPr>
          </w:p>
        </w:tc>
      </w:tr>
      <w:tr w:rsidR="00E03661" w:rsidTr="009626E6">
        <w:tc>
          <w:tcPr>
            <w:tcW w:w="2070" w:type="dxa"/>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受送达单位</w:t>
            </w:r>
          </w:p>
        </w:tc>
        <w:tc>
          <w:tcPr>
            <w:tcW w:w="6458" w:type="dxa"/>
            <w:gridSpan w:val="4"/>
            <w:vAlign w:val="center"/>
          </w:tcPr>
          <w:p w:rsidR="00E03661" w:rsidRPr="00F44CDB" w:rsidRDefault="00E03661" w:rsidP="009626E6">
            <w:pPr>
              <w:spacing w:line="560" w:lineRule="exact"/>
              <w:jc w:val="center"/>
              <w:rPr>
                <w:rFonts w:ascii="仿宋_GB2312" w:eastAsia="仿宋_GB2312"/>
                <w:sz w:val="32"/>
                <w:szCs w:val="32"/>
              </w:rPr>
            </w:pPr>
            <w:r w:rsidRPr="00C7542D">
              <w:rPr>
                <w:rFonts w:ascii="仿宋_GB2312" w:eastAsia="仿宋_GB2312" w:hint="eastAsia"/>
                <w:sz w:val="32"/>
                <w:szCs w:val="32"/>
              </w:rPr>
              <w:t>宁波沃腾玛</w:t>
            </w:r>
            <w:r>
              <w:rPr>
                <w:rFonts w:ascii="仿宋_GB2312" w:eastAsia="仿宋_GB2312" w:hint="eastAsia"/>
                <w:sz w:val="32"/>
                <w:szCs w:val="32"/>
              </w:rPr>
              <w:t>尔</w:t>
            </w:r>
            <w:r w:rsidRPr="00C7542D">
              <w:rPr>
                <w:rFonts w:ascii="仿宋_GB2312" w:eastAsia="仿宋_GB2312" w:hint="eastAsia"/>
                <w:sz w:val="32"/>
                <w:szCs w:val="32"/>
              </w:rPr>
              <w:t>洁具有限公司</w:t>
            </w:r>
          </w:p>
        </w:tc>
      </w:tr>
      <w:tr w:rsidR="00E03661" w:rsidTr="009626E6">
        <w:tc>
          <w:tcPr>
            <w:tcW w:w="2070" w:type="dxa"/>
            <w:vMerge w:val="restart"/>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收件人</w:t>
            </w:r>
          </w:p>
        </w:tc>
        <w:tc>
          <w:tcPr>
            <w:tcW w:w="1961" w:type="dxa"/>
            <w:vMerge w:val="restart"/>
            <w:vAlign w:val="center"/>
          </w:tcPr>
          <w:p w:rsidR="00E03661" w:rsidRDefault="00E03661" w:rsidP="009626E6">
            <w:pPr>
              <w:spacing w:line="560" w:lineRule="exact"/>
              <w:jc w:val="center"/>
              <w:rPr>
                <w:rFonts w:ascii="仿宋_GB2312" w:eastAsia="仿宋_GB2312"/>
                <w:sz w:val="32"/>
                <w:szCs w:val="32"/>
              </w:rPr>
            </w:pPr>
          </w:p>
        </w:tc>
        <w:tc>
          <w:tcPr>
            <w:tcW w:w="2541" w:type="dxa"/>
            <w:gridSpan w:val="2"/>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收件时间</w:t>
            </w:r>
          </w:p>
        </w:tc>
        <w:tc>
          <w:tcPr>
            <w:tcW w:w="1956" w:type="dxa"/>
            <w:vAlign w:val="center"/>
          </w:tcPr>
          <w:p w:rsidR="00E03661" w:rsidRDefault="00E03661" w:rsidP="009626E6">
            <w:pPr>
              <w:spacing w:line="560" w:lineRule="exact"/>
              <w:jc w:val="center"/>
              <w:rPr>
                <w:rFonts w:ascii="仿宋_GB2312" w:eastAsia="仿宋_GB2312"/>
                <w:sz w:val="32"/>
                <w:szCs w:val="32"/>
              </w:rPr>
            </w:pPr>
          </w:p>
        </w:tc>
      </w:tr>
      <w:tr w:rsidR="00E03661" w:rsidTr="009626E6">
        <w:tc>
          <w:tcPr>
            <w:tcW w:w="2070" w:type="dxa"/>
            <w:vMerge/>
            <w:vAlign w:val="center"/>
          </w:tcPr>
          <w:p w:rsidR="00E03661" w:rsidRDefault="00E03661" w:rsidP="009626E6">
            <w:pPr>
              <w:spacing w:line="560" w:lineRule="exact"/>
              <w:jc w:val="center"/>
              <w:rPr>
                <w:rFonts w:ascii="仿宋_GB2312" w:eastAsia="仿宋_GB2312"/>
                <w:sz w:val="32"/>
                <w:szCs w:val="32"/>
              </w:rPr>
            </w:pPr>
          </w:p>
        </w:tc>
        <w:tc>
          <w:tcPr>
            <w:tcW w:w="1961" w:type="dxa"/>
            <w:vMerge/>
            <w:vAlign w:val="center"/>
          </w:tcPr>
          <w:p w:rsidR="00E03661" w:rsidRDefault="00E03661" w:rsidP="009626E6">
            <w:pPr>
              <w:spacing w:line="560" w:lineRule="exact"/>
              <w:jc w:val="center"/>
              <w:rPr>
                <w:rFonts w:ascii="仿宋_GB2312" w:eastAsia="仿宋_GB2312"/>
                <w:sz w:val="32"/>
                <w:szCs w:val="32"/>
              </w:rPr>
            </w:pPr>
          </w:p>
        </w:tc>
        <w:tc>
          <w:tcPr>
            <w:tcW w:w="2541" w:type="dxa"/>
            <w:gridSpan w:val="2"/>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送达文书内容是否已全部阅知</w:t>
            </w:r>
          </w:p>
        </w:tc>
        <w:tc>
          <w:tcPr>
            <w:tcW w:w="1956" w:type="dxa"/>
            <w:vAlign w:val="center"/>
          </w:tcPr>
          <w:p w:rsidR="00E03661" w:rsidRDefault="00E03661" w:rsidP="009626E6">
            <w:pPr>
              <w:spacing w:line="560" w:lineRule="exact"/>
              <w:jc w:val="center"/>
              <w:rPr>
                <w:rFonts w:ascii="仿宋_GB2312" w:eastAsia="仿宋_GB2312"/>
                <w:sz w:val="32"/>
                <w:szCs w:val="32"/>
              </w:rPr>
            </w:pPr>
            <w:bookmarkStart w:id="0" w:name="_GoBack"/>
            <w:bookmarkEnd w:id="0"/>
          </w:p>
        </w:tc>
      </w:tr>
      <w:tr w:rsidR="00E03661" w:rsidTr="009626E6">
        <w:tc>
          <w:tcPr>
            <w:tcW w:w="2070" w:type="dxa"/>
            <w:vAlign w:val="center"/>
          </w:tcPr>
          <w:p w:rsidR="00E03661" w:rsidRDefault="00E03661"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备注</w:t>
            </w:r>
          </w:p>
        </w:tc>
        <w:tc>
          <w:tcPr>
            <w:tcW w:w="6458" w:type="dxa"/>
            <w:gridSpan w:val="4"/>
            <w:vAlign w:val="center"/>
          </w:tcPr>
          <w:p w:rsidR="00E03661" w:rsidRDefault="00E03661" w:rsidP="009626E6">
            <w:pPr>
              <w:spacing w:line="560" w:lineRule="exact"/>
              <w:jc w:val="center"/>
              <w:rPr>
                <w:rFonts w:ascii="仿宋_GB2312" w:eastAsia="仿宋_GB2312"/>
                <w:sz w:val="32"/>
                <w:szCs w:val="32"/>
              </w:rPr>
            </w:pPr>
          </w:p>
        </w:tc>
      </w:tr>
    </w:tbl>
    <w:p w:rsidR="00E03661" w:rsidRDefault="00E03661" w:rsidP="008B4986"/>
    <w:p w:rsidR="00E03661" w:rsidRDefault="00E03661" w:rsidP="001E1455">
      <w:pPr>
        <w:jc w:val="left"/>
      </w:pPr>
    </w:p>
    <w:sectPr w:rsidR="00E03661" w:rsidSect="00364108">
      <w:head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61" w:rsidRDefault="00E03661">
      <w:r>
        <w:separator/>
      </w:r>
    </w:p>
  </w:endnote>
  <w:endnote w:type="continuationSeparator" w:id="0">
    <w:p w:rsidR="00E03661" w:rsidRDefault="00E03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61" w:rsidRDefault="00E03661">
      <w:r>
        <w:separator/>
      </w:r>
    </w:p>
  </w:footnote>
  <w:footnote w:type="continuationSeparator" w:id="0">
    <w:p w:rsidR="00E03661" w:rsidRDefault="00E0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61" w:rsidRDefault="00E03661" w:rsidP="00ED47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44B3"/>
    <w:rsid w:val="000423BE"/>
    <w:rsid w:val="0005019A"/>
    <w:rsid w:val="000736F1"/>
    <w:rsid w:val="000803B7"/>
    <w:rsid w:val="000838D0"/>
    <w:rsid w:val="00085D55"/>
    <w:rsid w:val="000879DF"/>
    <w:rsid w:val="000902D0"/>
    <w:rsid w:val="000D6401"/>
    <w:rsid w:val="000F45B5"/>
    <w:rsid w:val="00111825"/>
    <w:rsid w:val="00120FF3"/>
    <w:rsid w:val="00160662"/>
    <w:rsid w:val="0016687C"/>
    <w:rsid w:val="00171A01"/>
    <w:rsid w:val="00172A27"/>
    <w:rsid w:val="001B7A4D"/>
    <w:rsid w:val="001E1455"/>
    <w:rsid w:val="00204269"/>
    <w:rsid w:val="00212486"/>
    <w:rsid w:val="002175F7"/>
    <w:rsid w:val="0023174C"/>
    <w:rsid w:val="00241AFE"/>
    <w:rsid w:val="00270F21"/>
    <w:rsid w:val="0027477D"/>
    <w:rsid w:val="00283156"/>
    <w:rsid w:val="002A3FF7"/>
    <w:rsid w:val="002C21AC"/>
    <w:rsid w:val="002C4120"/>
    <w:rsid w:val="002C4D84"/>
    <w:rsid w:val="002D0459"/>
    <w:rsid w:val="002D13AB"/>
    <w:rsid w:val="002E48A6"/>
    <w:rsid w:val="00302A75"/>
    <w:rsid w:val="00321869"/>
    <w:rsid w:val="00322C8D"/>
    <w:rsid w:val="00351ACC"/>
    <w:rsid w:val="00364108"/>
    <w:rsid w:val="00373A7D"/>
    <w:rsid w:val="00377DB3"/>
    <w:rsid w:val="003A3D43"/>
    <w:rsid w:val="00423730"/>
    <w:rsid w:val="0043214E"/>
    <w:rsid w:val="0044784A"/>
    <w:rsid w:val="004623E7"/>
    <w:rsid w:val="00467A9F"/>
    <w:rsid w:val="004D28FC"/>
    <w:rsid w:val="004E505E"/>
    <w:rsid w:val="004E6E67"/>
    <w:rsid w:val="004F1474"/>
    <w:rsid w:val="004F7F3B"/>
    <w:rsid w:val="00513EA4"/>
    <w:rsid w:val="005379C6"/>
    <w:rsid w:val="00544AEF"/>
    <w:rsid w:val="00545E7D"/>
    <w:rsid w:val="00547BDB"/>
    <w:rsid w:val="00550062"/>
    <w:rsid w:val="00550A21"/>
    <w:rsid w:val="00566DD4"/>
    <w:rsid w:val="00584E05"/>
    <w:rsid w:val="005A4777"/>
    <w:rsid w:val="005A5BA4"/>
    <w:rsid w:val="005C27F1"/>
    <w:rsid w:val="005C5D0F"/>
    <w:rsid w:val="005D1D62"/>
    <w:rsid w:val="005E2310"/>
    <w:rsid w:val="005F07FF"/>
    <w:rsid w:val="00630513"/>
    <w:rsid w:val="006B16BC"/>
    <w:rsid w:val="00717BAF"/>
    <w:rsid w:val="00726DA4"/>
    <w:rsid w:val="007514AD"/>
    <w:rsid w:val="00752D67"/>
    <w:rsid w:val="0077295D"/>
    <w:rsid w:val="0077654C"/>
    <w:rsid w:val="00782638"/>
    <w:rsid w:val="007915DA"/>
    <w:rsid w:val="007A0304"/>
    <w:rsid w:val="007A1A0A"/>
    <w:rsid w:val="007B0620"/>
    <w:rsid w:val="007B5117"/>
    <w:rsid w:val="007C60EA"/>
    <w:rsid w:val="007D07B3"/>
    <w:rsid w:val="007D255D"/>
    <w:rsid w:val="007E10D2"/>
    <w:rsid w:val="007E57CF"/>
    <w:rsid w:val="007F50F4"/>
    <w:rsid w:val="007F517B"/>
    <w:rsid w:val="00812DAF"/>
    <w:rsid w:val="00821242"/>
    <w:rsid w:val="008318C2"/>
    <w:rsid w:val="008671E5"/>
    <w:rsid w:val="00873D3E"/>
    <w:rsid w:val="00881824"/>
    <w:rsid w:val="008B4986"/>
    <w:rsid w:val="008B786F"/>
    <w:rsid w:val="008B7E40"/>
    <w:rsid w:val="008E685E"/>
    <w:rsid w:val="008F0DDB"/>
    <w:rsid w:val="009228AE"/>
    <w:rsid w:val="00950BA6"/>
    <w:rsid w:val="00950EA6"/>
    <w:rsid w:val="0095267C"/>
    <w:rsid w:val="009626E6"/>
    <w:rsid w:val="009665AE"/>
    <w:rsid w:val="00987FF5"/>
    <w:rsid w:val="00993357"/>
    <w:rsid w:val="009A1971"/>
    <w:rsid w:val="00A018C8"/>
    <w:rsid w:val="00A06FAB"/>
    <w:rsid w:val="00A15F1B"/>
    <w:rsid w:val="00A2213A"/>
    <w:rsid w:val="00A24410"/>
    <w:rsid w:val="00A6479D"/>
    <w:rsid w:val="00A653DB"/>
    <w:rsid w:val="00A829C2"/>
    <w:rsid w:val="00AA5FA7"/>
    <w:rsid w:val="00AA6B1E"/>
    <w:rsid w:val="00AB066A"/>
    <w:rsid w:val="00AE18C2"/>
    <w:rsid w:val="00AE24CB"/>
    <w:rsid w:val="00AF1E8E"/>
    <w:rsid w:val="00B00273"/>
    <w:rsid w:val="00B02AA8"/>
    <w:rsid w:val="00B234DD"/>
    <w:rsid w:val="00B23776"/>
    <w:rsid w:val="00B411AC"/>
    <w:rsid w:val="00B532AD"/>
    <w:rsid w:val="00B647F6"/>
    <w:rsid w:val="00B64DEA"/>
    <w:rsid w:val="00B6704D"/>
    <w:rsid w:val="00B70705"/>
    <w:rsid w:val="00B81AAA"/>
    <w:rsid w:val="00B84DA9"/>
    <w:rsid w:val="00B876CE"/>
    <w:rsid w:val="00B92CE2"/>
    <w:rsid w:val="00B94EC1"/>
    <w:rsid w:val="00BA5832"/>
    <w:rsid w:val="00BB105C"/>
    <w:rsid w:val="00C00DA6"/>
    <w:rsid w:val="00C03FDD"/>
    <w:rsid w:val="00C20EAD"/>
    <w:rsid w:val="00C46AE0"/>
    <w:rsid w:val="00C529B5"/>
    <w:rsid w:val="00C53603"/>
    <w:rsid w:val="00C7542D"/>
    <w:rsid w:val="00C8082F"/>
    <w:rsid w:val="00CD41AD"/>
    <w:rsid w:val="00CD4BC7"/>
    <w:rsid w:val="00CD516E"/>
    <w:rsid w:val="00CE0A30"/>
    <w:rsid w:val="00CE17C5"/>
    <w:rsid w:val="00CE3F8F"/>
    <w:rsid w:val="00CE5879"/>
    <w:rsid w:val="00CF52AE"/>
    <w:rsid w:val="00CF5978"/>
    <w:rsid w:val="00CF65B1"/>
    <w:rsid w:val="00D07982"/>
    <w:rsid w:val="00D21B6D"/>
    <w:rsid w:val="00D329CB"/>
    <w:rsid w:val="00DA4C84"/>
    <w:rsid w:val="00DD68BF"/>
    <w:rsid w:val="00DE19A2"/>
    <w:rsid w:val="00DE1FB6"/>
    <w:rsid w:val="00E02AB3"/>
    <w:rsid w:val="00E03661"/>
    <w:rsid w:val="00E15E23"/>
    <w:rsid w:val="00E40124"/>
    <w:rsid w:val="00E91509"/>
    <w:rsid w:val="00E94E90"/>
    <w:rsid w:val="00E9645E"/>
    <w:rsid w:val="00EB676C"/>
    <w:rsid w:val="00ED2FEC"/>
    <w:rsid w:val="00ED479A"/>
    <w:rsid w:val="00EE661C"/>
    <w:rsid w:val="00EF1E3B"/>
    <w:rsid w:val="00F27CC8"/>
    <w:rsid w:val="00F303A8"/>
    <w:rsid w:val="00F44CDB"/>
    <w:rsid w:val="00F55C20"/>
    <w:rsid w:val="00FB193F"/>
    <w:rsid w:val="00FC47C9"/>
    <w:rsid w:val="00FF2930"/>
    <w:rsid w:val="309E5FE9"/>
    <w:rsid w:val="5EAB43CE"/>
    <w:rsid w:val="6D8A30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2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C4120"/>
    <w:rPr>
      <w:rFonts w:cs="Times New Roman"/>
    </w:rPr>
  </w:style>
  <w:style w:type="paragraph" w:styleId="Header">
    <w:name w:val="header"/>
    <w:basedOn w:val="Normal"/>
    <w:link w:val="HeaderChar"/>
    <w:uiPriority w:val="99"/>
    <w:rsid w:val="002C41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0273"/>
    <w:rPr>
      <w:rFonts w:cs="Times New Roman"/>
      <w:sz w:val="18"/>
      <w:szCs w:val="18"/>
    </w:rPr>
  </w:style>
  <w:style w:type="paragraph" w:styleId="Footer">
    <w:name w:val="footer"/>
    <w:basedOn w:val="Normal"/>
    <w:link w:val="FooterChar"/>
    <w:uiPriority w:val="99"/>
    <w:rsid w:val="002C41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00273"/>
    <w:rPr>
      <w:rFonts w:cs="Times New Roman"/>
      <w:sz w:val="18"/>
      <w:szCs w:val="18"/>
    </w:rPr>
  </w:style>
  <w:style w:type="paragraph" w:styleId="BodyTextIndent2">
    <w:name w:val="Body Text Indent 2"/>
    <w:basedOn w:val="Normal"/>
    <w:link w:val="BodyTextIndent2Char"/>
    <w:uiPriority w:val="99"/>
    <w:rsid w:val="002C4120"/>
    <w:pPr>
      <w:ind w:firstLine="525"/>
    </w:pPr>
    <w:rPr>
      <w:rFonts w:ascii="宋体"/>
      <w:sz w:val="28"/>
      <w:szCs w:val="20"/>
    </w:rPr>
  </w:style>
  <w:style w:type="character" w:customStyle="1" w:styleId="BodyTextIndent2Char">
    <w:name w:val="Body Text Indent 2 Char"/>
    <w:basedOn w:val="DefaultParagraphFont"/>
    <w:link w:val="BodyTextIndent2"/>
    <w:uiPriority w:val="99"/>
    <w:semiHidden/>
    <w:locked/>
    <w:rsid w:val="00B00273"/>
    <w:rPr>
      <w:rFonts w:cs="Times New Roman"/>
      <w:sz w:val="24"/>
      <w:szCs w:val="24"/>
    </w:rPr>
  </w:style>
  <w:style w:type="paragraph" w:customStyle="1" w:styleId="2TimesNewRoman">
    <w:name w:val="正文首行缩进 2 + Times New Roman"/>
    <w:uiPriority w:val="99"/>
    <w:rsid w:val="002C4120"/>
    <w:pPr>
      <w:tabs>
        <w:tab w:val="left" w:pos="0"/>
        <w:tab w:val="left" w:pos="3150"/>
      </w:tabs>
      <w:autoSpaceDE w:val="0"/>
      <w:autoSpaceDN w:val="0"/>
      <w:spacing w:line="324" w:lineRule="auto"/>
      <w:ind w:right="113" w:firstLineChars="200" w:firstLine="480"/>
    </w:pPr>
    <w:rPr>
      <w:kern w:val="0"/>
      <w:sz w:val="24"/>
      <w:szCs w:val="20"/>
    </w:rPr>
  </w:style>
  <w:style w:type="paragraph" w:customStyle="1" w:styleId="2">
    <w:name w:val="2"/>
    <w:basedOn w:val="BodyTextIndent2"/>
    <w:next w:val="Normal"/>
    <w:uiPriority w:val="99"/>
    <w:rsid w:val="002C4120"/>
    <w:pPr>
      <w:widowControl/>
      <w:spacing w:before="60" w:line="460" w:lineRule="exact"/>
      <w:ind w:firstLineChars="200" w:firstLine="480"/>
      <w:jc w:val="left"/>
    </w:pPr>
    <w:rPr>
      <w:rFonts w:ascii="Times New Roman" w:hAnsi="宋体" w:cs="宋体"/>
      <w:bCs/>
      <w:kern w:val="0"/>
      <w:sz w:val="24"/>
      <w:szCs w:val="24"/>
    </w:rPr>
  </w:style>
  <w:style w:type="paragraph" w:customStyle="1" w:styleId="1">
    <w:name w:val="报告表文字1"/>
    <w:basedOn w:val="Normal"/>
    <w:uiPriority w:val="99"/>
    <w:rsid w:val="002C4120"/>
    <w:pPr>
      <w:jc w:val="center"/>
    </w:pPr>
    <w:rPr>
      <w:rFonts w:ascii="宋体" w:hAnsi="宋体"/>
      <w:sz w:val="24"/>
    </w:rPr>
  </w:style>
  <w:style w:type="paragraph" w:customStyle="1" w:styleId="3">
    <w:name w:val="正文3"/>
    <w:basedOn w:val="Normal"/>
    <w:uiPriority w:val="99"/>
    <w:rsid w:val="002C4120"/>
    <w:pPr>
      <w:keepNext/>
      <w:adjustRightInd w:val="0"/>
      <w:jc w:val="center"/>
      <w:textAlignment w:val="baseline"/>
    </w:pPr>
    <w:rPr>
      <w:kern w:val="0"/>
      <w:sz w:val="28"/>
      <w:szCs w:val="20"/>
    </w:rPr>
  </w:style>
  <w:style w:type="paragraph" w:customStyle="1" w:styleId="10">
    <w:name w:val="1"/>
    <w:basedOn w:val="BodyTextIndent2"/>
    <w:next w:val="Normal"/>
    <w:uiPriority w:val="99"/>
    <w:rsid w:val="00993357"/>
    <w:pPr>
      <w:widowControl/>
      <w:spacing w:before="60" w:line="460" w:lineRule="exact"/>
      <w:ind w:firstLineChars="200" w:firstLine="480"/>
      <w:jc w:val="left"/>
    </w:pPr>
    <w:rPr>
      <w:rFonts w:ascii="Times New Roman" w:hAnsi="宋体" w:cs="宋体"/>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3</Pages>
  <Words>318</Words>
  <Characters>1816</Characters>
  <Application>Microsoft Office Outlook</Application>
  <DocSecurity>0</DocSecurity>
  <Lines>0</Lines>
  <Paragraphs>0</Paragraphs>
  <ScaleCrop>false</ScaleCrop>
  <Company>www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环保部门审查核准意见</dc:title>
  <dc:subject/>
  <dc:creator>Windows 用户</dc:creator>
  <cp:keywords/>
  <dc:description/>
  <cp:lastModifiedBy>微软用户</cp:lastModifiedBy>
  <cp:revision>5</cp:revision>
  <cp:lastPrinted>2019-01-04T06:12:00Z</cp:lastPrinted>
  <dcterms:created xsi:type="dcterms:W3CDTF">2018-12-22T14:06:00Z</dcterms:created>
  <dcterms:modified xsi:type="dcterms:W3CDTF">2019-01-15T03:25:00Z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