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黑体" w:eastAsia="黑体" w:cs="Times New Roman"/>
          <w:kern w:val="0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宣传标语口号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创艺简标宋" w:eastAsia="创艺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eastAsia="zh-CN" w:bidi="ar-SA"/>
        </w:rPr>
        <w:t>提</w:t>
      </w:r>
      <w:r>
        <w:rPr>
          <w:rFonts w:hint="eastAsia" w:ascii="仿宋_GB2312" w:eastAsia="仿宋_GB2312" w:cs="Times New Roman"/>
          <w:sz w:val="32"/>
          <w:szCs w:val="30"/>
          <w:lang w:bidi="ar-SA"/>
        </w:rPr>
        <w:t>升基层应急能力，筑牢防灾减灾救灾的人民防线。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群策群力防灾减灾，同心同德共建和谐社会。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防灾减灾人人参与，和谐社会家家受益。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防灾事关你我他，减灾利国又利家。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未雨绸缪防灾减灾，全民参与共筑平安。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学习防灾减灾常识，提高防灾减灾意识。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增强防灾减灾观念，普及防灾减灾知识，提高综合减灾能力。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全面推进防灾减灾知识进企业、进农村、进社区、进学校、进家庭。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不给消防添堵，请为生命让路。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发现火灾莫袖手，赶快拨打119。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家庭防火注意啥，煤气电源勤检查。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消防演练常开展，扑救火灾有大用。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防护栏上留扇窗，火灾逃生多条道。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0"/>
          <w:lang w:bidi="ar-SA"/>
        </w:rPr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消防器材勿乱拿，火灾逃生要靠它。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 w:cs="Times New Roman"/>
          <w:sz w:val="32"/>
          <w:szCs w:val="30"/>
          <w:lang w:bidi="ar-SA"/>
        </w:rPr>
        <w:t>疏散标志别小看，火灾逃生生命线。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SimSun-ExtB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2690"/>
    <w:rsid w:val="755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99"/>
    <w:pPr>
      <w:ind w:firstLine="560" w:firstLineChars="200"/>
    </w:pPr>
    <w:rPr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2020-05-07T07:22:00Z</dcterms:created>
  <dc:creator>软糖好吃</dc:creator>
  <cp:lastModifiedBy>软糖好吃</cp:lastModifiedBy>
  <dcterms:modified xsi:type="dcterms:W3CDTF">2020-05-07T07:22:21Z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