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81" w:type="dxa"/>
        <w:tblCellSpacing w:w="0" w:type="dxa"/>
        <w:tblInd w:w="0" w:type="dxa"/>
        <w:shd w:val="clear" w:color="auto" w:fill="FFFFFF"/>
        <w:tblLayout w:type="fixed"/>
        <w:tblCellMar>
          <w:top w:w="0" w:type="dxa"/>
          <w:left w:w="0" w:type="dxa"/>
          <w:bottom w:w="0" w:type="dxa"/>
          <w:right w:w="0" w:type="dxa"/>
        </w:tblCellMar>
      </w:tblPr>
      <w:tblGrid>
        <w:gridCol w:w="9081"/>
      </w:tblGrid>
      <w:tr>
        <w:tblPrEx>
          <w:shd w:val="clear" w:color="auto" w:fill="FFFFFF"/>
          <w:tblCellMar>
            <w:top w:w="0" w:type="dxa"/>
            <w:left w:w="0" w:type="dxa"/>
            <w:bottom w:w="0" w:type="dxa"/>
            <w:right w:w="0" w:type="dxa"/>
          </w:tblCellMar>
        </w:tblPrEx>
        <w:trPr>
          <w:tblCellSpacing w:w="0" w:type="dxa"/>
        </w:trPr>
        <w:tc>
          <w:tcPr>
            <w:tcW w:w="9081" w:type="dxa"/>
            <w:shd w:val="clear" w:color="auto" w:fill="FFFFFF"/>
            <w:vAlign w:val="center"/>
          </w:tcPr>
          <w:p>
            <w:pPr>
              <w:pStyle w:val="4"/>
              <w:widowControl/>
              <w:spacing w:before="0" w:beforeAutospacing="0" w:after="0" w:afterAutospacing="0" w:line="432" w:lineRule="atLeast"/>
              <w:jc w:val="center"/>
              <w:rPr>
                <w:rFonts w:ascii="创艺简标宋" w:hAnsi="宋体" w:eastAsia="创艺简标宋" w:cs="宋体"/>
                <w:color w:val="333333"/>
                <w:sz w:val="44"/>
                <w:szCs w:val="44"/>
              </w:rPr>
            </w:pPr>
            <w:r>
              <w:rPr>
                <w:rFonts w:hint="eastAsia" w:ascii="创艺简标宋" w:hAnsi="宋体" w:eastAsia="创艺简标宋" w:cs="宋体"/>
                <w:color w:val="333333"/>
                <w:sz w:val="44"/>
                <w:szCs w:val="44"/>
              </w:rPr>
              <w:t>宁波市机关事务管理局</w:t>
            </w:r>
          </w:p>
          <w:p>
            <w:pPr>
              <w:pStyle w:val="4"/>
              <w:widowControl/>
              <w:spacing w:before="0" w:beforeAutospacing="0" w:after="0" w:afterAutospacing="0" w:line="432" w:lineRule="atLeast"/>
              <w:jc w:val="center"/>
              <w:rPr>
                <w:rFonts w:ascii="创艺简标宋" w:hAnsi="宋体" w:eastAsia="创艺简标宋" w:cs="宋体"/>
                <w:color w:val="333333"/>
                <w:sz w:val="44"/>
                <w:szCs w:val="44"/>
              </w:rPr>
            </w:pPr>
            <w:r>
              <w:rPr>
                <w:rFonts w:hint="eastAsia" w:ascii="创艺简标宋" w:hAnsi="宋体" w:eastAsia="创艺简标宋" w:cs="宋体"/>
                <w:color w:val="333333"/>
                <w:sz w:val="44"/>
                <w:szCs w:val="44"/>
              </w:rPr>
              <w:t>2019年政府信息公开工作年度报告</w:t>
            </w:r>
          </w:p>
          <w:p>
            <w:pPr>
              <w:pStyle w:val="4"/>
              <w:widowControl/>
              <w:spacing w:before="0" w:beforeAutospacing="0" w:after="0" w:afterAutospacing="0" w:line="432" w:lineRule="atLeast"/>
              <w:jc w:val="center"/>
              <w:rPr>
                <w:rFonts w:ascii="宋体" w:hAnsi="宋体" w:cs="宋体"/>
              </w:rPr>
            </w:pPr>
          </w:p>
          <w:p>
            <w:pPr>
              <w:pStyle w:val="4"/>
              <w:widowControl/>
              <w:spacing w:before="0" w:beforeAutospacing="0" w:after="0" w:afterAutospacing="0" w:line="432" w:lineRule="atLeast"/>
              <w:ind w:firstLine="640" w:firstLineChars="200"/>
              <w:jc w:val="both"/>
              <w:rPr>
                <w:rFonts w:ascii="黑体" w:hAnsi="黑体" w:eastAsia="黑体" w:cs="宋体"/>
                <w:sz w:val="32"/>
                <w:szCs w:val="32"/>
              </w:rPr>
            </w:pPr>
            <w:r>
              <w:rPr>
                <w:rFonts w:hint="eastAsia" w:ascii="黑体" w:hAnsi="黑体" w:eastAsia="黑体" w:cs="宋体"/>
                <w:color w:val="333333"/>
                <w:sz w:val="32"/>
                <w:szCs w:val="32"/>
              </w:rPr>
              <w:t>一、总体情况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围绕政府工作报告和重要工作目标开展工作，发布政策性文件，积极解读文件，履行好信息发布、权威定调、自觉把关等职责，及时跟进政策实施进展，收集对政策实施效果的意见建议，加强正面宣传和引导，回应社会关切、舆情热点和集中诉求，协调联动、快速反应进行解疑释惑。</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深化重点改革项目信息公开，我局作为全国“智慧机关事务”建设专项试点，省、市改革办机关内部“最多跑一次”改革试点和省数字化转型重点项目单位，制定、公开各项工作方案，征求意见，定期公布工作进展，报送工作进展，大大加强改革力度。</w:t>
            </w:r>
            <w:bookmarkStart w:id="0" w:name="_GoBack"/>
            <w:bookmarkEnd w:id="0"/>
            <w:r>
              <w:rPr>
                <w:rFonts w:hint="eastAsia" w:ascii="仿宋" w:hAnsi="仿宋" w:eastAsia="仿宋"/>
                <w:sz w:val="32"/>
                <w:szCs w:val="32"/>
              </w:rPr>
              <w:t>做好推进财务预决算信息公开，在我局门户网站设立预决算公开栏目，集中公开预决算相关报表。</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（三）我局目前有</w:t>
            </w:r>
            <w:r>
              <w:rPr>
                <w:rFonts w:hint="eastAsia" w:ascii="仿宋_GB2312" w:eastAsia="仿宋_GB2312"/>
                <w:b/>
                <w:sz w:val="32"/>
                <w:szCs w:val="32"/>
              </w:rPr>
              <w:t>门户网站</w:t>
            </w:r>
            <w:r>
              <w:rPr>
                <w:rFonts w:hint="eastAsia" w:ascii="仿宋_GB2312" w:eastAsia="仿宋_GB2312"/>
                <w:sz w:val="32"/>
                <w:szCs w:val="32"/>
              </w:rPr>
              <w:t>、</w:t>
            </w:r>
            <w:r>
              <w:rPr>
                <w:rFonts w:hint="eastAsia" w:ascii="仿宋_GB2312" w:eastAsia="仿宋_GB2312"/>
                <w:b/>
                <w:sz w:val="32"/>
                <w:szCs w:val="32"/>
              </w:rPr>
              <w:t>政务微信公众号</w:t>
            </w:r>
            <w:r>
              <w:rPr>
                <w:rFonts w:hint="eastAsia" w:ascii="仿宋_GB2312" w:eastAsia="仿宋_GB2312"/>
                <w:sz w:val="32"/>
                <w:szCs w:val="32"/>
              </w:rPr>
              <w:t>、</w:t>
            </w:r>
            <w:r>
              <w:rPr>
                <w:rFonts w:hint="eastAsia" w:ascii="仿宋_GB2312" w:eastAsia="仿宋_GB2312"/>
                <w:b/>
                <w:sz w:val="32"/>
                <w:szCs w:val="32"/>
              </w:rPr>
              <w:t>“机关事务通”APP</w:t>
            </w:r>
            <w:r>
              <w:rPr>
                <w:rFonts w:hint="eastAsia" w:ascii="仿宋_GB2312" w:eastAsia="仿宋_GB2312"/>
                <w:sz w:val="32"/>
                <w:szCs w:val="32"/>
              </w:rPr>
              <w:t>和</w:t>
            </w:r>
            <w:r>
              <w:rPr>
                <w:rFonts w:hint="eastAsia" w:ascii="仿宋_GB2312" w:eastAsia="仿宋_GB2312"/>
                <w:b/>
                <w:sz w:val="32"/>
                <w:szCs w:val="32"/>
              </w:rPr>
              <w:t>“浙政钉”协同办事系统</w:t>
            </w:r>
            <w:r>
              <w:rPr>
                <w:rFonts w:hint="eastAsia" w:ascii="仿宋_GB2312" w:eastAsia="仿宋_GB2312"/>
                <w:sz w:val="32"/>
                <w:szCs w:val="32"/>
              </w:rPr>
              <w:t>多个政府信息公开载体，门户网站和微信公众号主要发布各类工作信息，加强信息发布审核，把好政策关、文字关。</w:t>
            </w:r>
            <w:r>
              <w:rPr>
                <w:rFonts w:hint="eastAsia" w:ascii="仿宋" w:hAnsi="仿宋" w:eastAsia="仿宋"/>
                <w:sz w:val="32"/>
                <w:szCs w:val="28"/>
              </w:rPr>
              <w:t>经统计，2019年1月1日至12月31日，我局共公开信息167条，工作信息158条、法规类信息2条、人事信息4条、财政信息3条，另有</w:t>
            </w:r>
            <w:r>
              <w:rPr>
                <w:rFonts w:hint="eastAsia" w:ascii="仿宋" w:hAnsi="仿宋" w:eastAsia="仿宋"/>
                <w:sz w:val="32"/>
                <w:szCs w:val="32"/>
              </w:rPr>
              <w:t>4件人大代表建议和5件政协委员提案办理结果进行了公开。</w:t>
            </w:r>
            <w:r>
              <w:rPr>
                <w:rFonts w:hint="eastAsia" w:ascii="仿宋_GB2312" w:hAnsi="仿宋" w:eastAsia="仿宋_GB2312"/>
                <w:sz w:val="32"/>
                <w:szCs w:val="32"/>
              </w:rPr>
              <w:t>认真落实《浙江省人民政府办公厅关于建设统一政务咨询投诉举报平台的指导意见》，做好统一政务咨询举报平台及12345政务服务热线交办的信访件的办理工作。</w:t>
            </w:r>
          </w:p>
          <w:p>
            <w:pPr>
              <w:pStyle w:val="4"/>
              <w:widowControl/>
              <w:spacing w:before="0" w:beforeAutospacing="0" w:after="0" w:afterAutospacing="0" w:line="432" w:lineRule="atLeast"/>
              <w:ind w:firstLine="420"/>
              <w:jc w:val="both"/>
              <w:rPr>
                <w:rFonts w:ascii="宋体" w:hAnsi="宋体" w:cs="宋体"/>
              </w:rPr>
            </w:pPr>
            <w:r>
              <w:rPr>
                <w:rFonts w:hint="eastAsia" w:ascii="仿宋_GB2312" w:hAnsi="仿宋" w:eastAsia="仿宋_GB2312"/>
                <w:sz w:val="32"/>
                <w:szCs w:val="32"/>
              </w:rPr>
              <w:t>（四）</w:t>
            </w:r>
            <w:r>
              <w:rPr>
                <w:rFonts w:hint="eastAsia" w:ascii="仿宋" w:hAnsi="仿宋" w:eastAsia="仿宋"/>
                <w:sz w:val="32"/>
                <w:szCs w:val="32"/>
              </w:rPr>
              <w:t>根据新出台的政府信息公开条例，及时修订相关工作制度，落实政府信息公开前审查规定，全面梳理公开事项，规范政务公开工作流程，建立完善公开考核、评议、责任追究和监督检查具体办法，切实推进我局信息公开工作。坚持以公开为常态、不公开为例外，把公开透明要求贯穿到我局工作各个环节。</w:t>
            </w:r>
          </w:p>
          <w:p>
            <w:pPr>
              <w:pStyle w:val="4"/>
              <w:widowControl/>
              <w:spacing w:before="0" w:beforeAutospacing="0" w:after="240" w:afterAutospacing="0" w:line="432" w:lineRule="atLeast"/>
              <w:ind w:firstLine="627" w:firstLineChars="196"/>
              <w:jc w:val="both"/>
              <w:rPr>
                <w:rFonts w:ascii="黑体" w:hAnsi="黑体" w:eastAsia="黑体" w:cs="宋体"/>
                <w:sz w:val="32"/>
                <w:szCs w:val="32"/>
              </w:rPr>
            </w:pPr>
            <w:r>
              <w:rPr>
                <w:rFonts w:hint="eastAsia" w:ascii="黑体" w:hAnsi="黑体" w:eastAsia="黑体" w:cs="宋体"/>
                <w:color w:val="333333"/>
                <w:sz w:val="32"/>
                <w:szCs w:val="32"/>
              </w:rPr>
              <w:t>二、主动公开政府信息情况</w:t>
            </w:r>
          </w:p>
          <w:tbl>
            <w:tblPr>
              <w:tblStyle w:val="5"/>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31</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1</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32</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rFonts w:hint="eastAsia" w:eastAsia="宋体"/>
                      <w:lang w:eastAsia="zh-CN"/>
                    </w:rPr>
                  </w:pPr>
                  <w:r>
                    <w:rPr>
                      <w:rFonts w:hint="eastAsia" w:ascii="宋体" w:hAnsi="宋体" w:cs="宋体"/>
                      <w:color w:val="000000"/>
                      <w:kern w:val="0"/>
                      <w:sz w:val="20"/>
                      <w:szCs w:val="20"/>
                      <w:lang w:bidi="ar"/>
                    </w:rPr>
                    <w:t>采购总金额</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万元</w:t>
                  </w:r>
                  <w:r>
                    <w:rPr>
                      <w:rFonts w:hint="eastAsia" w:ascii="宋体" w:hAnsi="宋体" w:cs="宋体"/>
                      <w:color w:val="000000"/>
                      <w:kern w:val="0"/>
                      <w:sz w:val="20"/>
                      <w:szCs w:val="20"/>
                      <w:lang w:eastAsia="zh-CN" w:bidi="ar"/>
                    </w:rPr>
                    <w:t>）</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2</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ascii="宋体"/>
                      <w:sz w:val="24"/>
                    </w:rPr>
                  </w:pPr>
                  <w:r>
                    <w:rPr>
                      <w:rFonts w:hint="eastAsia" w:ascii="宋体" w:hAnsi="宋体" w:cs="宋体"/>
                      <w:color w:val="000000"/>
                      <w:kern w:val="0"/>
                      <w:sz w:val="20"/>
                      <w:szCs w:val="20"/>
                      <w:lang w:bidi="ar"/>
                    </w:rPr>
                    <w:t>7390.1</w:t>
                  </w:r>
                </w:p>
              </w:tc>
            </w:tr>
          </w:tbl>
          <w:p>
            <w:pPr>
              <w:pStyle w:val="4"/>
              <w:widowControl/>
              <w:spacing w:before="0" w:beforeAutospacing="0" w:after="240" w:afterAutospacing="0" w:line="432" w:lineRule="atLeast"/>
              <w:ind w:firstLine="627" w:firstLineChars="196"/>
              <w:jc w:val="both"/>
              <w:rPr>
                <w:rFonts w:ascii="黑体" w:hAnsi="黑体" w:eastAsia="黑体" w:cs="宋体"/>
                <w:sz w:val="32"/>
                <w:szCs w:val="32"/>
              </w:rPr>
            </w:pPr>
            <w:r>
              <w:rPr>
                <w:rFonts w:hint="eastAsia" w:ascii="黑体" w:hAnsi="黑体" w:eastAsia="黑体" w:cs="宋体"/>
                <w:color w:val="333333"/>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 xml:space="preserve">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3</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1</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3</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r>
                    <w:rPr>
                      <w:rFonts w:cs="Calibri"/>
                      <w:kern w:val="0"/>
                      <w:sz w:val="20"/>
                      <w:szCs w:val="20"/>
                      <w:lang w:bidi="ar"/>
                    </w:rPr>
                    <w:t> </w:t>
                  </w:r>
                </w:p>
              </w:tc>
            </w:tr>
          </w:tbl>
          <w:p>
            <w:pPr>
              <w:pStyle w:val="4"/>
              <w:widowControl/>
              <w:spacing w:before="0" w:beforeAutospacing="0" w:after="0" w:afterAutospacing="0" w:line="432" w:lineRule="atLeast"/>
              <w:ind w:firstLine="420"/>
              <w:jc w:val="both"/>
              <w:rPr>
                <w:rFonts w:ascii="宋体" w:hAnsi="宋体" w:cs="宋体"/>
              </w:rPr>
            </w:pPr>
          </w:p>
          <w:p>
            <w:pPr>
              <w:pStyle w:val="4"/>
              <w:widowControl/>
              <w:spacing w:before="0" w:beforeAutospacing="0" w:after="0" w:afterAutospacing="0" w:line="432" w:lineRule="atLeast"/>
              <w:ind w:firstLine="627" w:firstLineChars="196"/>
              <w:jc w:val="both"/>
              <w:rPr>
                <w:rFonts w:ascii="黑体" w:hAnsi="黑体" w:eastAsia="黑体" w:cs="宋体"/>
                <w:sz w:val="32"/>
                <w:szCs w:val="32"/>
              </w:rPr>
            </w:pPr>
            <w:r>
              <w:rPr>
                <w:rFonts w:hint="eastAsia" w:ascii="黑体" w:hAnsi="黑体" w:eastAsia="黑体" w:cs="宋体"/>
                <w:color w:val="333333"/>
                <w:sz w:val="32"/>
                <w:szCs w:val="32"/>
              </w:rPr>
              <w:t>四、政府信息公开行政复议、行政诉讼情况</w:t>
            </w:r>
          </w:p>
          <w:p>
            <w:pPr>
              <w:pStyle w:val="4"/>
              <w:widowControl/>
              <w:spacing w:before="0" w:beforeAutospacing="0" w:after="0" w:afterAutospacing="0" w:line="432" w:lineRule="atLeast"/>
              <w:ind w:firstLine="420"/>
              <w:jc w:val="both"/>
              <w:rPr>
                <w:rFonts w:ascii="宋体" w:hAnsi="宋体" w:cs="宋体"/>
              </w:rPr>
            </w:pP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lang w:bidi="ar"/>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kern w:val="0"/>
                      <w:sz w:val="20"/>
                      <w:szCs w:val="20"/>
                      <w:lang w:bidi="ar"/>
                    </w:rPr>
                  </w:pPr>
                  <w:r>
                    <w:rPr>
                      <w:rFonts w:hint="eastAsia" w:cs="Calibri"/>
                      <w:kern w:val="0"/>
                      <w:sz w:val="20"/>
                      <w:szCs w:val="20"/>
                      <w:lang w:bidi="ar"/>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cs="Calibri"/>
                      <w:kern w:val="0"/>
                      <w:sz w:val="20"/>
                      <w:szCs w:val="20"/>
                      <w:lang w:bidi="ar"/>
                    </w:rPr>
                  </w:pPr>
                  <w:r>
                    <w:rPr>
                      <w:rFonts w:hint="eastAsia" w:cs="Calibri"/>
                      <w:kern w:val="0"/>
                      <w:sz w:val="20"/>
                      <w:szCs w:val="20"/>
                      <w:lang w:bidi="ar"/>
                    </w:rPr>
                    <w:t>0</w:t>
                  </w:r>
                </w:p>
              </w:tc>
            </w:tr>
          </w:tbl>
          <w:p>
            <w:pPr>
              <w:widowControl/>
              <w:spacing w:line="432" w:lineRule="atLeast"/>
              <w:jc w:val="center"/>
              <w:rPr>
                <w:rFonts w:ascii="宋体" w:hAnsi="宋体" w:cs="宋体"/>
                <w:color w:val="333333"/>
                <w:sz w:val="24"/>
              </w:rPr>
            </w:pPr>
          </w:p>
          <w:p>
            <w:pPr>
              <w:pStyle w:val="4"/>
              <w:widowControl/>
              <w:spacing w:before="0" w:beforeAutospacing="0" w:after="0" w:afterAutospacing="0" w:line="432" w:lineRule="atLeast"/>
              <w:ind w:firstLine="627" w:firstLineChars="196"/>
              <w:jc w:val="both"/>
              <w:rPr>
                <w:rFonts w:ascii="黑体" w:hAnsi="黑体" w:eastAsia="黑体" w:cs="宋体"/>
                <w:sz w:val="32"/>
                <w:szCs w:val="32"/>
              </w:rPr>
            </w:pPr>
            <w:r>
              <w:rPr>
                <w:rFonts w:hint="eastAsia" w:ascii="黑体" w:hAnsi="黑体" w:eastAsia="黑体" w:cs="宋体"/>
                <w:color w:val="333333"/>
                <w:sz w:val="32"/>
                <w:szCs w:val="32"/>
              </w:rPr>
              <w:t>五、存在的主要问题及改进情况</w:t>
            </w:r>
          </w:p>
          <w:p>
            <w:pPr>
              <w:adjustRightInd w:val="0"/>
              <w:snapToGrid w:val="0"/>
              <w:spacing w:line="580" w:lineRule="exact"/>
              <w:ind w:firstLine="624" w:firstLineChars="200"/>
              <w:rPr>
                <w:rFonts w:ascii="仿宋_GB2312" w:eastAsia="仿宋_GB2312"/>
                <w:snapToGrid w:val="0"/>
                <w:spacing w:val="-4"/>
                <w:sz w:val="32"/>
                <w:szCs w:val="32"/>
              </w:rPr>
            </w:pPr>
            <w:r>
              <w:rPr>
                <w:rFonts w:hint="eastAsia" w:ascii="楷体" w:hAnsi="楷体" w:eastAsia="楷体"/>
                <w:snapToGrid w:val="0"/>
                <w:spacing w:val="-4"/>
                <w:sz w:val="32"/>
                <w:szCs w:val="32"/>
              </w:rPr>
              <w:t>（一）抓好平台建设。</w:t>
            </w:r>
            <w:r>
              <w:rPr>
                <w:rFonts w:hint="eastAsia" w:ascii="仿宋_GB2312" w:eastAsia="仿宋_GB2312"/>
                <w:snapToGrid w:val="0"/>
                <w:spacing w:val="-4"/>
                <w:sz w:val="32"/>
                <w:szCs w:val="32"/>
              </w:rPr>
              <w:t>充分利用好门户网站、政务外网和信息公开平台三大媒介，及时发布和更新依法应主动公开的政府信息，进一步扩大政府信息公开内容范围，提高办事透明度，切实成为服务公众和机关的有效载体和平台。</w:t>
            </w:r>
          </w:p>
          <w:p>
            <w:pPr>
              <w:adjustRightInd w:val="0"/>
              <w:snapToGrid w:val="0"/>
              <w:spacing w:line="580" w:lineRule="exact"/>
              <w:ind w:firstLine="624" w:firstLineChars="200"/>
              <w:rPr>
                <w:rFonts w:ascii="仿宋_GB2312" w:eastAsia="仿宋_GB2312"/>
                <w:snapToGrid w:val="0"/>
                <w:spacing w:val="-4"/>
                <w:sz w:val="32"/>
                <w:szCs w:val="32"/>
              </w:rPr>
            </w:pPr>
            <w:r>
              <w:rPr>
                <w:rFonts w:hint="eastAsia" w:ascii="楷体" w:hAnsi="楷体" w:eastAsia="楷体"/>
                <w:snapToGrid w:val="0"/>
                <w:spacing w:val="-4"/>
                <w:sz w:val="32"/>
                <w:szCs w:val="32"/>
              </w:rPr>
              <w:t>（二）强化督促检查。</w:t>
            </w:r>
            <w:r>
              <w:rPr>
                <w:rFonts w:hint="eastAsia" w:ascii="仿宋_GB2312" w:eastAsia="仿宋_GB2312"/>
                <w:snapToGrid w:val="0"/>
                <w:spacing w:val="-4"/>
                <w:sz w:val="32"/>
                <w:szCs w:val="32"/>
              </w:rPr>
              <w:t>在深入贯彻落实《条例》和“五公开”纳入办文办会工作程序要求的同时，接受社会和服务对象的监督，切实做好政府信息公开工作。</w:t>
            </w:r>
          </w:p>
          <w:p>
            <w:pPr>
              <w:pStyle w:val="4"/>
              <w:widowControl/>
              <w:spacing w:before="0" w:beforeAutospacing="0" w:after="0" w:afterAutospacing="0" w:line="432" w:lineRule="atLeast"/>
              <w:ind w:firstLine="611" w:firstLineChars="196"/>
              <w:jc w:val="both"/>
              <w:rPr>
                <w:rFonts w:ascii="仿宋_GB2312" w:eastAsia="仿宋_GB2312"/>
                <w:snapToGrid w:val="0"/>
                <w:spacing w:val="-4"/>
                <w:sz w:val="32"/>
                <w:szCs w:val="32"/>
              </w:rPr>
            </w:pPr>
            <w:r>
              <w:rPr>
                <w:rFonts w:hint="eastAsia" w:ascii="楷体" w:hAnsi="楷体" w:eastAsia="楷体"/>
                <w:snapToGrid w:val="0"/>
                <w:spacing w:val="-4"/>
                <w:sz w:val="32"/>
                <w:szCs w:val="32"/>
              </w:rPr>
              <w:t>（三）开展业务培训。</w:t>
            </w:r>
            <w:r>
              <w:rPr>
                <w:rFonts w:hint="eastAsia" w:ascii="仿宋_GB2312" w:eastAsia="仿宋_GB2312"/>
                <w:snapToGrid w:val="0"/>
                <w:spacing w:val="-4"/>
                <w:sz w:val="32"/>
                <w:szCs w:val="32"/>
              </w:rPr>
              <w:t>通过专业的技能培训，提高信息公开工作人员的工作技能和业务水平，保证公开信息的及时、准确和全面，保障信息公开工作常规化开展，使我局政府信息公开工作更加规范、全面。</w:t>
            </w:r>
          </w:p>
          <w:p>
            <w:pPr>
              <w:pStyle w:val="4"/>
              <w:widowControl/>
              <w:spacing w:before="0" w:beforeAutospacing="0" w:after="0" w:afterAutospacing="0" w:line="432" w:lineRule="atLeast"/>
              <w:ind w:firstLine="627" w:firstLineChars="196"/>
              <w:jc w:val="both"/>
              <w:rPr>
                <w:rFonts w:ascii="宋体" w:hAnsi="宋体" w:cs="宋体"/>
              </w:rPr>
            </w:pPr>
            <w:r>
              <w:rPr>
                <w:rFonts w:hint="eastAsia" w:ascii="黑体" w:hAnsi="黑体" w:eastAsia="黑体" w:cs="宋体"/>
                <w:color w:val="333333"/>
                <w:sz w:val="32"/>
                <w:szCs w:val="32"/>
              </w:rPr>
              <w:t>六、其他需要报告的事项</w:t>
            </w:r>
          </w:p>
        </w:tc>
      </w:tr>
    </w:tbl>
    <w:p>
      <w:pPr>
        <w:ind w:firstLine="624" w:firstLineChars="200"/>
      </w:pPr>
      <w:r>
        <w:rPr>
          <w:rFonts w:hint="eastAsia" w:ascii="仿宋_GB2312" w:hAnsi="ˎ̥" w:eastAsia="仿宋_GB2312" w:cs="宋体"/>
          <w:snapToGrid w:val="0"/>
          <w:spacing w:val="-4"/>
          <w:sz w:val="32"/>
          <w:szCs w:val="32"/>
        </w:rPr>
        <w:t>本年度无其他需要报告的事项。</w:t>
      </w:r>
    </w:p>
    <w:sectPr>
      <w:pgSz w:w="11906" w:h="16838"/>
      <w:pgMar w:top="1588" w:right="1985"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DD"/>
    <w:rsid w:val="000563A7"/>
    <w:rsid w:val="001755DD"/>
    <w:rsid w:val="00255F93"/>
    <w:rsid w:val="005960B0"/>
    <w:rsid w:val="006B7E32"/>
    <w:rsid w:val="007978FC"/>
    <w:rsid w:val="00950518"/>
    <w:rsid w:val="00A739A2"/>
    <w:rsid w:val="00C10591"/>
    <w:rsid w:val="00E11894"/>
    <w:rsid w:val="6014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spacing w:before="100" w:beforeAutospacing="1" w:after="100" w:afterAutospacing="1"/>
      <w:jc w:val="left"/>
    </w:pPr>
    <w:rPr>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379</Words>
  <Characters>2165</Characters>
  <Lines>18</Lines>
  <Paragraphs>5</Paragraphs>
  <TotalTime>483</TotalTime>
  <ScaleCrop>false</ScaleCrop>
  <LinksUpToDate>false</LinksUpToDate>
  <CharactersWithSpaces>2539</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2020-01-17T03:29:00Z</dcterms:created>
  <dc:creator>毛挺耀</dc:creator>
  <cp:lastModifiedBy>Lucifer1399123412</cp:lastModifiedBy>
  <dcterms:modified xsi:type="dcterms:W3CDTF">2020-01-19T08:48:50Z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