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32"/>
        </w:rPr>
        <w:t>2019年不锈钢钢带产品监督抽查结果汇总表</w:t>
      </w:r>
    </w:p>
    <w:p>
      <w:pPr>
        <w:ind w:firstLine="9800" w:firstLineChars="3500"/>
        <w:jc w:val="right"/>
        <w:rPr>
          <w:rFonts w:hint="eastAsia" w:ascii="仿宋_GB23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发布时间：2019年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tbl>
      <w:tblPr>
        <w:tblStyle w:val="4"/>
        <w:tblW w:w="15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37"/>
        <w:gridCol w:w="3402"/>
        <w:gridCol w:w="1843"/>
        <w:gridCol w:w="3058"/>
        <w:gridCol w:w="1559"/>
        <w:gridCol w:w="224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4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06Cr13，冷轧退火处理 0.35×155mm，卷切钢带II，普通精度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2019年3月31日 032604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慈溪市天骄不锈钢管材有限公司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06Cr19Ni10，冷轧固溶 0.4×24.8mm，剪切钢带II，普通精度，EC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2019年1月10日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海盐中达金属电子材料有限公司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06Cr19Ni10、固溶处理 0.37×39.5mm，卷切钢带，普通精度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2019年3月28日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嘉兴市康士达不锈钢有限公司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1Cr13Mn10Ni1（201-JS），固溶处理 52×0.21mm，卷切钢带，普通精度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2019年4月2日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宁波市海曙建顺金属制品厂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J1、退火态 2.51×490mm，不切边，普通级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2019年3月18日 A011818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宁波万荣特种钢有限公司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06Cr19Ni10，固溶处理 54.7×0.4mm，卷切钢带II，普通精度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2019年3月20日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余姚市亚泰不锈钢制品有限公司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06Cr19Ni10、光亮退火 0.75×170.3mm，切边，普通精度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2019年3月20日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余姚市永泰不锈钢有限公司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06Cr19Ni10，冷轧固溶 0.8×1219×2435mm，卷切钢板，普通精度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2019年2月20日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浙江申久金属制品有限公司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10Cr17、退火态 0.34×338×1280mm，切边，普通精度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2019年4月18日 040305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浙江实美金属制造有限公司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不锈钢钢带</w:t>
            </w:r>
          </w:p>
        </w:tc>
        <w:tc>
          <w:tcPr>
            <w:tcW w:w="3402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10Cr17，光亮退火 0.36×670mm，不切边，普通级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2019年4月18日 TJ190301042222</w:t>
            </w:r>
          </w:p>
        </w:tc>
        <w:tc>
          <w:tcPr>
            <w:tcW w:w="3058" w:type="dxa"/>
            <w:shd w:val="clear" w:color="000000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浙江甬金金属科技股份有限公司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47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firstLine="478" w:firstLineChars="228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727C"/>
    <w:rsid w:val="14B36ADA"/>
    <w:rsid w:val="39DD7111"/>
    <w:rsid w:val="46DB6802"/>
    <w:rsid w:val="555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2019-09-24T07:04:12Z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