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8D4" w:rsidRDefault="00E128D4" w:rsidP="00E128D4">
      <w:pPr>
        <w:widowControl/>
        <w:wordWrap w:val="0"/>
        <w:spacing w:line="18" w:lineRule="atLeast"/>
        <w:jc w:val="left"/>
      </w:pPr>
      <w:r>
        <w:rPr>
          <w:rFonts w:ascii="黑体" w:eastAsia="黑体" w:hAnsi="微软雅黑" w:cs="黑体" w:hint="eastAsia"/>
          <w:kern w:val="0"/>
          <w:sz w:val="32"/>
          <w:szCs w:val="32"/>
          <w:lang w:bidi="ar"/>
        </w:rPr>
        <w:t>附件1</w:t>
      </w:r>
      <w:r>
        <w:rPr>
          <w:rFonts w:ascii="微软雅黑" w:eastAsia="微软雅黑" w:hAnsi="微软雅黑" w:cs="微软雅黑" w:hint="eastAsia"/>
          <w:kern w:val="0"/>
          <w:sz w:val="24"/>
          <w:lang w:bidi="ar"/>
        </w:rPr>
        <w:t xml:space="preserve"> </w:t>
      </w:r>
    </w:p>
    <w:p w:rsidR="00E128D4" w:rsidRDefault="00E128D4" w:rsidP="00E128D4">
      <w:pPr>
        <w:widowControl/>
        <w:wordWrap w:val="0"/>
        <w:spacing w:line="18" w:lineRule="atLeast"/>
        <w:ind w:firstLine="440"/>
        <w:jc w:val="center"/>
      </w:pPr>
      <w:r>
        <w:rPr>
          <w:rFonts w:ascii="方正小标宋简体" w:eastAsia="方正小标宋简体" w:hAnsi="方正小标宋简体" w:cs="方正小标宋简体"/>
          <w:kern w:val="0"/>
          <w:sz w:val="44"/>
          <w:szCs w:val="44"/>
          <w:lang w:bidi="ar"/>
        </w:rPr>
        <w:t>执业药师职业资格考试报考条件相关说明</w:t>
      </w:r>
    </w:p>
    <w:p w:rsidR="00E128D4" w:rsidRDefault="00E128D4" w:rsidP="00E128D4">
      <w:pPr>
        <w:widowControl/>
        <w:wordWrap w:val="0"/>
        <w:spacing w:line="18" w:lineRule="atLeast"/>
        <w:ind w:firstLine="640"/>
        <w:jc w:val="left"/>
      </w:pPr>
      <w:r>
        <w:rPr>
          <w:rFonts w:ascii="黑体" w:eastAsia="黑体" w:hAnsi="微软雅黑" w:cs="黑体" w:hint="eastAsia"/>
          <w:kern w:val="0"/>
          <w:sz w:val="32"/>
          <w:szCs w:val="32"/>
          <w:lang w:bidi="ar"/>
        </w:rPr>
        <w:t>一、免试部分考试科目的条件</w:t>
      </w:r>
      <w:r>
        <w:rPr>
          <w:rFonts w:ascii="微软雅黑" w:eastAsia="微软雅黑" w:hAnsi="微软雅黑" w:cs="微软雅黑" w:hint="eastAsia"/>
          <w:kern w:val="0"/>
          <w:sz w:val="24"/>
          <w:lang w:bidi="ar"/>
        </w:rPr>
        <w:t xml:space="preserve"> </w:t>
      </w:r>
    </w:p>
    <w:p w:rsidR="00E128D4" w:rsidRDefault="00E128D4" w:rsidP="00E128D4">
      <w:pPr>
        <w:widowControl/>
        <w:wordWrap w:val="0"/>
        <w:spacing w:line="18" w:lineRule="atLeast"/>
        <w:ind w:firstLine="640"/>
        <w:jc w:val="left"/>
      </w:pPr>
      <w:r>
        <w:rPr>
          <w:rFonts w:ascii="仿宋_GB2312" w:eastAsia="仿宋_GB2312" w:hAnsi="微软雅黑" w:cs="仿宋_GB2312" w:hint="eastAsia"/>
          <w:kern w:val="0"/>
          <w:sz w:val="32"/>
          <w:szCs w:val="32"/>
          <w:lang w:bidi="ar"/>
        </w:rPr>
        <w:t>根据《执业药师职业资格考试实施办法》第四条，符合《执业药师职业资格制度规定》报考条件，按照国家有关规定，取得药学或医学专业高级职称并在药学岗位工作的，可免试“药学专业知识（一）”“药学专业知识（二）”，只参加“药事管理与法规”“药学综合知识与技能”两个科目的考试；取得中药学或中医学专业高级职称并在中药学岗位工作的，可免试“中药学专业知识（一）”“中药学专业知识（二）”，只参加“药事管理与法规”“中药学综合知识与技能”两个科目的考试。</w:t>
      </w:r>
      <w:r>
        <w:rPr>
          <w:rFonts w:ascii="微软雅黑" w:eastAsia="微软雅黑" w:hAnsi="微软雅黑" w:cs="微软雅黑" w:hint="eastAsia"/>
          <w:kern w:val="0"/>
          <w:sz w:val="24"/>
          <w:lang w:bidi="ar"/>
        </w:rPr>
        <w:t xml:space="preserve"> </w:t>
      </w:r>
    </w:p>
    <w:p w:rsidR="00E128D4" w:rsidRDefault="00E128D4" w:rsidP="00E128D4">
      <w:pPr>
        <w:pStyle w:val="a3"/>
        <w:widowControl/>
        <w:wordWrap w:val="0"/>
        <w:spacing w:line="18" w:lineRule="atLeast"/>
        <w:ind w:firstLine="640"/>
        <w:jc w:val="left"/>
      </w:pPr>
      <w:r>
        <w:rPr>
          <w:rFonts w:ascii="微软雅黑" w:eastAsia="微软雅黑" w:hAnsi="微软雅黑" w:cs="微软雅黑" w:hint="eastAsia"/>
          <w:sz w:val="32"/>
          <w:szCs w:val="32"/>
        </w:rPr>
        <w:t>符合免试部分科目的报考人员，取得高级职称与在药学、中药学岗位工作两个条件须同时具备。高级职称的类别为从事药学或中药学岗位工作获得的药学、医学或医药学专业高级职称。从事医疗、预防、保健、医技、护理工作的主任（副主任）医师、主任（副主任）技师、主任（副主任）护师，从事高等院校教学、科研、管理工作的教授（副教授）等不符合免考两科的条件。高级职称应于报考截止日之前取得。</w:t>
      </w:r>
      <w:r>
        <w:rPr>
          <w:rFonts w:ascii="微软雅黑" w:eastAsia="微软雅黑" w:hAnsi="微软雅黑" w:cs="微软雅黑" w:hint="eastAsia"/>
          <w:sz w:val="18"/>
          <w:szCs w:val="18"/>
        </w:rPr>
        <w:t xml:space="preserve"> </w:t>
      </w:r>
    </w:p>
    <w:p w:rsidR="00E128D4" w:rsidRDefault="00E128D4" w:rsidP="00E128D4">
      <w:pPr>
        <w:widowControl/>
        <w:wordWrap w:val="0"/>
        <w:spacing w:line="18" w:lineRule="atLeast"/>
        <w:ind w:firstLine="640"/>
        <w:jc w:val="left"/>
      </w:pPr>
      <w:r>
        <w:rPr>
          <w:rFonts w:ascii="仿宋_GB2312" w:eastAsia="仿宋_GB2312" w:hAnsi="微软雅黑" w:cs="仿宋_GB2312" w:hint="eastAsia"/>
          <w:kern w:val="0"/>
          <w:sz w:val="32"/>
          <w:szCs w:val="32"/>
          <w:lang w:bidi="ar"/>
        </w:rPr>
        <w:lastRenderedPageBreak/>
        <w:t>大专及以上学历的报考人员，符合免试部分科目的，其成绩从2019年开始，实行2年为一个周期滚动管理，须在连续两个考试年度内通过应试科目。参加2018年度执业药师资格考试的免试部分科目的人员，其考试成绩有效期按照原34号文规定执行，其合格科目考试成绩仅在2018年度有效，不滚动至2019年。</w:t>
      </w:r>
      <w:r>
        <w:rPr>
          <w:rFonts w:ascii="微软雅黑" w:eastAsia="微软雅黑" w:hAnsi="微软雅黑" w:cs="微软雅黑" w:hint="eastAsia"/>
          <w:kern w:val="0"/>
          <w:sz w:val="24"/>
          <w:lang w:bidi="ar"/>
        </w:rPr>
        <w:t xml:space="preserve"> </w:t>
      </w:r>
    </w:p>
    <w:p w:rsidR="00E128D4" w:rsidRDefault="00E128D4" w:rsidP="00E128D4">
      <w:pPr>
        <w:widowControl/>
        <w:wordWrap w:val="0"/>
        <w:spacing w:line="18" w:lineRule="atLeast"/>
        <w:ind w:firstLine="640"/>
        <w:jc w:val="left"/>
      </w:pPr>
      <w:r>
        <w:rPr>
          <w:rFonts w:ascii="仿宋_GB2312" w:eastAsia="仿宋_GB2312" w:hAnsi="微软雅黑" w:cs="仿宋_GB2312" w:hint="eastAsia"/>
          <w:kern w:val="0"/>
          <w:sz w:val="32"/>
          <w:szCs w:val="32"/>
          <w:lang w:bidi="ar"/>
        </w:rPr>
        <w:t>药学或中药学专业中专学历的报考人员，按照国家有关规定评聘为高级专业技术职务，且连续从事药学或中药学专业工作满20年，符合原34号文中《执业药师职业资格考试实施办法》第五条规定的免考两</w:t>
      </w:r>
      <w:proofErr w:type="gramStart"/>
      <w:r>
        <w:rPr>
          <w:rFonts w:ascii="仿宋_GB2312" w:eastAsia="仿宋_GB2312" w:hAnsi="微软雅黑" w:cs="仿宋_GB2312" w:hint="eastAsia"/>
          <w:kern w:val="0"/>
          <w:sz w:val="32"/>
          <w:szCs w:val="32"/>
          <w:lang w:bidi="ar"/>
        </w:rPr>
        <w:t>科条件</w:t>
      </w:r>
      <w:proofErr w:type="gramEnd"/>
      <w:r>
        <w:rPr>
          <w:rFonts w:ascii="仿宋_GB2312" w:eastAsia="仿宋_GB2312" w:hAnsi="微软雅黑" w:cs="仿宋_GB2312" w:hint="eastAsia"/>
          <w:kern w:val="0"/>
          <w:sz w:val="32"/>
          <w:szCs w:val="32"/>
          <w:lang w:bidi="ar"/>
        </w:rPr>
        <w:t>的，在2020年12月31日前可继续按免考两科申请报名参加考试，其考试成绩有效期按原34号文规定执行，须在一个考试年度内通过应试科目。在过渡期之后，中专学历不再符合《执业药师职业资格制度规定》报考条件，也就不能按免考两科的方式申请参加执业药师职业资格考试。</w:t>
      </w:r>
      <w:r>
        <w:rPr>
          <w:rFonts w:ascii="微软雅黑" w:eastAsia="微软雅黑" w:hAnsi="微软雅黑" w:cs="微软雅黑" w:hint="eastAsia"/>
          <w:kern w:val="0"/>
          <w:sz w:val="24"/>
          <w:lang w:bidi="ar"/>
        </w:rPr>
        <w:t xml:space="preserve"> </w:t>
      </w:r>
    </w:p>
    <w:p w:rsidR="00E128D4" w:rsidRDefault="00E128D4" w:rsidP="00E128D4">
      <w:pPr>
        <w:widowControl/>
        <w:wordWrap w:val="0"/>
        <w:spacing w:line="18" w:lineRule="atLeast"/>
        <w:ind w:firstLine="640"/>
        <w:jc w:val="left"/>
      </w:pPr>
      <w:r>
        <w:rPr>
          <w:rFonts w:ascii="黑体" w:eastAsia="黑体" w:hAnsi="微软雅黑" w:cs="黑体" w:hint="eastAsia"/>
          <w:kern w:val="0"/>
          <w:sz w:val="32"/>
          <w:szCs w:val="32"/>
          <w:lang w:bidi="ar"/>
        </w:rPr>
        <w:t>二、学历（学位）证书的要求</w:t>
      </w:r>
      <w:r>
        <w:rPr>
          <w:rFonts w:ascii="微软雅黑" w:eastAsia="微软雅黑" w:hAnsi="微软雅黑" w:cs="微软雅黑" w:hint="eastAsia"/>
          <w:kern w:val="0"/>
          <w:sz w:val="24"/>
          <w:lang w:bidi="ar"/>
        </w:rPr>
        <w:t xml:space="preserve"> </w:t>
      </w:r>
    </w:p>
    <w:p w:rsidR="00E128D4" w:rsidRDefault="00E128D4" w:rsidP="00E128D4">
      <w:pPr>
        <w:widowControl/>
        <w:wordWrap w:val="0"/>
        <w:spacing w:line="18" w:lineRule="atLeast"/>
        <w:ind w:firstLine="640"/>
        <w:jc w:val="left"/>
      </w:pPr>
      <w:r>
        <w:rPr>
          <w:rFonts w:ascii="仿宋_GB2312" w:eastAsia="仿宋_GB2312" w:hAnsi="微软雅黑" w:cs="仿宋_GB2312" w:hint="eastAsia"/>
          <w:kern w:val="0"/>
          <w:sz w:val="32"/>
          <w:szCs w:val="32"/>
          <w:lang w:bidi="ar"/>
        </w:rPr>
        <w:t>报考条件中有关学历、学位，是指属于国民教育系列或者国务院教育行政部门批准或认可的学历、学位，应有国家认可的文凭颁发权利的学校及其他教育机构所颁发的学历、学位证书为凭证，只取得</w:t>
      </w:r>
      <w:proofErr w:type="gramStart"/>
      <w:r>
        <w:rPr>
          <w:rFonts w:ascii="仿宋_GB2312" w:eastAsia="仿宋_GB2312" w:hAnsi="微软雅黑" w:cs="仿宋_GB2312" w:hint="eastAsia"/>
          <w:kern w:val="0"/>
          <w:sz w:val="32"/>
          <w:szCs w:val="32"/>
          <w:lang w:bidi="ar"/>
        </w:rPr>
        <w:t>肄业</w:t>
      </w:r>
      <w:proofErr w:type="gramEnd"/>
      <w:r>
        <w:rPr>
          <w:rFonts w:ascii="仿宋_GB2312" w:eastAsia="仿宋_GB2312" w:hAnsi="微软雅黑" w:cs="仿宋_GB2312" w:hint="eastAsia"/>
          <w:kern w:val="0"/>
          <w:sz w:val="32"/>
          <w:szCs w:val="32"/>
          <w:lang w:bidi="ar"/>
        </w:rPr>
        <w:t>证书、结业证书不能报考。大专及以上的学历和学位包括普通高等教育、成人高等教育、电大开放教育、网络远程教育、高等教育自学</w:t>
      </w:r>
      <w:r>
        <w:rPr>
          <w:rFonts w:ascii="仿宋_GB2312" w:eastAsia="仿宋_GB2312" w:hAnsi="微软雅黑" w:cs="仿宋_GB2312" w:hint="eastAsia"/>
          <w:kern w:val="0"/>
          <w:sz w:val="32"/>
          <w:szCs w:val="32"/>
          <w:lang w:bidi="ar"/>
        </w:rPr>
        <w:lastRenderedPageBreak/>
        <w:t>考试所颁发的学历或学位证书。中专学历应为经教育行政部门审批或备案的招生计划内的中等专业学校颁发的学历证书，不包括职业高中和技工学校颁发的学历证书。</w:t>
      </w:r>
      <w:r>
        <w:rPr>
          <w:rFonts w:ascii="微软雅黑" w:eastAsia="微软雅黑" w:hAnsi="微软雅黑" w:cs="微软雅黑" w:hint="eastAsia"/>
          <w:kern w:val="0"/>
          <w:sz w:val="24"/>
          <w:lang w:bidi="ar"/>
        </w:rPr>
        <w:t xml:space="preserve"> </w:t>
      </w:r>
    </w:p>
    <w:p w:rsidR="00E128D4" w:rsidRDefault="00E128D4" w:rsidP="00E128D4">
      <w:pPr>
        <w:widowControl/>
        <w:wordWrap w:val="0"/>
        <w:spacing w:line="18" w:lineRule="atLeast"/>
        <w:ind w:firstLine="640"/>
        <w:jc w:val="left"/>
      </w:pPr>
      <w:r>
        <w:rPr>
          <w:rFonts w:ascii="仿宋_GB2312" w:eastAsia="仿宋_GB2312" w:hAnsi="微软雅黑" w:cs="仿宋_GB2312" w:hint="eastAsia"/>
          <w:kern w:val="0"/>
          <w:sz w:val="32"/>
          <w:szCs w:val="32"/>
          <w:lang w:bidi="ar"/>
        </w:rPr>
        <w:t>报考条件中的“第二学士学位”，是指根据《高等学校培养第二学士学位生的试行办法》（(87)</w:t>
      </w:r>
      <w:proofErr w:type="gramStart"/>
      <w:r>
        <w:rPr>
          <w:rFonts w:ascii="仿宋_GB2312" w:eastAsia="仿宋_GB2312" w:hAnsi="微软雅黑" w:cs="仿宋_GB2312" w:hint="eastAsia"/>
          <w:kern w:val="0"/>
          <w:sz w:val="32"/>
          <w:szCs w:val="32"/>
          <w:lang w:bidi="ar"/>
        </w:rPr>
        <w:t>教计字</w:t>
      </w:r>
      <w:proofErr w:type="gramEnd"/>
      <w:r>
        <w:rPr>
          <w:rFonts w:ascii="仿宋_GB2312" w:eastAsia="仿宋_GB2312" w:hAnsi="微软雅黑" w:cs="仿宋_GB2312" w:hint="eastAsia"/>
          <w:kern w:val="0"/>
          <w:sz w:val="32"/>
          <w:szCs w:val="32"/>
          <w:lang w:bidi="ar"/>
        </w:rPr>
        <w:t>105号），在大学本科毕业获得一个学士学位后，再攻读且取得的列入国家第二学士学位招生计划的学士学位，在层次上属于大学本科后教育。一个本科学习阶段跨专业选修课程获得的“双学位”或一个本科学习阶段获得中外合作办学授予的“双学位”“联合学位”，不属于第二学士学位。</w:t>
      </w:r>
      <w:r>
        <w:rPr>
          <w:rFonts w:ascii="微软雅黑" w:eastAsia="微软雅黑" w:hAnsi="微软雅黑" w:cs="微软雅黑" w:hint="eastAsia"/>
          <w:kern w:val="0"/>
          <w:sz w:val="24"/>
          <w:lang w:bidi="ar"/>
        </w:rPr>
        <w:t xml:space="preserve"> </w:t>
      </w:r>
    </w:p>
    <w:p w:rsidR="00E128D4" w:rsidRDefault="00E128D4" w:rsidP="00E128D4">
      <w:pPr>
        <w:widowControl/>
        <w:wordWrap w:val="0"/>
        <w:spacing w:line="18" w:lineRule="atLeast"/>
        <w:ind w:firstLine="640"/>
        <w:jc w:val="left"/>
      </w:pPr>
      <w:r>
        <w:rPr>
          <w:rFonts w:ascii="黑体" w:eastAsia="黑体" w:hAnsi="微软雅黑" w:cs="黑体" w:hint="eastAsia"/>
          <w:kern w:val="0"/>
          <w:sz w:val="32"/>
          <w:szCs w:val="32"/>
          <w:lang w:bidi="ar"/>
        </w:rPr>
        <w:t>三、“药学类、中药学类专业”的界定</w:t>
      </w:r>
      <w:r>
        <w:rPr>
          <w:rFonts w:ascii="微软雅黑" w:eastAsia="微软雅黑" w:hAnsi="微软雅黑" w:cs="微软雅黑" w:hint="eastAsia"/>
          <w:kern w:val="0"/>
          <w:sz w:val="24"/>
          <w:lang w:bidi="ar"/>
        </w:rPr>
        <w:t xml:space="preserve"> </w:t>
      </w:r>
    </w:p>
    <w:p w:rsidR="00E128D4" w:rsidRDefault="00E128D4" w:rsidP="00E128D4">
      <w:pPr>
        <w:widowControl/>
        <w:wordWrap w:val="0"/>
        <w:spacing w:line="18" w:lineRule="atLeast"/>
        <w:ind w:firstLine="640"/>
        <w:jc w:val="left"/>
      </w:pPr>
      <w:r>
        <w:rPr>
          <w:rFonts w:ascii="仿宋_GB2312" w:eastAsia="仿宋_GB2312" w:hAnsi="微软雅黑" w:cs="仿宋_GB2312" w:hint="eastAsia"/>
          <w:kern w:val="0"/>
          <w:sz w:val="32"/>
          <w:szCs w:val="32"/>
          <w:lang w:bidi="ar"/>
        </w:rPr>
        <w:t>报考条件中要求的“药学类、中药学类专业”，按照国务院学位委员会、教育部印发的《学位授予和人才培养学科目录设置与管理办法》《普通高等学校高等职业教育（专科）专业设置管理办法》和《学位授予和人才培养学科目录》《普通高等学校本科专业目录（2012年）》《普通高等学校高等职业教育（专科）专业目录（2015年）》等规定，对照学科目录来界定。</w:t>
      </w:r>
      <w:r>
        <w:rPr>
          <w:rFonts w:ascii="微软雅黑" w:eastAsia="微软雅黑" w:hAnsi="微软雅黑" w:cs="微软雅黑" w:hint="eastAsia"/>
          <w:kern w:val="0"/>
          <w:sz w:val="24"/>
          <w:lang w:bidi="ar"/>
        </w:rPr>
        <w:t xml:space="preserve"> </w:t>
      </w:r>
    </w:p>
    <w:tbl>
      <w:tblPr>
        <w:tblW w:w="0" w:type="auto"/>
        <w:jc w:val="center"/>
        <w:tblBorders>
          <w:top w:val="outset" w:sz="0" w:space="0" w:color="auto"/>
          <w:left w:val="single" w:sz="6" w:space="0" w:color="000000"/>
          <w:bottom w:val="single" w:sz="6" w:space="0" w:color="000000"/>
          <w:right w:val="single" w:sz="6" w:space="0" w:color="000000"/>
          <w:insideH w:val="outset" w:sz="6" w:space="0" w:color="auto"/>
          <w:insideV w:val="outset" w:sz="6" w:space="0" w:color="auto"/>
        </w:tblBorders>
        <w:tblLayout w:type="fixed"/>
        <w:tblCellMar>
          <w:left w:w="75" w:type="dxa"/>
          <w:right w:w="0" w:type="dxa"/>
        </w:tblCellMar>
        <w:tblLook w:val="0000" w:firstRow="0" w:lastRow="0" w:firstColumn="0" w:lastColumn="0" w:noHBand="0" w:noVBand="0"/>
      </w:tblPr>
      <w:tblGrid>
        <w:gridCol w:w="2001"/>
        <w:gridCol w:w="2180"/>
        <w:gridCol w:w="2379"/>
        <w:gridCol w:w="1826"/>
      </w:tblGrid>
      <w:tr w:rsidR="00E128D4" w:rsidTr="00372D75">
        <w:trPr>
          <w:trHeight w:val="450"/>
          <w:jc w:val="center"/>
        </w:trPr>
        <w:tc>
          <w:tcPr>
            <w:tcW w:w="4181" w:type="dxa"/>
            <w:gridSpan w:val="2"/>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b/>
                <w:kern w:val="0"/>
                <w:sz w:val="24"/>
                <w:lang w:bidi="ar"/>
              </w:rPr>
              <w:t>在本科及以上学历层次</w:t>
            </w:r>
          </w:p>
        </w:tc>
        <w:tc>
          <w:tcPr>
            <w:tcW w:w="2379"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b/>
                <w:kern w:val="0"/>
                <w:sz w:val="24"/>
                <w:lang w:bidi="ar"/>
              </w:rPr>
              <w:t>在大专层次</w:t>
            </w:r>
          </w:p>
        </w:tc>
        <w:tc>
          <w:tcPr>
            <w:tcW w:w="1826"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b/>
                <w:kern w:val="0"/>
                <w:sz w:val="24"/>
                <w:lang w:bidi="ar"/>
              </w:rPr>
              <w:t>在中专层次</w:t>
            </w:r>
          </w:p>
        </w:tc>
      </w:tr>
      <w:tr w:rsidR="00E128D4" w:rsidTr="00372D75">
        <w:trPr>
          <w:trHeight w:val="450"/>
          <w:jc w:val="center"/>
        </w:trPr>
        <w:tc>
          <w:tcPr>
            <w:tcW w:w="2001"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药学类专业</w:t>
            </w:r>
          </w:p>
        </w:tc>
        <w:tc>
          <w:tcPr>
            <w:tcW w:w="2180"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中药学类专业</w:t>
            </w:r>
          </w:p>
        </w:tc>
        <w:tc>
          <w:tcPr>
            <w:tcW w:w="2379"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药学类、</w:t>
            </w:r>
          </w:p>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中药学类专业</w:t>
            </w:r>
          </w:p>
        </w:tc>
        <w:tc>
          <w:tcPr>
            <w:tcW w:w="1826"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药学类、</w:t>
            </w:r>
          </w:p>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中药学类专业</w:t>
            </w:r>
          </w:p>
        </w:tc>
      </w:tr>
      <w:tr w:rsidR="00E128D4" w:rsidTr="00372D75">
        <w:trPr>
          <w:trHeight w:val="450"/>
          <w:jc w:val="center"/>
        </w:trPr>
        <w:tc>
          <w:tcPr>
            <w:tcW w:w="2001"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药学</w:t>
            </w:r>
          </w:p>
        </w:tc>
        <w:tc>
          <w:tcPr>
            <w:tcW w:w="2180"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中药学</w:t>
            </w:r>
          </w:p>
        </w:tc>
        <w:tc>
          <w:tcPr>
            <w:tcW w:w="2379"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药学</w:t>
            </w:r>
          </w:p>
        </w:tc>
        <w:tc>
          <w:tcPr>
            <w:tcW w:w="1826"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药剂</w:t>
            </w:r>
          </w:p>
        </w:tc>
      </w:tr>
      <w:tr w:rsidR="00E128D4" w:rsidTr="00372D75">
        <w:trPr>
          <w:trHeight w:val="450"/>
          <w:jc w:val="center"/>
        </w:trPr>
        <w:tc>
          <w:tcPr>
            <w:tcW w:w="2001"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lastRenderedPageBreak/>
              <w:t>药物制剂</w:t>
            </w:r>
          </w:p>
        </w:tc>
        <w:tc>
          <w:tcPr>
            <w:tcW w:w="2180"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中药资源与开发</w:t>
            </w:r>
          </w:p>
        </w:tc>
        <w:tc>
          <w:tcPr>
            <w:tcW w:w="2379"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现代中药技术</w:t>
            </w:r>
          </w:p>
        </w:tc>
        <w:tc>
          <w:tcPr>
            <w:tcW w:w="1826"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中药</w:t>
            </w:r>
          </w:p>
        </w:tc>
      </w:tr>
      <w:tr w:rsidR="00E128D4" w:rsidTr="00372D75">
        <w:trPr>
          <w:trHeight w:val="450"/>
          <w:jc w:val="center"/>
        </w:trPr>
        <w:tc>
          <w:tcPr>
            <w:tcW w:w="2001"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临床药学</w:t>
            </w:r>
          </w:p>
        </w:tc>
        <w:tc>
          <w:tcPr>
            <w:tcW w:w="2180"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藏药学</w:t>
            </w:r>
          </w:p>
        </w:tc>
        <w:tc>
          <w:tcPr>
            <w:tcW w:w="2379"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中药（或中药学）</w:t>
            </w:r>
          </w:p>
        </w:tc>
        <w:tc>
          <w:tcPr>
            <w:tcW w:w="1826"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jc w:val="center"/>
              <w:rPr>
                <w:rFonts w:ascii="微软雅黑" w:eastAsia="微软雅黑" w:hAnsi="微软雅黑" w:cs="微软雅黑" w:hint="eastAsia"/>
                <w:szCs w:val="21"/>
              </w:rPr>
            </w:pPr>
          </w:p>
        </w:tc>
      </w:tr>
      <w:tr w:rsidR="00E128D4" w:rsidTr="00372D75">
        <w:trPr>
          <w:trHeight w:val="450"/>
          <w:jc w:val="center"/>
        </w:trPr>
        <w:tc>
          <w:tcPr>
            <w:tcW w:w="2001"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药事管理</w:t>
            </w:r>
          </w:p>
        </w:tc>
        <w:tc>
          <w:tcPr>
            <w:tcW w:w="2180"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蒙药学</w:t>
            </w:r>
          </w:p>
        </w:tc>
        <w:tc>
          <w:tcPr>
            <w:tcW w:w="2379"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蒙药学</w:t>
            </w:r>
          </w:p>
        </w:tc>
        <w:tc>
          <w:tcPr>
            <w:tcW w:w="1826"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jc w:val="center"/>
              <w:rPr>
                <w:rFonts w:ascii="微软雅黑" w:eastAsia="微软雅黑" w:hAnsi="微软雅黑" w:cs="微软雅黑" w:hint="eastAsia"/>
                <w:szCs w:val="21"/>
              </w:rPr>
            </w:pPr>
          </w:p>
        </w:tc>
      </w:tr>
      <w:tr w:rsidR="00E128D4" w:rsidTr="00372D75">
        <w:trPr>
          <w:trHeight w:val="450"/>
          <w:jc w:val="center"/>
        </w:trPr>
        <w:tc>
          <w:tcPr>
            <w:tcW w:w="2001"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药物分析</w:t>
            </w:r>
          </w:p>
        </w:tc>
        <w:tc>
          <w:tcPr>
            <w:tcW w:w="2180"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中药制药</w:t>
            </w:r>
          </w:p>
        </w:tc>
        <w:tc>
          <w:tcPr>
            <w:tcW w:w="2379"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维药学</w:t>
            </w:r>
          </w:p>
        </w:tc>
        <w:tc>
          <w:tcPr>
            <w:tcW w:w="1826"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jc w:val="center"/>
              <w:rPr>
                <w:rFonts w:ascii="微软雅黑" w:eastAsia="微软雅黑" w:hAnsi="微软雅黑" w:cs="微软雅黑" w:hint="eastAsia"/>
                <w:szCs w:val="21"/>
              </w:rPr>
            </w:pPr>
          </w:p>
        </w:tc>
      </w:tr>
      <w:tr w:rsidR="00E128D4" w:rsidTr="00372D75">
        <w:trPr>
          <w:trHeight w:val="450"/>
          <w:jc w:val="center"/>
        </w:trPr>
        <w:tc>
          <w:tcPr>
            <w:tcW w:w="2001"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药物化学</w:t>
            </w:r>
          </w:p>
        </w:tc>
        <w:tc>
          <w:tcPr>
            <w:tcW w:w="2180"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中草药栽培与鉴定</w:t>
            </w:r>
          </w:p>
        </w:tc>
        <w:tc>
          <w:tcPr>
            <w:tcW w:w="2379"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藏药学</w:t>
            </w:r>
          </w:p>
        </w:tc>
        <w:tc>
          <w:tcPr>
            <w:tcW w:w="1826"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jc w:val="center"/>
              <w:rPr>
                <w:rFonts w:ascii="微软雅黑" w:eastAsia="微软雅黑" w:hAnsi="微软雅黑" w:cs="微软雅黑" w:hint="eastAsia"/>
                <w:szCs w:val="21"/>
              </w:rPr>
            </w:pPr>
          </w:p>
        </w:tc>
      </w:tr>
      <w:tr w:rsidR="00E128D4" w:rsidTr="00372D75">
        <w:trPr>
          <w:trHeight w:val="450"/>
          <w:jc w:val="center"/>
        </w:trPr>
        <w:tc>
          <w:tcPr>
            <w:tcW w:w="2001"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widowControl/>
              <w:wordWrap w:val="0"/>
              <w:spacing w:before="100" w:beforeAutospacing="1" w:after="100" w:afterAutospacing="1" w:line="18" w:lineRule="atLeast"/>
              <w:jc w:val="center"/>
            </w:pPr>
            <w:r>
              <w:rPr>
                <w:rFonts w:ascii="宋体" w:hAnsi="宋体" w:cs="宋体" w:hint="eastAsia"/>
                <w:kern w:val="0"/>
                <w:sz w:val="24"/>
                <w:lang w:bidi="ar"/>
              </w:rPr>
              <w:t>海洋药学</w:t>
            </w:r>
          </w:p>
        </w:tc>
        <w:tc>
          <w:tcPr>
            <w:tcW w:w="2180"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jc w:val="center"/>
              <w:rPr>
                <w:rFonts w:ascii="微软雅黑" w:eastAsia="微软雅黑" w:hAnsi="微软雅黑" w:cs="微软雅黑" w:hint="eastAsia"/>
                <w:szCs w:val="21"/>
              </w:rPr>
            </w:pPr>
          </w:p>
        </w:tc>
        <w:tc>
          <w:tcPr>
            <w:tcW w:w="2379"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jc w:val="center"/>
              <w:rPr>
                <w:rFonts w:ascii="微软雅黑" w:eastAsia="微软雅黑" w:hAnsi="微软雅黑" w:cs="微软雅黑" w:hint="eastAsia"/>
                <w:szCs w:val="21"/>
              </w:rPr>
            </w:pPr>
          </w:p>
        </w:tc>
        <w:tc>
          <w:tcPr>
            <w:tcW w:w="1826" w:type="dxa"/>
            <w:tcBorders>
              <w:top w:val="single" w:sz="4" w:space="0" w:color="auto"/>
              <w:left w:val="single" w:sz="4" w:space="0" w:color="auto"/>
              <w:bottom w:val="single" w:sz="4" w:space="0" w:color="auto"/>
              <w:right w:val="single" w:sz="4" w:space="0" w:color="auto"/>
            </w:tcBorders>
            <w:tcMar>
              <w:top w:w="75" w:type="dxa"/>
            </w:tcMar>
          </w:tcPr>
          <w:p w:rsidR="00E128D4" w:rsidRDefault="00E128D4" w:rsidP="00372D75">
            <w:pPr>
              <w:jc w:val="center"/>
              <w:rPr>
                <w:rFonts w:ascii="微软雅黑" w:eastAsia="微软雅黑" w:hAnsi="微软雅黑" w:cs="微软雅黑" w:hint="eastAsia"/>
                <w:szCs w:val="21"/>
              </w:rPr>
            </w:pPr>
          </w:p>
        </w:tc>
      </w:tr>
    </w:tbl>
    <w:p w:rsidR="00E128D4" w:rsidRDefault="00E128D4" w:rsidP="00E128D4">
      <w:pPr>
        <w:widowControl/>
        <w:wordWrap w:val="0"/>
        <w:spacing w:line="18" w:lineRule="atLeast"/>
        <w:ind w:firstLine="640"/>
        <w:jc w:val="left"/>
      </w:pPr>
      <w:r>
        <w:rPr>
          <w:rFonts w:ascii="黑体" w:eastAsia="黑体" w:hAnsi="微软雅黑" w:cs="黑体" w:hint="eastAsia"/>
          <w:kern w:val="0"/>
          <w:sz w:val="32"/>
          <w:szCs w:val="32"/>
          <w:lang w:bidi="ar"/>
        </w:rPr>
        <w:t xml:space="preserve">四、“相关专业”的界定 </w:t>
      </w:r>
    </w:p>
    <w:p w:rsidR="00E128D4" w:rsidRDefault="00E128D4" w:rsidP="00E128D4">
      <w:pPr>
        <w:widowControl/>
        <w:wordWrap w:val="0"/>
        <w:spacing w:line="18" w:lineRule="atLeast"/>
        <w:ind w:firstLine="640"/>
        <w:jc w:val="left"/>
      </w:pPr>
      <w:r>
        <w:rPr>
          <w:rFonts w:ascii="仿宋_GB2312" w:eastAsia="仿宋_GB2312" w:hAnsi="微软雅黑" w:cs="仿宋_GB2312" w:hint="eastAsia"/>
          <w:kern w:val="0"/>
          <w:sz w:val="32"/>
          <w:szCs w:val="32"/>
          <w:lang w:bidi="ar"/>
        </w:rPr>
        <w:t>报考条件中“相关专业”，参照《关于发布2015年执业药师资格考试报考专业参考目录的通知》（人</w:t>
      </w:r>
      <w:proofErr w:type="gramStart"/>
      <w:r>
        <w:rPr>
          <w:rFonts w:ascii="仿宋_GB2312" w:eastAsia="仿宋_GB2312" w:hAnsi="微软雅黑" w:cs="仿宋_GB2312" w:hint="eastAsia"/>
          <w:kern w:val="0"/>
          <w:sz w:val="32"/>
          <w:szCs w:val="32"/>
          <w:lang w:bidi="ar"/>
        </w:rPr>
        <w:t>考中心函</w:t>
      </w:r>
      <w:proofErr w:type="gramEnd"/>
      <w:r>
        <w:rPr>
          <w:rFonts w:ascii="仿宋_GB2312" w:eastAsia="仿宋_GB2312" w:hAnsi="微软雅黑" w:cs="仿宋_GB2312" w:hint="eastAsia"/>
          <w:kern w:val="0"/>
          <w:sz w:val="32"/>
          <w:szCs w:val="32"/>
          <w:lang w:bidi="ar"/>
        </w:rPr>
        <w:t>〔2015〕31号）执行。该报考专业参考目录，包括药学类、中药学类专业和相关专业，其中列入报考专业参考目录的、“药学类、中药学类专业”以外的专业，属于报考专业要求中的“相关专业”。</w:t>
      </w:r>
      <w:r>
        <w:rPr>
          <w:rFonts w:ascii="微软雅黑" w:eastAsia="微软雅黑" w:hAnsi="微软雅黑" w:cs="微软雅黑" w:hint="eastAsia"/>
          <w:kern w:val="0"/>
          <w:sz w:val="24"/>
          <w:lang w:bidi="ar"/>
        </w:rPr>
        <w:t xml:space="preserve"> </w:t>
      </w:r>
    </w:p>
    <w:p w:rsidR="00E128D4" w:rsidRDefault="00E128D4" w:rsidP="00E128D4">
      <w:pPr>
        <w:widowControl/>
        <w:wordWrap w:val="0"/>
        <w:spacing w:line="18" w:lineRule="atLeast"/>
        <w:ind w:firstLine="640"/>
        <w:jc w:val="left"/>
      </w:pPr>
      <w:r>
        <w:rPr>
          <w:rFonts w:ascii="黑体" w:eastAsia="黑体" w:hAnsi="微软雅黑" w:cs="黑体" w:hint="eastAsia"/>
          <w:kern w:val="0"/>
          <w:sz w:val="32"/>
          <w:szCs w:val="32"/>
          <w:lang w:bidi="ar"/>
        </w:rPr>
        <w:t>五、“药学或中药学岗位工作”的界定</w:t>
      </w:r>
      <w:r>
        <w:rPr>
          <w:rFonts w:ascii="微软雅黑" w:eastAsia="微软雅黑" w:hAnsi="微软雅黑" w:cs="微软雅黑" w:hint="eastAsia"/>
          <w:kern w:val="0"/>
          <w:sz w:val="24"/>
          <w:lang w:bidi="ar"/>
        </w:rPr>
        <w:t xml:space="preserve"> </w:t>
      </w:r>
    </w:p>
    <w:p w:rsidR="00E128D4" w:rsidRDefault="00E128D4" w:rsidP="00E128D4">
      <w:pPr>
        <w:widowControl/>
        <w:wordWrap w:val="0"/>
        <w:spacing w:line="18" w:lineRule="atLeast"/>
        <w:ind w:firstLine="480"/>
        <w:jc w:val="left"/>
      </w:pPr>
      <w:r>
        <w:rPr>
          <w:rFonts w:ascii="仿宋_GB2312" w:eastAsia="仿宋_GB2312" w:hAnsi="微软雅黑" w:cs="仿宋_GB2312" w:hint="eastAsia"/>
          <w:kern w:val="0"/>
          <w:sz w:val="32"/>
          <w:szCs w:val="32"/>
          <w:lang w:bidi="ar"/>
        </w:rPr>
        <w:t>报考条件中“药学或中药学岗位工作”，限于执业药师注册管理办法规定的注册领域和执业范围内的工作，即药品生产企业、药品经营企业、医疗卫生机构中的药品质量管理工作和药学服务工作。医师的医疗、预防、保健工作，护士的护理工作，医药院校教学、科研、管理工作，化妆品销售工作，不等同于执业药师职业资格考试报考条件中规定的药学或中药学岗位工作。取得临床医学、中医</w:t>
      </w:r>
      <w:r>
        <w:rPr>
          <w:rFonts w:ascii="仿宋_GB2312" w:eastAsia="仿宋_GB2312" w:hAnsi="微软雅黑" w:cs="仿宋_GB2312" w:hint="eastAsia"/>
          <w:kern w:val="0"/>
          <w:sz w:val="32"/>
          <w:szCs w:val="32"/>
          <w:lang w:bidi="ar"/>
        </w:rPr>
        <w:lastRenderedPageBreak/>
        <w:t>学类、</w:t>
      </w:r>
      <w:proofErr w:type="gramStart"/>
      <w:r>
        <w:rPr>
          <w:rFonts w:ascii="仿宋_GB2312" w:eastAsia="仿宋_GB2312" w:hAnsi="微软雅黑" w:cs="仿宋_GB2312" w:hint="eastAsia"/>
          <w:kern w:val="0"/>
          <w:sz w:val="32"/>
          <w:szCs w:val="32"/>
          <w:lang w:bidi="ar"/>
        </w:rPr>
        <w:t>护理学类专业</w:t>
      </w:r>
      <w:proofErr w:type="gramEnd"/>
      <w:r>
        <w:rPr>
          <w:rFonts w:ascii="仿宋_GB2312" w:eastAsia="仿宋_GB2312" w:hAnsi="微软雅黑" w:cs="仿宋_GB2312" w:hint="eastAsia"/>
          <w:kern w:val="0"/>
          <w:sz w:val="32"/>
          <w:szCs w:val="32"/>
          <w:lang w:bidi="ar"/>
        </w:rPr>
        <w:t>学历、学位的，如果从事药学或中药学岗位工作，且满足从事药学、中药学岗位工作年限要求，可申请参加执业药师职业资格考试；如果从事医疗、预防、保健等执业医师活动或从事护理工作，则不符合“从事药学、中药学专业技术工作”的报考要求。</w:t>
      </w:r>
      <w:r>
        <w:rPr>
          <w:rFonts w:ascii="微软雅黑" w:eastAsia="微软雅黑" w:hAnsi="微软雅黑" w:cs="微软雅黑" w:hint="eastAsia"/>
          <w:kern w:val="0"/>
          <w:sz w:val="24"/>
          <w:lang w:bidi="ar"/>
        </w:rPr>
        <w:t xml:space="preserve"> </w:t>
      </w:r>
    </w:p>
    <w:p w:rsidR="00E128D4" w:rsidRDefault="00E128D4" w:rsidP="00E128D4">
      <w:pPr>
        <w:widowControl/>
        <w:wordWrap w:val="0"/>
        <w:spacing w:line="18" w:lineRule="atLeast"/>
        <w:ind w:firstLine="640"/>
        <w:jc w:val="left"/>
      </w:pPr>
      <w:r>
        <w:rPr>
          <w:rFonts w:ascii="黑体" w:eastAsia="黑体" w:hAnsi="微软雅黑" w:cs="黑体" w:hint="eastAsia"/>
          <w:kern w:val="0"/>
          <w:sz w:val="32"/>
          <w:szCs w:val="32"/>
          <w:lang w:bidi="ar"/>
        </w:rPr>
        <w:t>六、专业岗位工作年限计算方式</w:t>
      </w:r>
      <w:r>
        <w:rPr>
          <w:rFonts w:ascii="微软雅黑" w:eastAsia="微软雅黑" w:hAnsi="微软雅黑" w:cs="微软雅黑" w:hint="eastAsia"/>
          <w:kern w:val="0"/>
          <w:sz w:val="24"/>
          <w:lang w:bidi="ar"/>
        </w:rPr>
        <w:t xml:space="preserve"> </w:t>
      </w:r>
    </w:p>
    <w:p w:rsidR="00E128D4" w:rsidRDefault="00E128D4" w:rsidP="00E128D4">
      <w:pPr>
        <w:widowControl/>
        <w:wordWrap w:val="0"/>
        <w:spacing w:line="18" w:lineRule="atLeast"/>
        <w:jc w:val="left"/>
      </w:pPr>
      <w:r>
        <w:rPr>
          <w:rFonts w:ascii="仿宋_GB2312" w:eastAsia="仿宋_GB2312" w:hAnsi="微软雅黑" w:cs="仿宋_GB2312" w:hint="eastAsia"/>
          <w:kern w:val="0"/>
          <w:sz w:val="32"/>
          <w:szCs w:val="32"/>
          <w:lang w:bidi="ar"/>
        </w:rPr>
        <w:t>专业岗位工作年限计算截止日期为考试当年度的12月31日。</w:t>
      </w:r>
      <w:r>
        <w:rPr>
          <w:rFonts w:ascii="微软雅黑" w:eastAsia="微软雅黑" w:hAnsi="微软雅黑" w:cs="微软雅黑" w:hint="eastAsia"/>
          <w:kern w:val="0"/>
          <w:sz w:val="24"/>
          <w:lang w:bidi="ar"/>
        </w:rPr>
        <w:t xml:space="preserve"> </w:t>
      </w:r>
    </w:p>
    <w:p w:rsidR="00E128D4" w:rsidRDefault="00E128D4" w:rsidP="00E128D4">
      <w:pPr>
        <w:pStyle w:val="a3"/>
        <w:widowControl/>
        <w:wordWrap w:val="0"/>
        <w:spacing w:line="18" w:lineRule="atLeast"/>
        <w:jc w:val="left"/>
      </w:pPr>
      <w:r>
        <w:rPr>
          <w:rFonts w:ascii="微软雅黑" w:eastAsia="微软雅黑" w:hAnsi="微软雅黑" w:cs="微软雅黑" w:hint="eastAsia"/>
          <w:sz w:val="32"/>
          <w:szCs w:val="32"/>
        </w:rPr>
        <w:t>报考人员从事的非药学、非中药学工作时间不计算为专业岗位工作年限。未取得毕业证书前的实习经历不计</w:t>
      </w:r>
      <w:proofErr w:type="gramStart"/>
      <w:r>
        <w:rPr>
          <w:rFonts w:ascii="微软雅黑" w:eastAsia="微软雅黑" w:hAnsi="微软雅黑" w:cs="微软雅黑" w:hint="eastAsia"/>
          <w:sz w:val="32"/>
          <w:szCs w:val="32"/>
        </w:rPr>
        <w:t>入专业</w:t>
      </w:r>
      <w:proofErr w:type="gramEnd"/>
      <w:r>
        <w:rPr>
          <w:rFonts w:ascii="微软雅黑" w:eastAsia="微软雅黑" w:hAnsi="微软雅黑" w:cs="微软雅黑" w:hint="eastAsia"/>
          <w:sz w:val="32"/>
          <w:szCs w:val="32"/>
        </w:rPr>
        <w:t>岗位工作年限。国外工作经历不计算为报考条件要求的专业岗位工作年限。取得药学、中药学及相关专业第一学历并参加工作，再以函授、自学考试、远程教育等后取得的药学、中药学及相关专业学历报考的，可累计取得第一学历至报考年度期间的实际药学、中药学岗位工作年限。超过半年的脱产学习时间不计算为专业岗位工作年限，脱产学习前后的实际专业岗位工作年限可累计。</w:t>
      </w:r>
      <w:r>
        <w:rPr>
          <w:rFonts w:ascii="微软雅黑" w:eastAsia="微软雅黑" w:hAnsi="微软雅黑" w:cs="微软雅黑" w:hint="eastAsia"/>
          <w:sz w:val="18"/>
          <w:szCs w:val="18"/>
        </w:rPr>
        <w:t xml:space="preserve"> </w:t>
      </w:r>
    </w:p>
    <w:p w:rsidR="00E128D4" w:rsidRDefault="00E128D4" w:rsidP="00E128D4">
      <w:pPr>
        <w:widowControl/>
        <w:wordWrap w:val="0"/>
        <w:spacing w:line="18" w:lineRule="atLeast"/>
        <w:ind w:firstLine="480"/>
        <w:jc w:val="left"/>
      </w:pPr>
      <w:r>
        <w:rPr>
          <w:rFonts w:ascii="仿宋_GB2312" w:eastAsia="仿宋_GB2312" w:hAnsi="微软雅黑" w:cs="仿宋_GB2312" w:hint="eastAsia"/>
          <w:kern w:val="0"/>
          <w:sz w:val="32"/>
          <w:szCs w:val="32"/>
          <w:lang w:bidi="ar"/>
        </w:rPr>
        <w:t>符合原34号文要求的中专学历报考人员以及参加2018年度执业药师资格考试且有部分科目合格的大专及以上学历（学位）的应试人员（不包括免两科的考生），可累计参加工作开始至报考年度期间的实际药学、中药学岗位工</w:t>
      </w:r>
      <w:r>
        <w:rPr>
          <w:rFonts w:ascii="仿宋_GB2312" w:eastAsia="仿宋_GB2312" w:hAnsi="微软雅黑" w:cs="仿宋_GB2312" w:hint="eastAsia"/>
          <w:kern w:val="0"/>
          <w:sz w:val="32"/>
          <w:szCs w:val="32"/>
          <w:lang w:bidi="ar"/>
        </w:rPr>
        <w:lastRenderedPageBreak/>
        <w:t>作年限。超过半年的脱产学习时间不计算为专业岗位工作年限，脱产学习前后的实际专业岗位工作年限可累计。</w:t>
      </w:r>
      <w:r>
        <w:rPr>
          <w:rFonts w:ascii="微软雅黑" w:eastAsia="微软雅黑" w:hAnsi="微软雅黑" w:cs="微软雅黑" w:hint="eastAsia"/>
          <w:kern w:val="0"/>
          <w:sz w:val="24"/>
          <w:lang w:bidi="ar"/>
        </w:rPr>
        <w:t xml:space="preserve"> </w:t>
      </w:r>
    </w:p>
    <w:p w:rsidR="00E128D4" w:rsidRDefault="00E128D4" w:rsidP="00E128D4">
      <w:pPr>
        <w:widowControl/>
        <w:wordWrap w:val="0"/>
        <w:spacing w:line="18" w:lineRule="atLeast"/>
        <w:ind w:firstLine="640"/>
        <w:jc w:val="left"/>
      </w:pPr>
      <w:r>
        <w:rPr>
          <w:rFonts w:ascii="黑体" w:eastAsia="黑体" w:hAnsi="微软雅黑" w:cs="黑体" w:hint="eastAsia"/>
          <w:kern w:val="0"/>
          <w:sz w:val="32"/>
          <w:szCs w:val="32"/>
          <w:lang w:bidi="ar"/>
        </w:rPr>
        <w:t xml:space="preserve">七、港澳台居民报考规定 </w:t>
      </w:r>
    </w:p>
    <w:p w:rsidR="00E128D4" w:rsidRDefault="00E128D4" w:rsidP="00E128D4">
      <w:pPr>
        <w:widowControl/>
        <w:wordWrap w:val="0"/>
        <w:spacing w:line="18" w:lineRule="atLeast"/>
        <w:ind w:firstLine="480"/>
        <w:jc w:val="left"/>
      </w:pPr>
      <w:r>
        <w:rPr>
          <w:rFonts w:ascii="仿宋_GB2312" w:eastAsia="仿宋_GB2312" w:hAnsi="微软雅黑" w:cs="仿宋_GB2312" w:hint="eastAsia"/>
          <w:kern w:val="0"/>
          <w:sz w:val="32"/>
          <w:szCs w:val="32"/>
          <w:lang w:bidi="ar"/>
        </w:rPr>
        <w:t>港澳台居民可以报名参加国家执业药师职业资格考试。报名条件参照《制度规定》办理。港澳台居民持内地高等学校毕业证书的，可以直接填报相关信息；持香港、澳门、台湾地区或者国外高等学校学历或者学位证书报考的，学历、学位证书须经教育部留学服务中心认证。</w:t>
      </w:r>
      <w:r>
        <w:rPr>
          <w:rFonts w:ascii="微软雅黑" w:eastAsia="微软雅黑" w:hAnsi="微软雅黑" w:cs="微软雅黑" w:hint="eastAsia"/>
          <w:kern w:val="0"/>
          <w:sz w:val="24"/>
          <w:lang w:bidi="ar"/>
        </w:rPr>
        <w:t xml:space="preserve"> </w:t>
      </w:r>
    </w:p>
    <w:p w:rsidR="00E91781" w:rsidRPr="00E128D4" w:rsidRDefault="00E91781">
      <w:bookmarkStart w:id="0" w:name="_GoBack"/>
      <w:bookmarkEnd w:id="0"/>
    </w:p>
    <w:sectPr w:rsidR="00E91781" w:rsidRPr="00E12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D4"/>
    <w:rsid w:val="00E128D4"/>
    <w:rsid w:val="00E91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7E149-F46A-4F3C-A38A-CB7EDB45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8D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128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2019-08-22T06:50:00Z</dcterms:created>
  <dcterms:modified xsi:type="dcterms:W3CDTF">2019-08-22T06:50:00Z</dcterms:modified>
</cp:coreProperties>
</file>