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pacing w:val="0"/>
          <w:sz w:val="32"/>
          <w:lang w:val="en-US" w:eastAsia="zh-CN"/>
        </w:rPr>
      </w:pPr>
    </w:p>
    <w:p>
      <w:pPr>
        <w:snapToGrid w:val="0"/>
        <w:spacing w:before="0" w:beforeLines="0" w:after="0" w:afterLines="0" w:line="500" w:lineRule="exact"/>
        <w:jc w:val="center"/>
        <w:rPr>
          <w:rFonts w:hint="default" w:ascii="Times New Roman" w:hAnsi="Times New Roman" w:eastAsia="方正小标宋简体" w:cs="Times New Roman"/>
          <w:spacing w:val="-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7"/>
          <w:sz w:val="44"/>
          <w:szCs w:val="44"/>
        </w:rPr>
        <w:t>浙江省电网统调燃煤电厂上网电价表</w:t>
      </w:r>
      <w:r>
        <w:rPr>
          <w:rFonts w:hint="default" w:ascii="Times New Roman" w:hAnsi="Times New Roman" w:eastAsia="方正小标宋简体" w:cs="Times New Roman"/>
          <w:spacing w:val="-7"/>
          <w:sz w:val="44"/>
          <w:szCs w:val="44"/>
          <w:lang w:eastAsia="zh-CN"/>
        </w:rPr>
        <w:t>（二）</w:t>
      </w:r>
    </w:p>
    <w:p>
      <w:pPr>
        <w:spacing w:beforeLines="0" w:afterLines="0" w:line="500" w:lineRule="exact"/>
        <w:jc w:val="center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（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除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居民、农业和暂不具备市场交易条件的工商业用户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外对应的上网电量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）</w:t>
      </w:r>
    </w:p>
    <w:p>
      <w:pPr>
        <w:spacing w:beforeLines="0" w:afterLines="0" w:line="500" w:lineRule="exact"/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       单位：元/千瓦时（含税）</w:t>
      </w:r>
    </w:p>
    <w:tbl>
      <w:tblPr>
        <w:tblStyle w:val="3"/>
        <w:tblW w:w="939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4846"/>
        <w:gridCol w:w="1622"/>
        <w:gridCol w:w="2202"/>
      </w:tblGrid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机组名称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上网电价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其中：超低排放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国电浙江北仑第一发电有限公司（1-2号）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浙江浙能北仑发电有限公司（3-5号）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国电浙江北仑第三发电有限公司（6-7号）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华能国际电力股份有限公司玉环电厂（1-4号）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浙江大唐乌沙山发电有限责任公司（1-4号）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浙江国华浙能发电有限公司（1-6号）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浙江浙能乐清发电有限责任公司（1-4号）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浙江浙能兰溪发电有限责任公司（1-4号）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浙江浙能嘉兴发电有限公司（1-2号）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0.446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浙江嘉华发电有限责任公司(3-6号)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0.4122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浙江嘉华发电有限责任公司(7-8号)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浙江浙能长兴发电有限公司(1-2号)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0.4322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浙江浙能长兴发电有限公司(3-4号)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浙江浙能镇海发电有限责任公司（3-6号）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0.3982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台州发电厂(7-8号)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0.4217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台州发电厂（9-10号）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0.4177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浙江浙能温州发电有限公司(5-8号)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浙江温州特鲁莱发电有限责任公司(核价利用小时内）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0.4495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浙江温州特鲁莱发电有限责任公司(超5500小时)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0.3685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台塑集团热电（宁波）有限公司(1-3号)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神华国华(舟山)发电有限责任公司(2号)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0.4067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神华国华(舟山)发电有限责任公司(3-4号)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0.4107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浙能滨海热电有限公司(1-2号)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浙能滨海热电有限公司(3-6号)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0.4232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0.005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华能国际电力股份有限公司长兴电厂(1-2号)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0.4282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浙能中煤舟山煤电有限公司(1-2号)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浙能台州第二发电有限公司(1-2号)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  <w:tr>
        <w:tblPrEx>
          <w:tblLayout w:type="fixed"/>
        </w:tblPrEx>
        <w:trPr>
          <w:trHeight w:val="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华润电力（温州）有限公司(1-2号)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0.4082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0.01</w:t>
            </w:r>
          </w:p>
        </w:tc>
      </w:tr>
    </w:tbl>
    <w:p>
      <w:pPr>
        <w:snapToGrid w:val="0"/>
        <w:spacing w:beforeLines="0" w:afterLines="0" w:line="44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备注：</w:t>
      </w:r>
    </w:p>
    <w:p>
      <w:pPr>
        <w:numPr>
          <w:ilvl w:val="0"/>
          <w:numId w:val="0"/>
        </w:numPr>
        <w:snapToGrid w:val="0"/>
        <w:spacing w:beforeLines="0" w:afterLines="0"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</w:rPr>
        <w:t>上述电价为含税电价，各发电企业与电网公司结算的不含税电价，按上述电价除以1.13四舍五入小数点后保留四位数字确定。</w:t>
      </w:r>
    </w:p>
    <w:p>
      <w:pPr>
        <w:numPr>
          <w:ilvl w:val="0"/>
          <w:numId w:val="0"/>
        </w:numPr>
        <w:snapToGrid w:val="0"/>
        <w:spacing w:beforeLines="0" w:afterLines="0" w:line="440" w:lineRule="exact"/>
        <w:ind w:firstLine="480" w:firstLineChars="2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</w:rPr>
        <w:t>明确环保电价政策，上网电价中包含脱硫、脱硝、除尘电价和超低排放电价，其中超低排放电价结算方式继续按照国家发展改革委、环境保护部、国家能源局《关于实行燃煤电厂超低排放电价支持政策有关问题的通知》（发改价格〔2015〕2835号）规定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E67F4"/>
    <w:rsid w:val="DB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2021-12-15T16:21:00Z</dcterms:created>
  <dc:creator>chanvictor</dc:creator>
  <cp:lastModifiedBy>chanvictor</cp:lastModifiedBy>
  <dcterms:modified xsi:type="dcterms:W3CDTF">2021-12-15T16:21:18Z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