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GoBack"/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2021年需求响应指标表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9" w:lineRule="exact"/>
        <w:jc w:val="right"/>
        <w:rPr>
          <w:rFonts w:hint="default" w:ascii="Times New Roman" w:hAnsi="Times New Roman" w:cs="Times New Roman"/>
          <w:color w:val="000000"/>
          <w:sz w:val="20"/>
        </w:rPr>
      </w:pPr>
      <w:r>
        <w:rPr>
          <w:rFonts w:hint="default" w:ascii="Times New Roman" w:hAnsi="Times New Roman" w:cs="Times New Roman"/>
          <w:color w:val="000000"/>
          <w:sz w:val="20"/>
        </w:rPr>
        <w:t>单位：万千瓦</w:t>
      </w:r>
      <w:r>
        <w:rPr>
          <w:rFonts w:hint="eastAsia" w:ascii="Times New Roman" w:hAnsi="Times New Roman" w:cs="Times New Roman"/>
          <w:color w:val="000000"/>
          <w:sz w:val="20"/>
          <w:lang w:val="en-US" w:eastAsia="zh-CN"/>
        </w:rPr>
        <w:t xml:space="preserve">    </w:t>
      </w:r>
    </w:p>
    <w:tbl>
      <w:tblPr>
        <w:tblStyle w:val="6"/>
        <w:tblW w:w="147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1222"/>
        <w:gridCol w:w="2049"/>
        <w:gridCol w:w="2049"/>
        <w:gridCol w:w="2050"/>
        <w:gridCol w:w="2050"/>
        <w:gridCol w:w="2049"/>
        <w:gridCol w:w="2049"/>
      </w:tblGrid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地市</w:t>
            </w:r>
          </w:p>
        </w:tc>
        <w:tc>
          <w:tcPr>
            <w:tcW w:w="6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日前削峰需求响应</w:t>
            </w: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日前填谷需求响应</w:t>
            </w: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秒级（分路负控）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15:00-17:00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18:00-20:00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3:00-5:00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</w:rPr>
              <w:t>11:00-13:30</w:t>
            </w: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186.70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186.24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198.74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18.86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18.86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37.72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182.11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180.84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176.40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18.01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18.01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36.02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嘉兴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114.68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113.81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120.68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11.33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11.33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22.67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湖州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63.07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63.02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66.80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6.23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6.23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12.45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绍兴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89.98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89.53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92.09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9.02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9.02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18.05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金华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90.91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91.98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88.87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9.21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9.21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18.42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温州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111.81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112.58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103.13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11.18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11.18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22.37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台州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79.38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79.97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73.01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8.03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8.03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16.06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衢州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34.67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34.74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35.07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3.47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3.47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6.95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丽水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24.52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25.37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21.94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2.49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2.49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4.98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舟山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22.17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21.93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23.27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4.32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1000.00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1000.00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1000.00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3C4A"/>
    <w:rsid w:val="4246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chanvictor</dc:creator>
  <cp:lastModifiedBy>chanvictor</cp:lastModifiedBy>
  <dcterms:modified xsi:type="dcterms:W3CDTF">2021-06-08T09:35:57Z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