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79" w:lineRule="exact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</w:rPr>
        <w:t>附件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1</w:t>
      </w:r>
    </w:p>
    <w:p>
      <w:pPr>
        <w:spacing w:beforeLines="0" w:afterLines="0" w:line="579" w:lineRule="exact"/>
        <w:rPr>
          <w:rFonts w:hint="default" w:ascii="Times New Roman" w:hAnsi="Times New Roman" w:eastAsia="黑体" w:cs="Times New Roman"/>
          <w:spacing w:val="0"/>
          <w:sz w:val="32"/>
          <w:lang w:eastAsia="zh-CN"/>
        </w:rPr>
      </w:pPr>
    </w:p>
    <w:p>
      <w:pPr>
        <w:snapToGrid w:val="0"/>
        <w:spacing w:before="0" w:beforeLines="0" w:after="0" w:afterLines="0" w:line="579" w:lineRule="exact"/>
        <w:jc w:val="center"/>
        <w:rPr>
          <w:rFonts w:hint="default" w:ascii="Times New Roman" w:hAnsi="Times New Roman" w:eastAsia="方正小标宋简体" w:cs="Times New Roman"/>
          <w:spacing w:val="-7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7"/>
          <w:sz w:val="44"/>
          <w:szCs w:val="44"/>
        </w:rPr>
        <w:t>浙江省电网统调燃煤电厂</w:t>
      </w:r>
      <w:r>
        <w:rPr>
          <w:rFonts w:hint="default" w:ascii="Times New Roman" w:hAnsi="Times New Roman" w:eastAsia="方正小标宋简体" w:cs="Times New Roman"/>
          <w:spacing w:val="-7"/>
          <w:sz w:val="44"/>
          <w:szCs w:val="44"/>
          <w:lang w:eastAsia="zh-CN"/>
        </w:rPr>
        <w:t>上网电</w:t>
      </w:r>
      <w:r>
        <w:rPr>
          <w:rFonts w:hint="default" w:ascii="Times New Roman" w:hAnsi="Times New Roman" w:eastAsia="方正小标宋简体" w:cs="Times New Roman"/>
          <w:spacing w:val="-7"/>
          <w:sz w:val="44"/>
          <w:szCs w:val="44"/>
        </w:rPr>
        <w:t>价表</w:t>
      </w:r>
      <w:r>
        <w:rPr>
          <w:rFonts w:hint="default" w:ascii="Times New Roman" w:hAnsi="Times New Roman" w:eastAsia="方正小标宋简体" w:cs="Times New Roman"/>
          <w:spacing w:val="-7"/>
          <w:sz w:val="44"/>
          <w:szCs w:val="44"/>
          <w:lang w:eastAsia="zh-CN"/>
        </w:rPr>
        <w:t>（一）</w:t>
      </w:r>
    </w:p>
    <w:p>
      <w:pPr>
        <w:snapToGrid w:val="0"/>
        <w:spacing w:before="0" w:beforeLines="0" w:after="0" w:afterLines="0" w:line="579" w:lineRule="exact"/>
        <w:jc w:val="center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（居民、农业和暂不具备市场交易条件的工商业用户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对应的上网电量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）</w:t>
      </w:r>
    </w:p>
    <w:p>
      <w:pPr>
        <w:snapToGrid w:val="0"/>
        <w:spacing w:before="0" w:beforeLines="0" w:after="0" w:afterLines="0" w:line="579" w:lineRule="exact"/>
        <w:jc w:val="center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                  单位：元/千瓦时（含税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）</w:t>
      </w:r>
    </w:p>
    <w:tbl>
      <w:tblPr>
        <w:tblStyle w:val="3"/>
        <w:tblW w:w="842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2"/>
        <w:gridCol w:w="4706"/>
        <w:gridCol w:w="1093"/>
        <w:gridCol w:w="972"/>
        <w:gridCol w:w="972"/>
      </w:tblGrid>
      <w:tr>
        <w:tblPrEx>
          <w:tblLayout w:type="fixed"/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机组名称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基准价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超低排放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国电浙江北仑第一发电有限公司（1-2号）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0.4123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0.4223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浙江浙能北仑发电有限公司（3-5号）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0.4123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0.4223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国电浙江北仑第三发电有限公司（6-7号）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0.4123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0.4223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华能国际电力股份有限公司玉环电厂（1-4号）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0.4123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0.4223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浙江大唐乌沙山发电有限责任公司（1-4号）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0.4123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0.4223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浙江国华浙能发电有限公司（1-6号）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0.4123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0.4223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浙江浙能乐清发电有限责任公司（1-4号）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0.4123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0.4223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浙江浙能兰溪发电有限责任公司（1-4号）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0.4323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0.4423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浙江浙能嘉兴发电有限公司（1-2号）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0.4501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0.4601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浙江嘉华发电有限责任公司(3-6号)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0.4163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0.4263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浙江嘉华发电有限责任公司(7-8号)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0.4123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0.4223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浙江浙能长兴发电有限公司(1-2号)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0.4363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0.4463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浙江浙能长兴发电有限公司(3-4号)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0.4323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0.4423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浙江浙能镇海发电有限责任公司（3-6号）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0.4123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0.4123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台州发电厂(7-8号)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0.4258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0.4358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台州发电厂（9-10号）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0.4218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0.4318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浙江浙能温州发电有限公司(5-8号)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0.4123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0.4223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浙江温州特鲁莱发电有限责任公司(核价利用小时内）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0.4536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0.4636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浙江温州特鲁莱发电有限责任公司(超5500小时)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0.3726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0.3826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台塑集团热电（宁波）有限公司(1-3号)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0.4123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0.4223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神华国华(舟山)发电有限责任公司(2号)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0.4208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0.4208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神华国华(舟山)发电有限责任公司(3-4号)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0.4148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0.4248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浙能滨海热电有限公司(1-2号)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0.4323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0.4423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浙能滨海热电有限公司(3-6号)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0.4323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0.005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0.4373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华能国际电力股份有限公司长兴电厂(1-2号)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0.4323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0.4423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浙能中煤舟山煤电有限公司(1-2号)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0.4123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0.4223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浙能台州第二发电有限公司(1-2号)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0.4123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0.4223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4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华润电力（温州）有限公司(1-2号)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0.4123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0.4223</w:t>
            </w:r>
          </w:p>
        </w:tc>
      </w:tr>
    </w:tbl>
    <w:p>
      <w:pPr>
        <w:snapToGrid w:val="0"/>
        <w:spacing w:beforeLines="0" w:afterLines="0" w:line="440" w:lineRule="exac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备注：</w:t>
      </w:r>
    </w:p>
    <w:p>
      <w:pPr>
        <w:numPr>
          <w:ilvl w:val="0"/>
          <w:numId w:val="0"/>
        </w:numPr>
        <w:snapToGrid w:val="0"/>
        <w:spacing w:beforeLines="0" w:afterLines="0"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上述电价为含税电价，各发电企业与电网公司结算的不含税电价，按上述电价除以1.13四舍五入小数点后保留四位数字确定。</w:t>
      </w:r>
    </w:p>
    <w:p>
      <w:pPr>
        <w:spacing w:beforeLines="0" w:afterLines="0"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2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明确环保电价政策，基准价中包含脱硫、脱硝、除尘电价，不包括超低排放电价，在执行基准价的基础上，继续执行现行超低排放电价政策。</w:t>
      </w:r>
    </w:p>
    <w:p>
      <w:pPr>
        <w:spacing w:beforeLines="0" w:afterLines="0" w:line="440" w:lineRule="exact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KW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DB1A5"/>
    <w:rsid w:val="FFFDB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Office_1.2.0.1574_F1E327BC-269C-435d-A152-05C5408002CA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2021-12-15T16:20:00Z</dcterms:created>
  <dc:creator>chanvictor</dc:creator>
  <cp:lastModifiedBy>chanvictor</cp:lastModifiedBy>
  <dcterms:modified xsi:type="dcterms:W3CDTF">2021-12-15T16:21:31Z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2052-1.2.0.1574</vt:lpwstr>
  </property>
</Properties>
</file>