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643" w:firstLineChars="200"/>
        <w:jc w:val="center"/>
        <w:textAlignment w:val="auto"/>
        <w:outlineLvl w:val="0"/>
        <w:rPr>
          <w:rFonts w:hint="eastAsia" w:asciiTheme="minorEastAsia" w:hAnsiTheme="minorEastAsia" w:eastAsiaTheme="minorEastAsia" w:cstheme="minorEastAsia"/>
          <w:color w:val="000000"/>
          <w:spacing w:val="-6"/>
          <w:kern w:val="0"/>
          <w:sz w:val="21"/>
          <w:szCs w:val="21"/>
        </w:rPr>
      </w:pPr>
      <w:bookmarkStart w:id="2" w:name="_GoBack"/>
      <w:bookmarkEnd w:id="2"/>
      <w:bookmarkStart w:id="0" w:name="_Toc30215"/>
      <w:bookmarkStart w:id="1" w:name="_Toc11365"/>
      <w:r>
        <w:rPr>
          <w:rFonts w:hint="eastAsia" w:asciiTheme="minorEastAsia" w:hAnsiTheme="minorEastAsia" w:eastAsiaTheme="minorEastAsia" w:cstheme="minorEastAsia"/>
          <w:b/>
          <w:bCs/>
          <w:color w:val="000000"/>
          <w:sz w:val="32"/>
          <w:szCs w:val="32"/>
        </w:rPr>
        <w:t>采购需求</w:t>
      </w:r>
      <w:bookmarkEnd w:id="0"/>
      <w:bookmarkEnd w:id="1"/>
    </w:p>
    <w:p>
      <w:pPr>
        <w:spacing w:line="288" w:lineRule="auto"/>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一、为落实政府采购政策需满足的要求</w:t>
      </w:r>
    </w:p>
    <w:tbl>
      <w:tblPr>
        <w:tblStyle w:val="2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76"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政策名称</w:t>
            </w:r>
          </w:p>
        </w:tc>
        <w:tc>
          <w:tcPr>
            <w:tcW w:w="6552"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76"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政府采购促进中小企业发展</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非专门面向中小企业，</w:t>
            </w:r>
            <w:r>
              <w:rPr>
                <w:rFonts w:hint="eastAsia" w:asciiTheme="minorEastAsia" w:hAnsiTheme="minorEastAsia" w:eastAsiaTheme="minorEastAsia" w:cstheme="minorEastAsia"/>
                <w:sz w:val="21"/>
                <w:szCs w:val="21"/>
              </w:rPr>
              <w:t>提供材料详见</w:t>
            </w:r>
            <w:r>
              <w:rPr>
                <w:rFonts w:hint="eastAsia" w:asciiTheme="minorEastAsia" w:hAnsiTheme="minorEastAsia" w:eastAsiaTheme="minorEastAsia" w:cstheme="minorEastAsia"/>
                <w:sz w:val="21"/>
                <w:szCs w:val="21"/>
                <w:lang w:eastAsia="zh-CN"/>
              </w:rPr>
              <w:t>磋商文件</w:t>
            </w:r>
            <w:r>
              <w:rPr>
                <w:rFonts w:hint="eastAsia" w:asciiTheme="minorEastAsia" w:hAnsiTheme="minorEastAsia" w:eastAsiaTheme="minorEastAsia" w:cstheme="minorEastAsia"/>
                <w:sz w:val="21"/>
                <w:szCs w:val="21"/>
              </w:rPr>
              <w:t>第六章“报价文件”</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lang w:eastAsia="zh-CN"/>
              </w:rPr>
              <w:t>对应的中小企业划分标准所属行业：其他未列明行业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76"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政府采购支持监狱企业发展</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视同小微企业，</w:t>
            </w:r>
            <w:r>
              <w:rPr>
                <w:rFonts w:hint="eastAsia" w:asciiTheme="minorEastAsia" w:hAnsiTheme="minorEastAsia" w:eastAsiaTheme="minorEastAsia" w:cstheme="minorEastAsia"/>
                <w:sz w:val="21"/>
                <w:szCs w:val="21"/>
              </w:rPr>
              <w:t>提供材料详见</w:t>
            </w:r>
            <w:r>
              <w:rPr>
                <w:rFonts w:hint="eastAsia" w:asciiTheme="minorEastAsia" w:hAnsiTheme="minorEastAsia" w:eastAsiaTheme="minorEastAsia" w:cstheme="minorEastAsia"/>
                <w:sz w:val="21"/>
                <w:szCs w:val="21"/>
                <w:lang w:eastAsia="zh-CN"/>
              </w:rPr>
              <w:t>磋商文件</w:t>
            </w:r>
            <w:r>
              <w:rPr>
                <w:rFonts w:hint="eastAsia" w:asciiTheme="minorEastAsia" w:hAnsiTheme="minorEastAsia" w:eastAsiaTheme="minorEastAsia" w:cstheme="minorEastAsia"/>
                <w:sz w:val="21"/>
                <w:szCs w:val="21"/>
              </w:rPr>
              <w:t>第六章“报价文件”</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76"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政府采购促进残疾人就业</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视同小微企业，</w:t>
            </w:r>
            <w:r>
              <w:rPr>
                <w:rFonts w:hint="eastAsia" w:asciiTheme="minorEastAsia" w:hAnsiTheme="minorEastAsia" w:eastAsiaTheme="minorEastAsia" w:cstheme="minorEastAsia"/>
                <w:sz w:val="21"/>
                <w:szCs w:val="21"/>
              </w:rPr>
              <w:t>提供材料详见</w:t>
            </w:r>
            <w:r>
              <w:rPr>
                <w:rFonts w:hint="eastAsia" w:asciiTheme="minorEastAsia" w:hAnsiTheme="minorEastAsia" w:eastAsiaTheme="minorEastAsia" w:cstheme="minorEastAsia"/>
                <w:sz w:val="21"/>
                <w:szCs w:val="21"/>
                <w:lang w:eastAsia="zh-CN"/>
              </w:rPr>
              <w:t>磋商文件</w:t>
            </w:r>
            <w:r>
              <w:rPr>
                <w:rFonts w:hint="eastAsia" w:asciiTheme="minorEastAsia" w:hAnsiTheme="minorEastAsia" w:eastAsiaTheme="minorEastAsia" w:cstheme="minorEastAsia"/>
                <w:sz w:val="21"/>
                <w:szCs w:val="21"/>
              </w:rPr>
              <w:t>第六章“报价文件”</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76"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政府强制采购节能产品</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76"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政府优先采购</w:t>
            </w:r>
            <w:r>
              <w:rPr>
                <w:rFonts w:hint="eastAsia" w:asciiTheme="minorEastAsia" w:hAnsiTheme="minorEastAsia" w:eastAsiaTheme="minorEastAsia" w:cstheme="minorEastAsia"/>
                <w:b/>
                <w:bCs/>
                <w:sz w:val="21"/>
                <w:szCs w:val="21"/>
                <w:lang w:val="en-US" w:eastAsia="zh-CN"/>
              </w:rPr>
              <w:t>节能</w:t>
            </w:r>
            <w:r>
              <w:rPr>
                <w:rFonts w:hint="eastAsia" w:asciiTheme="minorEastAsia" w:hAnsiTheme="minorEastAsia" w:eastAsiaTheme="minorEastAsia" w:cstheme="minorEastAsia"/>
                <w:b/>
                <w:bCs/>
                <w:sz w:val="21"/>
                <w:szCs w:val="21"/>
              </w:rPr>
              <w:t>环保产品</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76"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政府采购进口产品</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不适用</w:t>
            </w:r>
          </w:p>
        </w:tc>
      </w:tr>
    </w:tbl>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Theme="minorEastAsia" w:hAnsiTheme="minorEastAsia" w:eastAsiaTheme="minorEastAsia" w:cstheme="minorEastAsia"/>
          <w:b/>
          <w:sz w:val="24"/>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二、采购资金的支付方式、时间、条件</w:t>
      </w:r>
    </w:p>
    <w:tbl>
      <w:tblPr>
        <w:tblStyle w:val="21"/>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9"/>
        <w:gridCol w:w="7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支付方式</w:t>
            </w:r>
          </w:p>
        </w:tc>
        <w:tc>
          <w:tcPr>
            <w:tcW w:w="732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支付时间及条件</w:t>
            </w:r>
          </w:p>
        </w:tc>
        <w:tc>
          <w:tcPr>
            <w:tcW w:w="732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000000"/>
                <w:sz w:val="21"/>
                <w:szCs w:val="21"/>
                <w:highlight w:val="none"/>
                <w:lang w:eastAsia="zh-CN"/>
              </w:rPr>
              <w:t>合同生效以及具备实施条件后15日内采购人向</w:t>
            </w:r>
            <w:r>
              <w:rPr>
                <w:rFonts w:hint="eastAsia" w:ascii="宋体" w:hAnsi="宋体" w:eastAsia="宋体" w:cs="宋体"/>
                <w:color w:val="000000"/>
                <w:sz w:val="21"/>
                <w:szCs w:val="21"/>
                <w:highlight w:val="none"/>
                <w:lang w:val="en-US" w:eastAsia="zh-CN"/>
              </w:rPr>
              <w:t>成交供应商</w:t>
            </w:r>
            <w:r>
              <w:rPr>
                <w:rFonts w:hint="eastAsia" w:ascii="宋体" w:hAnsi="宋体" w:eastAsia="宋体" w:cs="宋体"/>
                <w:color w:val="000000"/>
                <w:sz w:val="21"/>
                <w:szCs w:val="21"/>
                <w:highlight w:val="none"/>
                <w:lang w:eastAsia="zh-CN"/>
              </w:rPr>
              <w:t>支付</w:t>
            </w:r>
            <w:r>
              <w:rPr>
                <w:rFonts w:hint="eastAsia" w:ascii="宋体" w:hAnsi="宋体" w:eastAsia="宋体" w:cs="宋体"/>
                <w:color w:val="000000"/>
                <w:sz w:val="21"/>
                <w:szCs w:val="21"/>
                <w:highlight w:val="none"/>
                <w:lang w:val="en-US" w:eastAsia="zh-CN"/>
              </w:rPr>
              <w:t>合同金额的10%</w:t>
            </w:r>
            <w:r>
              <w:rPr>
                <w:rFonts w:hint="eastAsia" w:ascii="宋体" w:hAnsi="宋体" w:eastAsia="宋体" w:cs="宋体"/>
                <w:color w:val="000000"/>
                <w:sz w:val="21"/>
                <w:szCs w:val="21"/>
                <w:highlight w:val="none"/>
                <w:lang w:eastAsia="zh-CN"/>
              </w:rPr>
              <w:t>（支付条件：</w:t>
            </w:r>
            <w:r>
              <w:rPr>
                <w:rFonts w:hint="eastAsia" w:ascii="宋体" w:hAnsi="宋体" w:eastAsia="宋体" w:cs="宋体"/>
                <w:color w:val="000000"/>
                <w:sz w:val="21"/>
                <w:szCs w:val="21"/>
                <w:highlight w:val="none"/>
                <w:lang w:val="en-US" w:eastAsia="zh-CN"/>
              </w:rPr>
              <w:t>成交供应商</w:t>
            </w:r>
            <w:r>
              <w:rPr>
                <w:rFonts w:hint="eastAsia" w:ascii="宋体" w:hAnsi="宋体" w:eastAsia="宋体" w:cs="宋体"/>
                <w:color w:val="000000"/>
                <w:sz w:val="21"/>
                <w:szCs w:val="21"/>
                <w:highlight w:val="none"/>
                <w:lang w:eastAsia="zh-CN"/>
              </w:rPr>
              <w:t>向采购人提交银行、保险公司等金融机构出具的预付款保函，签订合同时成交供应商明确表示无需预付款或者主动要求降低预付款比例的可不适用前述规定）</w:t>
            </w:r>
            <w:r>
              <w:rPr>
                <w:rFonts w:hint="eastAsia" w:ascii="宋体" w:hAnsi="宋体" w:eastAsia="宋体" w:cs="宋体"/>
                <w:color w:val="000000"/>
                <w:sz w:val="21"/>
                <w:szCs w:val="21"/>
                <w:highlight w:val="none"/>
                <w:lang w:val="en-US" w:eastAsia="zh-CN"/>
              </w:rPr>
              <w:t>作为预付款，服务结束</w:t>
            </w:r>
            <w:r>
              <w:rPr>
                <w:rFonts w:hint="eastAsia" w:ascii="宋体" w:hAnsi="宋体" w:cs="宋体"/>
                <w:b w:val="0"/>
                <w:bCs w:val="0"/>
                <w:color w:val="auto"/>
                <w:sz w:val="21"/>
                <w:szCs w:val="21"/>
                <w:highlight w:val="none"/>
                <w:lang w:val="en-US" w:eastAsia="zh-CN"/>
              </w:rPr>
              <w:t>并经验收合格后支付剩余合同价款</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履约保证金</w:t>
            </w:r>
          </w:p>
        </w:tc>
        <w:tc>
          <w:tcPr>
            <w:tcW w:w="73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1.比例：</w:t>
            </w:r>
            <w:r>
              <w:rPr>
                <w:rFonts w:hint="eastAsia" w:ascii="宋体" w:hAnsi="宋体" w:cs="宋体"/>
                <w:sz w:val="21"/>
                <w:szCs w:val="21"/>
                <w:lang w:val="en-US" w:eastAsia="zh-CN"/>
              </w:rPr>
              <w:t>合同</w:t>
            </w:r>
            <w:r>
              <w:rPr>
                <w:rFonts w:hint="eastAsia" w:ascii="宋体" w:hAnsi="宋体" w:eastAsia="宋体" w:cs="宋体"/>
                <w:sz w:val="21"/>
                <w:szCs w:val="21"/>
                <w:lang w:val="en-US" w:eastAsia="zh-CN"/>
              </w:rPr>
              <w:t>金额的5%；</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2.提交方式：支票、汇票、本票或者金融机构、担保机构出具的保函等非现金形式；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3.提交时间：合同签订后5日内；</w:t>
            </w:r>
          </w:p>
          <w:p>
            <w:pPr>
              <w:rPr>
                <w:rFonts w:hint="eastAsia" w:ascii="宋体" w:hAnsi="宋体" w:cs="宋体"/>
                <w:color w:val="auto"/>
                <w:sz w:val="21"/>
                <w:szCs w:val="21"/>
                <w:lang w:val="en-US" w:eastAsia="zh-CN"/>
              </w:rPr>
            </w:pPr>
            <w:r>
              <w:rPr>
                <w:rFonts w:hint="eastAsia" w:ascii="宋体" w:hAnsi="宋体" w:eastAsia="宋体" w:cs="宋体"/>
                <w:sz w:val="21"/>
                <w:szCs w:val="21"/>
                <w:lang w:val="en-US" w:eastAsia="zh-CN"/>
              </w:rPr>
              <w:t>4.退还时间及条件：</w:t>
            </w:r>
            <w:r>
              <w:rPr>
                <w:rFonts w:hint="eastAsia" w:ascii="宋体" w:hAnsi="宋体" w:cs="宋体"/>
                <w:b w:val="0"/>
                <w:bCs w:val="0"/>
                <w:color w:val="auto"/>
                <w:sz w:val="21"/>
                <w:szCs w:val="21"/>
                <w:highlight w:val="none"/>
                <w:lang w:val="en-US" w:eastAsia="zh-CN"/>
              </w:rPr>
              <w:t>服务结束且无服务质量问题并经验收合格后采购人无息全款退还</w:t>
            </w:r>
            <w:r>
              <w:rPr>
                <w:rFonts w:hint="eastAsia" w:ascii="宋体" w:hAnsi="宋体" w:cs="宋体"/>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三、服务要求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1.需实现的功能或者目标：</w:t>
      </w:r>
      <w:r>
        <w:rPr>
          <w:rFonts w:hint="eastAsia" w:asciiTheme="minorEastAsia" w:hAnsiTheme="minorEastAsia" w:eastAsiaTheme="minorEastAsia" w:cstheme="minorEastAsia"/>
          <w:b w:val="0"/>
          <w:bCs w:val="0"/>
          <w:sz w:val="21"/>
          <w:szCs w:val="21"/>
          <w:lang w:val="en-US" w:eastAsia="zh-CN"/>
        </w:rPr>
        <w:t>使</w:t>
      </w:r>
      <w:r>
        <w:rPr>
          <w:rFonts w:hint="eastAsia" w:asciiTheme="minorEastAsia" w:hAnsiTheme="minorEastAsia" w:eastAsiaTheme="minorEastAsia" w:cstheme="minorEastAsia"/>
          <w:b w:val="0"/>
          <w:bCs w:val="0"/>
          <w:sz w:val="21"/>
          <w:szCs w:val="21"/>
        </w:rPr>
        <w:t>杭州市公共实训基地部分中央空调正常工作，</w:t>
      </w:r>
      <w:r>
        <w:rPr>
          <w:rFonts w:hint="eastAsia" w:asciiTheme="minorEastAsia" w:hAnsiTheme="minorEastAsia" w:eastAsiaTheme="minorEastAsia" w:cstheme="minorEastAsia"/>
          <w:b w:val="0"/>
          <w:bCs w:val="0"/>
          <w:sz w:val="21"/>
          <w:szCs w:val="21"/>
          <w:lang w:val="en-US" w:eastAsia="zh-CN"/>
        </w:rPr>
        <w:t>保障</w:t>
      </w:r>
      <w:r>
        <w:rPr>
          <w:rFonts w:hint="eastAsia" w:asciiTheme="minorEastAsia" w:hAnsiTheme="minorEastAsia" w:eastAsiaTheme="minorEastAsia" w:cstheme="minorEastAsia"/>
          <w:b w:val="0"/>
          <w:bCs w:val="0"/>
          <w:sz w:val="21"/>
          <w:szCs w:val="21"/>
        </w:rPr>
        <w:t>实训正常进行</w:t>
      </w:r>
      <w:r>
        <w:rPr>
          <w:rFonts w:hint="eastAsia" w:asciiTheme="minorEastAsia" w:hAnsiTheme="minorEastAsia" w:eastAsiaTheme="minorEastAsia" w:cstheme="minor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2.需执行的国家相关标准、行业标准、地方标准或者其他标准、规范：</w:t>
      </w:r>
      <w:r>
        <w:rPr>
          <w:rFonts w:hint="eastAsia" w:asciiTheme="minorEastAsia" w:hAnsiTheme="minorEastAsia" w:eastAsiaTheme="minorEastAsia" w:cstheme="minorEastAsia"/>
          <w:b w:val="0"/>
          <w:bCs w:val="0"/>
          <w:sz w:val="21"/>
          <w:szCs w:val="21"/>
        </w:rPr>
        <w:t>有强制性标准的执行国家强制性标准，无的统一执行最新相关标准、规范；</w:t>
      </w:r>
    </w:p>
    <w:p>
      <w:pPr>
        <w:spacing w:line="288"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3.需满足的质量、安全、技术规格、物理特性等要求：</w:t>
      </w:r>
    </w:p>
    <w:p>
      <w:pPr>
        <w:spacing w:line="288"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3.1 服务完成时间：合同签订后30日内</w:t>
      </w:r>
      <w:r>
        <w:rPr>
          <w:rFonts w:hint="eastAsia" w:asciiTheme="minorEastAsia" w:hAnsiTheme="minorEastAsia" w:eastAsiaTheme="minorEastAsia" w:cstheme="minorEastAsia"/>
          <w:b w:val="0"/>
          <w:bCs/>
          <w:color w:val="00000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 服务内容：更换现有40组空调系统（三星）内机主板、内风机水泵、外机压缩机驱动模块、风机驱动模块、外机变频压缩机、外风机电机、外机电磁阀、四通阀等配件。</w:t>
      </w:r>
    </w:p>
    <w:tbl>
      <w:tblPr>
        <w:tblStyle w:val="21"/>
        <w:tblW w:w="9628" w:type="dxa"/>
        <w:jc w:val="center"/>
        <w:tblInd w:w="0" w:type="dxa"/>
        <w:shd w:val="clear" w:color="auto" w:fill="auto"/>
        <w:tblLayout w:type="fixed"/>
        <w:tblCellMar>
          <w:top w:w="0" w:type="dxa"/>
          <w:left w:w="108" w:type="dxa"/>
          <w:bottom w:w="0" w:type="dxa"/>
          <w:right w:w="108" w:type="dxa"/>
        </w:tblCellMar>
      </w:tblPr>
      <w:tblGrid>
        <w:gridCol w:w="679"/>
        <w:gridCol w:w="1710"/>
        <w:gridCol w:w="2820"/>
        <w:gridCol w:w="820"/>
        <w:gridCol w:w="860"/>
        <w:gridCol w:w="2739"/>
      </w:tblGrid>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检测原因</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参数型号</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变频压缩机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压缩机线圈老化</w:t>
            </w:r>
          </w:p>
          <w:p>
            <w:p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电流过大</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过热保护</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ZP83KCE-TFD-496</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室外风机模块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环境时间过长</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电阻</w:t>
            </w:r>
            <w:r>
              <w:rPr>
                <w:rFonts w:hint="eastAsia" w:ascii="宋体" w:hAnsi="宋体" w:cs="宋体"/>
                <w:sz w:val="21"/>
                <w:szCs w:val="21"/>
                <w:lang w:eastAsia="zh-CN"/>
              </w:rPr>
              <w:t>、</w:t>
            </w:r>
            <w:r>
              <w:rPr>
                <w:rFonts w:hint="eastAsia" w:ascii="宋体" w:hAnsi="宋体" w:eastAsia="宋体" w:cs="宋体"/>
                <w:sz w:val="21"/>
                <w:szCs w:val="21"/>
              </w:rPr>
              <w:t>电容氧化腐烂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DB93-05947A</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外机主板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环境时间过长</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电阻</w:t>
            </w:r>
            <w:r>
              <w:rPr>
                <w:rFonts w:hint="eastAsia" w:ascii="宋体" w:hAnsi="宋体" w:cs="宋体"/>
                <w:sz w:val="21"/>
                <w:szCs w:val="21"/>
                <w:lang w:eastAsia="zh-CN"/>
              </w:rPr>
              <w:t>、</w:t>
            </w:r>
            <w:r>
              <w:rPr>
                <w:rFonts w:hint="eastAsia" w:ascii="宋体" w:hAnsi="宋体" w:eastAsia="宋体" w:cs="宋体"/>
                <w:sz w:val="21"/>
                <w:szCs w:val="21"/>
              </w:rPr>
              <w:t>电容氧化腐烂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06DB9309393EBNBJD870010</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电子膨胀阀线圈</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环境时间过长</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线圈老化短路</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86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DC12V090612</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压缩机模块板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电子元件氧化</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电容容量减少</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DB93-13461A</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铜管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破裂</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环境腐蚀铜管砂眼</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135</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Φ31.8</w:t>
            </w:r>
            <w:r>
              <w:rPr>
                <w:rFonts w:hint="eastAsia" w:ascii="宋体" w:hAnsi="宋体" w:eastAsia="宋体" w:cs="宋体"/>
                <w:sz w:val="21"/>
                <w:szCs w:val="21"/>
                <w:lang w:eastAsia="zh-CN"/>
              </w:rPr>
              <w:t>、</w:t>
            </w:r>
            <w:r>
              <w:rPr>
                <w:rFonts w:hint="eastAsia" w:ascii="宋体" w:hAnsi="宋体" w:eastAsia="宋体" w:cs="宋体"/>
                <w:sz w:val="21"/>
                <w:szCs w:val="21"/>
              </w:rPr>
              <w:t>φ16.5</w:t>
            </w:r>
            <w:r>
              <w:rPr>
                <w:rFonts w:hint="eastAsia" w:ascii="宋体" w:hAnsi="宋体" w:eastAsia="宋体" w:cs="宋体"/>
                <w:sz w:val="21"/>
                <w:szCs w:val="21"/>
                <w:lang w:eastAsia="zh-CN"/>
              </w:rPr>
              <w:t>、</w:t>
            </w:r>
            <w:r>
              <w:rPr>
                <w:rFonts w:hint="eastAsia" w:ascii="宋体" w:hAnsi="宋体" w:eastAsia="宋体" w:cs="宋体"/>
                <w:sz w:val="21"/>
                <w:szCs w:val="21"/>
              </w:rPr>
              <w:t>φ9.5</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内机主板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电子元件氧化</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电容容量减少</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B93-08245A</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室外电机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线圈老化</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轴承磨损</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DB31-0033OB</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水泵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rPr>
              <w:t>水盘脏污堵塞水泵线圈短路</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DB31-00649C</w:t>
            </w:r>
          </w:p>
        </w:tc>
      </w:tr>
      <w:tr>
        <w:tblPrEx>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内风机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线圈老化</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轴承磨损</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DB31-00578B</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水管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没有水平走向</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吊杆卡扣断裂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大部分</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25PVC给水管</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线控器</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rPr>
              <w:t>时间过长易损件</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DB98-3</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主电源线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环境时间</w:t>
            </w:r>
            <w:r>
              <w:rPr>
                <w:rFonts w:hint="eastAsia" w:ascii="宋体" w:hAnsi="宋体" w:eastAsia="宋体" w:cs="宋体"/>
                <w:sz w:val="21"/>
                <w:szCs w:val="21"/>
                <w:lang w:val="en-US" w:eastAsia="zh-CN"/>
              </w:rPr>
              <w:t>过长</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保护层脱落裸露铜线易漏电起火</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56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电缆4+1</w:t>
            </w:r>
            <w:r>
              <w:rPr>
                <w:rFonts w:hint="eastAsia" w:ascii="宋体" w:hAnsi="宋体" w:eastAsia="宋体" w:cs="宋体"/>
                <w:sz w:val="21"/>
                <w:szCs w:val="21"/>
                <w:lang w:eastAsia="zh-CN"/>
              </w:rPr>
              <w:t>、</w:t>
            </w:r>
            <w:r>
              <w:rPr>
                <w:rFonts w:hint="eastAsia" w:ascii="宋体" w:hAnsi="宋体" w:eastAsia="宋体" w:cs="宋体"/>
                <w:sz w:val="21"/>
                <w:szCs w:val="21"/>
              </w:rPr>
              <w:t>16平方</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四通阀</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管路脏</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卡换向阀</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SHF-35B-79-05</w:t>
            </w:r>
          </w:p>
        </w:tc>
      </w:tr>
      <w:tr>
        <w:tblPrEx>
          <w:shd w:val="clear" w:color="auto" w:fill="auto"/>
          <w:tblLayout w:type="fixed"/>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环保制冷剂R410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缺少</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系统空气过多</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75</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R410a</w:t>
            </w:r>
          </w:p>
        </w:tc>
      </w:tr>
    </w:tbl>
    <w:p>
      <w:pPr>
        <w:rPr>
          <w:rFonts w:hint="eastAsia"/>
          <w:lang w:val="en-US" w:eastAsia="zh-CN"/>
        </w:rPr>
      </w:pPr>
    </w:p>
    <w:sectPr>
      <w:footerReference r:id="rId3" w:type="default"/>
      <w:pgSz w:w="11906" w:h="16838"/>
      <w:pgMar w:top="1440" w:right="1247" w:bottom="1440" w:left="1247" w:header="340" w:footer="850" w:gutter="0"/>
      <w:pgBorders>
        <w:top w:val="none" w:sz="0" w:space="0"/>
        <w:left w:val="none" w:sz="0" w:space="0"/>
        <w:bottom w:val="none" w:sz="0" w:space="0"/>
        <w:right w:val="none" w:sz="0" w:space="0"/>
      </w:pgBorders>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54E"/>
    <w:rsid w:val="00232BD0"/>
    <w:rsid w:val="00D9493B"/>
    <w:rsid w:val="01BB21B7"/>
    <w:rsid w:val="02474E3D"/>
    <w:rsid w:val="030D0D4A"/>
    <w:rsid w:val="03406698"/>
    <w:rsid w:val="03842BB5"/>
    <w:rsid w:val="03FA217B"/>
    <w:rsid w:val="049941A8"/>
    <w:rsid w:val="04B26C4D"/>
    <w:rsid w:val="05EE6E2D"/>
    <w:rsid w:val="06366F6A"/>
    <w:rsid w:val="06673315"/>
    <w:rsid w:val="06C34027"/>
    <w:rsid w:val="06EF3338"/>
    <w:rsid w:val="06F069D4"/>
    <w:rsid w:val="07604DF6"/>
    <w:rsid w:val="08755CAE"/>
    <w:rsid w:val="08FA24A5"/>
    <w:rsid w:val="092C2DCF"/>
    <w:rsid w:val="09B719E3"/>
    <w:rsid w:val="09E614CD"/>
    <w:rsid w:val="0A3B4C91"/>
    <w:rsid w:val="0AB97283"/>
    <w:rsid w:val="0B8E704A"/>
    <w:rsid w:val="0B8F4589"/>
    <w:rsid w:val="0BAF283D"/>
    <w:rsid w:val="0C495BB0"/>
    <w:rsid w:val="0CA776C5"/>
    <w:rsid w:val="0D515D07"/>
    <w:rsid w:val="0D554E46"/>
    <w:rsid w:val="0DB078EA"/>
    <w:rsid w:val="0E1B40B7"/>
    <w:rsid w:val="0EA85010"/>
    <w:rsid w:val="0F437414"/>
    <w:rsid w:val="0F475A2E"/>
    <w:rsid w:val="0F4B6404"/>
    <w:rsid w:val="100907EA"/>
    <w:rsid w:val="103744F9"/>
    <w:rsid w:val="103B732D"/>
    <w:rsid w:val="105C5E5C"/>
    <w:rsid w:val="10F17ED2"/>
    <w:rsid w:val="120E6A02"/>
    <w:rsid w:val="12226FA7"/>
    <w:rsid w:val="14CC739B"/>
    <w:rsid w:val="153123AA"/>
    <w:rsid w:val="17116ACF"/>
    <w:rsid w:val="171C4A30"/>
    <w:rsid w:val="172937CD"/>
    <w:rsid w:val="17A50062"/>
    <w:rsid w:val="186D1237"/>
    <w:rsid w:val="187F106D"/>
    <w:rsid w:val="18B51852"/>
    <w:rsid w:val="18F12A51"/>
    <w:rsid w:val="190C71B7"/>
    <w:rsid w:val="196B3341"/>
    <w:rsid w:val="19906F9C"/>
    <w:rsid w:val="19CF666D"/>
    <w:rsid w:val="1A296E2A"/>
    <w:rsid w:val="1A5C5A13"/>
    <w:rsid w:val="1AFE0510"/>
    <w:rsid w:val="1C7640AD"/>
    <w:rsid w:val="1CC5468C"/>
    <w:rsid w:val="1D121CEA"/>
    <w:rsid w:val="1D474A75"/>
    <w:rsid w:val="1D4E162E"/>
    <w:rsid w:val="1D8B2DB1"/>
    <w:rsid w:val="1D9E6206"/>
    <w:rsid w:val="1E0D2AA2"/>
    <w:rsid w:val="1EAA04C0"/>
    <w:rsid w:val="1ED80FD8"/>
    <w:rsid w:val="1FCC5AC0"/>
    <w:rsid w:val="2005134B"/>
    <w:rsid w:val="20EB3F3D"/>
    <w:rsid w:val="21140CC8"/>
    <w:rsid w:val="2158265A"/>
    <w:rsid w:val="223F564F"/>
    <w:rsid w:val="22421898"/>
    <w:rsid w:val="2289342F"/>
    <w:rsid w:val="228F368D"/>
    <w:rsid w:val="22A51DB7"/>
    <w:rsid w:val="22BD00C6"/>
    <w:rsid w:val="22FD1219"/>
    <w:rsid w:val="231B47C9"/>
    <w:rsid w:val="23514138"/>
    <w:rsid w:val="237052BB"/>
    <w:rsid w:val="23B32750"/>
    <w:rsid w:val="252B2500"/>
    <w:rsid w:val="253D6635"/>
    <w:rsid w:val="257B014A"/>
    <w:rsid w:val="25C13338"/>
    <w:rsid w:val="26270F53"/>
    <w:rsid w:val="264877BF"/>
    <w:rsid w:val="267E1607"/>
    <w:rsid w:val="26D645CB"/>
    <w:rsid w:val="26D904BD"/>
    <w:rsid w:val="26E60A4A"/>
    <w:rsid w:val="27162099"/>
    <w:rsid w:val="27D60F45"/>
    <w:rsid w:val="285A7899"/>
    <w:rsid w:val="28B97D04"/>
    <w:rsid w:val="28C46BB3"/>
    <w:rsid w:val="29DF694D"/>
    <w:rsid w:val="29E15307"/>
    <w:rsid w:val="29FF7E14"/>
    <w:rsid w:val="2B0D37FF"/>
    <w:rsid w:val="2B1D6FC3"/>
    <w:rsid w:val="2B261770"/>
    <w:rsid w:val="2BA21FA9"/>
    <w:rsid w:val="2BA77F3C"/>
    <w:rsid w:val="2CAD2D28"/>
    <w:rsid w:val="2D5C3528"/>
    <w:rsid w:val="2D84028D"/>
    <w:rsid w:val="2DB112F4"/>
    <w:rsid w:val="2E9B1D1F"/>
    <w:rsid w:val="2ECB3970"/>
    <w:rsid w:val="2F0715C7"/>
    <w:rsid w:val="2F0D7C6F"/>
    <w:rsid w:val="2F1131B1"/>
    <w:rsid w:val="2F6B09E6"/>
    <w:rsid w:val="2FDB00F3"/>
    <w:rsid w:val="30404528"/>
    <w:rsid w:val="30A863FB"/>
    <w:rsid w:val="31330D22"/>
    <w:rsid w:val="31FC5ED2"/>
    <w:rsid w:val="32501AF8"/>
    <w:rsid w:val="329626D9"/>
    <w:rsid w:val="32F729C6"/>
    <w:rsid w:val="33362736"/>
    <w:rsid w:val="33695B4A"/>
    <w:rsid w:val="345A3A1D"/>
    <w:rsid w:val="35425D24"/>
    <w:rsid w:val="35861049"/>
    <w:rsid w:val="35BB60D3"/>
    <w:rsid w:val="35D90AD2"/>
    <w:rsid w:val="35F70AE8"/>
    <w:rsid w:val="372F0FE4"/>
    <w:rsid w:val="384C0883"/>
    <w:rsid w:val="39487A9C"/>
    <w:rsid w:val="395A16B0"/>
    <w:rsid w:val="3988708D"/>
    <w:rsid w:val="399346B6"/>
    <w:rsid w:val="3A5850EB"/>
    <w:rsid w:val="3A6D237B"/>
    <w:rsid w:val="3A8F3A78"/>
    <w:rsid w:val="3E23312E"/>
    <w:rsid w:val="3E310666"/>
    <w:rsid w:val="3FD35FAF"/>
    <w:rsid w:val="401C24A4"/>
    <w:rsid w:val="40297A1F"/>
    <w:rsid w:val="405E5306"/>
    <w:rsid w:val="4101373C"/>
    <w:rsid w:val="416D0D57"/>
    <w:rsid w:val="41CF068E"/>
    <w:rsid w:val="42236A87"/>
    <w:rsid w:val="42303941"/>
    <w:rsid w:val="4283128F"/>
    <w:rsid w:val="42C36AC8"/>
    <w:rsid w:val="4437760B"/>
    <w:rsid w:val="445D2004"/>
    <w:rsid w:val="44696131"/>
    <w:rsid w:val="44770801"/>
    <w:rsid w:val="457F21A2"/>
    <w:rsid w:val="465A16DE"/>
    <w:rsid w:val="46806E17"/>
    <w:rsid w:val="46AD6D21"/>
    <w:rsid w:val="47C94D93"/>
    <w:rsid w:val="484A7DE0"/>
    <w:rsid w:val="48AA36C1"/>
    <w:rsid w:val="48AC1FB2"/>
    <w:rsid w:val="495F6B8B"/>
    <w:rsid w:val="49903C82"/>
    <w:rsid w:val="49CB6B1C"/>
    <w:rsid w:val="4A4C7EF6"/>
    <w:rsid w:val="4A4F58DB"/>
    <w:rsid w:val="4A584BEE"/>
    <w:rsid w:val="4A802635"/>
    <w:rsid w:val="4A882C43"/>
    <w:rsid w:val="4ABF49A4"/>
    <w:rsid w:val="4AE75D00"/>
    <w:rsid w:val="4B883FF7"/>
    <w:rsid w:val="4BD21C8E"/>
    <w:rsid w:val="4C1320F0"/>
    <w:rsid w:val="4CAB245D"/>
    <w:rsid w:val="4CD13EEB"/>
    <w:rsid w:val="4D5C5155"/>
    <w:rsid w:val="4DAC7EBA"/>
    <w:rsid w:val="4DBC4A7B"/>
    <w:rsid w:val="4E1D0D73"/>
    <w:rsid w:val="4E4E532D"/>
    <w:rsid w:val="4EDC7767"/>
    <w:rsid w:val="4F171DE2"/>
    <w:rsid w:val="4F397808"/>
    <w:rsid w:val="4F6D7744"/>
    <w:rsid w:val="4FCD3EFA"/>
    <w:rsid w:val="4FFD4473"/>
    <w:rsid w:val="502D48CB"/>
    <w:rsid w:val="5033151D"/>
    <w:rsid w:val="506C74E9"/>
    <w:rsid w:val="50B70725"/>
    <w:rsid w:val="5200716D"/>
    <w:rsid w:val="52951E19"/>
    <w:rsid w:val="53021540"/>
    <w:rsid w:val="53573A57"/>
    <w:rsid w:val="5377114F"/>
    <w:rsid w:val="53B330BF"/>
    <w:rsid w:val="545F3A65"/>
    <w:rsid w:val="554B3DF4"/>
    <w:rsid w:val="564737A7"/>
    <w:rsid w:val="56E85BB8"/>
    <w:rsid w:val="57064FB4"/>
    <w:rsid w:val="570C701D"/>
    <w:rsid w:val="57164943"/>
    <w:rsid w:val="5738258B"/>
    <w:rsid w:val="581833FA"/>
    <w:rsid w:val="584A0287"/>
    <w:rsid w:val="59554A7C"/>
    <w:rsid w:val="59985DAB"/>
    <w:rsid w:val="59AC6E22"/>
    <w:rsid w:val="5A36647D"/>
    <w:rsid w:val="5A46255F"/>
    <w:rsid w:val="5AA00AB9"/>
    <w:rsid w:val="5AA11159"/>
    <w:rsid w:val="5AEC55BF"/>
    <w:rsid w:val="5B3E762C"/>
    <w:rsid w:val="5BDB2ED9"/>
    <w:rsid w:val="5C8B1F8C"/>
    <w:rsid w:val="5CF152EC"/>
    <w:rsid w:val="5D3C59FB"/>
    <w:rsid w:val="5DCB4BC6"/>
    <w:rsid w:val="5E9323D0"/>
    <w:rsid w:val="5EA028F4"/>
    <w:rsid w:val="5FB20ECC"/>
    <w:rsid w:val="5FD0540B"/>
    <w:rsid w:val="5FDC5243"/>
    <w:rsid w:val="60632B88"/>
    <w:rsid w:val="615E2321"/>
    <w:rsid w:val="61724ACB"/>
    <w:rsid w:val="61FC319B"/>
    <w:rsid w:val="62A135AC"/>
    <w:rsid w:val="62A155DA"/>
    <w:rsid w:val="656011E3"/>
    <w:rsid w:val="658A21A6"/>
    <w:rsid w:val="65AE267C"/>
    <w:rsid w:val="65E243FE"/>
    <w:rsid w:val="66E1054D"/>
    <w:rsid w:val="66EA27C1"/>
    <w:rsid w:val="67291D39"/>
    <w:rsid w:val="677B08B2"/>
    <w:rsid w:val="67EB093A"/>
    <w:rsid w:val="68523AD5"/>
    <w:rsid w:val="68AD43C1"/>
    <w:rsid w:val="690F0B8B"/>
    <w:rsid w:val="69142D8E"/>
    <w:rsid w:val="69150506"/>
    <w:rsid w:val="6A270271"/>
    <w:rsid w:val="6AF25513"/>
    <w:rsid w:val="6B6532F2"/>
    <w:rsid w:val="6BA63910"/>
    <w:rsid w:val="6BC04D56"/>
    <w:rsid w:val="6C6727FF"/>
    <w:rsid w:val="6C9A3E66"/>
    <w:rsid w:val="6CBB548D"/>
    <w:rsid w:val="6CFD5CF7"/>
    <w:rsid w:val="6D617CD0"/>
    <w:rsid w:val="6D8102DF"/>
    <w:rsid w:val="6E0A7D2A"/>
    <w:rsid w:val="6E7E02B1"/>
    <w:rsid w:val="6F6471F7"/>
    <w:rsid w:val="70776DE8"/>
    <w:rsid w:val="707F318B"/>
    <w:rsid w:val="70CD5B37"/>
    <w:rsid w:val="71AC2D4E"/>
    <w:rsid w:val="720908B1"/>
    <w:rsid w:val="7229520A"/>
    <w:rsid w:val="727D025E"/>
    <w:rsid w:val="729E244E"/>
    <w:rsid w:val="72F04D4F"/>
    <w:rsid w:val="731662C5"/>
    <w:rsid w:val="734B4148"/>
    <w:rsid w:val="73855C90"/>
    <w:rsid w:val="739715B9"/>
    <w:rsid w:val="73A45C2E"/>
    <w:rsid w:val="73DF7092"/>
    <w:rsid w:val="73F236D3"/>
    <w:rsid w:val="73F96DF5"/>
    <w:rsid w:val="73FC7D3C"/>
    <w:rsid w:val="748021E9"/>
    <w:rsid w:val="74851A22"/>
    <w:rsid w:val="74907770"/>
    <w:rsid w:val="74FF153D"/>
    <w:rsid w:val="759367D9"/>
    <w:rsid w:val="76303AB9"/>
    <w:rsid w:val="77532254"/>
    <w:rsid w:val="785D7DF2"/>
    <w:rsid w:val="78A85AB7"/>
    <w:rsid w:val="78D53EEC"/>
    <w:rsid w:val="79300D21"/>
    <w:rsid w:val="795F77F5"/>
    <w:rsid w:val="79F20845"/>
    <w:rsid w:val="7AA71E57"/>
    <w:rsid w:val="7B0F3EA7"/>
    <w:rsid w:val="7B41576A"/>
    <w:rsid w:val="7B4B1E21"/>
    <w:rsid w:val="7B4C7093"/>
    <w:rsid w:val="7BAC4FF5"/>
    <w:rsid w:val="7C0C6999"/>
    <w:rsid w:val="7CEB7326"/>
    <w:rsid w:val="7E941E2E"/>
    <w:rsid w:val="7EF051DF"/>
    <w:rsid w:val="7EF50500"/>
    <w:rsid w:val="7FA60DA1"/>
    <w:rsid w:val="7FAD33AA"/>
    <w:rsid w:val="7FD6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semiHidden/>
    <w:unhideWhenUsed/>
    <w:qFormat/>
    <w:uiPriority w:val="0"/>
    <w:pPr>
      <w:keepNext/>
      <w:keepLines/>
      <w:spacing w:line="412" w:lineRule="auto"/>
      <w:outlineLvl w:val="1"/>
    </w:pPr>
    <w:rPr>
      <w:rFonts w:ascii="Arial" w:hAnsi="Arial" w:eastAsia="黑体" w:cs="Arial"/>
      <w:b/>
      <w:bCs/>
      <w:kern w:val="44"/>
      <w:sz w:val="28"/>
      <w:szCs w:val="2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unhideWhenUsed/>
    <w:qFormat/>
    <w:uiPriority w:val="99"/>
    <w:pPr>
      <w:ind w:firstLine="420" w:firstLineChars="100"/>
    </w:pPr>
  </w:style>
  <w:style w:type="paragraph" w:styleId="6">
    <w:name w:val="Body Text"/>
    <w:basedOn w:val="1"/>
    <w:unhideWhenUsed/>
    <w:qFormat/>
    <w:uiPriority w:val="99"/>
    <w:pPr>
      <w:spacing w:after="120"/>
    </w:pPr>
  </w:style>
  <w:style w:type="paragraph" w:styleId="7">
    <w:name w:val="Normal Indent"/>
    <w:basedOn w:val="1"/>
    <w:qFormat/>
    <w:uiPriority w:val="0"/>
    <w:pPr>
      <w:ind w:firstLine="420"/>
    </w:pPr>
    <w:rPr>
      <w:sz w:val="21"/>
      <w:szCs w:val="20"/>
    </w:rPr>
  </w:style>
  <w:style w:type="paragraph" w:styleId="8">
    <w:name w:val="annotation text"/>
    <w:basedOn w:val="1"/>
    <w:qFormat/>
    <w:uiPriority w:val="0"/>
    <w:pPr>
      <w:jc w:val="left"/>
    </w:pPr>
  </w:style>
  <w:style w:type="paragraph" w:styleId="9">
    <w:name w:val="Body Text Indent"/>
    <w:basedOn w:val="1"/>
    <w:next w:val="10"/>
    <w:qFormat/>
    <w:uiPriority w:val="0"/>
    <w:pPr>
      <w:spacing w:line="200" w:lineRule="atLeast"/>
      <w:ind w:firstLine="301"/>
    </w:pPr>
    <w:rPr>
      <w:rFonts w:ascii="宋体" w:hAnsi="Courier New"/>
      <w:spacing w:val="-4"/>
      <w:sz w:val="18"/>
      <w:szCs w:val="20"/>
    </w:rPr>
  </w:style>
  <w:style w:type="paragraph" w:styleId="10">
    <w:name w:val="Body Text First Indent 2"/>
    <w:basedOn w:val="9"/>
    <w:qFormat/>
    <w:uiPriority w:val="0"/>
    <w:pPr>
      <w:ind w:firstLine="420"/>
    </w:pPr>
  </w:style>
  <w:style w:type="paragraph" w:styleId="11">
    <w:name w:val="Plain Text"/>
    <w:basedOn w:val="1"/>
    <w:qFormat/>
    <w:uiPriority w:val="0"/>
    <w:pPr>
      <w:spacing w:before="156" w:beforeLines="50" w:after="156" w:afterLines="50" w:line="400" w:lineRule="atLeast"/>
    </w:pPr>
    <w:rPr>
      <w:rFonts w:ascii="宋体" w:hAnsi="Courier New"/>
      <w:sz w:val="24"/>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character" w:styleId="18">
    <w:name w:val="FollowedHyperlink"/>
    <w:basedOn w:val="16"/>
    <w:qFormat/>
    <w:uiPriority w:val="0"/>
    <w:rPr>
      <w:color w:val="5579A7"/>
      <w:u w:val="none"/>
    </w:rPr>
  </w:style>
  <w:style w:type="character" w:styleId="19">
    <w:name w:val="Hyperlink"/>
    <w:basedOn w:val="16"/>
    <w:qFormat/>
    <w:uiPriority w:val="0"/>
    <w:rPr>
      <w:color w:val="5579A7"/>
      <w:u w:val="none"/>
    </w:rPr>
  </w:style>
  <w:style w:type="character" w:styleId="20">
    <w:name w:val="annotation reference"/>
    <w:basedOn w:val="16"/>
    <w:qFormat/>
    <w:uiPriority w:val="0"/>
    <w:rPr>
      <w:sz w:val="21"/>
      <w:szCs w:val="21"/>
    </w:r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3">
    <w:name w:val="Default"/>
    <w:next w:val="2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4">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默认段落字体 Para Char Char Char Char Char Char Char Char Char1 Char Char Char Char"/>
    <w:basedOn w:val="1"/>
    <w:qFormat/>
    <w:uiPriority w:val="0"/>
    <w:rPr>
      <w:rFonts w:ascii="Tahoma" w:hAnsi="Tahoma"/>
      <w:sz w:val="24"/>
      <w:szCs w:val="20"/>
    </w:rPr>
  </w:style>
  <w:style w:type="character" w:customStyle="1" w:styleId="27">
    <w:name w:val="font01"/>
    <w:qFormat/>
    <w:uiPriority w:val="0"/>
    <w:rPr>
      <w:rFonts w:hint="default" w:ascii="Times New Roman" w:hAnsi="Times New Roman" w:cs="Times New Roman"/>
      <w:color w:val="000000"/>
      <w:sz w:val="18"/>
      <w:szCs w:val="18"/>
      <w:u w:val="none"/>
    </w:rPr>
  </w:style>
  <w:style w:type="paragraph" w:customStyle="1" w:styleId="2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9">
    <w:name w:val="jbox-icon"/>
    <w:basedOn w:val="16"/>
    <w:qFormat/>
    <w:uiPriority w:val="0"/>
  </w:style>
  <w:style w:type="character" w:customStyle="1" w:styleId="30">
    <w:name w:val="jbox-icon-question"/>
    <w:basedOn w:val="16"/>
    <w:qFormat/>
    <w:uiPriority w:val="0"/>
  </w:style>
  <w:style w:type="character" w:customStyle="1" w:styleId="31">
    <w:name w:val="jbox-icon-none"/>
    <w:basedOn w:val="16"/>
    <w:qFormat/>
    <w:uiPriority w:val="0"/>
    <w:rPr>
      <w:vanish/>
    </w:rPr>
  </w:style>
  <w:style w:type="character" w:customStyle="1" w:styleId="32">
    <w:name w:val="jbox-icon-error"/>
    <w:basedOn w:val="16"/>
    <w:qFormat/>
    <w:uiPriority w:val="0"/>
  </w:style>
  <w:style w:type="character" w:customStyle="1" w:styleId="33">
    <w:name w:val="jbox-icon-info"/>
    <w:basedOn w:val="16"/>
    <w:qFormat/>
    <w:uiPriority w:val="0"/>
  </w:style>
  <w:style w:type="character" w:customStyle="1" w:styleId="34">
    <w:name w:val="jbox-icon-success"/>
    <w:basedOn w:val="16"/>
    <w:qFormat/>
    <w:uiPriority w:val="0"/>
  </w:style>
  <w:style w:type="character" w:customStyle="1" w:styleId="35">
    <w:name w:val="jbox-icon-warning"/>
    <w:basedOn w:val="16"/>
    <w:qFormat/>
    <w:uiPriority w:val="0"/>
  </w:style>
  <w:style w:type="character" w:customStyle="1" w:styleId="36">
    <w:name w:val="jbox-icon-loading"/>
    <w:basedOn w:val="16"/>
    <w:qFormat/>
    <w:uiPriority w:val="0"/>
  </w:style>
  <w:style w:type="paragraph" w:customStyle="1" w:styleId="3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rPr>
  </w:style>
  <w:style w:type="paragraph" w:customStyle="1" w:styleId="39">
    <w:name w:val="标题 4_0"/>
    <w:basedOn w:val="40"/>
    <w:next w:val="40"/>
    <w:semiHidden/>
    <w:qFormat/>
    <w:uiPriority w:val="0"/>
    <w:pPr>
      <w:keepNext/>
      <w:keepLines/>
      <w:spacing w:before="280" w:after="290" w:line="374" w:lineRule="auto"/>
      <w:outlineLvl w:val="3"/>
    </w:pPr>
    <w:rPr>
      <w:rFonts w:ascii="Cambria" w:hAnsi="Cambria" w:cs="宋体"/>
      <w:b/>
      <w:bCs/>
      <w:sz w:val="28"/>
      <w:szCs w:val="28"/>
    </w:rPr>
  </w:style>
  <w:style w:type="paragraph" w:customStyle="1" w:styleId="40">
    <w:name w:val="正文_0"/>
    <w:basedOn w:val="1"/>
    <w:qFormat/>
    <w:uiPriority w:val="0"/>
    <w:rPr>
      <w:kern w:val="2"/>
    </w:rPr>
  </w:style>
  <w:style w:type="paragraph" w:customStyle="1" w:styleId="41">
    <w:name w:val="纯文本_0"/>
    <w:basedOn w:val="40"/>
    <w:semiHidden/>
    <w:qFormat/>
    <w:uiPriority w:val="0"/>
    <w:rPr>
      <w:rFonts w:ascii="宋体" w:hAnsi="Courier New" w:cs="宋体"/>
    </w:rPr>
  </w:style>
  <w:style w:type="paragraph" w:customStyle="1" w:styleId="42">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character" w:customStyle="1" w:styleId="43">
    <w:name w:val="next"/>
    <w:basedOn w:val="16"/>
    <w:qFormat/>
    <w:uiPriority w:val="0"/>
    <w:rPr>
      <w:rFonts w:ascii="微软雅黑" w:hAnsi="微软雅黑" w:eastAsia="微软雅黑" w:cs="微软雅黑"/>
      <w:sz w:val="16"/>
      <w:szCs w:val="16"/>
    </w:rPr>
  </w:style>
  <w:style w:type="character" w:customStyle="1" w:styleId="44">
    <w:name w:val="prev"/>
    <w:basedOn w:val="16"/>
    <w:qFormat/>
    <w:uiPriority w:val="0"/>
    <w:rPr>
      <w:rFonts w:hint="eastAsia" w:ascii="微软雅黑" w:hAnsi="微软雅黑" w:eastAsia="微软雅黑" w:cs="微软雅黑"/>
      <w:sz w:val="16"/>
      <w:szCs w:val="16"/>
    </w:rPr>
  </w:style>
  <w:style w:type="character" w:customStyle="1" w:styleId="45">
    <w:name w:val="prev1"/>
    <w:basedOn w:val="16"/>
    <w:qFormat/>
    <w:uiPriority w:val="0"/>
    <w:rPr>
      <w:color w:val="888888"/>
    </w:rPr>
  </w:style>
  <w:style w:type="character" w:customStyle="1" w:styleId="46">
    <w:name w:val="cfdate"/>
    <w:basedOn w:val="16"/>
    <w:qFormat/>
    <w:uiPriority w:val="0"/>
    <w:rPr>
      <w:color w:val="333333"/>
      <w:sz w:val="14"/>
      <w:szCs w:val="14"/>
    </w:rPr>
  </w:style>
  <w:style w:type="character" w:customStyle="1" w:styleId="47">
    <w:name w:val="displayarti"/>
    <w:basedOn w:val="16"/>
    <w:qFormat/>
    <w:uiPriority w:val="0"/>
    <w:rPr>
      <w:color w:val="FFFFFF"/>
      <w:shd w:val="clear" w:fill="A00000"/>
    </w:rPr>
  </w:style>
  <w:style w:type="character" w:customStyle="1" w:styleId="48">
    <w:name w:val="redfilefwwh"/>
    <w:basedOn w:val="16"/>
    <w:qFormat/>
    <w:uiPriority w:val="0"/>
    <w:rPr>
      <w:color w:val="BA2636"/>
      <w:sz w:val="14"/>
      <w:szCs w:val="14"/>
    </w:rPr>
  </w:style>
  <w:style w:type="character" w:customStyle="1" w:styleId="49">
    <w:name w:val="redfilenumber"/>
    <w:basedOn w:val="16"/>
    <w:qFormat/>
    <w:uiPriority w:val="0"/>
    <w:rPr>
      <w:color w:val="BA2636"/>
      <w:sz w:val="14"/>
      <w:szCs w:val="14"/>
    </w:rPr>
  </w:style>
  <w:style w:type="character" w:customStyle="1" w:styleId="50">
    <w:name w:val="gjfg"/>
    <w:basedOn w:val="16"/>
    <w:qFormat/>
    <w:uiPriority w:val="0"/>
  </w:style>
  <w:style w:type="character" w:customStyle="1" w:styleId="51">
    <w:name w:val="qxdate"/>
    <w:basedOn w:val="16"/>
    <w:qFormat/>
    <w:uiPriority w:val="0"/>
    <w:rPr>
      <w:color w:val="333333"/>
      <w:sz w:val="14"/>
      <w:szCs w:val="14"/>
    </w:rPr>
  </w:style>
  <w:style w:type="paragraph" w:customStyle="1" w:styleId="52">
    <w:name w:val="_正文段落"/>
    <w:basedOn w:val="1"/>
    <w:qFormat/>
    <w:uiPriority w:val="0"/>
    <w:pPr>
      <w:spacing w:beforeLines="15" w:afterLines="15" w:line="360" w:lineRule="auto"/>
      <w:ind w:firstLine="200" w:firstLineChars="200"/>
    </w:pPr>
    <w:rPr>
      <w:rFonts w:ascii="Times New Roman" w:hAnsi="Times New Roman" w:eastAsia="宋体" w:cs="Times New Roman"/>
      <w:kern w:val="0"/>
      <w:sz w:val="24"/>
      <w:szCs w:val="24"/>
    </w:rPr>
  </w:style>
  <w:style w:type="paragraph" w:styleId="53">
    <w:name w:val="List Paragraph"/>
    <w:basedOn w:val="1"/>
    <w:qFormat/>
    <w:uiPriority w:val="34"/>
    <w:pPr>
      <w:ind w:firstLine="420" w:firstLineChars="200"/>
    </w:pPr>
  </w:style>
  <w:style w:type="paragraph" w:customStyle="1" w:styleId="54">
    <w:name w:val="**正文"/>
    <w:basedOn w:val="1"/>
    <w:qFormat/>
    <w:uiPriority w:val="0"/>
    <w:pPr>
      <w:spacing w:before="50" w:beforeLines="50" w:line="300" w:lineRule="auto"/>
      <w:ind w:firstLine="200" w:firstLineChars="200"/>
    </w:pPr>
    <w:rPr>
      <w:rFonts w:cs="Times New Roman" w:asciiTheme="minorEastAsia" w:hAnsiTheme="minorEastAsia"/>
      <w:szCs w:val="21"/>
    </w:rPr>
  </w:style>
  <w:style w:type="table" w:customStyle="1" w:styleId="55">
    <w:name w:val="网格型1"/>
    <w:basedOn w:val="2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font81"/>
    <w:basedOn w:val="16"/>
    <w:qFormat/>
    <w:uiPriority w:val="0"/>
    <w:rPr>
      <w:rFonts w:hint="eastAsia" w:ascii="黑体" w:hAnsi="宋体" w:eastAsia="黑体" w:cs="黑体"/>
      <w:b/>
      <w:color w:val="000000"/>
      <w:sz w:val="22"/>
      <w:szCs w:val="22"/>
      <w:u w:val="none"/>
    </w:rPr>
  </w:style>
  <w:style w:type="character" w:customStyle="1" w:styleId="57">
    <w:name w:val="font61"/>
    <w:basedOn w:val="16"/>
    <w:qFormat/>
    <w:uiPriority w:val="0"/>
    <w:rPr>
      <w:rFonts w:hint="default" w:ascii="Tahoma" w:hAnsi="Tahoma" w:eastAsia="Tahoma" w:cs="Tahoma"/>
      <w:color w:val="000000"/>
      <w:sz w:val="22"/>
      <w:szCs w:val="22"/>
      <w:u w:val="none"/>
    </w:rPr>
  </w:style>
  <w:style w:type="character" w:customStyle="1" w:styleId="58">
    <w:name w:val="font51"/>
    <w:basedOn w:val="16"/>
    <w:qFormat/>
    <w:uiPriority w:val="0"/>
    <w:rPr>
      <w:rFonts w:hint="eastAsia" w:ascii="黑体" w:hAnsi="宋体" w:eastAsia="黑体" w:cs="黑体"/>
      <w:color w:val="000000"/>
      <w:sz w:val="22"/>
      <w:szCs w:val="22"/>
      <w:u w:val="none"/>
    </w:rPr>
  </w:style>
  <w:style w:type="paragraph" w:customStyle="1" w:styleId="59">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60">
    <w:name w:val="font71"/>
    <w:basedOn w:val="16"/>
    <w:qFormat/>
    <w:uiPriority w:val="0"/>
    <w:rPr>
      <w:rFonts w:hint="eastAsia" w:ascii="宋体" w:hAnsi="宋体" w:eastAsia="宋体" w:cs="宋体"/>
      <w:color w:val="000000"/>
      <w:sz w:val="22"/>
      <w:szCs w:val="22"/>
      <w:u w:val="none"/>
    </w:rPr>
  </w:style>
  <w:style w:type="character" w:customStyle="1" w:styleId="61">
    <w:name w:val="font31"/>
    <w:basedOn w:val="16"/>
    <w:qFormat/>
    <w:uiPriority w:val="0"/>
    <w:rPr>
      <w:rFonts w:hint="eastAsia" w:ascii="MS PGothic" w:hAnsi="MS PGothic" w:eastAsia="MS PGothic" w:cs="MS PGothic"/>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2020-04-23T02:46:00Z</dcterms:created>
  <dc:creator>lenovo</dc:creator>
  <cp:lastModifiedBy>Administrator</cp:lastModifiedBy>
  <dcterms:modified xsi:type="dcterms:W3CDTF">2021-07-21T06:44:16Z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