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0" w:lineRule="exact"/>
        <w:rPr>
          <w:rFonts w:hint="eastAsia" w:eastAsia="黑体"/>
          <w:color w:val="000000"/>
          <w:sz w:val="32"/>
          <w:szCs w:val="32"/>
        </w:rPr>
      </w:pPr>
      <w:r>
        <w:rPr>
          <w:rFonts w:hint="eastAsia" w:hAnsi="黑体" w:eastAsia="黑体"/>
          <w:color w:val="000000"/>
          <w:sz w:val="32"/>
          <w:szCs w:val="32"/>
        </w:rPr>
        <w:t>附件</w:t>
      </w:r>
      <w:r>
        <w:rPr>
          <w:rFonts w:hint="eastAsia" w:eastAsia="黑体"/>
          <w:color w:val="000000"/>
          <w:sz w:val="32"/>
          <w:szCs w:val="32"/>
        </w:rPr>
        <w:t>2：</w:t>
      </w:r>
    </w:p>
    <w:p>
      <w:pPr>
        <w:spacing w:line="570" w:lineRule="exact"/>
        <w:ind w:firstLine="640" w:firstLineChars="200"/>
        <w:rPr>
          <w:rFonts w:hint="eastAsia" w:eastAsia="黑体"/>
          <w:color w:val="000000"/>
          <w:sz w:val="32"/>
          <w:szCs w:val="32"/>
        </w:rPr>
      </w:pPr>
    </w:p>
    <w:p>
      <w:pPr>
        <w:spacing w:line="570" w:lineRule="exact"/>
        <w:ind w:firstLine="640" w:firstLineChars="200"/>
        <w:rPr>
          <w:rFonts w:hint="eastAsia" w:eastAsia="黑体"/>
          <w:color w:val="000000"/>
          <w:sz w:val="32"/>
          <w:szCs w:val="32"/>
        </w:rPr>
      </w:pPr>
    </w:p>
    <w:p>
      <w:pPr>
        <w:spacing w:line="570" w:lineRule="exact"/>
        <w:jc w:val="center"/>
        <w:rPr>
          <w:rFonts w:hint="eastAsia" w:eastAsia="黑体"/>
          <w:b w:val="0"/>
          <w:bCs w:val="0"/>
          <w:color w:val="000000"/>
          <w:sz w:val="36"/>
          <w:szCs w:val="36"/>
        </w:rPr>
      </w:pPr>
      <w:r>
        <w:rPr>
          <w:rFonts w:eastAsia="方正小标宋简体"/>
          <w:b w:val="0"/>
          <w:bCs w:val="0"/>
          <w:color w:val="000000"/>
          <w:sz w:val="36"/>
          <w:szCs w:val="36"/>
        </w:rPr>
        <w:t>202</w:t>
      </w:r>
      <w:r>
        <w:rPr>
          <w:rFonts w:hint="eastAsia" w:eastAsia="方正小标宋简体"/>
          <w:b w:val="0"/>
          <w:bCs w:val="0"/>
          <w:color w:val="000000"/>
          <w:sz w:val="36"/>
          <w:szCs w:val="36"/>
        </w:rPr>
        <w:t>1</w:t>
      </w:r>
      <w:r>
        <w:rPr>
          <w:rFonts w:eastAsia="方正小标宋简体"/>
          <w:b w:val="0"/>
          <w:bCs w:val="0"/>
          <w:color w:val="000000"/>
          <w:sz w:val="36"/>
          <w:szCs w:val="36"/>
        </w:rPr>
        <w:t>年度</w:t>
      </w:r>
      <w:r>
        <w:rPr>
          <w:rFonts w:hint="eastAsia" w:eastAsia="方正小标宋简体"/>
          <w:b w:val="0"/>
          <w:bCs w:val="0"/>
          <w:color w:val="000000"/>
          <w:sz w:val="36"/>
          <w:szCs w:val="36"/>
          <w:lang w:eastAsia="zh-CN"/>
        </w:rPr>
        <w:t>市属重点国有</w:t>
      </w:r>
      <w:r>
        <w:rPr>
          <w:rFonts w:eastAsia="方正小标宋简体"/>
          <w:b w:val="0"/>
          <w:bCs w:val="0"/>
          <w:color w:val="000000"/>
          <w:sz w:val="36"/>
          <w:szCs w:val="36"/>
        </w:rPr>
        <w:t>企业</w:t>
      </w:r>
      <w:r>
        <w:rPr>
          <w:rFonts w:hint="eastAsia" w:eastAsia="方正小标宋简体"/>
          <w:b w:val="0"/>
          <w:bCs w:val="0"/>
          <w:color w:val="000000"/>
          <w:sz w:val="36"/>
          <w:szCs w:val="36"/>
          <w:lang w:eastAsia="zh-CN"/>
        </w:rPr>
        <w:t>全面</w:t>
      </w:r>
      <w:r>
        <w:rPr>
          <w:rFonts w:eastAsia="方正小标宋简体"/>
          <w:b w:val="0"/>
          <w:bCs w:val="0"/>
          <w:color w:val="000000"/>
          <w:sz w:val="36"/>
          <w:szCs w:val="36"/>
        </w:rPr>
        <w:t>预算报表编制说明</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 xml:space="preserve"> </w:t>
      </w:r>
    </w:p>
    <w:p>
      <w:pPr>
        <w:spacing w:line="570" w:lineRule="exact"/>
        <w:ind w:firstLine="640" w:firstLineChars="200"/>
        <w:rPr>
          <w:rFonts w:hint="eastAsia" w:eastAsia="黑体"/>
          <w:color w:val="000000"/>
          <w:sz w:val="32"/>
          <w:szCs w:val="32"/>
        </w:rPr>
      </w:pPr>
      <w:r>
        <w:rPr>
          <w:rFonts w:hint="eastAsia" w:eastAsia="黑体"/>
          <w:color w:val="000000"/>
          <w:sz w:val="32"/>
          <w:szCs w:val="32"/>
        </w:rPr>
        <w:t>一、编制范围</w:t>
      </w:r>
    </w:p>
    <w:p>
      <w:pPr>
        <w:spacing w:line="570" w:lineRule="exact"/>
        <w:ind w:firstLine="640" w:firstLineChars="200"/>
        <w:rPr>
          <w:rFonts w:hint="eastAsia" w:eastAsia="仿宋_GB2312"/>
          <w:color w:val="auto"/>
          <w:sz w:val="32"/>
          <w:szCs w:val="32"/>
        </w:rPr>
      </w:pPr>
      <w:r>
        <w:rPr>
          <w:rFonts w:hint="eastAsia" w:eastAsia="仿宋_GB2312"/>
          <w:color w:val="000000"/>
          <w:sz w:val="32"/>
          <w:szCs w:val="32"/>
        </w:rPr>
        <w:t>本套报表编制范围包括</w:t>
      </w:r>
      <w:r>
        <w:rPr>
          <w:rFonts w:hint="eastAsia" w:eastAsia="仿宋_GB2312"/>
          <w:color w:val="auto"/>
          <w:sz w:val="32"/>
          <w:szCs w:val="32"/>
          <w:highlight w:val="none"/>
          <w:lang w:eastAsia="zh-CN"/>
        </w:rPr>
        <w:t>市</w:t>
      </w:r>
      <w:r>
        <w:rPr>
          <w:rFonts w:hint="eastAsia" w:eastAsia="仿宋_GB2312"/>
          <w:color w:val="auto"/>
          <w:sz w:val="32"/>
          <w:szCs w:val="32"/>
          <w:highlight w:val="none"/>
        </w:rPr>
        <w:t>属</w:t>
      </w:r>
      <w:r>
        <w:rPr>
          <w:rFonts w:hint="eastAsia" w:eastAsia="仿宋_GB2312"/>
          <w:color w:val="auto"/>
          <w:sz w:val="32"/>
          <w:szCs w:val="32"/>
          <w:highlight w:val="none"/>
          <w:lang w:eastAsia="zh-CN"/>
        </w:rPr>
        <w:t>重点国有</w:t>
      </w:r>
      <w:r>
        <w:rPr>
          <w:rFonts w:hint="eastAsia" w:eastAsia="仿宋_GB2312"/>
          <w:color w:val="auto"/>
          <w:sz w:val="32"/>
          <w:szCs w:val="32"/>
        </w:rPr>
        <w:t>企业及其所控制的全资或控股的子企业（含境外子企业、金融子企业、事业单位、实行法人责任制基建项目等）。</w:t>
      </w:r>
    </w:p>
    <w:p>
      <w:pPr>
        <w:spacing w:line="570" w:lineRule="exact"/>
        <w:ind w:firstLine="640" w:firstLineChars="200"/>
        <w:rPr>
          <w:rFonts w:hint="eastAsia" w:eastAsia="黑体"/>
          <w:color w:val="auto"/>
          <w:sz w:val="32"/>
          <w:szCs w:val="32"/>
        </w:rPr>
      </w:pPr>
      <w:r>
        <w:rPr>
          <w:rFonts w:hint="eastAsia" w:eastAsia="黑体"/>
          <w:color w:val="auto"/>
          <w:sz w:val="32"/>
          <w:szCs w:val="32"/>
        </w:rPr>
        <w:t>二、</w:t>
      </w:r>
      <w:r>
        <w:rPr>
          <w:rFonts w:hint="eastAsia" w:eastAsia="黑体"/>
          <w:color w:val="auto"/>
          <w:sz w:val="32"/>
          <w:szCs w:val="32"/>
          <w:highlight w:val="none"/>
          <w:lang w:eastAsia="zh-CN"/>
        </w:rPr>
        <w:t>填报</w:t>
      </w:r>
      <w:r>
        <w:rPr>
          <w:rFonts w:hint="eastAsia" w:eastAsia="黑体"/>
          <w:color w:val="auto"/>
          <w:sz w:val="32"/>
          <w:szCs w:val="32"/>
        </w:rPr>
        <w:t>级次</w:t>
      </w:r>
    </w:p>
    <w:p>
      <w:pPr>
        <w:spacing w:line="570" w:lineRule="exact"/>
        <w:ind w:firstLine="640" w:firstLineChars="200"/>
        <w:rPr>
          <w:rFonts w:hint="eastAsia" w:eastAsia="仿宋_GB2312"/>
          <w:color w:val="000000"/>
          <w:sz w:val="32"/>
          <w:szCs w:val="32"/>
        </w:rPr>
      </w:pPr>
      <w:r>
        <w:rPr>
          <w:rFonts w:hint="eastAsia" w:eastAsia="仿宋_GB2312"/>
          <w:color w:val="auto"/>
          <w:sz w:val="32"/>
          <w:szCs w:val="32"/>
        </w:rPr>
        <w:t>凡纳入本套报表范围的企业及其二级子企业都应</w:t>
      </w:r>
      <w:r>
        <w:rPr>
          <w:rFonts w:hint="eastAsia" w:eastAsia="仿宋_GB2312"/>
          <w:color w:val="auto"/>
          <w:sz w:val="32"/>
          <w:szCs w:val="32"/>
          <w:highlight w:val="none"/>
          <w:lang w:eastAsia="zh-CN"/>
        </w:rPr>
        <w:t>填报</w:t>
      </w:r>
      <w:r>
        <w:rPr>
          <w:rFonts w:hint="eastAsia" w:eastAsia="仿宋_GB2312"/>
          <w:color w:val="auto"/>
          <w:sz w:val="32"/>
          <w:szCs w:val="32"/>
        </w:rPr>
        <w:t>本</w:t>
      </w:r>
      <w:r>
        <w:rPr>
          <w:rFonts w:hint="eastAsia" w:eastAsia="仿宋_GB2312"/>
          <w:color w:val="000000"/>
          <w:sz w:val="32"/>
          <w:szCs w:val="32"/>
        </w:rPr>
        <w:t>套报表，所属二级以下子企业（除上市公司、金融、类金融企业）并入第二级进行填报。上市公司、金融、类金融企业等重要子企业不论级次均应单独上报预算报表。</w:t>
      </w:r>
    </w:p>
    <w:p>
      <w:pPr>
        <w:spacing w:line="570" w:lineRule="exact"/>
        <w:ind w:firstLine="640" w:firstLineChars="200"/>
        <w:rPr>
          <w:rFonts w:hint="eastAsia" w:eastAsia="黑体"/>
          <w:color w:val="000000"/>
          <w:sz w:val="32"/>
          <w:szCs w:val="32"/>
        </w:rPr>
      </w:pPr>
      <w:r>
        <w:rPr>
          <w:rFonts w:hint="eastAsia" w:eastAsia="黑体"/>
          <w:color w:val="000000"/>
          <w:sz w:val="32"/>
          <w:szCs w:val="32"/>
        </w:rPr>
        <w:t>三、报表组成</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本套报表包括：</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（一）报表封面。</w:t>
      </w:r>
    </w:p>
    <w:p>
      <w:pPr>
        <w:spacing w:line="570" w:lineRule="exact"/>
        <w:ind w:firstLine="640" w:firstLineChars="200"/>
        <w:rPr>
          <w:rFonts w:hint="eastAsia" w:eastAsia="仿宋_GB2312"/>
          <w:sz w:val="32"/>
          <w:szCs w:val="32"/>
        </w:rPr>
      </w:pPr>
      <w:r>
        <w:rPr>
          <w:rFonts w:hint="eastAsia" w:eastAsia="楷体_GB2312"/>
          <w:color w:val="000000"/>
          <w:sz w:val="32"/>
          <w:szCs w:val="32"/>
        </w:rPr>
        <w:t>（二）报表：</w:t>
      </w:r>
      <w:r>
        <w:rPr>
          <w:rFonts w:hint="eastAsia" w:eastAsia="仿宋_GB2312"/>
          <w:color w:val="000000"/>
          <w:sz w:val="32"/>
          <w:szCs w:val="32"/>
        </w:rPr>
        <w:t>主要业务经营预算表（国资企预01表）、主要业务损益预算表（国资企预02表）、对外筹资预算表（</w:t>
      </w:r>
      <w:r>
        <w:rPr>
          <w:rFonts w:hint="eastAsia" w:eastAsia="仿宋_GB2312"/>
          <w:color w:val="000000"/>
          <w:sz w:val="32"/>
          <w:szCs w:val="32"/>
          <w:lang w:eastAsia="zh-CN"/>
        </w:rPr>
        <w:t>国资企预03表</w:t>
      </w:r>
      <w:r>
        <w:rPr>
          <w:rFonts w:hint="eastAsia" w:eastAsia="仿宋_GB2312"/>
          <w:color w:val="000000"/>
          <w:sz w:val="32"/>
          <w:szCs w:val="32"/>
        </w:rPr>
        <w:t>）、成本费用预算表（</w:t>
      </w:r>
      <w:r>
        <w:rPr>
          <w:rFonts w:hint="eastAsia" w:eastAsia="仿宋_GB2312"/>
          <w:color w:val="000000"/>
          <w:sz w:val="32"/>
          <w:szCs w:val="32"/>
          <w:lang w:eastAsia="zh-CN"/>
        </w:rPr>
        <w:t>国资企预04表</w:t>
      </w:r>
      <w:r>
        <w:rPr>
          <w:rFonts w:hint="eastAsia" w:eastAsia="仿宋_GB2312"/>
          <w:color w:val="000000"/>
          <w:sz w:val="32"/>
          <w:szCs w:val="32"/>
        </w:rPr>
        <w:t>）、利润预算表（</w:t>
      </w:r>
      <w:r>
        <w:rPr>
          <w:rFonts w:hint="eastAsia" w:eastAsia="仿宋_GB2312"/>
          <w:color w:val="000000"/>
          <w:sz w:val="32"/>
          <w:szCs w:val="32"/>
          <w:lang w:eastAsia="zh-CN"/>
        </w:rPr>
        <w:t>国资企预05表</w:t>
      </w:r>
      <w:r>
        <w:rPr>
          <w:rFonts w:hint="eastAsia" w:eastAsia="仿宋_GB2312"/>
          <w:color w:val="000000"/>
          <w:sz w:val="32"/>
          <w:szCs w:val="32"/>
        </w:rPr>
        <w:t>）、现金流量预算表（</w:t>
      </w:r>
      <w:r>
        <w:rPr>
          <w:rFonts w:hint="eastAsia" w:eastAsia="仿宋_GB2312"/>
          <w:color w:val="000000"/>
          <w:sz w:val="32"/>
          <w:szCs w:val="32"/>
          <w:lang w:eastAsia="zh-CN"/>
        </w:rPr>
        <w:t>国资企预06表</w:t>
      </w:r>
      <w:r>
        <w:rPr>
          <w:rFonts w:hint="eastAsia" w:eastAsia="仿宋_GB2312"/>
          <w:color w:val="000000"/>
          <w:sz w:val="32"/>
          <w:szCs w:val="32"/>
        </w:rPr>
        <w:t>）、资产负债预算表（</w:t>
      </w:r>
      <w:r>
        <w:rPr>
          <w:rFonts w:hint="eastAsia" w:eastAsia="仿宋_GB2312"/>
          <w:color w:val="000000"/>
          <w:sz w:val="32"/>
          <w:szCs w:val="32"/>
          <w:lang w:eastAsia="zh-CN"/>
        </w:rPr>
        <w:t>国资企预07表</w:t>
      </w:r>
      <w:r>
        <w:rPr>
          <w:rFonts w:hint="eastAsia" w:eastAsia="仿宋_GB2312"/>
          <w:color w:val="000000"/>
          <w:sz w:val="32"/>
          <w:szCs w:val="32"/>
        </w:rPr>
        <w:t>）、对外捐赠支出预算表（</w:t>
      </w:r>
      <w:r>
        <w:rPr>
          <w:rFonts w:hint="eastAsia" w:eastAsia="仿宋_GB2312"/>
          <w:color w:val="000000"/>
          <w:sz w:val="32"/>
          <w:szCs w:val="32"/>
          <w:lang w:eastAsia="zh-CN"/>
        </w:rPr>
        <w:t>国资企预08表</w:t>
      </w:r>
      <w:r>
        <w:rPr>
          <w:rFonts w:hint="eastAsia" w:eastAsia="仿宋_GB2312"/>
          <w:color w:val="000000"/>
          <w:sz w:val="32"/>
          <w:szCs w:val="32"/>
        </w:rPr>
        <w:t>）、对外担保情况预算表（</w:t>
      </w:r>
      <w:r>
        <w:rPr>
          <w:rFonts w:hint="eastAsia" w:eastAsia="仿宋_GB2312"/>
          <w:color w:val="000000"/>
          <w:sz w:val="32"/>
          <w:szCs w:val="32"/>
          <w:lang w:eastAsia="zh-CN"/>
        </w:rPr>
        <w:t>国资企预09表</w:t>
      </w:r>
      <w:r>
        <w:rPr>
          <w:rFonts w:hint="eastAsia" w:eastAsia="仿宋_GB2312"/>
          <w:color w:val="000000"/>
          <w:sz w:val="32"/>
          <w:szCs w:val="32"/>
        </w:rPr>
        <w:t>）、</w:t>
      </w:r>
      <w:r>
        <w:rPr>
          <w:rFonts w:hint="eastAsia" w:eastAsia="仿宋_GB2312"/>
          <w:sz w:val="32"/>
          <w:szCs w:val="32"/>
        </w:rPr>
        <w:t>2021年度预算调整主要指标表</w:t>
      </w:r>
      <w:r>
        <w:rPr>
          <w:rFonts w:hint="eastAsia" w:eastAsia="仿宋_GB2312"/>
          <w:color w:val="000000"/>
          <w:sz w:val="32"/>
          <w:szCs w:val="32"/>
        </w:rPr>
        <w:t>（</w:t>
      </w:r>
      <w:r>
        <w:rPr>
          <w:rFonts w:hint="eastAsia" w:eastAsia="仿宋_GB2312"/>
          <w:color w:val="000000"/>
          <w:sz w:val="32"/>
          <w:szCs w:val="32"/>
          <w:lang w:eastAsia="zh-CN"/>
        </w:rPr>
        <w:t>国资企预</w:t>
      </w:r>
      <w:r>
        <w:rPr>
          <w:rFonts w:hint="eastAsia" w:eastAsia="仿宋_GB2312"/>
          <w:color w:val="000000"/>
          <w:sz w:val="32"/>
          <w:szCs w:val="32"/>
          <w:lang w:val="en-US" w:eastAsia="zh-CN"/>
        </w:rPr>
        <w:t>10</w:t>
      </w:r>
      <w:r>
        <w:rPr>
          <w:rFonts w:hint="eastAsia" w:eastAsia="仿宋_GB2312"/>
          <w:color w:val="000000"/>
          <w:sz w:val="32"/>
          <w:szCs w:val="32"/>
          <w:lang w:eastAsia="zh-CN"/>
        </w:rPr>
        <w:t>表</w:t>
      </w:r>
      <w:r>
        <w:rPr>
          <w:rFonts w:hint="eastAsia" w:eastAsia="仿宋_GB2312"/>
          <w:color w:val="000000"/>
          <w:sz w:val="32"/>
          <w:szCs w:val="32"/>
        </w:rPr>
        <w:t>）</w:t>
      </w:r>
      <w:r>
        <w:rPr>
          <w:rFonts w:hint="eastAsia" w:eastAsia="仿宋_GB2312"/>
          <w:color w:val="000000"/>
          <w:sz w:val="32"/>
          <w:szCs w:val="32"/>
          <w:lang w:eastAsia="zh-CN"/>
        </w:rPr>
        <w:t>、主要分析指标表</w:t>
      </w:r>
      <w:r>
        <w:rPr>
          <w:rFonts w:hint="eastAsia" w:eastAsia="仿宋_GB2312"/>
          <w:color w:val="000000"/>
          <w:sz w:val="32"/>
          <w:szCs w:val="32"/>
        </w:rPr>
        <w:t>（</w:t>
      </w:r>
      <w:r>
        <w:rPr>
          <w:rFonts w:hint="eastAsia" w:eastAsia="仿宋_GB2312"/>
          <w:color w:val="000000"/>
          <w:sz w:val="32"/>
          <w:szCs w:val="32"/>
          <w:lang w:eastAsia="zh-CN"/>
        </w:rPr>
        <w:t>国资企预</w:t>
      </w:r>
      <w:r>
        <w:rPr>
          <w:rFonts w:hint="eastAsia" w:eastAsia="仿宋_GB2312"/>
          <w:color w:val="000000"/>
          <w:sz w:val="32"/>
          <w:szCs w:val="32"/>
          <w:lang w:val="en-US" w:eastAsia="zh-CN"/>
        </w:rPr>
        <w:t>11</w:t>
      </w:r>
      <w:r>
        <w:rPr>
          <w:rFonts w:hint="eastAsia" w:eastAsia="仿宋_GB2312"/>
          <w:color w:val="000000"/>
          <w:sz w:val="32"/>
          <w:szCs w:val="32"/>
          <w:lang w:eastAsia="zh-CN"/>
        </w:rPr>
        <w:t>表</w:t>
      </w:r>
      <w:r>
        <w:rPr>
          <w:rFonts w:hint="eastAsia" w:eastAsia="仿宋_GB2312"/>
          <w:color w:val="000000"/>
          <w:sz w:val="32"/>
          <w:szCs w:val="32"/>
        </w:rPr>
        <w:t>）</w:t>
      </w:r>
      <w:r>
        <w:rPr>
          <w:rFonts w:hint="eastAsia" w:eastAsia="仿宋_GB2312"/>
          <w:sz w:val="32"/>
          <w:szCs w:val="32"/>
        </w:rPr>
        <w:t>。</w:t>
      </w:r>
    </w:p>
    <w:p>
      <w:pPr>
        <w:spacing w:line="570" w:lineRule="exact"/>
        <w:ind w:firstLine="640" w:firstLineChars="200"/>
        <w:rPr>
          <w:rFonts w:hint="eastAsia" w:eastAsia="黑体"/>
          <w:color w:val="000000"/>
          <w:sz w:val="32"/>
          <w:szCs w:val="32"/>
        </w:rPr>
      </w:pPr>
      <w:r>
        <w:rPr>
          <w:rFonts w:hint="eastAsia" w:eastAsia="黑体"/>
          <w:color w:val="000000"/>
          <w:sz w:val="32"/>
          <w:szCs w:val="32"/>
        </w:rPr>
        <w:t>四、报表封面填制说明</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企业名称：指在工商行政管理部门登记注册的企业全称。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 xml:space="preserve">2. </w:t>
      </w:r>
      <w:r>
        <w:rPr>
          <w:rFonts w:hint="eastAsia" w:eastAsia="仿宋_GB2312"/>
          <w:color w:val="000000"/>
          <w:sz w:val="32"/>
          <w:szCs w:val="32"/>
          <w:lang w:val="en-US" w:eastAsia="zh-CN"/>
        </w:rPr>
        <w:t>法定代表人（实际负责人）</w:t>
      </w:r>
      <w:r>
        <w:rPr>
          <w:rFonts w:hint="eastAsia" w:eastAsia="仿宋_GB2312"/>
          <w:color w:val="000000"/>
          <w:sz w:val="32"/>
          <w:szCs w:val="32"/>
        </w:rPr>
        <w:t>：指在工商行政管理部门登记的法定代表人。凡企业正在更换法定代表人，但尚未办理变更登记手续的，由实际负责人签字盖章。</w:t>
      </w:r>
      <w:bookmarkStart w:id="0" w:name="_GoBack"/>
      <w:bookmarkEnd w:id="0"/>
    </w:p>
    <w:p>
      <w:pPr>
        <w:pStyle w:val="2"/>
        <w:spacing w:line="57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3. 总会计师（或</w:t>
      </w:r>
      <w:r>
        <w:rPr>
          <w:rFonts w:hint="eastAsia" w:ascii="Times New Roman" w:hAnsi="Times New Roman" w:eastAsia="仿宋_GB2312"/>
          <w:color w:val="000000"/>
          <w:sz w:val="32"/>
          <w:szCs w:val="32"/>
          <w:lang w:eastAsia="zh-CN"/>
        </w:rPr>
        <w:t>全面</w:t>
      </w:r>
      <w:r>
        <w:rPr>
          <w:rFonts w:hint="eastAsia" w:ascii="Times New Roman" w:hAnsi="Times New Roman" w:eastAsia="仿宋_GB2312"/>
          <w:color w:val="000000"/>
          <w:sz w:val="32"/>
          <w:szCs w:val="32"/>
        </w:rPr>
        <w:t>预算工作负责人）：指按照干部管理权限通过一定程序被任命（或者聘任）为企业总会计师的高级管理人员。如企业</w:t>
      </w:r>
      <w:r>
        <w:rPr>
          <w:rFonts w:hint="eastAsia" w:ascii="Times New Roman" w:hAnsi="Times New Roman" w:eastAsia="仿宋_GB2312"/>
          <w:color w:val="000000"/>
          <w:sz w:val="32"/>
          <w:szCs w:val="32"/>
          <w:lang w:eastAsia="zh-CN"/>
        </w:rPr>
        <w:t>全面</w:t>
      </w:r>
      <w:r>
        <w:rPr>
          <w:rFonts w:hint="eastAsia" w:ascii="Times New Roman" w:hAnsi="Times New Roman" w:eastAsia="仿宋_GB2312"/>
          <w:color w:val="000000"/>
          <w:sz w:val="32"/>
          <w:szCs w:val="32"/>
        </w:rPr>
        <w:t>预算工作由总会计师以外的其他企业负责人负责，则此项由实际主管</w:t>
      </w:r>
      <w:r>
        <w:rPr>
          <w:rFonts w:hint="eastAsia" w:ascii="Times New Roman" w:hAnsi="Times New Roman" w:eastAsia="仿宋_GB2312"/>
          <w:color w:val="000000"/>
          <w:sz w:val="32"/>
          <w:szCs w:val="32"/>
          <w:lang w:eastAsia="zh-CN"/>
        </w:rPr>
        <w:t>全面</w:t>
      </w:r>
      <w:r>
        <w:rPr>
          <w:rFonts w:hint="eastAsia" w:ascii="Times New Roman" w:hAnsi="Times New Roman" w:eastAsia="仿宋_GB2312"/>
          <w:color w:val="000000"/>
          <w:sz w:val="32"/>
          <w:szCs w:val="32"/>
        </w:rPr>
        <w:t>预算工作的负责人签字盖章。</w:t>
      </w:r>
    </w:p>
    <w:p>
      <w:pPr>
        <w:spacing w:line="570" w:lineRule="exact"/>
        <w:ind w:firstLine="640" w:firstLineChars="200"/>
        <w:rPr>
          <w:rFonts w:hint="eastAsia"/>
          <w:color w:val="000000"/>
          <w:sz w:val="32"/>
          <w:szCs w:val="32"/>
        </w:rPr>
      </w:pPr>
      <w:r>
        <w:rPr>
          <w:rFonts w:hint="eastAsia" w:eastAsia="仿宋_GB2312"/>
          <w:color w:val="000000"/>
          <w:sz w:val="32"/>
          <w:szCs w:val="32"/>
        </w:rPr>
        <w:t>4. 填表人：指具体负责编制报表的工作人员。</w:t>
      </w:r>
    </w:p>
    <w:p>
      <w:pPr>
        <w:spacing w:line="570" w:lineRule="exact"/>
        <w:ind w:firstLine="640" w:firstLineChars="200"/>
        <w:rPr>
          <w:rFonts w:hint="eastAsia" w:eastAsia="黑体"/>
          <w:color w:val="000000"/>
          <w:sz w:val="32"/>
          <w:szCs w:val="32"/>
        </w:rPr>
      </w:pPr>
      <w:r>
        <w:rPr>
          <w:rFonts w:hint="eastAsia" w:eastAsia="黑体"/>
          <w:color w:val="000000"/>
          <w:sz w:val="32"/>
          <w:szCs w:val="32"/>
        </w:rPr>
        <w:t>五、主要业务经营预算表（国资企预01表）</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本表反映企业2021年度主要业务板块的预计生产经营情况。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表内“上年</w:t>
      </w:r>
      <w:r>
        <w:rPr>
          <w:rFonts w:hint="eastAsia" w:eastAsia="仿宋_GB2312"/>
          <w:color w:val="000000"/>
          <w:sz w:val="32"/>
          <w:szCs w:val="32"/>
          <w:lang w:val="en-US" w:eastAsia="zh-CN"/>
        </w:rPr>
        <w:t>实际</w:t>
      </w:r>
      <w:r>
        <w:rPr>
          <w:rFonts w:hint="eastAsia" w:eastAsia="仿宋_GB2312"/>
          <w:color w:val="000000"/>
          <w:sz w:val="32"/>
          <w:szCs w:val="32"/>
        </w:rPr>
        <w:t>数”有关指标根据企业2020年度实际完成生产经营指标分析填列。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表内“本年预算数”有关指标根据企业2020年度实际完成生产经营情况并结合2021年度预计情况填列。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主要业务：按照企业发展战略、年度生产经营计划和内部管理要求确定的主要业务板块分类填列。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指标名称：反映企业各主要业务板块生产经营情况的重点指标，由企业根据不同业务板块的性质特点，挑选能突出反映各业务板块生产经营状况的指标填列。如：水运企业集装箱运输板块，可选择集装箱运输量、单箱运价、运力规模等指标。</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5栏＝（4－3）/3栏×100%。</w:t>
      </w:r>
    </w:p>
    <w:p>
      <w:pPr>
        <w:spacing w:line="570" w:lineRule="exact"/>
        <w:ind w:firstLine="640" w:firstLineChars="200"/>
        <w:rPr>
          <w:rFonts w:hint="eastAsia" w:eastAsia="黑体"/>
          <w:color w:val="000000"/>
          <w:sz w:val="32"/>
          <w:szCs w:val="32"/>
        </w:rPr>
      </w:pPr>
      <w:r>
        <w:rPr>
          <w:rFonts w:hint="eastAsia" w:eastAsia="黑体"/>
          <w:color w:val="000000"/>
          <w:sz w:val="32"/>
          <w:szCs w:val="32"/>
        </w:rPr>
        <w:t>六、主要业务损益预算表（国资企预02表）</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1.本表反映企业2021年度主要业务板块主营业务收入、主营业务成本、毛利及毛利率的预计情况。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2.表内“上年数”有关指标根据企业2020年度财务报表相关指标分析填列。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3.表内“本年预算数”有关指标根据企业2020年度财务报表并结合2021年度预计情况填列。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 xml:space="preserve">主要业务：按照企业发展战略、年度生产经营计划和内部管理要求确定的主要业务板块分类填列。本表填列的主要业务板块应与“主要业务经营预算表”填列一致。 </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highlight w:val="yellow"/>
        </w:rPr>
      </w:pPr>
      <w:r>
        <w:rPr>
          <w:rFonts w:hint="eastAsia" w:eastAsia="仿宋_GB2312"/>
          <w:color w:val="000000"/>
          <w:sz w:val="32"/>
          <w:szCs w:val="32"/>
        </w:rPr>
        <w:t>3栏=（2-1）/1栏×100%；6栏=（5-4）/4栏×100%；7栏＝（1－4）栏；8栏＝（2－5）栏；10栏＝（7/1）栏×100%；11栏＝（8/2）栏×100%；12栏＝（11－10）栏；合计行＝各浮动行之和。</w:t>
      </w:r>
    </w:p>
    <w:p>
      <w:pPr>
        <w:spacing w:line="570" w:lineRule="exact"/>
        <w:ind w:firstLine="640" w:firstLineChars="200"/>
        <w:rPr>
          <w:rFonts w:hint="eastAsia" w:eastAsia="黑体"/>
          <w:color w:val="000000"/>
          <w:sz w:val="32"/>
          <w:szCs w:val="32"/>
        </w:rPr>
      </w:pPr>
      <w:r>
        <w:rPr>
          <w:rFonts w:hint="eastAsia" w:eastAsia="黑体"/>
          <w:color w:val="000000"/>
          <w:sz w:val="32"/>
          <w:szCs w:val="32"/>
          <w:lang w:eastAsia="zh-CN"/>
        </w:rPr>
        <w:t>七</w:t>
      </w:r>
      <w:r>
        <w:rPr>
          <w:rFonts w:hint="eastAsia" w:eastAsia="黑体"/>
          <w:color w:val="000000"/>
          <w:sz w:val="32"/>
          <w:szCs w:val="32"/>
        </w:rPr>
        <w:t>、对外筹资预算表（</w:t>
      </w:r>
      <w:r>
        <w:rPr>
          <w:rFonts w:hint="eastAsia" w:eastAsia="黑体"/>
          <w:color w:val="000000"/>
          <w:sz w:val="32"/>
          <w:szCs w:val="32"/>
          <w:lang w:eastAsia="zh-CN"/>
        </w:rPr>
        <w:t>国资企预03表</w:t>
      </w:r>
      <w:r>
        <w:rPr>
          <w:rFonts w:hint="eastAsia" w:eastAsia="黑体"/>
          <w:color w:val="000000"/>
          <w:sz w:val="32"/>
          <w:szCs w:val="32"/>
        </w:rPr>
        <w:t>）</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本表主要反映企业2021年度对外筹集资金及筹资费用的预算情况。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表内“上年末数”有关指标根据企业2020年度财务报表相关指标分析填列。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表内“本年增加数”、“本年减少数”和“年末预算数”有关指标根据企业2020年度财务报表并结合2021年度预计情况填列。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4. 表内未作解释内容以《企业会计准则》规定为准。</w:t>
      </w:r>
    </w:p>
    <w:p>
      <w:pPr>
        <w:spacing w:line="570" w:lineRule="exact"/>
        <w:ind w:firstLine="640" w:firstLineChars="200"/>
        <w:rPr>
          <w:rFonts w:hint="eastAsia"/>
          <w:color w:val="000000"/>
          <w:sz w:val="32"/>
          <w:szCs w:val="32"/>
        </w:rPr>
      </w:pPr>
      <w:r>
        <w:rPr>
          <w:rFonts w:hint="eastAsia" w:eastAsia="仿宋_GB2312"/>
          <w:color w:val="000000"/>
          <w:sz w:val="32"/>
          <w:szCs w:val="32"/>
        </w:rPr>
        <w:t>5. 编制合并报表的，以合并口径填列。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上年末数：反映企业截至2020年末通过该融资渠道对外筹集资金的余额。</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本年增加数：反映企业2021年通过该融资渠道对外筹集资金的预计发生额，其中长期筹资有关项目本年增加数包括按《企业会计准则》预计计入相关账户余额的利息费用。</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本年减少数：反映企业2021年通过偿还或回购等方式减少的该类对外筹资的预计发生额。</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4. 年末预算数：反映企业截至2021年末预计通过该融资渠道对外筹集资金的余额。</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5. 筹资费用：反映企业2021年度通过该融资渠道筹集资金预计发生的相关费用支出，包括预计的筹资手续费用和当年发生的股息、利息支出等。</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6. 短期债券：反映企业预计通过发行短期融资券或者其他短期债券等方式筹集的资金。</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7. 一年内到期的带息非流动负债：反映企业长期借款、中期票据、应付债券、融资租赁应付款等带息非流动负债将于一年内到期的金额。</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8. 应付债券：反映企业预计通过发行长期债券方式筹集的资金，包括企业债、普通公司债、可转换公司债、中期票据及各类资产证券化债券等。</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9. 融资租赁：反映企业预计通过融资租入固定资产方式筹集的资金，根据“长期应付款”项目分析填列。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10. 其他带息非流动负债：反映除长期借款、应付债券、融资租赁之外的其他带息非流动负债。</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11. 股权筹资：反映企业预计通过发行股票、吸收直接投资及其他股权性筹资方式筹集的资金。</w:t>
      </w:r>
    </w:p>
    <w:p>
      <w:pPr>
        <w:spacing w:line="570" w:lineRule="exact"/>
        <w:ind w:firstLine="640" w:firstLineChars="200"/>
        <w:rPr>
          <w:rFonts w:eastAsia="仿宋_GB2312"/>
          <w:color w:val="000000"/>
          <w:sz w:val="32"/>
          <w:szCs w:val="32"/>
        </w:rPr>
      </w:pPr>
      <w:r>
        <w:rPr>
          <w:rFonts w:hint="eastAsia" w:eastAsia="仿宋_GB2312"/>
          <w:color w:val="000000"/>
          <w:sz w:val="32"/>
          <w:szCs w:val="32"/>
        </w:rPr>
        <w:t>12. 其他筹资：反映除以上情况之外的其他筹资，包括政府无息贷款等。</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行＝（2＋18＋20）行；2行＝（3＋11）行；3行＝(4＋7)行；4行≥（5＋6）行；7行≥（8＋9）行；9行≥10行；11行＝（12＋15＋16＋17）行；12行≥（13＋14）行；18行≥19行；20行=21行+22行；22行≥23行+24行；4栏＝（1＋2－3）栏。</w:t>
      </w:r>
    </w:p>
    <w:p>
      <w:pPr>
        <w:spacing w:line="570" w:lineRule="exact"/>
        <w:ind w:firstLine="640" w:firstLineChars="200"/>
        <w:rPr>
          <w:rFonts w:hint="eastAsia" w:eastAsia="黑体"/>
          <w:color w:val="000000"/>
          <w:sz w:val="32"/>
          <w:szCs w:val="32"/>
        </w:rPr>
      </w:pPr>
      <w:r>
        <w:rPr>
          <w:rFonts w:hint="eastAsia" w:hAnsi="黑体" w:eastAsia="黑体"/>
          <w:color w:val="000000"/>
          <w:sz w:val="32"/>
          <w:szCs w:val="32"/>
          <w:lang w:eastAsia="zh-CN"/>
        </w:rPr>
        <w:t>八</w:t>
      </w:r>
      <w:r>
        <w:rPr>
          <w:rFonts w:hint="eastAsia" w:hAnsi="黑体" w:eastAsia="黑体"/>
          <w:color w:val="000000"/>
          <w:sz w:val="32"/>
          <w:szCs w:val="32"/>
        </w:rPr>
        <w:t>、成本费用预算表（</w:t>
      </w:r>
      <w:r>
        <w:rPr>
          <w:rFonts w:hint="eastAsia" w:hAnsi="黑体" w:eastAsia="黑体"/>
          <w:color w:val="000000"/>
          <w:sz w:val="32"/>
          <w:szCs w:val="32"/>
          <w:lang w:eastAsia="zh-CN"/>
        </w:rPr>
        <w:t>国资企预04表</w:t>
      </w:r>
      <w:r>
        <w:rPr>
          <w:rFonts w:hint="eastAsia" w:hAnsi="黑体" w:eastAsia="黑体"/>
          <w:color w:val="000000"/>
          <w:sz w:val="32"/>
          <w:szCs w:val="32"/>
        </w:rPr>
        <w:t>）</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本表主要反映企业2021年度的成本费用、专项支出等预算情况。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表内“上年数”有关指标根据企业2020年度财务报表的指标分析填列。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表内“本年预算数”有关指标根据企业2020年度财务报表并结合2021年度预计情况填列。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4</w:t>
      </w:r>
      <w:r>
        <w:rPr>
          <w:rFonts w:hint="eastAsia" w:eastAsia="仿宋_GB2312"/>
          <w:color w:val="000000"/>
          <w:sz w:val="32"/>
          <w:szCs w:val="32"/>
        </w:rPr>
        <w:t>. 表内未作解释内容以《企业会计准则》规定为准。</w:t>
      </w:r>
    </w:p>
    <w:p>
      <w:pPr>
        <w:spacing w:line="570" w:lineRule="exact"/>
        <w:ind w:firstLine="640" w:firstLineChars="200"/>
        <w:rPr>
          <w:rFonts w:hint="eastAsia"/>
          <w:color w:val="000000"/>
          <w:sz w:val="32"/>
          <w:szCs w:val="32"/>
        </w:rPr>
      </w:pPr>
      <w:r>
        <w:rPr>
          <w:rFonts w:hint="eastAsia" w:eastAsia="仿宋_GB2312"/>
          <w:color w:val="000000"/>
          <w:sz w:val="32"/>
          <w:szCs w:val="32"/>
          <w:lang w:val="en-US" w:eastAsia="zh-CN"/>
        </w:rPr>
        <w:t>5</w:t>
      </w:r>
      <w:r>
        <w:rPr>
          <w:rFonts w:hint="eastAsia" w:eastAsia="仿宋_GB2312"/>
          <w:color w:val="000000"/>
          <w:sz w:val="32"/>
          <w:szCs w:val="32"/>
        </w:rPr>
        <w:t>. 编制合并报表的，以合并口径填列。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eastAsia="仿宋_GB2312"/>
          <w:color w:val="000000"/>
          <w:sz w:val="32"/>
          <w:szCs w:val="32"/>
        </w:rPr>
      </w:pPr>
      <w:r>
        <w:rPr>
          <w:rFonts w:hint="eastAsia" w:eastAsia="仿宋_GB2312"/>
          <w:color w:val="000000"/>
          <w:sz w:val="32"/>
          <w:szCs w:val="32"/>
        </w:rPr>
        <w:t>1. 营业成本：反映企业经营主要业务和其他业务所确认的成本总额。根据“主营业务成本”和“其他业务成本”科目的发生额填列。金融子企业不填列本项目。</w:t>
      </w:r>
    </w:p>
    <w:p>
      <w:pPr>
        <w:spacing w:line="570" w:lineRule="exact"/>
        <w:ind w:firstLine="640" w:firstLineChars="200"/>
        <w:rPr>
          <w:rFonts w:eastAsia="仿宋_GB2312"/>
          <w:color w:val="000000"/>
          <w:sz w:val="32"/>
          <w:szCs w:val="32"/>
        </w:rPr>
      </w:pPr>
      <w:r>
        <w:rPr>
          <w:rFonts w:hint="eastAsia" w:eastAsia="仿宋_GB2312"/>
          <w:color w:val="000000"/>
          <w:sz w:val="32"/>
          <w:szCs w:val="32"/>
        </w:rPr>
        <w:t>2. 折旧费用：反映企业预计年度在成本费用中列支的折旧费用总额。</w:t>
      </w:r>
    </w:p>
    <w:p>
      <w:pPr>
        <w:spacing w:line="570" w:lineRule="exact"/>
        <w:ind w:firstLine="640" w:firstLineChars="200"/>
        <w:rPr>
          <w:rFonts w:hint="eastAsia" w:eastAsia="仿宋_GB2312"/>
          <w:color w:val="000000"/>
          <w:sz w:val="32"/>
          <w:szCs w:val="32"/>
        </w:rPr>
      </w:pPr>
      <w:r>
        <w:rPr>
          <w:rFonts w:eastAsia="仿宋_GB2312"/>
          <w:color w:val="000000"/>
          <w:sz w:val="32"/>
          <w:szCs w:val="32"/>
        </w:rPr>
        <w:t xml:space="preserve">3. </w:t>
      </w:r>
      <w:r>
        <w:rPr>
          <w:rFonts w:hint="eastAsia" w:eastAsia="仿宋_GB2312"/>
          <w:color w:val="000000"/>
          <w:sz w:val="32"/>
          <w:szCs w:val="32"/>
        </w:rPr>
        <w:t>党组织工作经费:按照企业上年度职工工资总额1%的比例安排党组织工作经费，纳入企业管理费用税前列支，其中党员活动经费人均每年不低于300元，并根据经济社会发展状况和职工工资水平逐步提高标准。</w:t>
      </w:r>
    </w:p>
    <w:p>
      <w:pPr>
        <w:spacing w:line="570" w:lineRule="exact"/>
        <w:ind w:firstLine="640" w:firstLineChars="200"/>
        <w:rPr>
          <w:rFonts w:hint="eastAsia" w:eastAsia="仿宋_GB2312"/>
          <w:color w:val="000000"/>
          <w:sz w:val="32"/>
          <w:szCs w:val="32"/>
        </w:rPr>
      </w:pPr>
      <w:r>
        <w:rPr>
          <w:rFonts w:eastAsia="仿宋_GB2312"/>
          <w:color w:val="000000"/>
          <w:sz w:val="32"/>
          <w:szCs w:val="32"/>
        </w:rPr>
        <w:t>4</w:t>
      </w:r>
      <w:r>
        <w:rPr>
          <w:rFonts w:hint="eastAsia" w:eastAsia="仿宋_GB2312"/>
          <w:color w:val="000000"/>
          <w:sz w:val="32"/>
          <w:szCs w:val="32"/>
        </w:rPr>
        <w:t>. 利息支出总额：反映企业预计年度发生的利息支出总额，包括费用化的利息支出和资本化的利息支出。</w:t>
      </w:r>
    </w:p>
    <w:p>
      <w:pPr>
        <w:spacing w:line="570" w:lineRule="exact"/>
        <w:ind w:firstLine="640" w:firstLineChars="200"/>
        <w:rPr>
          <w:rFonts w:hint="eastAsia" w:eastAsia="仿宋_GB2312"/>
          <w:color w:val="000000"/>
          <w:sz w:val="32"/>
          <w:szCs w:val="32"/>
        </w:rPr>
      </w:pPr>
      <w:r>
        <w:rPr>
          <w:rFonts w:eastAsia="仿宋_GB2312"/>
          <w:color w:val="000000"/>
          <w:sz w:val="32"/>
          <w:szCs w:val="32"/>
        </w:rPr>
        <w:t>5</w:t>
      </w:r>
      <w:r>
        <w:rPr>
          <w:rFonts w:hint="eastAsia" w:eastAsia="仿宋_GB2312"/>
          <w:color w:val="000000"/>
          <w:sz w:val="32"/>
          <w:szCs w:val="32"/>
        </w:rPr>
        <w:t>. 差旅费用：反映企业预计年度在成本费用中列支的差旅费用总额。</w:t>
      </w:r>
    </w:p>
    <w:p>
      <w:pPr>
        <w:spacing w:line="570" w:lineRule="exact"/>
        <w:ind w:firstLine="640" w:firstLineChars="200"/>
        <w:rPr>
          <w:rFonts w:hint="eastAsia" w:eastAsia="仿宋_GB2312"/>
          <w:color w:val="000000"/>
          <w:sz w:val="32"/>
          <w:szCs w:val="32"/>
        </w:rPr>
      </w:pPr>
      <w:r>
        <w:rPr>
          <w:rFonts w:eastAsia="仿宋_GB2312"/>
          <w:color w:val="000000"/>
          <w:sz w:val="32"/>
          <w:szCs w:val="32"/>
        </w:rPr>
        <w:t>6</w:t>
      </w:r>
      <w:r>
        <w:rPr>
          <w:rFonts w:hint="eastAsia" w:eastAsia="仿宋_GB2312"/>
          <w:color w:val="000000"/>
          <w:sz w:val="32"/>
          <w:szCs w:val="32"/>
        </w:rPr>
        <w:t>. 节能减排支出：反映企业预计年度用于节约能源，减少废水、废气、废渣等排放的各项支出。</w:t>
      </w:r>
    </w:p>
    <w:p>
      <w:pPr>
        <w:spacing w:line="570" w:lineRule="exact"/>
        <w:ind w:firstLine="640" w:firstLineChars="200"/>
        <w:rPr>
          <w:rFonts w:hint="eastAsia" w:eastAsia="仿宋_GB2312"/>
          <w:color w:val="000000"/>
          <w:sz w:val="32"/>
          <w:szCs w:val="32"/>
        </w:rPr>
      </w:pPr>
      <w:r>
        <w:rPr>
          <w:rFonts w:eastAsia="仿宋_GB2312"/>
          <w:color w:val="000000"/>
          <w:sz w:val="32"/>
          <w:szCs w:val="32"/>
        </w:rPr>
        <w:t>7</w:t>
      </w:r>
      <w:r>
        <w:rPr>
          <w:rFonts w:hint="eastAsia" w:eastAsia="仿宋_GB2312"/>
          <w:color w:val="000000"/>
          <w:sz w:val="32"/>
          <w:szCs w:val="32"/>
        </w:rPr>
        <w:t>. 安全生产支出：反映企业预计年度因完善和改进安全设施建设、安全防护用品配备等发生的各项支出费用。</w:t>
      </w:r>
    </w:p>
    <w:p>
      <w:pPr>
        <w:spacing w:line="570" w:lineRule="exact"/>
        <w:ind w:firstLine="640" w:firstLineChars="200"/>
        <w:rPr>
          <w:rFonts w:hint="eastAsia" w:eastAsia="仿宋_GB2312"/>
          <w:color w:val="000000"/>
          <w:sz w:val="32"/>
          <w:szCs w:val="32"/>
        </w:rPr>
      </w:pPr>
      <w:r>
        <w:rPr>
          <w:rFonts w:eastAsia="仿宋_GB2312"/>
          <w:color w:val="000000"/>
          <w:sz w:val="32"/>
          <w:szCs w:val="32"/>
        </w:rPr>
        <w:t>8</w:t>
      </w:r>
      <w:r>
        <w:rPr>
          <w:rFonts w:hint="eastAsia" w:eastAsia="仿宋_GB2312"/>
          <w:color w:val="000000"/>
          <w:sz w:val="32"/>
          <w:szCs w:val="32"/>
        </w:rPr>
        <w:t>. 科技支出：反映企业预计年度发生的用于科研技术等方面的支出，包括企业自行研究开发费用支出和购买新技术、新设备支出等。</w:t>
      </w:r>
    </w:p>
    <w:p>
      <w:pPr>
        <w:spacing w:line="570" w:lineRule="exact"/>
        <w:ind w:firstLine="640" w:firstLineChars="200"/>
        <w:rPr>
          <w:rFonts w:hint="eastAsia" w:eastAsia="仿宋_GB2312"/>
          <w:color w:val="000000"/>
          <w:sz w:val="32"/>
          <w:szCs w:val="32"/>
        </w:rPr>
      </w:pPr>
      <w:r>
        <w:rPr>
          <w:rFonts w:eastAsia="仿宋_GB2312"/>
          <w:color w:val="000000"/>
          <w:sz w:val="32"/>
          <w:szCs w:val="32"/>
        </w:rPr>
        <w:t>9</w:t>
      </w:r>
      <w:r>
        <w:rPr>
          <w:rFonts w:hint="eastAsia" w:eastAsia="仿宋_GB2312"/>
          <w:color w:val="000000"/>
          <w:sz w:val="32"/>
          <w:szCs w:val="32"/>
        </w:rPr>
        <w:t>. 研发费用：反映计入当期损益的研究开发支出。</w:t>
      </w:r>
    </w:p>
    <w:p>
      <w:pPr>
        <w:spacing w:line="570" w:lineRule="exact"/>
        <w:ind w:firstLine="640" w:firstLineChars="200"/>
        <w:rPr>
          <w:rFonts w:hint="eastAsia" w:eastAsia="仿宋_GB2312"/>
          <w:color w:val="000000"/>
          <w:sz w:val="32"/>
          <w:szCs w:val="32"/>
        </w:rPr>
      </w:pPr>
      <w:r>
        <w:rPr>
          <w:rFonts w:eastAsia="仿宋_GB2312"/>
          <w:color w:val="000000"/>
          <w:sz w:val="32"/>
          <w:szCs w:val="32"/>
        </w:rPr>
        <w:t>10</w:t>
      </w:r>
      <w:r>
        <w:rPr>
          <w:rFonts w:hint="eastAsia" w:eastAsia="仿宋_GB2312"/>
          <w:color w:val="000000"/>
          <w:sz w:val="32"/>
          <w:szCs w:val="32"/>
        </w:rPr>
        <w:t>. 确认为无形资产的开发支出：反映企业预计年度发生的研究开发支出资本化金额，根据“研发支出—资本化支出”科目分析填列。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w:t>
      </w:r>
      <w:r>
        <w:rPr>
          <w:rFonts w:eastAsia="仿宋_GB2312"/>
          <w:color w:val="000000"/>
          <w:sz w:val="32"/>
          <w:szCs w:val="32"/>
        </w:rPr>
        <w:t>1</w:t>
      </w:r>
      <w:r>
        <w:rPr>
          <w:rFonts w:hint="eastAsia" w:eastAsia="仿宋_GB2312"/>
          <w:color w:val="000000"/>
          <w:sz w:val="32"/>
          <w:szCs w:val="32"/>
        </w:rPr>
        <w:t>. 企业自筹金额：反映企业预计年度从“科技支出”中剔除国家纵向拨款以及企业横向之间委托研发来款后的金额。</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w:t>
      </w:r>
      <w:r>
        <w:rPr>
          <w:rFonts w:eastAsia="仿宋_GB2312"/>
          <w:color w:val="000000"/>
          <w:sz w:val="32"/>
          <w:szCs w:val="32"/>
        </w:rPr>
        <w:t>2</w:t>
      </w:r>
      <w:r>
        <w:rPr>
          <w:rFonts w:hint="eastAsia" w:eastAsia="仿宋_GB2312"/>
          <w:color w:val="000000"/>
          <w:sz w:val="32"/>
          <w:szCs w:val="32"/>
        </w:rPr>
        <w:t>. 赞助支出：反映企业预计年度发生的用于非公益性活动的赞助支出。</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w:t>
      </w:r>
      <w:r>
        <w:rPr>
          <w:rFonts w:eastAsia="仿宋_GB2312"/>
          <w:color w:val="000000"/>
          <w:sz w:val="32"/>
          <w:szCs w:val="32"/>
        </w:rPr>
        <w:t>3</w:t>
      </w:r>
      <w:r>
        <w:rPr>
          <w:rFonts w:hint="eastAsia" w:eastAsia="仿宋_GB2312"/>
          <w:color w:val="000000"/>
          <w:sz w:val="32"/>
          <w:szCs w:val="32"/>
        </w:rPr>
        <w:t>. 信息化支出：反映企业预计年度在信息化建设方面的投入。</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14.法治建设支出：反映企业预计年度因开展法治建设、购买法律服务、进行法治宣传教育等法治相关工作而发生的各项支出费用。</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15. 坏账准备：反映应收账款的坏账准备金额，“上年数”和“本年预算数”分别填列期初、期末账面余额数。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16. 存货跌价准备：反映企业存货跌价准备金额，“上年数”和“本年预算数”分别填列期初、期末账面余额数。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行≥2行；4行≥5行；6行=（7+16+23+24）行；7行≥（8+9+10+11+13+14+15）行；11行≥12行；16行≥（17+19+20+21+22+补充1）行；17≥18行；24行≥（25-26+27）行（合理性）；29行=（1+3+4+6+28）行；32行≥25行；36行≥37行；36行≥38行。</w:t>
      </w:r>
    </w:p>
    <w:p>
      <w:pPr>
        <w:spacing w:line="570" w:lineRule="exact"/>
        <w:ind w:firstLine="640" w:firstLineChars="200"/>
        <w:rPr>
          <w:rFonts w:hint="eastAsia" w:eastAsia="黑体"/>
          <w:color w:val="000000"/>
          <w:sz w:val="32"/>
          <w:szCs w:val="32"/>
        </w:rPr>
      </w:pPr>
      <w:r>
        <w:rPr>
          <w:rFonts w:hint="eastAsia" w:eastAsia="黑体"/>
          <w:color w:val="000000"/>
          <w:sz w:val="32"/>
          <w:szCs w:val="32"/>
          <w:lang w:eastAsia="zh-CN"/>
        </w:rPr>
        <w:t>九</w:t>
      </w:r>
      <w:r>
        <w:rPr>
          <w:rFonts w:hint="eastAsia" w:eastAsia="黑体"/>
          <w:color w:val="000000"/>
          <w:sz w:val="32"/>
          <w:szCs w:val="32"/>
        </w:rPr>
        <w:t>、利润预算表（</w:t>
      </w:r>
      <w:r>
        <w:rPr>
          <w:rFonts w:hint="eastAsia" w:eastAsia="黑体"/>
          <w:color w:val="000000"/>
          <w:sz w:val="32"/>
          <w:szCs w:val="32"/>
          <w:lang w:eastAsia="zh-CN"/>
        </w:rPr>
        <w:t>国资企预05表</w:t>
      </w:r>
      <w:r>
        <w:rPr>
          <w:rFonts w:hint="eastAsia" w:eastAsia="黑体"/>
          <w:color w:val="000000"/>
          <w:sz w:val="32"/>
          <w:szCs w:val="32"/>
        </w:rPr>
        <w:t>）</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本表反映企业2021年度预计实现利润（亏损）及应上交国家利润等情况。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表内“上年数”有关指标根据企业2020年度财务报表的指标分析填列。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表内“本年预算数”有关指标根据企业2020年度财务报表并结合2021年度预计情况填列。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4</w:t>
      </w:r>
      <w:r>
        <w:rPr>
          <w:rFonts w:hint="eastAsia" w:eastAsia="仿宋_GB2312"/>
          <w:color w:val="000000"/>
          <w:sz w:val="32"/>
          <w:szCs w:val="32"/>
        </w:rPr>
        <w:t>. 表内“少数股东损益”仅由编制合并预算报表的集团企业填列。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lang w:val="en-US" w:eastAsia="zh-CN"/>
        </w:rPr>
        <w:t>5</w:t>
      </w:r>
      <w:r>
        <w:rPr>
          <w:rFonts w:hint="eastAsia" w:eastAsia="仿宋_GB2312"/>
          <w:color w:val="000000"/>
          <w:sz w:val="32"/>
          <w:szCs w:val="32"/>
        </w:rPr>
        <w:t>. 表内未作解释内容以《企业会计准则》规定为准。</w:t>
      </w:r>
    </w:p>
    <w:p>
      <w:pPr>
        <w:spacing w:line="570" w:lineRule="exact"/>
        <w:ind w:firstLine="640" w:firstLineChars="200"/>
        <w:rPr>
          <w:rFonts w:hint="eastAsia"/>
          <w:color w:val="000000"/>
          <w:sz w:val="32"/>
          <w:szCs w:val="32"/>
        </w:rPr>
      </w:pPr>
      <w:r>
        <w:rPr>
          <w:rFonts w:hint="eastAsia" w:eastAsia="仿宋_GB2312"/>
          <w:color w:val="000000"/>
          <w:sz w:val="32"/>
          <w:szCs w:val="32"/>
          <w:lang w:val="en-US" w:eastAsia="zh-CN"/>
        </w:rPr>
        <w:t>6</w:t>
      </w:r>
      <w:r>
        <w:rPr>
          <w:rFonts w:hint="eastAsia" w:eastAsia="仿宋_GB2312"/>
          <w:color w:val="000000"/>
          <w:sz w:val="32"/>
          <w:szCs w:val="32"/>
        </w:rPr>
        <w:t>. 编制合并报表的，以合并口径填列。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营业总收入：反映企业2021年度销售商品、提供劳务等主要业务和其他业务活动预计产生的收入总额。营业总收入包含金融子企业的收入总额，其中主营业务收入和其他业务收入项目仅反映非金融企业的收入情况（营业总成本填列口径与营业总收入一致）。</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资产减值损失：反映企业年度各项资产预计发生的减值损失。</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其他：仅反映石油石化企业的勘探费用。</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4. 公允价值变动收益：反映企业计入当期损益的资产或者负债预计公允价值变动收益，如为净损失，以“－”号填列。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5. 投资收益：反映企业以各种方式对外投资所取得的预计收益，如为投资损失，以“－”号填列。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6. 提取法定盈余公积金：反映企业按照规定预计提取的法定盈余公积金。</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7. 应上交国家利润（国家股利）：反映企业根据有关国有资本收益管理办法，预计应上交国家的年度利润（国家股利）金额。仅由企业集团总部填列。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1行≥2行；6行≥（7+15+16+17+18+19+20+21+22）行；24行≥25行（合理性）；30行=（1-6+23+24+26+27+28+29）行；33行=（30+31-32）行；35行=（33-34）行；37行=（35-36）行。</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表间公式：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7行=</w:t>
      </w:r>
      <w:r>
        <w:rPr>
          <w:rFonts w:hint="eastAsia" w:eastAsia="仿宋_GB2312"/>
          <w:color w:val="000000"/>
          <w:sz w:val="32"/>
          <w:szCs w:val="32"/>
          <w:lang w:eastAsia="zh-CN"/>
        </w:rPr>
        <w:t>国资企预04表</w:t>
      </w:r>
      <w:r>
        <w:rPr>
          <w:rFonts w:hint="eastAsia" w:eastAsia="仿宋_GB2312"/>
          <w:color w:val="000000"/>
          <w:sz w:val="32"/>
          <w:szCs w:val="32"/>
        </w:rPr>
        <w:t>2行；15行=</w:t>
      </w:r>
      <w:r>
        <w:rPr>
          <w:rFonts w:hint="eastAsia" w:eastAsia="仿宋_GB2312"/>
          <w:color w:val="000000"/>
          <w:sz w:val="32"/>
          <w:szCs w:val="32"/>
          <w:lang w:eastAsia="zh-CN"/>
        </w:rPr>
        <w:t>国资企预04表</w:t>
      </w:r>
      <w:r>
        <w:rPr>
          <w:rFonts w:hint="eastAsia" w:eastAsia="仿宋_GB2312"/>
          <w:color w:val="000000"/>
          <w:sz w:val="32"/>
          <w:szCs w:val="32"/>
        </w:rPr>
        <w:t>4行；16行=</w:t>
      </w:r>
      <w:r>
        <w:rPr>
          <w:rFonts w:hint="eastAsia" w:eastAsia="仿宋_GB2312"/>
          <w:color w:val="000000"/>
          <w:sz w:val="32"/>
          <w:szCs w:val="32"/>
          <w:lang w:eastAsia="zh-CN"/>
        </w:rPr>
        <w:t>国资企预04表</w:t>
      </w:r>
      <w:r>
        <w:rPr>
          <w:rFonts w:hint="eastAsia" w:eastAsia="仿宋_GB2312"/>
          <w:color w:val="000000"/>
          <w:sz w:val="32"/>
          <w:szCs w:val="32"/>
        </w:rPr>
        <w:t>7行；17行=</w:t>
      </w:r>
      <w:r>
        <w:rPr>
          <w:rFonts w:hint="eastAsia" w:eastAsia="仿宋_GB2312"/>
          <w:color w:val="000000"/>
          <w:sz w:val="32"/>
          <w:szCs w:val="32"/>
          <w:lang w:eastAsia="zh-CN"/>
        </w:rPr>
        <w:t>国资企预04表</w:t>
      </w:r>
      <w:r>
        <w:rPr>
          <w:rFonts w:hint="eastAsia" w:eastAsia="仿宋_GB2312"/>
          <w:color w:val="000000"/>
          <w:sz w:val="32"/>
          <w:szCs w:val="32"/>
        </w:rPr>
        <w:t>16行；18行=</w:t>
      </w:r>
      <w:r>
        <w:rPr>
          <w:rFonts w:hint="eastAsia" w:eastAsia="仿宋_GB2312"/>
          <w:color w:val="000000"/>
          <w:sz w:val="32"/>
          <w:szCs w:val="32"/>
          <w:lang w:eastAsia="zh-CN"/>
        </w:rPr>
        <w:t>国资企预04表</w:t>
      </w:r>
      <w:r>
        <w:rPr>
          <w:rFonts w:hint="eastAsia" w:eastAsia="仿宋_GB2312"/>
          <w:color w:val="000000"/>
          <w:sz w:val="32"/>
          <w:szCs w:val="32"/>
        </w:rPr>
        <w:t>23行；19行=</w:t>
      </w:r>
      <w:r>
        <w:rPr>
          <w:rFonts w:hint="eastAsia" w:eastAsia="仿宋_GB2312"/>
          <w:color w:val="000000"/>
          <w:sz w:val="32"/>
          <w:szCs w:val="32"/>
          <w:lang w:eastAsia="zh-CN"/>
        </w:rPr>
        <w:t>国资企预04表</w:t>
      </w:r>
      <w:r>
        <w:rPr>
          <w:rFonts w:hint="eastAsia" w:eastAsia="仿宋_GB2312"/>
          <w:color w:val="000000"/>
          <w:sz w:val="32"/>
          <w:szCs w:val="32"/>
        </w:rPr>
        <w:t>24行；22行=</w:t>
      </w:r>
      <w:r>
        <w:rPr>
          <w:rFonts w:hint="eastAsia" w:eastAsia="仿宋_GB2312"/>
          <w:color w:val="000000"/>
          <w:sz w:val="32"/>
          <w:szCs w:val="32"/>
          <w:lang w:eastAsia="zh-CN"/>
        </w:rPr>
        <w:t>国资企预04表</w:t>
      </w:r>
      <w:r>
        <w:rPr>
          <w:rFonts w:hint="eastAsia" w:eastAsia="仿宋_GB2312"/>
          <w:color w:val="000000"/>
          <w:sz w:val="32"/>
          <w:szCs w:val="32"/>
        </w:rPr>
        <w:t>28行。</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十、现金流量预算表（</w:t>
      </w:r>
      <w:r>
        <w:rPr>
          <w:rFonts w:hint="eastAsia" w:eastAsia="黑体"/>
          <w:color w:val="000000"/>
          <w:sz w:val="32"/>
          <w:szCs w:val="32"/>
          <w:lang w:eastAsia="zh-CN"/>
        </w:rPr>
        <w:t>国资企预06表</w:t>
      </w:r>
      <w:r>
        <w:rPr>
          <w:rFonts w:hint="eastAsia" w:eastAsia="黑体"/>
          <w:color w:val="000000"/>
          <w:sz w:val="32"/>
          <w:szCs w:val="32"/>
        </w:rPr>
        <w:t>）</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（一）编制方法。</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本表反映企业2021年度现金和现金等价物预计流入和流出情况。</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表内“上年数”有关指标根据企业2020年度财务报表的指标分析填列。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表内“本年预算数” 有关指标根据企业2020年度财务报表并结合2021年度预计情况填列。</w:t>
      </w:r>
    </w:p>
    <w:p>
      <w:pPr>
        <w:spacing w:line="570" w:lineRule="exact"/>
        <w:ind w:firstLine="640" w:firstLineChars="200"/>
        <w:rPr>
          <w:rFonts w:hint="eastAsia" w:eastAsia="楷体_GB2312"/>
          <w:color w:val="000000"/>
          <w:sz w:val="32"/>
          <w:szCs w:val="32"/>
        </w:rPr>
      </w:pPr>
      <w:r>
        <w:rPr>
          <w:rFonts w:hint="eastAsia" w:eastAsia="楷体_GB2312"/>
          <w:color w:val="000000"/>
          <w:sz w:val="32"/>
          <w:szCs w:val="32"/>
        </w:rPr>
        <w:t>（二）表内有关指标解释。</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 其他经营活动产生的现金流入：反映除“销售商品、提供劳务收到的现金”外的经营活动产生的现金流入汇总数。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2. 其他经营活动产生的现金流出：反映除“购买商品、接受劳务支付的现金”外的经营活动产生的现金流出汇总数。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3. 其他投资活动产生的现金流入：反映除表上所列项目外的投资活动产生的现金流入汇总数。</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4. 表内未作解释内容以《企业会计准则》规定为准。</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5. 编制合并报表的，以合并口径填列。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4行＝（2＋3）行；7行＝（5＋6）行；8行＝（4－7）行；14行＝（10＋11＋12＋13）行；19行＝（15＋16＋17＋18）行；20行＝（14－19）行；26行＝（22＋23＋24＋25）行；30行＝（27＋28＋29）行；31行＝（26－30）行；33行＝（8＋20＋31＋32）行；35行＝（33＋34）行</w:t>
      </w:r>
      <w:r>
        <w:rPr>
          <w:rFonts w:hint="eastAsia" w:eastAsia="仿宋_GB2312"/>
          <w:color w:val="000000"/>
          <w:sz w:val="32"/>
          <w:szCs w:val="32"/>
          <w:lang w:val="zh-CN"/>
        </w:rPr>
        <w:t>；35行1栏＝34行2栏</w:t>
      </w:r>
      <w:r>
        <w:rPr>
          <w:rFonts w:hint="eastAsia" w:eastAsia="仿宋_GB2312"/>
          <w:color w:val="000000"/>
          <w:sz w:val="32"/>
          <w:szCs w:val="32"/>
        </w:rPr>
        <w:t>。</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一</w:t>
      </w:r>
      <w:r>
        <w:rPr>
          <w:rFonts w:hint="eastAsia" w:eastAsia="黑体"/>
          <w:color w:val="000000"/>
          <w:sz w:val="32"/>
          <w:szCs w:val="32"/>
        </w:rPr>
        <w:t>、资产负债预算表（</w:t>
      </w:r>
      <w:r>
        <w:rPr>
          <w:rFonts w:hint="eastAsia" w:eastAsia="黑体"/>
          <w:color w:val="000000"/>
          <w:sz w:val="32"/>
          <w:szCs w:val="32"/>
          <w:lang w:eastAsia="zh-CN"/>
        </w:rPr>
        <w:t>国资企预07表</w:t>
      </w:r>
      <w:r>
        <w:rPr>
          <w:rFonts w:hint="eastAsia" w:eastAsia="黑体"/>
          <w:color w:val="000000"/>
          <w:sz w:val="32"/>
          <w:szCs w:val="32"/>
        </w:rPr>
        <w:t>）</w:t>
      </w:r>
    </w:p>
    <w:p>
      <w:pPr>
        <w:spacing w:line="570" w:lineRule="exact"/>
        <w:ind w:firstLine="640" w:firstLineChars="200"/>
        <w:rPr>
          <w:rFonts w:hint="eastAsia" w:eastAsia="楷体_GB2312"/>
          <w:sz w:val="32"/>
          <w:szCs w:val="32"/>
        </w:rPr>
      </w:pPr>
      <w:r>
        <w:rPr>
          <w:rFonts w:hint="eastAsia" w:eastAsia="楷体_GB2312"/>
          <w:sz w:val="32"/>
          <w:szCs w:val="32"/>
        </w:rPr>
        <w:t>（一）编制方法。</w:t>
      </w:r>
    </w:p>
    <w:p>
      <w:pPr>
        <w:spacing w:line="570" w:lineRule="exact"/>
        <w:ind w:firstLine="640" w:firstLineChars="200"/>
        <w:rPr>
          <w:rFonts w:hint="eastAsia" w:eastAsia="仿宋_GB2312"/>
          <w:sz w:val="32"/>
          <w:szCs w:val="32"/>
        </w:rPr>
      </w:pPr>
      <w:r>
        <w:rPr>
          <w:rFonts w:hint="eastAsia" w:eastAsia="仿宋_GB2312"/>
          <w:sz w:val="32"/>
          <w:szCs w:val="32"/>
        </w:rPr>
        <w:t>1. 本表反映企业2021年末资产、负债及所有者权益的预算情况。</w:t>
      </w:r>
    </w:p>
    <w:p>
      <w:pPr>
        <w:spacing w:line="570" w:lineRule="exact"/>
        <w:ind w:firstLine="640" w:firstLineChars="200"/>
        <w:rPr>
          <w:rFonts w:hint="eastAsia" w:eastAsia="仿宋_GB2312"/>
          <w:sz w:val="32"/>
          <w:szCs w:val="32"/>
        </w:rPr>
      </w:pPr>
      <w:r>
        <w:rPr>
          <w:rFonts w:hint="eastAsia" w:eastAsia="仿宋_GB2312"/>
          <w:sz w:val="32"/>
          <w:szCs w:val="32"/>
        </w:rPr>
        <w:t>2. 表内“上年数”有关指标根据企业2020年度财务报表分析填列。</w:t>
      </w:r>
    </w:p>
    <w:p>
      <w:pPr>
        <w:spacing w:line="570" w:lineRule="exact"/>
        <w:ind w:firstLine="640" w:firstLineChars="200"/>
        <w:rPr>
          <w:rFonts w:hint="eastAsia" w:eastAsia="仿宋_GB2312"/>
          <w:sz w:val="32"/>
          <w:szCs w:val="32"/>
        </w:rPr>
      </w:pPr>
      <w:r>
        <w:rPr>
          <w:rFonts w:hint="eastAsia" w:eastAsia="仿宋_GB2312"/>
          <w:sz w:val="32"/>
          <w:szCs w:val="32"/>
        </w:rPr>
        <w:t>3. 表内“本年预算数”有关指标根据企业2020年度财务报表并结合2021年度预计情况分析填列。</w:t>
      </w:r>
    </w:p>
    <w:p>
      <w:pPr>
        <w:spacing w:line="57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 表内“少数股东权益”仅由编制合并预算报表的集团企业填列。</w:t>
      </w:r>
    </w:p>
    <w:p>
      <w:pPr>
        <w:spacing w:line="570" w:lineRule="exact"/>
        <w:ind w:firstLine="640" w:firstLineChars="200"/>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 表内未作解释内容以《企业会计准则》规定为准。</w:t>
      </w:r>
    </w:p>
    <w:p>
      <w:pPr>
        <w:spacing w:line="570" w:lineRule="exact"/>
        <w:ind w:firstLine="640" w:firstLineChars="200"/>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 编制合并报表的，以合并口径填列。</w:t>
      </w:r>
    </w:p>
    <w:p>
      <w:pPr>
        <w:spacing w:line="570" w:lineRule="exact"/>
        <w:ind w:firstLine="640" w:firstLineChars="200"/>
        <w:rPr>
          <w:rFonts w:hint="eastAsia" w:eastAsia="楷体_GB2312"/>
          <w:sz w:val="32"/>
          <w:szCs w:val="32"/>
        </w:rPr>
      </w:pPr>
      <w:r>
        <w:rPr>
          <w:rFonts w:hint="eastAsia" w:eastAsia="楷体_GB2312"/>
          <w:sz w:val="32"/>
          <w:szCs w:val="32"/>
        </w:rPr>
        <w:t>（二）表内有关指标解释。</w:t>
      </w:r>
    </w:p>
    <w:p>
      <w:pPr>
        <w:spacing w:line="570" w:lineRule="exact"/>
        <w:ind w:firstLine="640" w:firstLineChars="200"/>
        <w:rPr>
          <w:rFonts w:hint="eastAsia" w:eastAsia="仿宋_GB2312"/>
          <w:sz w:val="32"/>
          <w:szCs w:val="32"/>
        </w:rPr>
      </w:pPr>
      <w:r>
        <w:rPr>
          <w:rFonts w:hint="eastAsia" w:eastAsia="仿宋_GB2312"/>
          <w:sz w:val="32"/>
          <w:szCs w:val="32"/>
        </w:rPr>
        <w:t>1. 以公允价值计量且其变动计入当期损益的金融资产：根据“以公允价值计量且其变动计入当期损益的金融资产”科目的预计期末余额填列。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2. 预付款项：根据“预付账款”和“应付账款”科目的预计期末借方余额合计数，减去“坏账准备”科目中有关预付款项计提的坏账准备预计期末余额后的净额填列。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3. 存货：根据“存货”下设各明细科目预计期末余额合计数，减去“存货跌价准备”科目预计期末余额后的净额填列。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4. 可供出售金融资产：根据“可供出售金融资产</w:t>
      </w:r>
      <w:r>
        <w:rPr>
          <w:rFonts w:eastAsia="仿宋_GB2312"/>
          <w:sz w:val="32"/>
          <w:szCs w:val="32"/>
        </w:rPr>
        <w:t>”</w:t>
      </w:r>
      <w:r>
        <w:rPr>
          <w:rFonts w:hint="eastAsia" w:eastAsia="仿宋_GB2312"/>
          <w:sz w:val="32"/>
          <w:szCs w:val="32"/>
        </w:rPr>
        <w:t>科目的预计期末余额，减去“可供出售金融资产减值准备”科目预计期末余额后的净额填列。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5. 持有至到期投资：根据“持有至到期投资</w:t>
      </w:r>
      <w:r>
        <w:rPr>
          <w:rFonts w:eastAsia="仿宋_GB2312"/>
          <w:sz w:val="32"/>
          <w:szCs w:val="32"/>
        </w:rPr>
        <w:t>”</w:t>
      </w:r>
      <w:r>
        <w:rPr>
          <w:rFonts w:hint="eastAsia" w:eastAsia="仿宋_GB2312"/>
          <w:sz w:val="32"/>
          <w:szCs w:val="32"/>
        </w:rPr>
        <w:t>科目的预计期末余额，减去“持有至到期投资减值准备”科目预计期末余额后的净额填列。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6. 长期股权投资：根据“长期股权投资”科目的预计期末余额，减去相关“长期股权投资减值准备”明细科目预计期末余额后的净额填列。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7. 投资性房地产：反映企业持有的投资性房地产。企业采用成本模式计量投资性房地产的，本项目应根据“投资性房地产”科目的预计期末余额，减去“投资性房地产累计折旧（摊销）”和“投资性房地产减值准备”科目预计期末余额后的净额填列；企业采用公允价值模式计量投资性房地产的，本项目根据“投资性房地产”科目的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8. 无形资产：根据“无形资产”科目预计期末余额，减去“累计摊销”和“无形资产减值准备”科目预计期末余额后的净额填列。</w:t>
      </w:r>
    </w:p>
    <w:p>
      <w:pPr>
        <w:spacing w:line="570" w:lineRule="exact"/>
        <w:ind w:firstLine="640" w:firstLineChars="200"/>
        <w:rPr>
          <w:rFonts w:hint="eastAsia" w:eastAsia="仿宋_GB2312"/>
          <w:sz w:val="32"/>
          <w:szCs w:val="32"/>
        </w:rPr>
      </w:pPr>
      <w:r>
        <w:rPr>
          <w:rFonts w:hint="eastAsia" w:eastAsia="仿宋_GB2312"/>
          <w:sz w:val="32"/>
          <w:szCs w:val="32"/>
        </w:rPr>
        <w:t>9. 开发支出：根据“研发支出”科目项下的“资本化支出”明细科目预计期末余额填列。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10. 商誉：反映企业合并中形成的商誉价值，根据“商誉”科目的预计期末余额，减去相应减值准备后的净额填列。</w:t>
      </w:r>
    </w:p>
    <w:p>
      <w:pPr>
        <w:spacing w:line="570" w:lineRule="exact"/>
        <w:ind w:firstLine="640" w:firstLineChars="200"/>
        <w:rPr>
          <w:rFonts w:hint="eastAsia" w:eastAsia="仿宋_GB2312"/>
          <w:sz w:val="32"/>
          <w:szCs w:val="32"/>
        </w:rPr>
      </w:pPr>
      <w:r>
        <w:rPr>
          <w:rFonts w:hint="eastAsia" w:eastAsia="仿宋_GB2312"/>
          <w:sz w:val="32"/>
          <w:szCs w:val="32"/>
        </w:rPr>
        <w:t>11. 其他非流动资产：根据企业除长期股权投资、固定资产、在建工程、工程物资、无形资产等资产以外的其他非流动资产预计期末余额填列。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12. 预收款项：根据“预收账款”和“应收账款”科目的预计期末贷方余额合计数填列，如“预收账款”科目预计期末有借方余额，应在资产负债预算表“应收账款”项目内填列。</w:t>
      </w:r>
    </w:p>
    <w:p>
      <w:pPr>
        <w:spacing w:line="570" w:lineRule="exact"/>
        <w:ind w:firstLine="640" w:firstLineChars="200"/>
        <w:rPr>
          <w:rFonts w:hint="eastAsia" w:eastAsia="仿宋_GB2312"/>
          <w:sz w:val="32"/>
          <w:szCs w:val="32"/>
        </w:rPr>
      </w:pPr>
      <w:r>
        <w:rPr>
          <w:rFonts w:hint="eastAsia" w:eastAsia="仿宋_GB2312"/>
          <w:sz w:val="32"/>
          <w:szCs w:val="32"/>
        </w:rPr>
        <w:t>13. 应付职工薪酬：根据“应付职工薪酬”科目的预计期末贷方余额填列，其中“应付工资”和“应付福利费”根据“应付职工薪酬”科目所属明细科目的预计期末余额填列。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14. 库存股：反映企业持有尚未转让或注销的本公司股份金额，根据“库存股”科目的预计期末余额填列。</w:t>
      </w:r>
    </w:p>
    <w:p>
      <w:pPr>
        <w:spacing w:line="570" w:lineRule="exact"/>
        <w:ind w:firstLine="640" w:firstLineChars="200"/>
        <w:rPr>
          <w:rFonts w:hint="eastAsia" w:eastAsia="仿宋_GB2312"/>
          <w:sz w:val="32"/>
          <w:szCs w:val="32"/>
        </w:rPr>
      </w:pPr>
      <w:r>
        <w:rPr>
          <w:rFonts w:hint="eastAsia" w:eastAsia="仿宋_GB2312"/>
          <w:sz w:val="32"/>
          <w:szCs w:val="32"/>
        </w:rPr>
        <w:t>15. 专项储备：反映高危行业企业按照国家规定提取的安全生产费、维简费等专项储备的预计期末余额，根据“专项储备”科目的预计期末贷方余额填列。</w:t>
      </w:r>
    </w:p>
    <w:p>
      <w:pPr>
        <w:topLinePunct/>
        <w:autoSpaceDE w:val="0"/>
        <w:autoSpaceDN w:val="0"/>
        <w:spacing w:line="570" w:lineRule="exact"/>
        <w:ind w:firstLine="640" w:firstLineChars="200"/>
        <w:rPr>
          <w:rFonts w:hint="eastAsia" w:eastAsia="仿宋_GB2312"/>
          <w:sz w:val="32"/>
          <w:szCs w:val="32"/>
          <w:lang w:val="zh-CN"/>
        </w:rPr>
      </w:pPr>
      <w:r>
        <w:rPr>
          <w:rFonts w:hint="eastAsia" w:eastAsia="仿宋_GB2312"/>
          <w:sz w:val="32"/>
          <w:szCs w:val="32"/>
        </w:rPr>
        <w:t>表内公式</w:t>
      </w:r>
      <w:r>
        <w:rPr>
          <w:rFonts w:hint="eastAsia" w:eastAsia="仿宋_GB2312"/>
          <w:sz w:val="32"/>
          <w:szCs w:val="32"/>
          <w:lang w:val="zh-CN"/>
        </w:rPr>
        <w:t>：</w:t>
      </w:r>
    </w:p>
    <w:p>
      <w:pPr>
        <w:topLinePunct/>
        <w:autoSpaceDE w:val="0"/>
        <w:autoSpaceDN w:val="0"/>
        <w:spacing w:line="570" w:lineRule="exact"/>
        <w:ind w:firstLine="640" w:firstLineChars="200"/>
        <w:jc w:val="left"/>
        <w:rPr>
          <w:rFonts w:hint="eastAsia" w:eastAsia="仿宋_GB2312"/>
          <w:sz w:val="32"/>
          <w:szCs w:val="32"/>
          <w:lang w:val="zh-CN"/>
        </w:rPr>
      </w:pPr>
      <w:r>
        <w:rPr>
          <w:rFonts w:hint="eastAsia" w:eastAsia="仿宋_GB2312"/>
          <w:sz w:val="32"/>
          <w:szCs w:val="32"/>
          <w:lang w:val="zh-CN"/>
        </w:rPr>
        <w:t>15 行≥（16+17）行（合理性）；22 行=（2+3+4+5+6+7+8+</w:t>
      </w:r>
    </w:p>
    <w:p>
      <w:pPr>
        <w:topLinePunct/>
        <w:autoSpaceDE w:val="0"/>
        <w:autoSpaceDN w:val="0"/>
        <w:spacing w:line="570" w:lineRule="exact"/>
        <w:jc w:val="left"/>
        <w:rPr>
          <w:rFonts w:hint="eastAsia" w:eastAsia="仿宋_GB2312"/>
          <w:sz w:val="32"/>
          <w:szCs w:val="32"/>
          <w:lang w:val="zh-CN"/>
        </w:rPr>
      </w:pPr>
      <w:r>
        <w:rPr>
          <w:rFonts w:hint="eastAsia" w:eastAsia="仿宋_GB2312"/>
          <w:sz w:val="32"/>
          <w:szCs w:val="32"/>
          <w:lang w:val="zh-CN"/>
        </w:rPr>
        <w:t>9+10+11+12+13+14+15+18+19+20+21）行；43 行≥44 行；45 行=24+25+26+27+28+29+30+31+32+33+34+35+36+37+38+39+40+</w:t>
      </w:r>
    </w:p>
    <w:p>
      <w:pPr>
        <w:topLinePunct/>
        <w:autoSpaceDE w:val="0"/>
        <w:autoSpaceDN w:val="0"/>
        <w:spacing w:line="570" w:lineRule="exact"/>
        <w:jc w:val="left"/>
        <w:rPr>
          <w:rFonts w:hint="eastAsia" w:eastAsia="仿宋_GB2312"/>
          <w:sz w:val="32"/>
          <w:szCs w:val="32"/>
          <w:lang w:val="zh-CN"/>
        </w:rPr>
      </w:pPr>
      <w:r>
        <w:rPr>
          <w:rFonts w:hint="eastAsia" w:eastAsia="仿宋_GB2312"/>
          <w:sz w:val="32"/>
          <w:szCs w:val="32"/>
          <w:lang w:val="zh-CN"/>
        </w:rPr>
        <w:t>41+42+43）行；72 行=（22+45）行；86 行≥（87+88）行；88 行≥89 行；90 行≥91 行≥0（合理性）；100 行=（74+75+76+77</w:t>
      </w:r>
    </w:p>
    <w:p>
      <w:pPr>
        <w:topLinePunct/>
        <w:autoSpaceDE w:val="0"/>
        <w:autoSpaceDN w:val="0"/>
        <w:spacing w:line="570" w:lineRule="exact"/>
        <w:jc w:val="left"/>
        <w:rPr>
          <w:rFonts w:hint="eastAsia" w:eastAsia="仿宋_GB2312"/>
          <w:sz w:val="32"/>
          <w:szCs w:val="32"/>
          <w:lang w:val="zh-CN"/>
        </w:rPr>
      </w:pPr>
      <w:r>
        <w:rPr>
          <w:rFonts w:hint="eastAsia" w:eastAsia="仿宋_GB2312"/>
          <w:sz w:val="32"/>
          <w:szCs w:val="32"/>
          <w:lang w:val="zh-CN"/>
        </w:rPr>
        <w:t>+78+79+80+81+82+83+84+85+86+90+92+93+94+95+96+97+98+99）行；103 行≥（104+105）行；111 行≥112行；113 行=（102+103+106+107+108+109+110+111）行；114 行=（100+113）行；116行=（117+119+120+122）行；117 行≥118 行；120 行≥121 行；116 行≥124 行；124行=（116-123）行；125 行≥（126+127）行；133 行≥（134+135+136+137+138）行；141 行=（124+125+128-129+130+132+133+139+140）行；143 行=（141+142）行；144行=（114+143）行；144 行=72 行。</w:t>
      </w:r>
    </w:p>
    <w:p>
      <w:pPr>
        <w:topLinePunct/>
        <w:autoSpaceDE w:val="0"/>
        <w:autoSpaceDN w:val="0"/>
        <w:spacing w:line="570" w:lineRule="exact"/>
        <w:ind w:firstLine="640" w:firstLineChars="200"/>
        <w:rPr>
          <w:rFonts w:hint="eastAsia" w:eastAsia="仿宋_GB2312"/>
          <w:sz w:val="32"/>
          <w:szCs w:val="32"/>
          <w:lang w:val="zh-CN"/>
        </w:rPr>
      </w:pPr>
      <w:r>
        <w:rPr>
          <w:rFonts w:hint="eastAsia" w:eastAsia="仿宋_GB2312"/>
          <w:sz w:val="32"/>
          <w:szCs w:val="32"/>
          <w:lang w:val="zh-CN"/>
        </w:rPr>
        <w:t>表间公式：</w:t>
      </w:r>
    </w:p>
    <w:p>
      <w:pPr>
        <w:spacing w:line="570" w:lineRule="exact"/>
        <w:ind w:firstLine="640" w:firstLineChars="200"/>
        <w:rPr>
          <w:rFonts w:hint="eastAsia" w:eastAsia="仿宋_GB2312"/>
          <w:sz w:val="32"/>
          <w:szCs w:val="32"/>
        </w:rPr>
      </w:pPr>
      <w:r>
        <w:rPr>
          <w:rFonts w:hint="eastAsia" w:eastAsia="仿宋_GB2312"/>
          <w:sz w:val="32"/>
          <w:szCs w:val="32"/>
        </w:rPr>
        <w:t>74行上年数=</w:t>
      </w:r>
      <w:r>
        <w:rPr>
          <w:rFonts w:hint="eastAsia" w:eastAsia="仿宋_GB2312"/>
          <w:sz w:val="32"/>
          <w:szCs w:val="32"/>
          <w:lang w:eastAsia="zh-CN"/>
        </w:rPr>
        <w:t>国资企预03表</w:t>
      </w:r>
      <w:r>
        <w:rPr>
          <w:rFonts w:hint="eastAsia" w:eastAsia="仿宋_GB2312"/>
          <w:sz w:val="32"/>
          <w:szCs w:val="32"/>
        </w:rPr>
        <w:t>4行上年末数；74行本年预算数=</w:t>
      </w:r>
      <w:r>
        <w:rPr>
          <w:rFonts w:hint="eastAsia" w:eastAsia="仿宋_GB2312"/>
          <w:sz w:val="32"/>
          <w:szCs w:val="32"/>
          <w:lang w:eastAsia="zh-CN"/>
        </w:rPr>
        <w:t>国资企预03表</w:t>
      </w:r>
      <w:r>
        <w:rPr>
          <w:rFonts w:hint="eastAsia" w:eastAsia="仿宋_GB2312"/>
          <w:sz w:val="32"/>
          <w:szCs w:val="32"/>
        </w:rPr>
        <w:t>4行年末预算数；102行上年数=</w:t>
      </w:r>
      <w:r>
        <w:rPr>
          <w:rFonts w:hint="eastAsia" w:eastAsia="仿宋_GB2312"/>
          <w:sz w:val="32"/>
          <w:szCs w:val="32"/>
          <w:lang w:eastAsia="zh-CN"/>
        </w:rPr>
        <w:t>国资企预03表</w:t>
      </w:r>
      <w:r>
        <w:rPr>
          <w:rFonts w:hint="eastAsia" w:eastAsia="仿宋_GB2312"/>
          <w:sz w:val="32"/>
          <w:szCs w:val="32"/>
        </w:rPr>
        <w:t>12行上年末数；102行本年预算数=</w:t>
      </w:r>
      <w:r>
        <w:rPr>
          <w:rFonts w:hint="eastAsia" w:eastAsia="仿宋_GB2312"/>
          <w:sz w:val="32"/>
          <w:szCs w:val="32"/>
          <w:lang w:eastAsia="zh-CN"/>
        </w:rPr>
        <w:t>国资企预03表</w:t>
      </w:r>
      <w:r>
        <w:rPr>
          <w:rFonts w:hint="eastAsia" w:eastAsia="仿宋_GB2312"/>
          <w:sz w:val="32"/>
          <w:szCs w:val="32"/>
        </w:rPr>
        <w:t>12行年末预算数；103行上年数=</w:t>
      </w:r>
      <w:r>
        <w:rPr>
          <w:rFonts w:hint="eastAsia" w:eastAsia="仿宋_GB2312"/>
          <w:sz w:val="32"/>
          <w:szCs w:val="32"/>
          <w:lang w:eastAsia="zh-CN"/>
        </w:rPr>
        <w:t>国资企预03表</w:t>
      </w:r>
      <w:r>
        <w:rPr>
          <w:rFonts w:hint="eastAsia" w:eastAsia="仿宋_GB2312"/>
          <w:sz w:val="32"/>
          <w:szCs w:val="32"/>
        </w:rPr>
        <w:t>15行上年末数；103行本年预算数=</w:t>
      </w:r>
      <w:r>
        <w:rPr>
          <w:rFonts w:hint="eastAsia" w:eastAsia="仿宋_GB2312"/>
          <w:sz w:val="32"/>
          <w:szCs w:val="32"/>
          <w:lang w:eastAsia="zh-CN"/>
        </w:rPr>
        <w:t>国资企预03表</w:t>
      </w:r>
      <w:r>
        <w:rPr>
          <w:rFonts w:hint="eastAsia" w:eastAsia="仿宋_GB2312"/>
          <w:sz w:val="32"/>
          <w:szCs w:val="32"/>
        </w:rPr>
        <w:t>15行年末预算数</w:t>
      </w:r>
      <w:r>
        <w:rPr>
          <w:rFonts w:hint="eastAsia" w:hAnsi="仿宋_GB2312" w:eastAsia="仿宋_GB2312"/>
          <w:sz w:val="32"/>
          <w:szCs w:val="32"/>
        </w:rPr>
        <w:t>。</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二</w:t>
      </w:r>
      <w:r>
        <w:rPr>
          <w:rFonts w:hint="eastAsia" w:eastAsia="黑体"/>
          <w:color w:val="000000"/>
          <w:sz w:val="32"/>
          <w:szCs w:val="32"/>
        </w:rPr>
        <w:t>、对外捐赠支出预算表（</w:t>
      </w:r>
      <w:r>
        <w:rPr>
          <w:rFonts w:hint="eastAsia" w:eastAsia="黑体"/>
          <w:color w:val="000000"/>
          <w:sz w:val="32"/>
          <w:szCs w:val="32"/>
          <w:lang w:eastAsia="zh-CN"/>
        </w:rPr>
        <w:t>国资企预08表</w:t>
      </w:r>
      <w:r>
        <w:rPr>
          <w:rFonts w:hint="eastAsia" w:eastAsia="黑体"/>
          <w:color w:val="000000"/>
          <w:sz w:val="32"/>
          <w:szCs w:val="32"/>
        </w:rPr>
        <w:t>）</w:t>
      </w:r>
    </w:p>
    <w:p>
      <w:pPr>
        <w:spacing w:line="570" w:lineRule="exact"/>
        <w:ind w:firstLine="640" w:firstLineChars="200"/>
        <w:rPr>
          <w:rFonts w:hint="eastAsia" w:eastAsia="仿宋_GB2312"/>
          <w:color w:val="000000"/>
          <w:sz w:val="32"/>
          <w:szCs w:val="32"/>
        </w:rPr>
      </w:pPr>
      <w:r>
        <w:rPr>
          <w:rFonts w:hint="eastAsia" w:eastAsia="楷体_GB2312"/>
          <w:color w:val="000000"/>
          <w:sz w:val="32"/>
          <w:szCs w:val="32"/>
        </w:rPr>
        <w:t>（一）编制方法</w:t>
      </w:r>
      <w:r>
        <w:rPr>
          <w:rFonts w:hint="eastAsia" w:eastAsia="仿宋_GB2312"/>
          <w:color w:val="000000"/>
          <w:sz w:val="32"/>
          <w:szCs w:val="32"/>
        </w:rPr>
        <w:t>。</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本表反映企业2021年度各类对外捐赠支出情况，企业应逐笔填列预计发生的捐赠支出。</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2. 本表由企业负责对外捐赠管理的部门根据企业对外捐赠的预计支出情况填列，财务部门负责审核。</w:t>
      </w:r>
    </w:p>
    <w:p>
      <w:pPr>
        <w:snapToGrid w:val="0"/>
        <w:spacing w:line="570" w:lineRule="exact"/>
        <w:ind w:firstLine="640" w:firstLineChars="200"/>
        <w:rPr>
          <w:rFonts w:hint="eastAsia" w:eastAsia="楷体_GB2312"/>
          <w:color w:val="000000"/>
          <w:sz w:val="32"/>
          <w:szCs w:val="32"/>
        </w:rPr>
      </w:pPr>
      <w:r>
        <w:rPr>
          <w:rFonts w:hint="eastAsia" w:hAnsi="楷体_GB2312" w:eastAsia="楷体_GB2312"/>
          <w:color w:val="000000"/>
          <w:sz w:val="32"/>
          <w:szCs w:val="32"/>
        </w:rPr>
        <w:t>（二）表内有关指标解释。</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1. “捐赠性质”栏按以下项目选择填列：（1）向受灾地区捐赠；（2）向定点扶贫地区捐赠（扶贫）；（3）援助新疆地区（援疆）；（4）援助西藏地区（援藏）；（5）其他定点援助地区；（6）向残疾人事业捐赠（助残）；（7）向教育事业捐赠（助学）；（8）向医疗卫生事业捐赠；（9）文化体育事业捐赠；（10）向环境保护事业捐赠；（11）向节能减排事业捐赠；（12）向社会公共设施建设捐赠；（13）其他公益救济和公共福利事业捐赠；（14）其他捐赠。其中：向社会公共设施建设捐赠、其他公益救济和公共福利事业捐赠、其他捐赠应在备注栏注明具体项目。</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2. “是否为经常性项目”反映是否为每年都发生的对外捐赠支出项目，按以下项目选择填列：1. 是；2. 否。</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5栏合计行＝各浮动行之和。</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三</w:t>
      </w:r>
      <w:r>
        <w:rPr>
          <w:rFonts w:hint="eastAsia" w:eastAsia="黑体"/>
          <w:color w:val="000000"/>
          <w:sz w:val="32"/>
          <w:szCs w:val="32"/>
        </w:rPr>
        <w:t>、提供担保情况预算表（</w:t>
      </w:r>
      <w:r>
        <w:rPr>
          <w:rFonts w:hint="eastAsia" w:eastAsia="黑体"/>
          <w:color w:val="000000"/>
          <w:sz w:val="32"/>
          <w:szCs w:val="32"/>
          <w:lang w:eastAsia="zh-CN"/>
        </w:rPr>
        <w:t>国资企预09表</w:t>
      </w:r>
      <w:r>
        <w:rPr>
          <w:rFonts w:hint="eastAsia" w:eastAsia="黑体"/>
          <w:color w:val="000000"/>
          <w:sz w:val="32"/>
          <w:szCs w:val="32"/>
        </w:rPr>
        <w:t>）</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（一）编制方法。</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1. 本表主要反映预算年度企业预计为集团内、外单位提供担保的具体项目情况，不包括企业作为债务人为自己提供的担保。</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2. 企业应根据预计预算年度为集团内、外单位提供担保情况、担保合同以及被担保企业资料，逐笔逐项填列，企业之间的互保不得抵销。</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（二）表内有关指标解释。</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1. 担保单位：指签订担保合同的担保人，应填列单位全称。</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2. 担保对象：指接受担保的债务人，应填列单位全称。</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担保对象的企业性质应按国有独资、国有控股、集体、私营、外商、其他选择填列。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国有股比例按照受担保债务人的国有股东所占比例填列，不考虑交叉持股情况。</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经营状况：应按正常经营、关停并转、清理整顿、已进入破产程序、拟近期出售、资不抵债非持续经营、其他选择填列。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3. 担保方式：应按一般保证、连带责任保证、抵押、质押选择填列。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4. 担保种类：指担保方为担保对象提供担保的品种，按贷款担保、履约担保、贸易融资担保、其他担保选择填列。贷款担保，指担保方为担保对象向银行等金融机构贷款提供的担保；履约担保，指基于担保对象签订的贸易合同为其向另一方当事人提供的履约保证，主要包括：预付款担保、供货担保和支付担保等；贸易融资担保，指银行在为企业提供贸易项下资金融通时所需要的担保，主要包括：承兑汇票开立、贴现担保、信用证担保和进、出口押汇担保等；其他担保，指担保方为担保对象提供的上述担保种类以外的担保。</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5. 反担保方式：反担保是指担保人为债务人向债权人提供担保时，要求债务人或债务人之外的其他人向担保人提供的担保，按照无反担保、一般保证、连带责任保证、抵押、质押选择填列。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6.</w:t>
      </w:r>
      <w:r>
        <w:rPr>
          <w:rFonts w:hint="eastAsia"/>
          <w:color w:val="000000"/>
          <w:sz w:val="32"/>
          <w:szCs w:val="32"/>
        </w:rPr>
        <w:t xml:space="preserve"> </w:t>
      </w:r>
      <w:r>
        <w:rPr>
          <w:rFonts w:hint="eastAsia" w:eastAsia="仿宋_GB2312"/>
          <w:color w:val="000000"/>
          <w:sz w:val="32"/>
          <w:szCs w:val="32"/>
        </w:rPr>
        <w:t>预算担保总额：反映企业截止年末预计尚未解除担保责任的担保总金额。其中：“本年新增担保金额”应单独填列。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7. 是否逾期：逾期担保是指超过担保合同规定的期限仍未解除担保责任的担保事项，按是、否选择填列。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8. 代偿损失金额：应按担保方由于提供该笔担保事项发生的代偿损失额填列。</w:t>
      </w:r>
    </w:p>
    <w:p>
      <w:pPr>
        <w:snapToGrid w:val="0"/>
        <w:spacing w:line="570" w:lineRule="exact"/>
        <w:ind w:firstLine="640" w:firstLineChars="200"/>
        <w:rPr>
          <w:rFonts w:hint="eastAsia" w:eastAsia="仿宋_GB2312"/>
          <w:color w:val="000000"/>
          <w:sz w:val="32"/>
          <w:szCs w:val="32"/>
        </w:rPr>
      </w:pPr>
      <w:r>
        <w:rPr>
          <w:rFonts w:hint="eastAsia" w:eastAsia="仿宋_GB2312"/>
          <w:color w:val="000000"/>
          <w:sz w:val="32"/>
          <w:szCs w:val="32"/>
        </w:rPr>
        <w:t>9. 已计入预计负债金额：指实际担保金额中因存在较大的担保风险等原因，按规定已确认为预计负债的金额。其中：“本期计入预计负债金额”应单独填列。</w:t>
      </w:r>
    </w:p>
    <w:p>
      <w:pPr>
        <w:snapToGrid w:val="0"/>
        <w:spacing w:line="570" w:lineRule="exact"/>
        <w:ind w:firstLine="640" w:firstLineChars="200"/>
        <w:rPr>
          <w:rFonts w:hint="eastAsia" w:ascii="楷体_GB2312" w:eastAsia="楷体_GB2312"/>
          <w:color w:val="000000"/>
          <w:sz w:val="32"/>
          <w:szCs w:val="32"/>
        </w:rPr>
      </w:pPr>
      <w:r>
        <w:rPr>
          <w:rFonts w:hint="eastAsia" w:ascii="楷体_GB2312" w:eastAsia="楷体_GB2312"/>
          <w:color w:val="000000"/>
          <w:sz w:val="32"/>
          <w:szCs w:val="32"/>
        </w:rPr>
        <w:t>（三）表内公式。</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10栏≥11栏；10栏≥15栏；10栏≥16栏；16栏≥17栏。</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四</w:t>
      </w:r>
      <w:r>
        <w:rPr>
          <w:rFonts w:hint="eastAsia" w:eastAsia="黑体"/>
          <w:color w:val="000000"/>
          <w:sz w:val="32"/>
          <w:szCs w:val="32"/>
        </w:rPr>
        <w:t>、2021年度预算调整主要指标表</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一）本表反映企业2021年度预算主要指标的调整情况。当企业面临的市场、政策等发生较大变动或因不可抗力的发生对企业造成重大影响时，可根据实际生产经营情况及未来市场、政策的变化或不可抗力的预计影响等调整预算，并根据调整情况填列本表。</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（二）表内“</w:t>
      </w:r>
      <w:r>
        <w:rPr>
          <w:rFonts w:hint="eastAsia" w:eastAsia="仿宋_GB2312"/>
          <w:color w:val="000000"/>
          <w:sz w:val="32"/>
          <w:szCs w:val="32"/>
          <w:lang w:val="en-US" w:eastAsia="zh-CN"/>
        </w:rPr>
        <w:t>2021年年初预算数</w:t>
      </w:r>
      <w:r>
        <w:rPr>
          <w:rFonts w:hint="eastAsia" w:eastAsia="仿宋_GB2312"/>
          <w:color w:val="000000"/>
          <w:sz w:val="32"/>
          <w:szCs w:val="32"/>
        </w:rPr>
        <w:t>”有关指标根据企业已经上报的2021年度预算报表相关指标填列。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（三）表内“调整后本年预算数”有关指标反映预算调整结果情况，按预算调整后相关指标填列。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（四）编制合并报表的，以合并口径填列。</w:t>
      </w:r>
    </w:p>
    <w:p>
      <w:pPr>
        <w:spacing w:line="570" w:lineRule="exact"/>
        <w:ind w:firstLine="640" w:firstLineChars="200"/>
        <w:rPr>
          <w:rFonts w:hint="eastAsia" w:eastAsia="仿宋_GB2312"/>
          <w:color w:val="000000"/>
          <w:sz w:val="32"/>
          <w:szCs w:val="32"/>
        </w:rPr>
      </w:pPr>
      <w:r>
        <w:rPr>
          <w:rFonts w:hint="eastAsia" w:eastAsia="仿宋_GB2312"/>
          <w:color w:val="000000"/>
          <w:sz w:val="32"/>
          <w:szCs w:val="32"/>
        </w:rPr>
        <w:t>表内公式：</w:t>
      </w:r>
    </w:p>
    <w:p>
      <w:pPr>
        <w:spacing w:line="570" w:lineRule="exact"/>
        <w:ind w:firstLine="640" w:firstLineChars="200"/>
        <w:rPr>
          <w:rFonts w:hint="eastAsia" w:eastAsia="仿宋_GB2312"/>
          <w:color w:val="000000"/>
          <w:sz w:val="32"/>
          <w:szCs w:val="32"/>
        </w:rPr>
      </w:pPr>
      <w:r>
        <w:rPr>
          <w:rFonts w:hint="eastAsia" w:eastAsia="仿宋_GB2312"/>
          <w:sz w:val="32"/>
          <w:szCs w:val="32"/>
        </w:rPr>
        <w:t>1行≥2行；3行≥（4+5+6+7+8+9+10+11+12）行；18行=（1-3+13+14+15+16+17）行； 21行=（18+19-20）行；24行=（22-23）行；26行=（27+28）行；28行=（29+30）行；31行≥32行；31行≥33行；34行≥35行；/21行/≥/22行/</w:t>
      </w:r>
      <w:r>
        <w:rPr>
          <w:rFonts w:hint="eastAsia" w:eastAsia="仿宋_GB2312"/>
          <w:color w:val="000000"/>
          <w:sz w:val="32"/>
          <w:szCs w:val="32"/>
        </w:rPr>
        <w:t>； 4栏=2栏+3栏；5栏=（4栏-1栏）/1栏*100%。</w:t>
      </w:r>
    </w:p>
    <w:p>
      <w:pPr>
        <w:spacing w:line="570" w:lineRule="exact"/>
        <w:ind w:firstLine="640" w:firstLineChars="200"/>
        <w:rPr>
          <w:rFonts w:hint="eastAsia" w:eastAsia="黑体"/>
          <w:color w:val="000000"/>
          <w:sz w:val="32"/>
          <w:szCs w:val="32"/>
        </w:rPr>
      </w:pPr>
      <w:r>
        <w:rPr>
          <w:rFonts w:hint="eastAsia" w:eastAsia="黑体"/>
          <w:color w:val="000000"/>
          <w:sz w:val="32"/>
          <w:szCs w:val="32"/>
        </w:rPr>
        <w:t>十</w:t>
      </w:r>
      <w:r>
        <w:rPr>
          <w:rFonts w:hint="eastAsia" w:eastAsia="黑体"/>
          <w:color w:val="000000"/>
          <w:sz w:val="32"/>
          <w:szCs w:val="32"/>
          <w:lang w:eastAsia="zh-CN"/>
        </w:rPr>
        <w:t>五</w:t>
      </w:r>
      <w:r>
        <w:rPr>
          <w:rFonts w:hint="eastAsia" w:eastAsia="黑体"/>
          <w:color w:val="000000"/>
          <w:sz w:val="32"/>
          <w:szCs w:val="32"/>
        </w:rPr>
        <w:t>、2021年度预算主要</w:t>
      </w:r>
      <w:r>
        <w:rPr>
          <w:rFonts w:hint="eastAsia" w:eastAsia="黑体"/>
          <w:color w:val="000000"/>
          <w:sz w:val="32"/>
          <w:szCs w:val="32"/>
          <w:lang w:val="en-US" w:eastAsia="zh-CN"/>
        </w:rPr>
        <w:t>分析</w:t>
      </w:r>
      <w:r>
        <w:rPr>
          <w:rFonts w:hint="eastAsia" w:eastAsia="黑体"/>
          <w:color w:val="000000"/>
          <w:sz w:val="32"/>
          <w:szCs w:val="32"/>
        </w:rPr>
        <w:t>指标表</w:t>
      </w:r>
    </w:p>
    <w:p>
      <w:pPr>
        <w:spacing w:line="570" w:lineRule="exact"/>
        <w:ind w:firstLine="640" w:firstLineChars="200"/>
        <w:rPr>
          <w:rFonts w:hint="eastAsia" w:eastAsia="黑体"/>
          <w:color w:val="000000"/>
          <w:sz w:val="32"/>
          <w:szCs w:val="32"/>
          <w:lang w:eastAsia="zh-CN"/>
        </w:rPr>
      </w:pPr>
      <w:r>
        <w:rPr>
          <w:rFonts w:hint="eastAsia" w:eastAsia="仿宋_GB2312"/>
          <w:color w:val="000000"/>
          <w:sz w:val="32"/>
          <w:szCs w:val="32"/>
          <w:lang w:eastAsia="zh-CN"/>
        </w:rPr>
        <w:t>具体计算公式在表格中已列示。</w:t>
      </w:r>
    </w:p>
    <w:p>
      <w:pPr>
        <w:spacing w:line="570" w:lineRule="exact"/>
        <w:ind w:firstLine="640" w:firstLineChars="200"/>
        <w:rPr>
          <w:rFonts w:hint="eastAsia" w:eastAsia="仿宋_GB2312"/>
          <w:color w:val="000000"/>
          <w:sz w:val="32"/>
          <w:szCs w:val="32"/>
        </w:rPr>
      </w:pPr>
    </w:p>
    <w:sectPr>
      <w:headerReference r:id="rId3" w:type="default"/>
      <w:footerReference r:id="rId4" w:type="default"/>
      <w:footerReference r:id="rId5" w:type="even"/>
      <w:pgSz w:w="11906" w:h="16838"/>
      <w:pgMar w:top="1928" w:right="1531" w:bottom="1701" w:left="1531"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- 9 -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6</w: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249"/>
    <w:rsid w:val="00076AB2"/>
    <w:rsid w:val="000848F5"/>
    <w:rsid w:val="000C3304"/>
    <w:rsid w:val="000E4178"/>
    <w:rsid w:val="000F778D"/>
    <w:rsid w:val="00144224"/>
    <w:rsid w:val="001628B3"/>
    <w:rsid w:val="001700B1"/>
    <w:rsid w:val="00174890"/>
    <w:rsid w:val="001928FD"/>
    <w:rsid w:val="001B3B23"/>
    <w:rsid w:val="001D7423"/>
    <w:rsid w:val="001F22C1"/>
    <w:rsid w:val="001F50EF"/>
    <w:rsid w:val="0020107D"/>
    <w:rsid w:val="00216865"/>
    <w:rsid w:val="002253A2"/>
    <w:rsid w:val="002304E3"/>
    <w:rsid w:val="002459A8"/>
    <w:rsid w:val="00262D2F"/>
    <w:rsid w:val="00266714"/>
    <w:rsid w:val="00277032"/>
    <w:rsid w:val="0028182B"/>
    <w:rsid w:val="002E42E8"/>
    <w:rsid w:val="00360566"/>
    <w:rsid w:val="00361B7E"/>
    <w:rsid w:val="0037301B"/>
    <w:rsid w:val="003B2147"/>
    <w:rsid w:val="003C1075"/>
    <w:rsid w:val="003D737C"/>
    <w:rsid w:val="003E61E1"/>
    <w:rsid w:val="003F069D"/>
    <w:rsid w:val="003F530B"/>
    <w:rsid w:val="00414D25"/>
    <w:rsid w:val="004252C2"/>
    <w:rsid w:val="00456258"/>
    <w:rsid w:val="00490AFC"/>
    <w:rsid w:val="004B555B"/>
    <w:rsid w:val="00502456"/>
    <w:rsid w:val="00503D26"/>
    <w:rsid w:val="005315EC"/>
    <w:rsid w:val="0054413C"/>
    <w:rsid w:val="00584434"/>
    <w:rsid w:val="005B5FB9"/>
    <w:rsid w:val="005C0B0A"/>
    <w:rsid w:val="005D71D7"/>
    <w:rsid w:val="005D76DD"/>
    <w:rsid w:val="006A462E"/>
    <w:rsid w:val="006C526A"/>
    <w:rsid w:val="00722284"/>
    <w:rsid w:val="007258AA"/>
    <w:rsid w:val="00754584"/>
    <w:rsid w:val="00762534"/>
    <w:rsid w:val="007D4924"/>
    <w:rsid w:val="007F301B"/>
    <w:rsid w:val="008044C5"/>
    <w:rsid w:val="00827E18"/>
    <w:rsid w:val="00842E22"/>
    <w:rsid w:val="00860EB5"/>
    <w:rsid w:val="00864013"/>
    <w:rsid w:val="008678CE"/>
    <w:rsid w:val="00884B55"/>
    <w:rsid w:val="008A78CB"/>
    <w:rsid w:val="008C15EB"/>
    <w:rsid w:val="008D326B"/>
    <w:rsid w:val="00906452"/>
    <w:rsid w:val="009569C9"/>
    <w:rsid w:val="00966D6E"/>
    <w:rsid w:val="009C7107"/>
    <w:rsid w:val="00A05DF4"/>
    <w:rsid w:val="00A525C1"/>
    <w:rsid w:val="00A65249"/>
    <w:rsid w:val="00A97630"/>
    <w:rsid w:val="00AA0757"/>
    <w:rsid w:val="00AB7904"/>
    <w:rsid w:val="00AC7641"/>
    <w:rsid w:val="00AD7C84"/>
    <w:rsid w:val="00B1546A"/>
    <w:rsid w:val="00B71941"/>
    <w:rsid w:val="00B72977"/>
    <w:rsid w:val="00B929A0"/>
    <w:rsid w:val="00B93A76"/>
    <w:rsid w:val="00B955B5"/>
    <w:rsid w:val="00BC3EFC"/>
    <w:rsid w:val="00BD65C9"/>
    <w:rsid w:val="00BE25F6"/>
    <w:rsid w:val="00BE47E0"/>
    <w:rsid w:val="00C11667"/>
    <w:rsid w:val="00C11E80"/>
    <w:rsid w:val="00C13EF2"/>
    <w:rsid w:val="00CB11B5"/>
    <w:rsid w:val="00CB159F"/>
    <w:rsid w:val="00CC661C"/>
    <w:rsid w:val="00D01773"/>
    <w:rsid w:val="00D46F3A"/>
    <w:rsid w:val="00D53D2B"/>
    <w:rsid w:val="00D57A41"/>
    <w:rsid w:val="00D87DE5"/>
    <w:rsid w:val="00DA30FA"/>
    <w:rsid w:val="00DA34CA"/>
    <w:rsid w:val="00DE0EA8"/>
    <w:rsid w:val="00DE1162"/>
    <w:rsid w:val="00DE5610"/>
    <w:rsid w:val="00E04106"/>
    <w:rsid w:val="00E1004F"/>
    <w:rsid w:val="00E803C4"/>
    <w:rsid w:val="00EB001A"/>
    <w:rsid w:val="00EF0107"/>
    <w:rsid w:val="00F00182"/>
    <w:rsid w:val="00F017B4"/>
    <w:rsid w:val="00F406A6"/>
    <w:rsid w:val="00F47350"/>
    <w:rsid w:val="00F505EC"/>
    <w:rsid w:val="00F631BD"/>
    <w:rsid w:val="00FA705C"/>
    <w:rsid w:val="00FB6655"/>
    <w:rsid w:val="00FE4CB0"/>
    <w:rsid w:val="0C5853B8"/>
    <w:rsid w:val="152B341A"/>
    <w:rsid w:val="162A085E"/>
    <w:rsid w:val="26A031A6"/>
    <w:rsid w:val="34C45C4A"/>
    <w:rsid w:val="36565483"/>
    <w:rsid w:val="3BD40665"/>
    <w:rsid w:val="3E945C98"/>
    <w:rsid w:val="41843C5B"/>
    <w:rsid w:val="64EF54AA"/>
    <w:rsid w:val="6556376E"/>
    <w:rsid w:val="7D5A3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Balloon Text"/>
    <w:basedOn w:val="1"/>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paragraph" w:customStyle="1" w:styleId="9">
    <w:name w:val="Char Char Char Char"/>
    <w:basedOn w:val="1"/>
    <w:qFormat/>
    <w:uiPriority w:val="0"/>
    <w:pPr>
      <w:widowControl/>
      <w:spacing w:before="100" w:beforeLines="0" w:beforeAutospacing="1" w:after="100" w:afterLines="0" w:afterAutospacing="1" w:line="360" w:lineRule="auto"/>
      <w:ind w:left="360" w:firstLine="624"/>
      <w:jc w:val="left"/>
    </w:pPr>
  </w:style>
  <w:style w:type="paragraph" w:customStyle="1" w:styleId="10">
    <w:name w:val="_Style 9"/>
    <w:semiHidden/>
    <w:qFormat/>
    <w:uiPriority w:val="99"/>
    <w:rPr>
      <w:rFonts w:ascii="Times New Roman" w:hAnsi="Times New Roman" w:eastAsia="宋体" w:cs="Times New Roman"/>
      <w:kern w:val="2"/>
      <w:sz w:val="21"/>
      <w:lang w:val="en-US" w:eastAsia="zh-CN" w:bidi="ar-SA"/>
    </w:rPr>
  </w:style>
  <w:style w:type="paragraph" w:customStyle="1" w:styleId="11">
    <w:name w:val="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
    <w:name w:val=" Char1 Char Char Char Char Char Char"/>
    <w:basedOn w:val="1"/>
    <w:qFormat/>
    <w:uiPriority w:val="0"/>
    <w:pPr>
      <w:widowControl/>
      <w:spacing w:before="100" w:beforeLines="0" w:beforeAutospacing="1" w:after="100" w:afterLines="0" w:afterAutospacing="1" w:line="360" w:lineRule="auto"/>
      <w:ind w:left="360" w:firstLine="624"/>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31</Pages>
  <Words>2385</Words>
  <Characters>13601</Characters>
  <Lines>113</Lines>
  <Paragraphs>31</Paragraphs>
  <TotalTime>10</TotalTime>
  <ScaleCrop>false</ScaleCrop>
  <LinksUpToDate>false</LinksUpToDate>
  <CharactersWithSpaces>15955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2015-01-06T08:03:00Z</dcterms:created>
  <dc:creator>ZLF</dc:creator>
  <cp:lastModifiedBy>叶霄路</cp:lastModifiedBy>
  <cp:lastPrinted>2015-12-02T02:15:00Z</cp:lastPrinted>
  <dcterms:modified xsi:type="dcterms:W3CDTF">2021-03-10T01:38:03Z</dcterms:modified>
  <dc:title>六、利润预算表（国资企预02表）</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-149513346</vt:r8>
  </property>
  <property fmtid="{D5CDD505-2E9C-101B-9397-08002B2CF9AE}" pid="3" name="_EmailSubject">
    <vt:lpwstr/>
  </property>
  <property fmtid="{D5CDD505-2E9C-101B-9397-08002B2CF9AE}" pid="4" name="_AuthorEmail">
    <vt:lpwstr>yangj@sasac.gov.cn</vt:lpwstr>
  </property>
  <property fmtid="{D5CDD505-2E9C-101B-9397-08002B2CF9AE}" pid="5" name="_AuthorEmailDisplayName">
    <vt:lpwstr>杨杰</vt:lpwstr>
  </property>
  <property fmtid="{D5CDD505-2E9C-101B-9397-08002B2CF9AE}" pid="6" name="_PreviousAdHocReviewCycleID">
    <vt:r8>170966805</vt:r8>
  </property>
  <property fmtid="{D5CDD505-2E9C-101B-9397-08002B2CF9AE}" pid="7" name="_ReviewingToolsShownOnce">
    <vt:lpwstr/>
  </property>
  <property fmtid="{D5CDD505-2E9C-101B-9397-08002B2CF9AE}" pid="8" name="KSOProductBuildVer">
    <vt:lpwstr>2052-11.1.0.9828</vt:lpwstr>
  </property>
</Properties>
</file>