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firstLine="0" w:firstLineChars="0"/>
        <w:rPr>
          <w:rFonts w:ascii="Times New Roman" w:hAnsi="Times New Roman" w:eastAsia="黑体" w:cs="Times New Roman"/>
        </w:rPr>
      </w:pPr>
      <w:bookmarkStart w:id="51" w:name="_GoBack"/>
      <w:bookmarkEnd w:id="51"/>
      <w:r>
        <w:rPr>
          <w:rFonts w:hint="default" w:ascii="Times New Roman" w:hAnsi="Times New Roman" w:eastAsia="黑体" w:cs="Times New Roman"/>
        </w:rPr>
        <w:t>附件1</w:t>
      </w:r>
    </w:p>
    <w:p>
      <w:pPr>
        <w:ind w:firstLine="0" w:firstLineChars="0"/>
        <w:jc w:val="center"/>
        <w:rPr>
          <w:rFonts w:ascii="Times New Roman" w:hAnsi="Times New Roman" w:eastAsia="方正小标宋简体" w:cs="Times New Roman"/>
          <w:sz w:val="52"/>
          <w:szCs w:val="52"/>
        </w:rPr>
      </w:pPr>
    </w:p>
    <w:p>
      <w:pPr>
        <w:ind w:firstLine="0" w:firstLineChars="0"/>
        <w:jc w:val="center"/>
        <w:rPr>
          <w:rFonts w:ascii="Times New Roman" w:hAnsi="Times New Roman" w:eastAsia="方正小标宋简体" w:cs="Times New Roman"/>
          <w:sz w:val="52"/>
          <w:szCs w:val="52"/>
        </w:rPr>
      </w:pPr>
    </w:p>
    <w:p>
      <w:pPr>
        <w:ind w:firstLine="0" w:firstLineChars="0"/>
        <w:jc w:val="center"/>
        <w:rPr>
          <w:rFonts w:ascii="Times New Roman" w:hAnsi="Times New Roman" w:eastAsia="方正小标宋简体" w:cs="Times New Roman"/>
          <w:sz w:val="52"/>
          <w:szCs w:val="52"/>
        </w:rPr>
      </w:pPr>
    </w:p>
    <w:p>
      <w:pPr>
        <w:ind w:firstLine="0" w:firstLineChars="0"/>
        <w:jc w:val="center"/>
        <w:rPr>
          <w:rFonts w:ascii="Times New Roman" w:hAnsi="Times New Roman" w:eastAsia="方正小标宋简体" w:cs="Times New Roman"/>
          <w:sz w:val="52"/>
          <w:szCs w:val="52"/>
        </w:rPr>
      </w:pPr>
    </w:p>
    <w:p>
      <w:pPr>
        <w:ind w:left="-139" w:leftChars="-44" w:right="-195" w:rightChars="-62" w:firstLine="0" w:firstLineChars="0"/>
        <w:jc w:val="center"/>
        <w:rPr>
          <w:rFonts w:hint="eastAsia" w:ascii="Times New Roman" w:hAnsi="Times New Roman" w:eastAsia="方正小标宋简体" w:cs="Times New Roman"/>
          <w:sz w:val="52"/>
          <w:szCs w:val="52"/>
        </w:rPr>
      </w:pPr>
      <w:r>
        <w:rPr>
          <w:rFonts w:ascii="Times New Roman" w:hAnsi="Times New Roman" w:eastAsia="方正小标宋简体" w:cs="Times New Roman"/>
          <w:sz w:val="52"/>
          <w:szCs w:val="52"/>
        </w:rPr>
        <w:t>浙江省健康产业发展“十四五”规划</w:t>
      </w:r>
    </w:p>
    <w:p>
      <w:pPr>
        <w:pStyle w:val="2"/>
        <w:ind w:left="0" w:leftChars="0" w:firstLine="0" w:firstLineChars="0"/>
        <w:jc w:val="center"/>
        <w:rPr>
          <w:rFonts w:ascii="Times New Roman" w:hAnsi="Times New Roman" w:cs="Times New Roman"/>
        </w:rPr>
      </w:pPr>
      <w:r>
        <w:rPr>
          <w:rFonts w:hint="default" w:ascii="Times New Roman" w:hAnsi="Times New Roman" w:cs="Times New Roman"/>
        </w:rPr>
        <w:t>（征求意见稿）</w:t>
      </w:r>
    </w:p>
    <w:p>
      <w:pPr>
        <w:ind w:firstLine="0" w:firstLineChars="0"/>
        <w:jc w:val="center"/>
        <w:rPr>
          <w:rFonts w:ascii="Times New Roman" w:hAnsi="Times New Roman" w:cs="Times New Roman"/>
          <w:sz w:val="48"/>
          <w:szCs w:val="44"/>
        </w:rPr>
      </w:pPr>
    </w:p>
    <w:p>
      <w:pPr>
        <w:ind w:firstLine="0" w:firstLineChars="0"/>
        <w:jc w:val="center"/>
        <w:rPr>
          <w:rFonts w:ascii="Times New Roman" w:hAnsi="Times New Roman" w:cs="Times New Roman"/>
          <w:sz w:val="48"/>
          <w:szCs w:val="44"/>
        </w:rPr>
      </w:pPr>
    </w:p>
    <w:p>
      <w:pPr>
        <w:ind w:firstLine="0" w:firstLineChars="0"/>
        <w:jc w:val="center"/>
        <w:rPr>
          <w:rFonts w:ascii="Times New Roman" w:hAnsi="Times New Roman" w:cs="Times New Roman"/>
          <w:sz w:val="48"/>
          <w:szCs w:val="44"/>
        </w:rPr>
      </w:pPr>
    </w:p>
    <w:p>
      <w:pPr>
        <w:ind w:firstLine="0" w:firstLineChars="0"/>
        <w:jc w:val="center"/>
        <w:rPr>
          <w:rFonts w:ascii="Times New Roman" w:hAnsi="Times New Roman" w:cs="Times New Roman"/>
          <w:sz w:val="48"/>
          <w:szCs w:val="44"/>
        </w:rPr>
      </w:pPr>
    </w:p>
    <w:p>
      <w:pPr>
        <w:ind w:firstLine="0" w:firstLineChars="0"/>
        <w:jc w:val="center"/>
        <w:rPr>
          <w:rFonts w:ascii="Times New Roman" w:hAnsi="Times New Roman" w:cs="Times New Roman"/>
          <w:sz w:val="48"/>
          <w:szCs w:val="44"/>
        </w:rPr>
      </w:pPr>
    </w:p>
    <w:p>
      <w:pPr>
        <w:ind w:firstLine="0" w:firstLineChars="0"/>
        <w:jc w:val="center"/>
        <w:rPr>
          <w:rFonts w:ascii="Times New Roman" w:hAnsi="Times New Roman" w:cs="Times New Roman"/>
          <w:sz w:val="48"/>
          <w:szCs w:val="44"/>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cs="Times New Roman"/>
        </w:rPr>
      </w:pPr>
    </w:p>
    <w:p>
      <w:pPr>
        <w:ind w:firstLine="0" w:firstLineChars="0"/>
        <w:jc w:val="center"/>
        <w:rPr>
          <w:rFonts w:ascii="Times New Roman" w:hAnsi="Times New Roman" w:eastAsia="楷体_GB2312" w:cs="Times New Roman"/>
          <w:sz w:val="36"/>
          <w:szCs w:val="36"/>
        </w:rPr>
      </w:pPr>
      <w:r>
        <w:rPr>
          <w:rFonts w:ascii="Times New Roman" w:hAnsi="Times New Roman" w:eastAsia="楷体_GB2312" w:cs="Times New Roman"/>
          <w:sz w:val="36"/>
          <w:szCs w:val="36"/>
        </w:rPr>
        <w:t>浙江省发展和改革委员会</w:t>
      </w:r>
    </w:p>
    <w:p>
      <w:pPr>
        <w:ind w:firstLine="0" w:firstLineChars="0"/>
        <w:jc w:val="center"/>
        <w:rPr>
          <w:rFonts w:ascii="Times New Roman" w:hAnsi="Times New Roman" w:eastAsia="楷体_GB2312" w:cs="Times New Roman"/>
          <w:sz w:val="36"/>
          <w:szCs w:val="36"/>
        </w:rPr>
      </w:pPr>
      <w:r>
        <w:rPr>
          <w:rFonts w:ascii="Times New Roman" w:hAnsi="Times New Roman" w:eastAsia="楷体_GB2312" w:cs="Times New Roman"/>
          <w:sz w:val="36"/>
          <w:szCs w:val="36"/>
        </w:rPr>
        <w:t>浙江省发展规划研究院</w:t>
      </w:r>
    </w:p>
    <w:p>
      <w:pPr>
        <w:ind w:firstLine="0" w:firstLineChars="0"/>
        <w:jc w:val="center"/>
        <w:rPr>
          <w:rFonts w:ascii="Times New Roman" w:hAnsi="Times New Roman" w:cs="Times New Roman"/>
          <w:sz w:val="36"/>
          <w:szCs w:val="36"/>
        </w:rPr>
        <w:sectPr>
          <w:headerReference r:id="rId6" w:type="first"/>
          <w:footerReference r:id="rId9" w:type="first"/>
          <w:headerReference r:id="rId4" w:type="default"/>
          <w:footerReference r:id="rId7" w:type="default"/>
          <w:headerReference r:id="rId5" w:type="even"/>
          <w:footerReference r:id="rId8" w:type="even"/>
          <w:pgSz w:w="11906" w:h="16838"/>
          <w:pgMar w:top="2098" w:right="1474" w:bottom="1984" w:left="1587" w:header="851" w:footer="1587" w:gutter="0"/>
          <w:cols w:space="0" w:num="1"/>
          <w:titlePg/>
          <w:rtlGutter w:val="0"/>
          <w:docGrid w:type="linesAndChars" w:linePitch="579" w:charSpace="-842"/>
        </w:sectPr>
      </w:pPr>
      <w:r>
        <w:rPr>
          <w:rFonts w:ascii="Times New Roman" w:hAnsi="Times New Roman" w:cs="Times New Roman"/>
          <w:sz w:val="36"/>
          <w:szCs w:val="36"/>
        </w:rPr>
        <w:t>2021年3月</w:t>
      </w:r>
    </w:p>
    <w:sdt>
      <w:sdtPr>
        <w:rPr>
          <w:rFonts w:ascii="Times New Roman" w:hAnsi="Times New Roman" w:eastAsia="黑体" w:cs="Times New Roman"/>
          <w:lang w:val="zh-CN"/>
        </w:rPr>
        <w:id w:val="1751929143"/>
      </w:sdtPr>
      <w:sdtEndPr>
        <w:rPr>
          <w:rFonts w:ascii="Times New Roman" w:hAnsi="Times New Roman" w:eastAsia="仿宋_GB2312" w:cs="Times New Roman"/>
          <w:b/>
          <w:bCs/>
          <w:lang w:val="zh-CN"/>
        </w:rPr>
      </w:sdtEndPr>
      <w:sdtContent>
        <w:p>
          <w:pPr>
            <w:spacing w:beforeLines="50" w:afterLines="50" w:line="560" w:lineRule="exact"/>
            <w:ind w:firstLine="0" w:firstLineChars="0"/>
            <w:jc w:val="center"/>
            <w:rPr>
              <w:rFonts w:ascii="Times New Roman" w:hAnsi="Times New Roman" w:eastAsia="方正小标宋简体" w:cs="Times New Roman"/>
            </w:rPr>
          </w:pPr>
          <w:r>
            <w:rPr>
              <w:rFonts w:ascii="Times New Roman" w:hAnsi="Times New Roman" w:eastAsia="方正小标宋简体" w:cs="Times New Roman"/>
            </w:rPr>
            <w:t>目  录</w:t>
          </w:r>
        </w:p>
        <w:p>
          <w:pPr>
            <w:pStyle w:val="16"/>
            <w:tabs>
              <w:tab w:val="left" w:pos="1050"/>
              <w:tab w:val="right" w:leader="dot" w:pos="8720"/>
            </w:tabs>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HYPERLINK \l "_Toc66654773" </w:instrText>
          </w:r>
          <w:r>
            <w:rPr>
              <w:rFonts w:ascii="Times New Roman" w:hAnsi="Times New Roman" w:cs="Times New Roman"/>
            </w:rPr>
            <w:fldChar w:fldCharType="separate"/>
          </w:r>
          <w:r>
            <w:rPr>
              <w:rStyle w:val="23"/>
              <w:rFonts w:ascii="Times New Roman" w:hAnsi="Times New Roman" w:cs="Times New Roman"/>
            </w:rPr>
            <w:t>一、</w:t>
          </w:r>
          <w:r>
            <w:rPr>
              <w:rFonts w:ascii="Times New Roman" w:hAnsi="Times New Roman" w:cs="Times New Roman" w:eastAsiaTheme="minorEastAsia"/>
              <w:sz w:val="21"/>
              <w:szCs w:val="22"/>
            </w:rPr>
            <w:tab/>
          </w:r>
          <w:r>
            <w:rPr>
              <w:rStyle w:val="23"/>
              <w:rFonts w:ascii="Times New Roman" w:hAnsi="Times New Roman" w:cs="Times New Roman"/>
            </w:rPr>
            <w:t>现实基础与发展环境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_Toc66654773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"_Toc66654774" </w:instrText>
          </w:r>
          <w:r>
            <w:rPr>
              <w:rFonts w:ascii="Times New Roman" w:hAnsi="Times New Roman" w:cs="Times New Roman"/>
            </w:rPr>
            <w:fldChar w:fldCharType="separate"/>
          </w:r>
          <w:r>
            <w:rPr>
              <w:rStyle w:val="23"/>
              <w:rFonts w:ascii="Times New Roman" w:hAnsi="Times New Roman" w:cs="Times New Roman"/>
            </w:rPr>
            <w:t>（一）发展成效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_Toc66654774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"_Toc66654775" </w:instrText>
          </w:r>
          <w:r>
            <w:rPr>
              <w:rFonts w:ascii="Times New Roman" w:hAnsi="Times New Roman" w:cs="Times New Roman"/>
            </w:rPr>
            <w:fldChar w:fldCharType="separate"/>
          </w:r>
          <w:r>
            <w:rPr>
              <w:rStyle w:val="23"/>
              <w:rFonts w:ascii="Times New Roman" w:hAnsi="Times New Roman" w:cs="Times New Roman"/>
            </w:rPr>
            <w:t>（二）主要问题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_Toc66654775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"_Toc66654776" </w:instrText>
          </w:r>
          <w:r>
            <w:rPr>
              <w:rFonts w:ascii="Times New Roman" w:hAnsi="Times New Roman" w:cs="Times New Roman"/>
            </w:rPr>
            <w:fldChar w:fldCharType="separate"/>
          </w:r>
          <w:r>
            <w:rPr>
              <w:rStyle w:val="23"/>
              <w:rFonts w:ascii="Times New Roman" w:hAnsi="Times New Roman" w:cs="Times New Roman"/>
            </w:rPr>
            <w:t>（三）发展趋势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_Toc66654776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720"/>
            </w:tabs>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"_Toc66654777" </w:instrText>
          </w:r>
          <w:r>
            <w:rPr>
              <w:rFonts w:ascii="Times New Roman" w:hAnsi="Times New Roman" w:cs="Times New Roman"/>
            </w:rPr>
            <w:fldChar w:fldCharType="separate"/>
          </w:r>
          <w:r>
            <w:rPr>
              <w:rStyle w:val="23"/>
              <w:rFonts w:ascii="Times New Roman" w:hAnsi="Times New Roman" w:cs="Times New Roman"/>
            </w:rPr>
            <w:t>二、总体思路</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_Toc66654777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"_Toc66654778" </w:instrText>
          </w:r>
          <w:r>
            <w:rPr>
              <w:rFonts w:ascii="Times New Roman" w:hAnsi="Times New Roman" w:cs="Times New Roman"/>
            </w:rPr>
            <w:fldChar w:fldCharType="separate"/>
          </w:r>
          <w:r>
            <w:rPr>
              <w:rStyle w:val="23"/>
              <w:rFonts w:ascii="Times New Roman" w:hAnsi="Times New Roman" w:cs="Times New Roman"/>
            </w:rPr>
            <w:t>（一）指导思想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_Toc66654778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"_Toc66654779" </w:instrText>
          </w:r>
          <w:r>
            <w:rPr>
              <w:rFonts w:ascii="Times New Roman" w:hAnsi="Times New Roman" w:cs="Times New Roman"/>
            </w:rPr>
            <w:fldChar w:fldCharType="separate"/>
          </w:r>
          <w:r>
            <w:rPr>
              <w:rStyle w:val="23"/>
              <w:rFonts w:ascii="Times New Roman" w:hAnsi="Times New Roman" w:cs="Times New Roman"/>
            </w:rPr>
            <w:t>（二）基本原则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_Toc66654779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"_Toc66654780" </w:instrText>
          </w:r>
          <w:r>
            <w:rPr>
              <w:rFonts w:ascii="Times New Roman" w:hAnsi="Times New Roman" w:cs="Times New Roman"/>
            </w:rPr>
            <w:fldChar w:fldCharType="separate"/>
          </w:r>
          <w:r>
            <w:rPr>
              <w:rStyle w:val="23"/>
              <w:rFonts w:ascii="Times New Roman" w:hAnsi="Times New Roman" w:cs="Times New Roman"/>
            </w:rPr>
            <w:t>（三）发展目标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_Toc66654780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720"/>
            </w:tabs>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"_Toc66654781" </w:instrText>
          </w:r>
          <w:r>
            <w:rPr>
              <w:rFonts w:ascii="Times New Roman" w:hAnsi="Times New Roman" w:cs="Times New Roman"/>
            </w:rPr>
            <w:fldChar w:fldCharType="separate"/>
          </w:r>
          <w:r>
            <w:rPr>
              <w:rStyle w:val="23"/>
              <w:rFonts w:ascii="Times New Roman" w:hAnsi="Times New Roman" w:cs="Times New Roman"/>
            </w:rPr>
            <w:t>三、重点领域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_Toc66654781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"_Toc66654782" </w:instrText>
          </w:r>
          <w:r>
            <w:rPr>
              <w:rFonts w:ascii="Times New Roman" w:hAnsi="Times New Roman" w:cs="Times New Roman"/>
            </w:rPr>
            <w:fldChar w:fldCharType="separate"/>
          </w:r>
          <w:r>
            <w:rPr>
              <w:rStyle w:val="23"/>
              <w:rFonts w:ascii="Times New Roman" w:hAnsi="Times New Roman" w:cs="Times New Roman"/>
            </w:rPr>
            <w:t>（一）做优“医+”，发展高水平医疗健康服务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_Toc66654782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"_Toc66654783" </w:instrText>
          </w:r>
          <w:r>
            <w:rPr>
              <w:rFonts w:ascii="Times New Roman" w:hAnsi="Times New Roman" w:cs="Times New Roman"/>
            </w:rPr>
            <w:fldChar w:fldCharType="separate"/>
          </w:r>
          <w:r>
            <w:rPr>
              <w:rStyle w:val="23"/>
              <w:rFonts w:ascii="Times New Roman" w:hAnsi="Times New Roman" w:cs="Times New Roman"/>
            </w:rPr>
            <w:t>（二）做强“药+”，发展集群式医药器械产业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_Toc66654783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"_Toc66654784" </w:instrText>
          </w:r>
          <w:r>
            <w:rPr>
              <w:rFonts w:ascii="Times New Roman" w:hAnsi="Times New Roman" w:cs="Times New Roman"/>
            </w:rPr>
            <w:fldChar w:fldCharType="separate"/>
          </w:r>
          <w:r>
            <w:rPr>
              <w:rStyle w:val="23"/>
              <w:rFonts w:ascii="Times New Roman" w:hAnsi="Times New Roman" w:cs="Times New Roman"/>
            </w:rPr>
            <w:t>（三）做特“养+”，发展多样化康养融合产业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_Toc66654784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"_Toc66654785" </w:instrText>
          </w:r>
          <w:r>
            <w:rPr>
              <w:rFonts w:ascii="Times New Roman" w:hAnsi="Times New Roman" w:cs="Times New Roman"/>
            </w:rPr>
            <w:fldChar w:fldCharType="separate"/>
          </w:r>
          <w:r>
            <w:rPr>
              <w:rStyle w:val="23"/>
              <w:rFonts w:ascii="Times New Roman" w:hAnsi="Times New Roman" w:cs="Times New Roman"/>
            </w:rPr>
            <w:t>（四）做专“健+”，发展普惠型健体康体产业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_Toc66654785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"_Toc66654786" </w:instrText>
          </w:r>
          <w:r>
            <w:rPr>
              <w:rFonts w:ascii="Times New Roman" w:hAnsi="Times New Roman" w:cs="Times New Roman"/>
            </w:rPr>
            <w:fldChar w:fldCharType="separate"/>
          </w:r>
          <w:r>
            <w:rPr>
              <w:rStyle w:val="23"/>
              <w:rFonts w:ascii="Times New Roman" w:hAnsi="Times New Roman" w:cs="Times New Roman"/>
            </w:rPr>
            <w:t>（五）做精“智+”，发展前沿性健康数智领域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_Toc66654786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720"/>
            </w:tabs>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"_Toc66654787" </w:instrText>
          </w:r>
          <w:r>
            <w:rPr>
              <w:rFonts w:ascii="Times New Roman" w:hAnsi="Times New Roman" w:cs="Times New Roman"/>
            </w:rPr>
            <w:fldChar w:fldCharType="separate"/>
          </w:r>
          <w:r>
            <w:rPr>
              <w:rStyle w:val="23"/>
              <w:rFonts w:ascii="Times New Roman" w:hAnsi="Times New Roman" w:cs="Times New Roman"/>
            </w:rPr>
            <w:t>四、空间布局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_Toc66654787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"_Toc66654788" </w:instrText>
          </w:r>
          <w:r>
            <w:rPr>
              <w:rFonts w:ascii="Times New Roman" w:hAnsi="Times New Roman" w:cs="Times New Roman"/>
            </w:rPr>
            <w:fldChar w:fldCharType="separate"/>
          </w:r>
          <w:r>
            <w:rPr>
              <w:rStyle w:val="23"/>
              <w:rFonts w:ascii="Times New Roman" w:hAnsi="Times New Roman" w:eastAsia="楷体_GB2312" w:cs="Times New Roman"/>
            </w:rPr>
            <w:t>（一）优化“</w:t>
          </w:r>
          <w:r>
            <w:rPr>
              <w:rStyle w:val="23"/>
              <w:rFonts w:ascii="Times New Roman" w:hAnsi="Times New Roman" w:cs="Times New Roman"/>
            </w:rPr>
            <w:t>一核三极三带”空间布局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_Toc66654788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"_Toc66654789" </w:instrText>
          </w:r>
          <w:r>
            <w:rPr>
              <w:rFonts w:ascii="Times New Roman" w:hAnsi="Times New Roman" w:cs="Times New Roman"/>
            </w:rPr>
            <w:fldChar w:fldCharType="separate"/>
          </w:r>
          <w:r>
            <w:rPr>
              <w:rStyle w:val="23"/>
              <w:rFonts w:ascii="Times New Roman" w:hAnsi="Times New Roman" w:cs="Times New Roman"/>
            </w:rPr>
            <w:t>（二）全力打造“多镇多园”产业集聚平台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_Toc66654789 \h </w:instrText>
          </w:r>
          <w:r>
            <w:rPr>
              <w:rFonts w:ascii="Times New Roman" w:hAnsi="Times New Roman" w:cs="Times New Roman"/>
            </w:rPr>
            <w:fldChar w:fldCharType="separate"/>
          </w:r>
          <w:r>
            <w:rPr>
              <w:rFonts w:ascii="Times New Roman" w:hAnsi="Times New Roman" w:cs="Times New Roman"/>
            </w:rPr>
            <w:t>30</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720"/>
            </w:tabs>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"_Toc66654790" </w:instrText>
          </w:r>
          <w:r>
            <w:rPr>
              <w:rFonts w:ascii="Times New Roman" w:hAnsi="Times New Roman" w:cs="Times New Roman"/>
            </w:rPr>
            <w:fldChar w:fldCharType="separate"/>
          </w:r>
          <w:r>
            <w:rPr>
              <w:rStyle w:val="23"/>
              <w:rFonts w:ascii="Times New Roman" w:hAnsi="Times New Roman" w:cs="Times New Roman"/>
            </w:rPr>
            <w:t>五、重大工程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_Toc66654790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"_Toc66654791" </w:instrText>
          </w:r>
          <w:r>
            <w:rPr>
              <w:rFonts w:ascii="Times New Roman" w:hAnsi="Times New Roman" w:cs="Times New Roman"/>
            </w:rPr>
            <w:fldChar w:fldCharType="separate"/>
          </w:r>
          <w:r>
            <w:rPr>
              <w:rStyle w:val="23"/>
              <w:rFonts w:ascii="Times New Roman" w:hAnsi="Times New Roman" w:cs="Times New Roman"/>
            </w:rPr>
            <w:t>（一）健康产业科技创新工程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_Toc66654791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"_Toc66654792" </w:instrText>
          </w:r>
          <w:r>
            <w:rPr>
              <w:rFonts w:ascii="Times New Roman" w:hAnsi="Times New Roman" w:cs="Times New Roman"/>
            </w:rPr>
            <w:fldChar w:fldCharType="separate"/>
          </w:r>
          <w:r>
            <w:rPr>
              <w:rStyle w:val="23"/>
              <w:rFonts w:ascii="Times New Roman" w:hAnsi="Times New Roman" w:cs="Times New Roman"/>
            </w:rPr>
            <w:t>（二）健康产业企业梯队建设工程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_Toc66654792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"_Toc66654793" </w:instrText>
          </w:r>
          <w:r>
            <w:rPr>
              <w:rFonts w:ascii="Times New Roman" w:hAnsi="Times New Roman" w:cs="Times New Roman"/>
            </w:rPr>
            <w:fldChar w:fldCharType="separate"/>
          </w:r>
          <w:r>
            <w:rPr>
              <w:rStyle w:val="23"/>
              <w:rFonts w:ascii="Times New Roman" w:hAnsi="Times New Roman" w:cs="Times New Roman"/>
            </w:rPr>
            <w:t>（三）健康产业“双循环”畅通工程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_Toc66654793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"_Toc66654794" </w:instrText>
          </w:r>
          <w:r>
            <w:rPr>
              <w:rFonts w:ascii="Times New Roman" w:hAnsi="Times New Roman" w:cs="Times New Roman"/>
            </w:rPr>
            <w:fldChar w:fldCharType="separate"/>
          </w:r>
          <w:r>
            <w:rPr>
              <w:rStyle w:val="23"/>
              <w:rFonts w:ascii="Times New Roman" w:hAnsi="Times New Roman" w:cs="Times New Roman"/>
            </w:rPr>
            <w:t>（四）健康产业人才培引工程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_Toc66654794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"_Toc66654795" </w:instrText>
          </w:r>
          <w:r>
            <w:rPr>
              <w:rFonts w:ascii="Times New Roman" w:hAnsi="Times New Roman" w:cs="Times New Roman"/>
            </w:rPr>
            <w:fldChar w:fldCharType="separate"/>
          </w:r>
          <w:r>
            <w:rPr>
              <w:rStyle w:val="23"/>
              <w:rFonts w:ascii="Times New Roman" w:hAnsi="Times New Roman" w:cs="Times New Roman"/>
            </w:rPr>
            <w:t>（五）长三角健康产业协同发展工程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_Toc66654795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"_Toc66654796" </w:instrText>
          </w:r>
          <w:r>
            <w:rPr>
              <w:rFonts w:ascii="Times New Roman" w:hAnsi="Times New Roman" w:cs="Times New Roman"/>
            </w:rPr>
            <w:fldChar w:fldCharType="separate"/>
          </w:r>
          <w:r>
            <w:rPr>
              <w:rStyle w:val="23"/>
              <w:rFonts w:ascii="Times New Roman" w:hAnsi="Times New Roman" w:cs="Times New Roman"/>
            </w:rPr>
            <w:t>（六）健康产业营商环境优化工程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_Toc66654796 \h </w:instrText>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8720"/>
            </w:tabs>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"_Toc66654797" </w:instrText>
          </w:r>
          <w:r>
            <w:rPr>
              <w:rFonts w:ascii="Times New Roman" w:hAnsi="Times New Roman" w:cs="Times New Roman"/>
            </w:rPr>
            <w:fldChar w:fldCharType="separate"/>
          </w:r>
          <w:r>
            <w:rPr>
              <w:rStyle w:val="23"/>
              <w:rFonts w:ascii="Times New Roman" w:hAnsi="Times New Roman" w:cs="Times New Roman"/>
            </w:rPr>
            <w:t>六、保障措施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_Toc66654797 \h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"_Toc66654798" </w:instrText>
          </w:r>
          <w:r>
            <w:rPr>
              <w:rFonts w:ascii="Times New Roman" w:hAnsi="Times New Roman" w:cs="Times New Roman"/>
            </w:rPr>
            <w:fldChar w:fldCharType="separate"/>
          </w:r>
          <w:r>
            <w:rPr>
              <w:rStyle w:val="23"/>
              <w:rFonts w:ascii="Times New Roman" w:hAnsi="Times New Roman" w:cs="Times New Roman"/>
            </w:rPr>
            <w:t>（一）强化组织领导</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_Toc66654798 \h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"_Toc66654799" </w:instrText>
          </w:r>
          <w:r>
            <w:rPr>
              <w:rFonts w:ascii="Times New Roman" w:hAnsi="Times New Roman" w:cs="Times New Roman"/>
            </w:rPr>
            <w:fldChar w:fldCharType="separate"/>
          </w:r>
          <w:r>
            <w:rPr>
              <w:rStyle w:val="23"/>
              <w:rFonts w:ascii="Times New Roman" w:hAnsi="Times New Roman" w:cs="Times New Roman"/>
            </w:rPr>
            <w:t>（二）推进协同联动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_Toc66654799 \h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"_Toc66654800" </w:instrText>
          </w:r>
          <w:r>
            <w:rPr>
              <w:rFonts w:ascii="Times New Roman" w:hAnsi="Times New Roman" w:cs="Times New Roman"/>
            </w:rPr>
            <w:fldChar w:fldCharType="separate"/>
          </w:r>
          <w:r>
            <w:rPr>
              <w:rStyle w:val="23"/>
              <w:rFonts w:ascii="Times New Roman" w:hAnsi="Times New Roman" w:cs="Times New Roman"/>
            </w:rPr>
            <w:t>（三）加强综合监管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_Toc66654800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pStyle w:val="19"/>
            <w:tabs>
              <w:tab w:val="right" w:leader="dot" w:pos="8720"/>
            </w:tabs>
            <w:ind w:left="640"/>
            <w:rPr>
              <w:rFonts w:ascii="Times New Roman" w:hAnsi="Times New Roman" w:cs="Times New Roman" w:eastAsiaTheme="minorEastAsia"/>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"_Toc66654801" </w:instrText>
          </w:r>
          <w:r>
            <w:rPr>
              <w:rFonts w:ascii="Times New Roman" w:hAnsi="Times New Roman" w:cs="Times New Roman"/>
            </w:rPr>
            <w:fldChar w:fldCharType="separate"/>
          </w:r>
          <w:r>
            <w:rPr>
              <w:rStyle w:val="23"/>
              <w:rFonts w:ascii="Times New Roman" w:hAnsi="Times New Roman" w:cs="Times New Roman"/>
            </w:rPr>
            <w:t>（四）完善监测评价</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_Toc66654801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spacing w:line="312" w:lineRule="auto"/>
            <w:ind w:firstLine="0" w:firstLineChars="0"/>
            <w:rPr>
              <w:rFonts w:ascii="Times New Roman" w:hAnsi="Times New Roman" w:cs="Times New Roman"/>
            </w:rPr>
          </w:pPr>
          <w:r>
            <w:rPr>
              <w:rFonts w:ascii="Times New Roman" w:hAnsi="Times New Roman" w:eastAsia="黑体" w:cs="Times New Roman"/>
            </w:rPr>
            <w:fldChar w:fldCharType="end"/>
          </w:r>
        </w:p>
      </w:sdtContent>
    </w:sdt>
    <w:p>
      <w:pPr>
        <w:ind w:firstLine="0" w:firstLineChars="0"/>
        <w:rPr>
          <w:rFonts w:ascii="Times New Roman" w:hAnsi="Times New Roman" w:eastAsia="方正小标宋简体" w:cs="Times New Roman"/>
        </w:rPr>
      </w:pPr>
    </w:p>
    <w:p>
      <w:pPr>
        <w:ind w:firstLine="0" w:firstLineChars="0"/>
        <w:rPr>
          <w:rFonts w:ascii="Times New Roman" w:hAnsi="Times New Roman" w:cs="Times New Roman"/>
        </w:rPr>
      </w:pPr>
    </w:p>
    <w:p>
      <w:pPr>
        <w:ind w:firstLine="640"/>
        <w:rPr>
          <w:rFonts w:ascii="Times New Roman" w:hAnsi="Times New Roman" w:cs="Times New Roman"/>
        </w:rPr>
      </w:pPr>
    </w:p>
    <w:p>
      <w:pPr>
        <w:pStyle w:val="2"/>
        <w:ind w:left="640" w:firstLine="640"/>
        <w:rPr>
          <w:rFonts w:ascii="Times New Roman" w:hAnsi="Times New Roman" w:cs="Times New Roman"/>
        </w:rPr>
      </w:pPr>
    </w:p>
    <w:p>
      <w:pPr>
        <w:pStyle w:val="2"/>
        <w:ind w:left="640" w:firstLine="640"/>
        <w:rPr>
          <w:rFonts w:ascii="Times New Roman" w:hAnsi="Times New Roman" w:cs="Times New Roman"/>
        </w:rPr>
      </w:pPr>
    </w:p>
    <w:p>
      <w:pPr>
        <w:pStyle w:val="2"/>
        <w:ind w:left="640" w:firstLine="640"/>
        <w:rPr>
          <w:rFonts w:ascii="Times New Roman" w:hAnsi="Times New Roman" w:cs="Times New Roman"/>
        </w:rPr>
      </w:pPr>
    </w:p>
    <w:p>
      <w:pPr>
        <w:pStyle w:val="2"/>
        <w:ind w:left="640" w:firstLine="640"/>
        <w:rPr>
          <w:rFonts w:ascii="Times New Roman" w:hAnsi="Times New Roman" w:cs="Times New Roman"/>
        </w:rPr>
      </w:pPr>
    </w:p>
    <w:p>
      <w:pPr>
        <w:pStyle w:val="2"/>
        <w:ind w:left="640" w:firstLine="640"/>
        <w:rPr>
          <w:rFonts w:ascii="Times New Roman" w:hAnsi="Times New Roman" w:cs="Times New Roman"/>
        </w:rPr>
      </w:pPr>
    </w:p>
    <w:p>
      <w:pPr>
        <w:pStyle w:val="2"/>
        <w:ind w:left="0" w:leftChars="0" w:firstLine="0" w:firstLineChars="0"/>
        <w:rPr>
          <w:rFonts w:ascii="Times New Roman" w:hAnsi="Times New Roman" w:cs="Times New Roman"/>
        </w:rPr>
      </w:pPr>
    </w:p>
    <w:p>
      <w:pPr>
        <w:spacing w:beforeLines="50" w:afterLines="50" w:line="560" w:lineRule="exact"/>
        <w:ind w:firstLine="0" w:firstLineChars="0"/>
        <w:jc w:val="center"/>
        <w:rPr>
          <w:rFonts w:ascii="Times New Roman" w:hAnsi="Times New Roman" w:eastAsia="方正小标宋简体" w:cs="Times New Roman"/>
        </w:rPr>
      </w:pPr>
      <w:r>
        <w:rPr>
          <w:rFonts w:ascii="Times New Roman" w:hAnsi="Times New Roman" w:eastAsia="方正小标宋简体" w:cs="Times New Roman"/>
        </w:rPr>
        <w:t>专栏目录</w:t>
      </w:r>
    </w:p>
    <w:p>
      <w:pPr>
        <w:pStyle w:val="18"/>
        <w:tabs>
          <w:tab w:val="right" w:leader="dot" w:pos="8720"/>
        </w:tabs>
        <w:ind w:left="0" w:leftChars="0" w:firstLine="0" w:firstLineChars="0"/>
        <w:rPr>
          <w:rFonts w:ascii="Times New Roman" w:hAnsi="Times New Roman" w:cs="Times New Roman"/>
          <w:sz w:val="21"/>
          <w:szCs w:val="22"/>
        </w:rPr>
      </w:pPr>
      <w:r>
        <w:rPr>
          <w:rStyle w:val="23"/>
          <w:rFonts w:ascii="Times New Roman" w:hAnsi="Times New Roman" w:cs="Times New Roman"/>
          <w:color w:val="auto"/>
          <w:u w:val="none"/>
        </w:rPr>
        <w:fldChar w:fldCharType="begin"/>
      </w:r>
      <w:r>
        <w:rPr>
          <w:rStyle w:val="23"/>
          <w:rFonts w:ascii="Times New Roman" w:hAnsi="Times New Roman" w:cs="Times New Roman"/>
          <w:color w:val="auto"/>
          <w:u w:val="none"/>
        </w:rPr>
        <w:instrText xml:space="preserve"> TOC \h \z \c "专栏" </w:instrText>
      </w:r>
      <w:r>
        <w:rPr>
          <w:rStyle w:val="23"/>
          <w:rFonts w:ascii="Times New Roman" w:hAnsi="Times New Roman" w:cs="Times New Roman"/>
          <w:color w:val="auto"/>
          <w:u w:val="none"/>
        </w:rPr>
        <w:fldChar w:fldCharType="separate"/>
      </w:r>
      <w:r>
        <w:rPr>
          <w:rFonts w:ascii="Times New Roman" w:hAnsi="Times New Roman" w:cs="Times New Roman"/>
        </w:rPr>
        <w:fldChar w:fldCharType="begin"/>
      </w:r>
      <w:r>
        <w:rPr>
          <w:rFonts w:ascii="Times New Roman" w:hAnsi="Times New Roman" w:cs="Times New Roman"/>
        </w:rPr>
        <w:instrText xml:space="preserve"> HYPERLINK \l "_Toc66654802" </w:instrText>
      </w:r>
      <w:r>
        <w:rPr>
          <w:rFonts w:ascii="Times New Roman" w:hAnsi="Times New Roman" w:cs="Times New Roman"/>
        </w:rPr>
        <w:fldChar w:fldCharType="separate"/>
      </w:r>
      <w:r>
        <w:rPr>
          <w:rStyle w:val="23"/>
          <w:rFonts w:ascii="Times New Roman" w:hAnsi="Times New Roman" w:cs="Times New Roman"/>
        </w:rPr>
        <w:t>专栏1</w:t>
      </w:r>
      <w:r>
        <w:rPr>
          <w:rStyle w:val="23"/>
          <w:rFonts w:ascii="Times New Roman" w:hAnsi="Times New Roman" w:cs="Times New Roman"/>
          <w:kern w:val="0"/>
          <w:lang w:val="zh-CN"/>
        </w:rPr>
        <w:t xml:space="preserve"> 201</w:t>
      </w:r>
      <w:r>
        <w:rPr>
          <w:rStyle w:val="23"/>
          <w:rFonts w:ascii="Times New Roman" w:hAnsi="Times New Roman" w:cs="Times New Roman"/>
          <w:kern w:val="0"/>
        </w:rPr>
        <w:t>5</w:t>
      </w:r>
      <w:r>
        <w:rPr>
          <w:rStyle w:val="23"/>
          <w:rFonts w:ascii="Times New Roman" w:hAnsi="Times New Roman" w:cs="Times New Roman"/>
          <w:kern w:val="0"/>
          <w:lang w:val="zh-CN"/>
        </w:rPr>
        <w:t>-201</w:t>
      </w:r>
      <w:r>
        <w:rPr>
          <w:rStyle w:val="23"/>
          <w:rFonts w:ascii="Times New Roman" w:hAnsi="Times New Roman" w:cs="Times New Roman"/>
          <w:kern w:val="0"/>
        </w:rPr>
        <w:t>9</w:t>
      </w:r>
      <w:r>
        <w:rPr>
          <w:rStyle w:val="23"/>
          <w:rFonts w:ascii="Times New Roman" w:hAnsi="Times New Roman" w:cs="Times New Roman"/>
          <w:kern w:val="0"/>
          <w:lang w:val="zh-CN"/>
        </w:rPr>
        <w:t>年全省健康产业增加值及占GDP比重</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_Toc66654802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"_Toc66654803" </w:instrText>
      </w:r>
      <w:r>
        <w:rPr>
          <w:rFonts w:ascii="Times New Roman" w:hAnsi="Times New Roman" w:cs="Times New Roman"/>
        </w:rPr>
        <w:fldChar w:fldCharType="separate"/>
      </w:r>
      <w:r>
        <w:rPr>
          <w:rStyle w:val="23"/>
          <w:rFonts w:ascii="Times New Roman" w:hAnsi="Times New Roman" w:cs="Times New Roman"/>
        </w:rPr>
        <w:t>专栏2</w:t>
      </w:r>
      <w:r>
        <w:rPr>
          <w:rStyle w:val="23"/>
          <w:rFonts w:ascii="Times New Roman" w:hAnsi="Times New Roman" w:cs="Times New Roman"/>
          <w:kern w:val="0"/>
          <w:lang w:val="zh-CN"/>
        </w:rPr>
        <w:t xml:space="preserve"> 2019年各地市健康产业总产出、增加值、占GDP比重</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_Toc66654803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"_Toc66654804" </w:instrText>
      </w:r>
      <w:r>
        <w:rPr>
          <w:rFonts w:ascii="Times New Roman" w:hAnsi="Times New Roman" w:cs="Times New Roman"/>
        </w:rPr>
        <w:fldChar w:fldCharType="separate"/>
      </w:r>
      <w:r>
        <w:rPr>
          <w:rStyle w:val="23"/>
          <w:rFonts w:ascii="Times New Roman" w:hAnsi="Times New Roman" w:cs="Times New Roman"/>
        </w:rPr>
        <w:t>专栏3</w:t>
      </w:r>
      <w:r>
        <w:rPr>
          <w:rStyle w:val="23"/>
          <w:rFonts w:ascii="Times New Roman" w:hAnsi="Times New Roman" w:cs="Times New Roman"/>
          <w:kern w:val="0"/>
          <w:lang w:val="zh-CN"/>
        </w:rPr>
        <w:t xml:space="preserve"> 浙江省健康类特色小镇基本情况表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_Toc66654804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"_Toc66654805" </w:instrText>
      </w:r>
      <w:r>
        <w:rPr>
          <w:rFonts w:ascii="Times New Roman" w:hAnsi="Times New Roman" w:cs="Times New Roman"/>
        </w:rPr>
        <w:fldChar w:fldCharType="separate"/>
      </w:r>
      <w:r>
        <w:rPr>
          <w:rStyle w:val="23"/>
          <w:rFonts w:ascii="Times New Roman" w:hAnsi="Times New Roman" w:cs="Times New Roman"/>
        </w:rPr>
        <w:t>专栏4 “十四五”时期健康产业发展主要指标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_Toc66654805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"_Toc66654806" </w:instrText>
      </w:r>
      <w:r>
        <w:rPr>
          <w:rFonts w:ascii="Times New Roman" w:hAnsi="Times New Roman" w:cs="Times New Roman"/>
        </w:rPr>
        <w:fldChar w:fldCharType="separate"/>
      </w:r>
      <w:r>
        <w:rPr>
          <w:rStyle w:val="23"/>
          <w:rFonts w:ascii="Times New Roman" w:hAnsi="Times New Roman" w:cs="Times New Roman"/>
        </w:rPr>
        <w:t>专栏5 做优“医+”三大工程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_Toc66654806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"_Toc66654807" </w:instrText>
      </w:r>
      <w:r>
        <w:rPr>
          <w:rFonts w:ascii="Times New Roman" w:hAnsi="Times New Roman" w:cs="Times New Roman"/>
        </w:rPr>
        <w:fldChar w:fldCharType="separate"/>
      </w:r>
      <w:r>
        <w:rPr>
          <w:rStyle w:val="23"/>
          <w:rFonts w:ascii="Times New Roman" w:hAnsi="Times New Roman" w:cs="Times New Roman"/>
        </w:rPr>
        <w:t>专栏6 做强“药+”领域三大工程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_Toc66654807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"_Toc66654808" </w:instrText>
      </w:r>
      <w:r>
        <w:rPr>
          <w:rFonts w:ascii="Times New Roman" w:hAnsi="Times New Roman" w:cs="Times New Roman"/>
        </w:rPr>
        <w:fldChar w:fldCharType="separate"/>
      </w:r>
      <w:r>
        <w:rPr>
          <w:rStyle w:val="23"/>
          <w:rFonts w:ascii="Times New Roman" w:hAnsi="Times New Roman" w:cs="Times New Roman"/>
        </w:rPr>
        <w:t>专栏7 做特“养+”领域两大工程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_Toc66654808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"_Toc66654809" </w:instrText>
      </w:r>
      <w:r>
        <w:rPr>
          <w:rFonts w:ascii="Times New Roman" w:hAnsi="Times New Roman" w:cs="Times New Roman"/>
        </w:rPr>
        <w:fldChar w:fldCharType="separate"/>
      </w:r>
      <w:r>
        <w:rPr>
          <w:rStyle w:val="23"/>
          <w:rFonts w:ascii="Times New Roman" w:hAnsi="Times New Roman" w:cs="Times New Roman"/>
        </w:rPr>
        <w:t>专栏8 做专“健+”领域三个重大</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_Toc66654809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"_Toc66654810" </w:instrText>
      </w:r>
      <w:r>
        <w:rPr>
          <w:rFonts w:ascii="Times New Roman" w:hAnsi="Times New Roman" w:cs="Times New Roman"/>
        </w:rPr>
        <w:fldChar w:fldCharType="separate"/>
      </w:r>
      <w:r>
        <w:rPr>
          <w:rStyle w:val="23"/>
          <w:rFonts w:ascii="Times New Roman" w:hAnsi="Times New Roman" w:cs="Times New Roman"/>
        </w:rPr>
        <w:t>专栏9 做精“智+”领域重大项目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_Toc66654810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"_Toc66654811" </w:instrText>
      </w:r>
      <w:r>
        <w:rPr>
          <w:rFonts w:ascii="Times New Roman" w:hAnsi="Times New Roman" w:cs="Times New Roman"/>
        </w:rPr>
        <w:fldChar w:fldCharType="separate"/>
      </w:r>
      <w:r>
        <w:rPr>
          <w:rStyle w:val="23"/>
          <w:rFonts w:ascii="Times New Roman" w:hAnsi="Times New Roman" w:cs="Times New Roman"/>
        </w:rPr>
        <w:t>专栏10 健康产业重大平台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_Toc66654811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"_Toc66654812" </w:instrText>
      </w:r>
      <w:r>
        <w:rPr>
          <w:rFonts w:ascii="Times New Roman" w:hAnsi="Times New Roman" w:cs="Times New Roman"/>
        </w:rPr>
        <w:fldChar w:fldCharType="separate"/>
      </w:r>
      <w:r>
        <w:rPr>
          <w:rStyle w:val="23"/>
          <w:rFonts w:ascii="Times New Roman" w:hAnsi="Times New Roman" w:cs="Times New Roman"/>
        </w:rPr>
        <w:t>专栏11 健康领域“双尖双领”重大科技创新计划</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_Toc66654812 \h </w:instrText>
      </w:r>
      <w:r>
        <w:rPr>
          <w:rFonts w:ascii="Times New Roman" w:hAnsi="Times New Roman" w:cs="Times New Roman"/>
        </w:rPr>
        <w:fldChar w:fldCharType="separate"/>
      </w:r>
      <w:r>
        <w:rPr>
          <w:rFonts w:ascii="Times New Roman" w:hAnsi="Times New Roman" w:cs="Times New Roman"/>
        </w:rPr>
        <w:t>32</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"_Toc66654813" </w:instrText>
      </w:r>
      <w:r>
        <w:rPr>
          <w:rFonts w:ascii="Times New Roman" w:hAnsi="Times New Roman" w:cs="Times New Roman"/>
        </w:rPr>
        <w:fldChar w:fldCharType="separate"/>
      </w:r>
      <w:r>
        <w:rPr>
          <w:rStyle w:val="23"/>
          <w:rFonts w:ascii="Times New Roman" w:hAnsi="Times New Roman" w:cs="Times New Roman"/>
        </w:rPr>
        <w:t>专栏12 健康产业高能级科创平台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_Toc66654813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"_Toc66654814" </w:instrText>
      </w:r>
      <w:r>
        <w:rPr>
          <w:rFonts w:ascii="Times New Roman" w:hAnsi="Times New Roman" w:cs="Times New Roman"/>
        </w:rPr>
        <w:fldChar w:fldCharType="separate"/>
      </w:r>
      <w:r>
        <w:rPr>
          <w:rStyle w:val="23"/>
          <w:rFonts w:ascii="Times New Roman" w:hAnsi="Times New Roman" w:cs="Times New Roman"/>
        </w:rPr>
        <w:t>专栏13 健康产业科技创新重大改革和重大政策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_Toc66654814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"_Toc66654815" </w:instrText>
      </w:r>
      <w:r>
        <w:rPr>
          <w:rFonts w:ascii="Times New Roman" w:hAnsi="Times New Roman" w:cs="Times New Roman"/>
        </w:rPr>
        <w:fldChar w:fldCharType="separate"/>
      </w:r>
      <w:r>
        <w:rPr>
          <w:rStyle w:val="23"/>
          <w:rFonts w:ascii="Times New Roman" w:hAnsi="Times New Roman" w:cs="Times New Roman"/>
        </w:rPr>
        <w:t>专栏14 健康产业企业梯队培育工程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_Toc66654815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"_Toc66654816" </w:instrText>
      </w:r>
      <w:r>
        <w:rPr>
          <w:rFonts w:ascii="Times New Roman" w:hAnsi="Times New Roman" w:cs="Times New Roman"/>
        </w:rPr>
        <w:fldChar w:fldCharType="separate"/>
      </w:r>
      <w:r>
        <w:rPr>
          <w:rStyle w:val="23"/>
          <w:rFonts w:ascii="Times New Roman" w:hAnsi="Times New Roman" w:cs="Times New Roman"/>
        </w:rPr>
        <w:t>专栏15 健康产业“浙”字品牌培育计划</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_Toc66654816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"_Toc66654817" </w:instrText>
      </w:r>
      <w:r>
        <w:rPr>
          <w:rFonts w:ascii="Times New Roman" w:hAnsi="Times New Roman" w:cs="Times New Roman"/>
        </w:rPr>
        <w:fldChar w:fldCharType="separate"/>
      </w:r>
      <w:r>
        <w:rPr>
          <w:rStyle w:val="23"/>
          <w:rFonts w:ascii="Times New Roman" w:hAnsi="Times New Roman" w:cs="Times New Roman"/>
        </w:rPr>
        <w:t>专栏16 健康产业人才行动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_Toc66654817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8720"/>
        </w:tabs>
        <w:ind w:left="0" w:leftChars="0" w:firstLine="0" w:firstLineChars="0"/>
        <w:rPr>
          <w:rFonts w:ascii="Times New Roman" w:hAnsi="Times New Roman" w:cs="Times New Roman"/>
          <w:sz w:val="21"/>
          <w:szCs w:val="22"/>
        </w:rPr>
      </w:pPr>
      <w:r>
        <w:rPr>
          <w:rFonts w:ascii="Times New Roman" w:hAnsi="Times New Roman" w:cs="Times New Roman"/>
        </w:rPr>
        <w:fldChar w:fldCharType="begin"/>
      </w:r>
      <w:r>
        <w:rPr>
          <w:rFonts w:ascii="Times New Roman" w:hAnsi="Times New Roman" w:cs="Times New Roman"/>
        </w:rPr>
        <w:instrText xml:space="preserve"> HYPERLINK \l "_Toc66654818" </w:instrText>
      </w:r>
      <w:r>
        <w:rPr>
          <w:rFonts w:ascii="Times New Roman" w:hAnsi="Times New Roman" w:cs="Times New Roman"/>
        </w:rPr>
        <w:fldChar w:fldCharType="separate"/>
      </w:r>
      <w:r>
        <w:rPr>
          <w:rStyle w:val="23"/>
          <w:rFonts w:ascii="Times New Roman" w:hAnsi="Times New Roman" w:cs="Times New Roman"/>
        </w:rPr>
        <w:t>专栏17 长三角健康产业协同发展重大平台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_Toc66654818 \h </w:instrText>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Pr>
          <w:rFonts w:ascii="Times New Roman" w:hAnsi="Times New Roman" w:cs="Times New Roman"/>
        </w:rPr>
        <w:fldChar w:fldCharType="end"/>
      </w:r>
    </w:p>
    <w:p>
      <w:pPr>
        <w:ind w:firstLine="0" w:firstLineChars="0"/>
        <w:jc w:val="left"/>
        <w:rPr>
          <w:rFonts w:ascii="Times New Roman" w:hAnsi="Times New Roman" w:cs="Times New Roman"/>
        </w:rPr>
        <w:sectPr>
          <w:headerReference r:id="rId12" w:type="first"/>
          <w:footerReference r:id="rId15" w:type="first"/>
          <w:headerReference r:id="rId10" w:type="default"/>
          <w:footerReference r:id="rId13" w:type="default"/>
          <w:headerReference r:id="rId11" w:type="even"/>
          <w:footerReference r:id="rId14" w:type="even"/>
          <w:pgSz w:w="11906" w:h="16838"/>
          <w:pgMar w:top="2098" w:right="1474" w:bottom="1984" w:left="1587" w:header="851" w:footer="1587" w:gutter="0"/>
          <w:pgNumType w:fmt="upperRoman" w:start="1"/>
          <w:cols w:space="0" w:num="1"/>
          <w:rtlGutter w:val="0"/>
          <w:docGrid w:type="linesAndChars" w:linePitch="579" w:charSpace="-842"/>
        </w:sectPr>
      </w:pPr>
      <w:r>
        <w:rPr>
          <w:rStyle w:val="23"/>
          <w:rFonts w:ascii="Times New Roman" w:hAnsi="Times New Roman" w:cs="Times New Roman"/>
          <w:color w:val="auto"/>
          <w:u w:val="none"/>
        </w:rPr>
        <w:fldChar w:fldCharType="end"/>
      </w:r>
    </w:p>
    <w:p>
      <w:pPr>
        <w:spacing w:beforeLines="0" w:afterLines="0" w:line="579" w:lineRule="exact"/>
        <w:ind w:firstLine="640"/>
        <w:rPr>
          <w:rFonts w:ascii="Times New Roman" w:hAnsi="Times New Roman" w:cs="Times New Roman"/>
        </w:rPr>
      </w:pPr>
      <w:r>
        <w:rPr>
          <w:rFonts w:ascii="Times New Roman" w:hAnsi="Times New Roman" w:cs="Times New Roman"/>
        </w:rPr>
        <w:t>突如其来的新冠肺炎疫情严重威胁人民的身体健康与生命安全，也对经济社会发展造成了巨大的影响与冲击。疫情过后，人民身体健康和生命安全将受到高度重视，健康中国和健康浙江建设也将迈入崭新阶段。健康产业是我省八大万亿产业之一，发展健康产业对保障大众健康，维护国家安全意义重大。为贯彻落实国家和省委省政府发展健康产业的工作部署，加快形成内涵丰富、结构合理的健康产业体系，满足人民多层次、多元化的健康服务需求，特编制《浙江省健康产业发展“十四五”规划》。本规划依据《促进健康产业高质量发展行动纲要（2019-2022 年）》（发改社会〔2019〕1427号）、《浙江省国民经济和社会发展第十四个五年规划和二</w:t>
      </w:r>
      <w:r>
        <w:rPr>
          <w:rFonts w:ascii="Times New Roman" w:hAnsi="Times New Roman" w:eastAsia="宋体" w:cs="Times New Roman"/>
        </w:rPr>
        <w:t>〇</w:t>
      </w:r>
      <w:r>
        <w:rPr>
          <w:rFonts w:ascii="Times New Roman" w:hAnsi="Times New Roman" w:cs="Times New Roman"/>
        </w:rPr>
        <w:t>三五年远景目标纲要》等文件精神编制，规划期限为2021年至2025年。</w:t>
      </w:r>
    </w:p>
    <w:p>
      <w:pPr>
        <w:pStyle w:val="4"/>
        <w:numPr>
          <w:ilvl w:val="0"/>
          <w:numId w:val="1"/>
        </w:numPr>
        <w:spacing w:before="0" w:beforeLines="0" w:after="0" w:afterLines="0" w:line="579" w:lineRule="exact"/>
        <w:ind w:firstLineChars="0"/>
        <w:rPr>
          <w:rFonts w:ascii="Times New Roman" w:hAnsi="Times New Roman"/>
        </w:rPr>
      </w:pPr>
      <w:bookmarkStart w:id="0" w:name="_Toc66654773"/>
      <w:r>
        <w:rPr>
          <w:rFonts w:ascii="Times New Roman" w:hAnsi="Times New Roman"/>
        </w:rPr>
        <w:t>现实基础与发展环境</w:t>
      </w:r>
      <w:bookmarkEnd w:id="0"/>
      <w:r>
        <w:rPr>
          <w:rFonts w:ascii="Times New Roman" w:hAnsi="Times New Roman"/>
        </w:rPr>
        <w:t xml:space="preserve"> </w:t>
      </w:r>
    </w:p>
    <w:p>
      <w:pPr>
        <w:pStyle w:val="5"/>
        <w:spacing w:before="0" w:beforeLines="0" w:after="0" w:afterLines="0" w:line="579" w:lineRule="exact"/>
        <w:ind w:firstLine="640"/>
        <w:rPr>
          <w:rFonts w:ascii="Times New Roman" w:hAnsi="Times New Roman" w:cs="Times New Roman"/>
        </w:rPr>
      </w:pPr>
      <w:bookmarkStart w:id="1" w:name="_Toc66654774"/>
      <w:r>
        <w:rPr>
          <w:rFonts w:ascii="Times New Roman" w:hAnsi="Times New Roman" w:cs="Times New Roman"/>
        </w:rPr>
        <w:t>（一）发展成效</w:t>
      </w:r>
      <w:bookmarkEnd w:id="1"/>
    </w:p>
    <w:p>
      <w:pPr>
        <w:spacing w:beforeLines="0" w:afterLines="0" w:line="579" w:lineRule="exact"/>
        <w:ind w:firstLine="640"/>
        <w:rPr>
          <w:rFonts w:ascii="Times New Roman" w:hAnsi="Times New Roman" w:cs="Times New Roman"/>
        </w:rPr>
      </w:pPr>
      <w:r>
        <w:rPr>
          <w:rFonts w:ascii="Times New Roman" w:hAnsi="Times New Roman" w:cs="Times New Roman"/>
        </w:rPr>
        <w:t>健康产业是浙江省重点培育的八大万亿产业之一，“十三五”期间，我省以打造万亿级产业为目标，以创新、集聚、融合、提升为主线，以“医、养、健、智”为四大板块，加快提升医疗服务、健康养老、健康管理、健康信息、健康旅游和文化、医疗装备和器械、药品和健康食品、体育健身等八大领域展水平，产业规模快速扩大，产业特色不断凸显，“十三五”规划的既定目标和各项任务顺利完成。</w:t>
      </w:r>
    </w:p>
    <w:p>
      <w:pPr>
        <w:spacing w:beforeLines="0" w:afterLines="0" w:line="579" w:lineRule="exact"/>
        <w:ind w:firstLine="643"/>
        <w:rPr>
          <w:rFonts w:ascii="Times New Roman" w:hAnsi="Times New Roman" w:cs="Times New Roman"/>
          <w:bCs/>
        </w:rPr>
      </w:pPr>
      <w:r>
        <w:rPr>
          <w:rFonts w:ascii="Times New Roman" w:hAnsi="Times New Roman" w:cs="Times New Roman"/>
          <w:b/>
          <w:bCs/>
        </w:rPr>
        <w:t>产业规模快速扩大。</w:t>
      </w:r>
      <w:r>
        <w:rPr>
          <w:rFonts w:ascii="Times New Roman" w:hAnsi="Times New Roman" w:cs="Times New Roman"/>
          <w:color w:val="000000" w:themeColor="text1"/>
        </w:rPr>
        <w:t>2019年</w:t>
      </w:r>
      <w:r>
        <w:rPr>
          <w:rFonts w:ascii="Times New Roman" w:hAnsi="Times New Roman" w:cs="Times New Roman"/>
          <w:bCs/>
          <w:color w:val="000000" w:themeColor="text1"/>
        </w:rPr>
        <w:t>全省健康产业总产出达9315亿</w:t>
      </w:r>
      <w:r>
        <w:rPr>
          <w:rFonts w:ascii="Times New Roman" w:hAnsi="Times New Roman" w:cs="Times New Roman"/>
          <w:color w:val="000000" w:themeColor="text1"/>
        </w:rPr>
        <w:t>元</w:t>
      </w:r>
      <w:r>
        <w:rPr>
          <w:rFonts w:ascii="Times New Roman" w:hAnsi="Times New Roman" w:cs="Times New Roman"/>
          <w:bCs/>
          <w:color w:val="000000" w:themeColor="text1"/>
        </w:rPr>
        <w:t>，较2015年（</w:t>
      </w:r>
      <w:r>
        <w:rPr>
          <w:rFonts w:ascii="Times New Roman" w:hAnsi="Times New Roman" w:cs="Times New Roman"/>
          <w:color w:val="000000" w:themeColor="text1"/>
          <w:kern w:val="0"/>
        </w:rPr>
        <w:t>5392</w:t>
      </w:r>
      <w:r>
        <w:rPr>
          <w:rFonts w:ascii="Times New Roman" w:hAnsi="Times New Roman" w:cs="Times New Roman"/>
          <w:color w:val="000000" w:themeColor="text1"/>
        </w:rPr>
        <w:t>亿元）增长72.76%，健康产业增加值达3719亿元，“十三五”期间年均增速为11.97%，</w:t>
      </w:r>
      <w:r>
        <w:rPr>
          <w:rFonts w:ascii="Times New Roman" w:hAnsi="Times New Roman" w:cs="Times New Roman"/>
          <w:bCs/>
          <w:color w:val="000000" w:themeColor="text1"/>
        </w:rPr>
        <w:t>高于同期全省GDP增长速度。健康产业增加值占GDP的比重由2015年的4.6%增长到2019年的6%，成为国民经济支柱性产业</w:t>
      </w:r>
      <w:r>
        <w:rPr>
          <w:rFonts w:ascii="Times New Roman" w:hAnsi="Times New Roman" w:cs="Times New Roman"/>
          <w:color w:val="000000" w:themeColor="text1"/>
        </w:rPr>
        <w:t>。</w:t>
      </w:r>
      <w:r>
        <w:rPr>
          <w:rFonts w:ascii="Times New Roman" w:hAnsi="Times New Roman" w:cs="Times New Roman"/>
          <w:bCs/>
        </w:rPr>
        <w:t>三次产业占比为1.7:25.9:72.4，细分行业中，</w:t>
      </w:r>
      <w:r>
        <w:rPr>
          <w:rFonts w:ascii="Times New Roman" w:hAnsi="Times New Roman" w:cs="Times New Roman"/>
          <w:szCs w:val="21"/>
        </w:rPr>
        <w:t>医疗卫生服务、医药制造、健康用品、器材与智能设备制造占比排名前三</w:t>
      </w:r>
      <w:r>
        <w:rPr>
          <w:rFonts w:ascii="Times New Roman" w:hAnsi="Times New Roman" w:cs="Times New Roman"/>
          <w:bCs/>
        </w:rPr>
        <w:t>。各地健康产业对地方经济发展的贡献不断增强，杭州、温州、绍兴、金华、衢州、台州、丽水7个地市的健康产业增加值占GDP比重超过5%，成为推动地方经济发展的重要力量。</w:t>
      </w:r>
    </w:p>
    <w:p>
      <w:pPr>
        <w:spacing w:line="240" w:lineRule="auto"/>
        <w:ind w:firstLine="0" w:firstLineChars="0"/>
        <w:jc w:val="center"/>
        <w:rPr>
          <w:rFonts w:ascii="Times New Roman" w:hAnsi="Times New Roman" w:eastAsia="黑体" w:cs="Times New Roman"/>
          <w:sz w:val="24"/>
          <w:szCs w:val="24"/>
        </w:rPr>
      </w:pPr>
      <w:r>
        <w:rPr>
          <w:rFonts w:ascii="Times New Roman" w:hAnsi="Times New Roman" w:cs="Times New Roman"/>
        </w:rPr>
        <w:drawing>
          <wp:inline distT="0" distB="0" distL="0" distR="0">
            <wp:extent cx="4572000" cy="2743200"/>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240" w:lineRule="auto"/>
        <w:ind w:firstLine="0" w:firstLineChars="0"/>
        <w:jc w:val="center"/>
        <w:rPr>
          <w:rFonts w:ascii="Times New Roman" w:hAnsi="Times New Roman" w:eastAsia="黑体" w:cs="Times New Roman"/>
          <w:kern w:val="0"/>
          <w:sz w:val="24"/>
          <w:szCs w:val="24"/>
          <w:lang w:val="zh-CN"/>
        </w:rPr>
      </w:pPr>
      <w:bookmarkStart w:id="2" w:name="_Toc66654802"/>
      <w:r>
        <w:rPr>
          <w:rFonts w:ascii="Times New Roman" w:hAnsi="Times New Roman" w:eastAsia="黑体" w:cs="Times New Roman"/>
          <w:sz w:val="24"/>
          <w:szCs w:val="24"/>
        </w:rPr>
        <w:t>专栏</w:t>
      </w:r>
      <w:r>
        <w:rPr>
          <w:rFonts w:ascii="Times New Roman" w:hAnsi="Times New Roman" w:eastAsia="黑体" w:cs="Times New Roman"/>
          <w:sz w:val="24"/>
          <w:szCs w:val="24"/>
        </w:rPr>
        <w:fldChar w:fldCharType="begin"/>
      </w:r>
      <w:r>
        <w:rPr>
          <w:rFonts w:ascii="Times New Roman" w:hAnsi="Times New Roman" w:eastAsia="黑体" w:cs="Times New Roman"/>
          <w:sz w:val="24"/>
          <w:szCs w:val="24"/>
        </w:rPr>
        <w:instrText xml:space="preserve"> SEQ 专栏 \* ARABIC </w:instrText>
      </w:r>
      <w:r>
        <w:rPr>
          <w:rFonts w:ascii="Times New Roman" w:hAnsi="Times New Roman" w:eastAsia="黑体" w:cs="Times New Roman"/>
          <w:sz w:val="24"/>
          <w:szCs w:val="24"/>
        </w:rPr>
        <w:fldChar w:fldCharType="separate"/>
      </w:r>
      <w:r>
        <w:rPr>
          <w:rFonts w:ascii="Times New Roman" w:hAnsi="Times New Roman" w:eastAsia="黑体" w:cs="Times New Roman"/>
          <w:sz w:val="24"/>
          <w:szCs w:val="24"/>
        </w:rPr>
        <w:t>1</w:t>
      </w:r>
      <w:r>
        <w:rPr>
          <w:rFonts w:ascii="Times New Roman" w:hAnsi="Times New Roman" w:eastAsia="黑体" w:cs="Times New Roman"/>
          <w:sz w:val="24"/>
          <w:szCs w:val="24"/>
        </w:rPr>
        <w:fldChar w:fldCharType="end"/>
      </w:r>
      <w:r>
        <w:rPr>
          <w:rFonts w:ascii="Times New Roman" w:hAnsi="Times New Roman" w:cs="Times New Roman"/>
          <w:kern w:val="0"/>
          <w:sz w:val="24"/>
          <w:szCs w:val="24"/>
          <w:lang w:val="zh-CN"/>
        </w:rPr>
        <w:t xml:space="preserve">  </w:t>
      </w:r>
      <w:r>
        <w:rPr>
          <w:rFonts w:ascii="Times New Roman" w:hAnsi="Times New Roman" w:eastAsia="黑体" w:cs="Times New Roman"/>
          <w:kern w:val="0"/>
          <w:sz w:val="24"/>
          <w:szCs w:val="24"/>
          <w:lang w:val="zh-CN"/>
        </w:rPr>
        <w:t>201</w:t>
      </w:r>
      <w:r>
        <w:rPr>
          <w:rFonts w:ascii="Times New Roman" w:hAnsi="Times New Roman" w:eastAsia="黑体" w:cs="Times New Roman"/>
          <w:kern w:val="0"/>
          <w:sz w:val="24"/>
          <w:szCs w:val="24"/>
        </w:rPr>
        <w:t>5</w:t>
      </w:r>
      <w:r>
        <w:rPr>
          <w:rFonts w:ascii="Times New Roman" w:hAnsi="Times New Roman" w:eastAsia="黑体" w:cs="Times New Roman"/>
          <w:kern w:val="0"/>
          <w:sz w:val="24"/>
          <w:szCs w:val="24"/>
          <w:lang w:val="zh-CN"/>
        </w:rPr>
        <w:t>-201</w:t>
      </w:r>
      <w:r>
        <w:rPr>
          <w:rFonts w:ascii="Times New Roman" w:hAnsi="Times New Roman" w:eastAsia="黑体" w:cs="Times New Roman"/>
          <w:kern w:val="0"/>
          <w:sz w:val="24"/>
          <w:szCs w:val="24"/>
        </w:rPr>
        <w:t>9</w:t>
      </w:r>
      <w:r>
        <w:rPr>
          <w:rFonts w:ascii="Times New Roman" w:hAnsi="Times New Roman" w:eastAsia="黑体" w:cs="Times New Roman"/>
          <w:kern w:val="0"/>
          <w:sz w:val="24"/>
          <w:szCs w:val="24"/>
          <w:lang w:val="zh-CN"/>
        </w:rPr>
        <w:t>年全省健康产业增加值及占GDP比重</w:t>
      </w:r>
      <w:bookmarkEnd w:id="2"/>
    </w:p>
    <w:p>
      <w:pPr>
        <w:spacing w:line="240" w:lineRule="auto"/>
        <w:ind w:firstLine="0" w:firstLineChars="0"/>
        <w:jc w:val="center"/>
        <w:rPr>
          <w:rFonts w:ascii="Times New Roman" w:hAnsi="Times New Roman" w:eastAsia="黑体" w:cs="Times New Roman"/>
          <w:kern w:val="0"/>
          <w:sz w:val="24"/>
          <w:szCs w:val="24"/>
          <w:lang w:val="zh-CN"/>
        </w:rPr>
      </w:pPr>
    </w:p>
    <w:p>
      <w:pPr>
        <w:adjustRightInd w:val="0"/>
        <w:snapToGrid w:val="0"/>
        <w:spacing w:line="240" w:lineRule="auto"/>
        <w:ind w:firstLine="0" w:firstLineChars="0"/>
        <w:jc w:val="center"/>
        <w:rPr>
          <w:rFonts w:ascii="Times New Roman" w:hAnsi="Times New Roman" w:cs="Times New Roman"/>
        </w:rPr>
      </w:pPr>
      <w:r>
        <w:rPr>
          <w:rFonts w:ascii="Times New Roman" w:hAnsi="Times New Roman" w:cs="Times New Roman"/>
        </w:rPr>
        <w:drawing>
          <wp:inline distT="0" distB="0" distL="0" distR="0">
            <wp:extent cx="4866640" cy="3044825"/>
            <wp:effectExtent l="4445" t="4445" r="5715" b="1397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beforeLines="0" w:afterLines="0" w:line="579" w:lineRule="exact"/>
        <w:ind w:firstLine="0" w:firstLineChars="0"/>
        <w:jc w:val="center"/>
        <w:rPr>
          <w:rFonts w:ascii="Times New Roman" w:hAnsi="Times New Roman" w:cs="Times New Roman"/>
        </w:rPr>
      </w:pPr>
      <w:bookmarkStart w:id="3" w:name="_Toc66654803"/>
      <w:r>
        <w:rPr>
          <w:rFonts w:ascii="Times New Roman" w:hAnsi="Times New Roman" w:eastAsia="黑体" w:cs="Times New Roman"/>
          <w:sz w:val="24"/>
          <w:szCs w:val="24"/>
        </w:rPr>
        <w:t>专栏</w:t>
      </w:r>
      <w:r>
        <w:rPr>
          <w:rFonts w:ascii="Times New Roman" w:hAnsi="Times New Roman" w:eastAsia="黑体" w:cs="Times New Roman"/>
          <w:sz w:val="24"/>
          <w:szCs w:val="24"/>
        </w:rPr>
        <w:fldChar w:fldCharType="begin"/>
      </w:r>
      <w:r>
        <w:rPr>
          <w:rFonts w:ascii="Times New Roman" w:hAnsi="Times New Roman" w:eastAsia="黑体" w:cs="Times New Roman"/>
          <w:sz w:val="24"/>
          <w:szCs w:val="24"/>
        </w:rPr>
        <w:instrText xml:space="preserve"> SEQ 专栏 \* ARABIC </w:instrText>
      </w:r>
      <w:r>
        <w:rPr>
          <w:rFonts w:ascii="Times New Roman" w:hAnsi="Times New Roman" w:eastAsia="黑体" w:cs="Times New Roman"/>
          <w:sz w:val="24"/>
          <w:szCs w:val="24"/>
        </w:rPr>
        <w:fldChar w:fldCharType="separate"/>
      </w:r>
      <w:r>
        <w:rPr>
          <w:rFonts w:ascii="Times New Roman" w:hAnsi="Times New Roman" w:eastAsia="黑体" w:cs="Times New Roman"/>
          <w:sz w:val="24"/>
          <w:szCs w:val="24"/>
        </w:rPr>
        <w:t>2</w:t>
      </w:r>
      <w:r>
        <w:rPr>
          <w:rFonts w:ascii="Times New Roman" w:hAnsi="Times New Roman" w:eastAsia="黑体" w:cs="Times New Roman"/>
          <w:sz w:val="24"/>
          <w:szCs w:val="24"/>
        </w:rPr>
        <w:fldChar w:fldCharType="end"/>
      </w:r>
      <w:r>
        <w:rPr>
          <w:rFonts w:ascii="Times New Roman" w:hAnsi="Times New Roman" w:cs="Times New Roman"/>
          <w:kern w:val="0"/>
          <w:sz w:val="24"/>
          <w:szCs w:val="24"/>
          <w:lang w:val="zh-CN"/>
        </w:rPr>
        <w:t xml:space="preserve"> </w:t>
      </w:r>
      <w:r>
        <w:rPr>
          <w:rFonts w:ascii="Times New Roman" w:hAnsi="Times New Roman" w:eastAsia="黑体" w:cs="Times New Roman"/>
          <w:kern w:val="0"/>
          <w:sz w:val="24"/>
          <w:szCs w:val="24"/>
          <w:lang w:val="zh-CN"/>
        </w:rPr>
        <w:t xml:space="preserve"> 2019年各地市健康产业总产出、增加值、占GDP比重</w:t>
      </w:r>
      <w:bookmarkEnd w:id="3"/>
    </w:p>
    <w:p>
      <w:pPr>
        <w:spacing w:beforeLines="0" w:afterLines="0" w:line="579" w:lineRule="exact"/>
        <w:ind w:firstLine="643"/>
        <w:rPr>
          <w:rFonts w:ascii="Times New Roman" w:hAnsi="Times New Roman" w:cs="Times New Roman"/>
        </w:rPr>
      </w:pPr>
      <w:r>
        <w:rPr>
          <w:rFonts w:ascii="Times New Roman" w:hAnsi="Times New Roman" w:cs="Times New Roman"/>
          <w:b/>
          <w:bCs/>
        </w:rPr>
        <w:t>重点领域亮点纷呈。</w:t>
      </w:r>
      <w:r>
        <w:rPr>
          <w:rFonts w:ascii="Times New Roman" w:hAnsi="Times New Roman" w:cs="Times New Roman"/>
        </w:rPr>
        <w:t>健康数字化加快转型，全民健康信息平台建设不断完善，医疗人工智能发展迅速，浙江省智慧健康入选全国2018年度医改十大新举措，浙一互联网医院成为全国第一个公立三甲医院网上院区，全国首个集监管和服务一体化的互联网医疗服务平台在浙江启用。医疗器械行业实力不断增强，已形成余杭省级医疗器械产业园区</w:t>
      </w:r>
      <w:r>
        <w:rPr>
          <w:rFonts w:hint="eastAsia" w:ascii="Times New Roman" w:hAnsi="Times New Roman" w:cs="Times New Roman"/>
        </w:rPr>
        <w:t>、</w:t>
      </w:r>
      <w:r>
        <w:rPr>
          <w:rFonts w:ascii="Times New Roman" w:hAnsi="Times New Roman" w:cs="Times New Roman"/>
        </w:rPr>
        <w:t>宁波核磁共振成像设备、台州一次性输注器具等一批特色区块。社会办医呈现良好发展势头，全省共有社会办医疗机构1.79万家，占全省医疗机构总数50%以上，社会办医疗机构床位10.47万张，占全省床位总数近30%，形成了康宁、绿康、树兰等在全国范围内较有影响力的社会办医品牌。健康文化旅游特色凸显，中医药文化养生旅游、老年养生旅游等新业态不断发展。舟山群岛新区入选首批国家健康旅游示范基地，全省共建成4家国家中医药健康旅游示范基地、66家浙江省中医药健康文化养生旅游示范基地、86</w:t>
      </w:r>
      <w:r>
        <w:rPr>
          <w:rStyle w:val="25"/>
          <w:rFonts w:ascii="Times New Roman" w:hAnsi="Times New Roman" w:cs="Times New Roman"/>
        </w:rPr>
        <w:footnoteReference w:id="0"/>
      </w:r>
      <w:r>
        <w:rPr>
          <w:rFonts w:ascii="Times New Roman" w:hAnsi="Times New Roman" w:cs="Times New Roman"/>
        </w:rPr>
        <w:t>家省级老年养生旅游示范基地。</w:t>
      </w:r>
    </w:p>
    <w:p>
      <w:pPr>
        <w:spacing w:beforeLines="0" w:afterLines="0" w:line="579" w:lineRule="exact"/>
        <w:ind w:firstLine="643"/>
        <w:rPr>
          <w:rFonts w:ascii="Times New Roman" w:hAnsi="Times New Roman" w:cs="Times New Roman"/>
          <w:b/>
          <w:bCs/>
        </w:rPr>
      </w:pPr>
      <w:r>
        <w:rPr>
          <w:rFonts w:ascii="Times New Roman" w:hAnsi="Times New Roman" w:cs="Times New Roman"/>
          <w:b/>
          <w:bCs/>
        </w:rPr>
        <w:t>科创能力显著提升。</w:t>
      </w:r>
      <w:r>
        <w:rPr>
          <w:rFonts w:ascii="Times New Roman" w:hAnsi="Times New Roman" w:cs="Times New Roman"/>
        </w:rPr>
        <w:t>健康产业重大科技攻关项目有效实施，围绕人口健康、创新药物、医疗装备等重点领域，立项支持省重点研发计划项目96项、公益技术应用研究项目313项</w:t>
      </w:r>
      <w:r>
        <w:rPr>
          <w:rStyle w:val="25"/>
          <w:rFonts w:hint="default" w:ascii="Times New Roman" w:hAnsi="Times New Roman" w:cs="Times New Roman"/>
        </w:rPr>
        <w:footnoteReference w:id="1"/>
      </w:r>
      <w:r>
        <w:rPr>
          <w:rFonts w:ascii="Times New Roman" w:hAnsi="Times New Roman" w:cs="Times New Roman"/>
        </w:rPr>
        <w:t>。创新成果加速涌现，全省健康产业领域获得国家科学技术奖励15项，贝达药业创新药物埃克替尼成为浙江工业制造领域首个获国家科技进步一等奖的产品，植入式心脏瓣膜、人工耳蜗等医疗器械前沿产品在全国率先上市。新冠疫情暴发以来，我省在全国率先启动应急科研攻关，在全国省级层面最早分离得到病毒毒株，全球首次利用冷冻电镜技术成功解析新冠病毒细胞表面受体，2款核酸检测试剂获批上市，4条技术路线疫苗研发稳步推进。健康产业创新平台加快打造，首批建设的4家浙江省实验室中，生命健康领域一次性布局2家。我省重点布局了西湖大学、浙大医学中心等基础研究平台，良渚实验室、西湖实验室等重大科创平台，累计建成国家级重点实验</w:t>
      </w:r>
      <w:r>
        <w:rPr>
          <w:rFonts w:hint="eastAsia" w:ascii="Times New Roman" w:hAnsi="Times New Roman" w:cs="Times New Roman"/>
        </w:rPr>
        <w:t>室（工程研究中心）</w:t>
      </w:r>
      <w:r>
        <w:rPr>
          <w:rFonts w:ascii="Times New Roman" w:hAnsi="Times New Roman" w:cs="Times New Roman"/>
        </w:rPr>
        <w:t>4家、省级重点实验</w:t>
      </w:r>
      <w:r>
        <w:rPr>
          <w:rFonts w:hint="eastAsia" w:ascii="Times New Roman" w:hAnsi="Times New Roman" w:cs="Times New Roman"/>
        </w:rPr>
        <w:t>室（工程研究中心）</w:t>
      </w:r>
      <w:r>
        <w:rPr>
          <w:rFonts w:ascii="Times New Roman" w:hAnsi="Times New Roman" w:cs="Times New Roman"/>
        </w:rPr>
        <w:t>107家、省级产业创新服务综合体10家和省级重点企业研究院35个。</w:t>
      </w:r>
    </w:p>
    <w:p>
      <w:pPr>
        <w:spacing w:beforeLines="0" w:afterLines="0" w:line="579" w:lineRule="exact"/>
        <w:ind w:firstLine="643"/>
        <w:rPr>
          <w:rFonts w:ascii="Times New Roman" w:hAnsi="Times New Roman" w:cs="Times New Roman"/>
        </w:rPr>
      </w:pPr>
      <w:r>
        <w:rPr>
          <w:rFonts w:ascii="Times New Roman" w:hAnsi="Times New Roman" w:cs="Times New Roman"/>
          <w:b/>
          <w:bCs/>
        </w:rPr>
        <w:t>平台载体扎实推进。</w:t>
      </w:r>
      <w:r>
        <w:rPr>
          <w:rFonts w:ascii="Times New Roman" w:hAnsi="Times New Roman" w:cs="Times New Roman"/>
        </w:rPr>
        <w:t>全省</w:t>
      </w:r>
      <w:r>
        <w:rPr>
          <w:rFonts w:ascii="Times New Roman" w:hAnsi="Times New Roman" w:cs="Times New Roman"/>
          <w:bCs/>
        </w:rPr>
        <w:t>目前已形成杭州医药港小镇、</w:t>
      </w:r>
      <w:r>
        <w:rPr>
          <w:rFonts w:ascii="Times New Roman" w:hAnsi="Times New Roman" w:cs="Times New Roman"/>
          <w:bCs/>
          <w:color w:val="000000" w:themeColor="text1"/>
        </w:rPr>
        <w:t>磐安江南药镇等13个</w:t>
      </w:r>
      <w:r>
        <w:rPr>
          <w:rFonts w:ascii="Times New Roman" w:hAnsi="Times New Roman" w:cs="Times New Roman"/>
          <w:bCs/>
        </w:rPr>
        <w:t>省级健康特色小镇，其中验收命名1个，贡献了全省医药产业总产出的近40%。</w:t>
      </w:r>
      <w:r>
        <w:rPr>
          <w:rFonts w:ascii="Times New Roman" w:hAnsi="Times New Roman" w:cs="Times New Roman"/>
        </w:rPr>
        <w:t>“万亩千亿”新产业平台积极培育，杭州钱塘新区高端生物医药</w:t>
      </w:r>
      <w:r>
        <w:rPr>
          <w:rFonts w:ascii="Times New Roman" w:hAnsi="Times New Roman" w:cs="Times New Roman"/>
          <w:bCs/>
        </w:rPr>
        <w:t>产业平台、绍兴滨海新区高端生物医药产业平台集聚了默沙东、赛诺菲、辉瑞等一批国际知名药企。</w:t>
      </w:r>
      <w:r>
        <w:rPr>
          <w:rFonts w:hint="eastAsia" w:ascii="Times New Roman" w:hAnsi="Times New Roman" w:cs="Times New Roman"/>
          <w:bCs/>
        </w:rPr>
        <w:t>2</w:t>
      </w:r>
      <w:r>
        <w:rPr>
          <w:rFonts w:ascii="Times New Roman" w:hAnsi="Times New Roman" w:cs="Times New Roman"/>
          <w:bCs/>
        </w:rPr>
        <w:t>019</w:t>
      </w:r>
      <w:r>
        <w:rPr>
          <w:rFonts w:hint="eastAsia" w:ascii="Times New Roman" w:hAnsi="Times New Roman" w:cs="Times New Roman"/>
          <w:bCs/>
        </w:rPr>
        <w:t>年，</w:t>
      </w:r>
      <w:r>
        <w:rPr>
          <w:rFonts w:ascii="Times New Roman" w:hAnsi="Times New Roman" w:cs="Times New Roman"/>
        </w:rPr>
        <w:t>千亿生命健康工程</w:t>
      </w:r>
      <w:r>
        <w:rPr>
          <w:rFonts w:hint="eastAsia" w:ascii="Times New Roman" w:hAnsi="Times New Roman" w:cs="Times New Roman"/>
        </w:rPr>
        <w:t>共</w:t>
      </w:r>
      <w:r>
        <w:rPr>
          <w:rFonts w:ascii="Times New Roman" w:hAnsi="Times New Roman" w:cs="Times New Roman"/>
        </w:rPr>
        <w:t>实施项目266个，完成投资903亿元，对健康产业强链延链补链起到重要作用。</w:t>
      </w:r>
      <w:r>
        <w:rPr>
          <w:rFonts w:ascii="Times New Roman" w:hAnsi="Times New Roman" w:cs="Times New Roman"/>
          <w:bCs/>
        </w:rPr>
        <w:t>龙头企业不断涌现，全省</w:t>
      </w:r>
      <w:r>
        <w:rPr>
          <w:rFonts w:ascii="Times New Roman" w:hAnsi="Times New Roman" w:cs="Times New Roman"/>
        </w:rPr>
        <w:t>共有健康产业上市企业50家，数量全国第一。在智慧健康、第三方诊断、基因检测、信息化服务等领域，涌现出微医集团、迪安诊断、医惠科技等一批全国知名企业，11家企业入选“中国医药工业百强”。</w:t>
      </w:r>
    </w:p>
    <w:p>
      <w:pPr>
        <w:ind w:firstLine="0" w:firstLineChars="0"/>
        <w:jc w:val="center"/>
        <w:rPr>
          <w:rFonts w:ascii="Times New Roman" w:hAnsi="Times New Roman" w:eastAsia="黑体" w:cs="Times New Roman"/>
          <w:kern w:val="0"/>
          <w:sz w:val="24"/>
          <w:szCs w:val="24"/>
          <w:lang w:val="zh-CN"/>
        </w:rPr>
      </w:pPr>
      <w:bookmarkStart w:id="4" w:name="_Toc66654804"/>
      <w:r>
        <w:rPr>
          <w:rFonts w:ascii="Times New Roman" w:hAnsi="Times New Roman" w:eastAsia="黑体" w:cs="Times New Roman"/>
          <w:sz w:val="24"/>
          <w:szCs w:val="24"/>
        </w:rPr>
        <w:t>专栏</w:t>
      </w:r>
      <w:r>
        <w:rPr>
          <w:rFonts w:ascii="Times New Roman" w:hAnsi="Times New Roman" w:eastAsia="黑体" w:cs="Times New Roman"/>
          <w:sz w:val="24"/>
          <w:szCs w:val="24"/>
        </w:rPr>
        <w:fldChar w:fldCharType="begin"/>
      </w:r>
      <w:r>
        <w:rPr>
          <w:rFonts w:ascii="Times New Roman" w:hAnsi="Times New Roman" w:eastAsia="黑体" w:cs="Times New Roman"/>
          <w:sz w:val="24"/>
          <w:szCs w:val="24"/>
        </w:rPr>
        <w:instrText xml:space="preserve"> SEQ 专栏 \* ARABIC </w:instrText>
      </w:r>
      <w:r>
        <w:rPr>
          <w:rFonts w:ascii="Times New Roman" w:hAnsi="Times New Roman" w:eastAsia="黑体" w:cs="Times New Roman"/>
          <w:sz w:val="24"/>
          <w:szCs w:val="24"/>
        </w:rPr>
        <w:fldChar w:fldCharType="separate"/>
      </w:r>
      <w:r>
        <w:rPr>
          <w:rFonts w:ascii="Times New Roman" w:hAnsi="Times New Roman" w:eastAsia="黑体" w:cs="Times New Roman"/>
          <w:sz w:val="24"/>
          <w:szCs w:val="24"/>
        </w:rPr>
        <w:t>3</w:t>
      </w:r>
      <w:r>
        <w:rPr>
          <w:rFonts w:ascii="Times New Roman" w:hAnsi="Times New Roman" w:eastAsia="黑体" w:cs="Times New Roman"/>
          <w:sz w:val="24"/>
          <w:szCs w:val="24"/>
        </w:rPr>
        <w:fldChar w:fldCharType="end"/>
      </w:r>
      <w:r>
        <w:rPr>
          <w:rFonts w:ascii="Times New Roman" w:hAnsi="Times New Roman" w:cs="Times New Roman"/>
          <w:kern w:val="0"/>
          <w:sz w:val="24"/>
          <w:szCs w:val="24"/>
          <w:lang w:val="zh-CN"/>
        </w:rPr>
        <w:t xml:space="preserve">  </w:t>
      </w:r>
      <w:r>
        <w:rPr>
          <w:rFonts w:ascii="Times New Roman" w:hAnsi="Times New Roman" w:eastAsia="黑体" w:cs="Times New Roman"/>
          <w:kern w:val="0"/>
          <w:sz w:val="24"/>
          <w:szCs w:val="24"/>
          <w:lang w:val="zh-CN"/>
        </w:rPr>
        <w:t>浙江省健康类特色小镇基本情况表</w:t>
      </w:r>
      <w:bookmarkEnd w:id="4"/>
    </w:p>
    <w:tbl>
      <w:tblPr>
        <w:tblStyle w:val="27"/>
        <w:tblW w:w="6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770"/>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24" w:type="dxa"/>
            <w:vAlign w:val="center"/>
          </w:tcPr>
          <w:p>
            <w:pPr>
              <w:adjustRightInd w:val="0"/>
              <w:snapToGrid w:val="0"/>
              <w:spacing w:line="240" w:lineRule="auto"/>
              <w:ind w:firstLine="0" w:firstLineChars="0"/>
              <w:jc w:val="center"/>
              <w:rPr>
                <w:rFonts w:ascii="Times New Roman" w:hAnsi="Times New Roman" w:eastAsia="仿宋" w:cs="Times New Roman"/>
                <w:b/>
                <w:bCs/>
                <w:kern w:val="0"/>
                <w:sz w:val="24"/>
                <w:szCs w:val="24"/>
              </w:rPr>
            </w:pPr>
            <w:r>
              <w:rPr>
                <w:rFonts w:ascii="Times New Roman" w:hAnsi="Times New Roman" w:cs="Times New Roman"/>
                <w:b/>
                <w:bCs/>
                <w:kern w:val="0"/>
                <w:sz w:val="24"/>
                <w:szCs w:val="24"/>
              </w:rPr>
              <w:t>类型</w:t>
            </w:r>
          </w:p>
        </w:tc>
        <w:tc>
          <w:tcPr>
            <w:tcW w:w="1770" w:type="dxa"/>
            <w:vAlign w:val="center"/>
          </w:tcPr>
          <w:p>
            <w:pPr>
              <w:adjustRightInd w:val="0"/>
              <w:snapToGrid w:val="0"/>
              <w:spacing w:line="240" w:lineRule="auto"/>
              <w:ind w:firstLine="0" w:firstLineChars="0"/>
              <w:jc w:val="center"/>
              <w:rPr>
                <w:rFonts w:ascii="Times New Roman" w:hAnsi="Times New Roman" w:eastAsia="仿宋" w:cs="Times New Roman"/>
                <w:b/>
                <w:bCs/>
                <w:kern w:val="0"/>
                <w:sz w:val="24"/>
                <w:szCs w:val="24"/>
              </w:rPr>
            </w:pPr>
            <w:r>
              <w:rPr>
                <w:rFonts w:ascii="Times New Roman" w:hAnsi="Times New Roman" w:cs="Times New Roman"/>
                <w:b/>
                <w:bCs/>
                <w:kern w:val="0"/>
                <w:sz w:val="24"/>
                <w:szCs w:val="24"/>
              </w:rPr>
              <w:t>地区</w:t>
            </w:r>
          </w:p>
        </w:tc>
        <w:tc>
          <w:tcPr>
            <w:tcW w:w="3426" w:type="dxa"/>
            <w:vAlign w:val="center"/>
          </w:tcPr>
          <w:p>
            <w:pPr>
              <w:adjustRightInd w:val="0"/>
              <w:snapToGrid w:val="0"/>
              <w:spacing w:line="240" w:lineRule="auto"/>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Align w:val="center"/>
          </w:tcPr>
          <w:p>
            <w:pPr>
              <w:adjustRightInd w:val="0"/>
              <w:snapToGrid w:val="0"/>
              <w:spacing w:line="240" w:lineRule="auto"/>
              <w:ind w:firstLine="0" w:firstLineChars="0"/>
              <w:jc w:val="center"/>
              <w:rPr>
                <w:rFonts w:ascii="Times New Roman" w:hAnsi="Times New Roman" w:cs="Times New Roman"/>
                <w:bCs/>
                <w:kern w:val="0"/>
                <w:sz w:val="24"/>
                <w:szCs w:val="24"/>
              </w:rPr>
            </w:pPr>
            <w:r>
              <w:rPr>
                <w:rFonts w:ascii="Times New Roman" w:hAnsi="Times New Roman" w:cs="Times New Roman"/>
                <w:bCs/>
                <w:kern w:val="0"/>
                <w:sz w:val="24"/>
                <w:szCs w:val="24"/>
              </w:rPr>
              <w:t>验收命名</w:t>
            </w:r>
          </w:p>
          <w:p>
            <w:pPr>
              <w:adjustRightInd w:val="0"/>
              <w:snapToGrid w:val="0"/>
              <w:spacing w:line="240" w:lineRule="auto"/>
              <w:ind w:firstLine="0" w:firstLineChars="0"/>
              <w:jc w:val="center"/>
              <w:rPr>
                <w:rFonts w:ascii="Times New Roman" w:hAnsi="Times New Roman" w:cs="Times New Roman"/>
                <w:b/>
                <w:bCs/>
                <w:kern w:val="0"/>
                <w:sz w:val="24"/>
                <w:szCs w:val="24"/>
              </w:rPr>
            </w:pPr>
            <w:r>
              <w:rPr>
                <w:rFonts w:ascii="Times New Roman" w:hAnsi="Times New Roman" w:cs="Times New Roman"/>
                <w:bCs/>
                <w:kern w:val="0"/>
                <w:sz w:val="24"/>
                <w:szCs w:val="24"/>
              </w:rPr>
              <w:t>（1个）</w:t>
            </w:r>
          </w:p>
        </w:tc>
        <w:tc>
          <w:tcPr>
            <w:tcW w:w="1770" w:type="dxa"/>
            <w:vAlign w:val="center"/>
          </w:tcPr>
          <w:p>
            <w:pPr>
              <w:adjustRightInd w:val="0"/>
              <w:snapToGrid w:val="0"/>
              <w:spacing w:line="240" w:lineRule="auto"/>
              <w:ind w:firstLine="0" w:firstLineChars="0"/>
              <w:jc w:val="center"/>
              <w:rPr>
                <w:rFonts w:ascii="Times New Roman" w:hAnsi="Times New Roman" w:cs="Times New Roman"/>
                <w:b/>
                <w:bCs/>
                <w:kern w:val="0"/>
                <w:sz w:val="24"/>
                <w:szCs w:val="24"/>
              </w:rPr>
            </w:pPr>
            <w:r>
              <w:rPr>
                <w:rFonts w:ascii="Times New Roman" w:hAnsi="Times New Roman" w:cs="Times New Roman"/>
                <w:kern w:val="0"/>
                <w:sz w:val="24"/>
                <w:szCs w:val="24"/>
              </w:rPr>
              <w:t>舟山</w:t>
            </w:r>
          </w:p>
        </w:tc>
        <w:tc>
          <w:tcPr>
            <w:tcW w:w="3426" w:type="dxa"/>
            <w:vAlign w:val="center"/>
          </w:tcPr>
          <w:p>
            <w:pPr>
              <w:adjustRightInd w:val="0"/>
              <w:snapToGrid w:val="0"/>
              <w:spacing w:line="240" w:lineRule="auto"/>
              <w:ind w:firstLine="0" w:firstLineChars="0"/>
              <w:rPr>
                <w:rFonts w:ascii="Times New Roman" w:hAnsi="Times New Roman" w:cs="Times New Roman"/>
                <w:b/>
                <w:bCs/>
                <w:kern w:val="0"/>
                <w:sz w:val="24"/>
                <w:szCs w:val="24"/>
              </w:rPr>
            </w:pPr>
            <w:r>
              <w:rPr>
                <w:rFonts w:ascii="Times New Roman" w:hAnsi="Times New Roman" w:cs="Times New Roman"/>
                <w:kern w:val="0"/>
                <w:sz w:val="24"/>
                <w:szCs w:val="24"/>
              </w:rPr>
              <w:t>定海远洋渔业小镇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restart"/>
            <w:vAlign w:val="center"/>
          </w:tcPr>
          <w:p>
            <w:pPr>
              <w:adjustRightInd w:val="0"/>
              <w:snapToGrid w:val="0"/>
              <w:spacing w:line="240" w:lineRule="auto"/>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创建类</w:t>
            </w:r>
          </w:p>
          <w:p>
            <w:pPr>
              <w:adjustRightInd w:val="0"/>
              <w:snapToGrid w:val="0"/>
              <w:spacing w:line="240" w:lineRule="auto"/>
              <w:ind w:firstLine="0" w:firstLineChars="0"/>
              <w:jc w:val="center"/>
              <w:rPr>
                <w:rFonts w:ascii="Times New Roman" w:hAnsi="Times New Roman" w:eastAsia="仿宋" w:cs="Times New Roman"/>
                <w:kern w:val="0"/>
                <w:sz w:val="24"/>
                <w:szCs w:val="24"/>
              </w:rPr>
            </w:pPr>
            <w:r>
              <w:rPr>
                <w:rFonts w:ascii="Times New Roman" w:hAnsi="Times New Roman" w:cs="Times New Roman"/>
                <w:kern w:val="0"/>
                <w:sz w:val="24"/>
                <w:szCs w:val="24"/>
              </w:rPr>
              <w:t>（7个）</w:t>
            </w:r>
          </w:p>
        </w:tc>
        <w:tc>
          <w:tcPr>
            <w:tcW w:w="1770" w:type="dxa"/>
            <w:vMerge w:val="restart"/>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r>
              <w:rPr>
                <w:rFonts w:ascii="Times New Roman" w:hAnsi="Times New Roman" w:cs="Times New Roman"/>
                <w:kern w:val="0"/>
                <w:sz w:val="24"/>
                <w:szCs w:val="24"/>
              </w:rPr>
              <w:t>杭州</w:t>
            </w: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富阳药谷小镇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1770"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桐庐健康小镇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1770"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杭州医药港小镇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1770" w:type="dxa"/>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r>
              <w:rPr>
                <w:rFonts w:ascii="Times New Roman" w:hAnsi="Times New Roman" w:cs="Times New Roman"/>
                <w:kern w:val="0"/>
                <w:sz w:val="24"/>
                <w:szCs w:val="24"/>
              </w:rPr>
              <w:t>温州</w:t>
            </w: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瓯海生命健康小镇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1770" w:type="dxa"/>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r>
              <w:rPr>
                <w:rFonts w:ascii="Times New Roman" w:hAnsi="Times New Roman" w:cs="Times New Roman"/>
                <w:kern w:val="0"/>
                <w:sz w:val="24"/>
                <w:szCs w:val="24"/>
              </w:rPr>
              <w:t>嘉兴</w:t>
            </w: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马家浜健康食品小镇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1770" w:type="dxa"/>
            <w:vAlign w:val="center"/>
          </w:tcPr>
          <w:p>
            <w:pPr>
              <w:adjustRightInd w:val="0"/>
              <w:snapToGrid w:val="0"/>
              <w:spacing w:line="240" w:lineRule="auto"/>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金华</w:t>
            </w: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磐安江南药镇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1770" w:type="dxa"/>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r>
              <w:rPr>
                <w:rFonts w:ascii="Times New Roman" w:hAnsi="Times New Roman" w:cs="Times New Roman"/>
                <w:kern w:val="0"/>
                <w:sz w:val="24"/>
                <w:szCs w:val="24"/>
              </w:rPr>
              <w:t>台州</w:t>
            </w: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椒江绿色药都小镇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restart"/>
            <w:vAlign w:val="center"/>
          </w:tcPr>
          <w:p>
            <w:pPr>
              <w:adjustRightInd w:val="0"/>
              <w:snapToGrid w:val="0"/>
              <w:spacing w:line="240" w:lineRule="auto"/>
              <w:ind w:firstLine="0" w:firstLineChars="0"/>
              <w:jc w:val="center"/>
              <w:rPr>
                <w:rFonts w:ascii="Times New Roman" w:hAnsi="Times New Roman" w:cs="Times New Roman"/>
                <w:kern w:val="0"/>
                <w:sz w:val="24"/>
                <w:szCs w:val="24"/>
              </w:rPr>
            </w:pPr>
            <w:r>
              <w:rPr>
                <w:rFonts w:ascii="Times New Roman" w:hAnsi="Times New Roman" w:cs="Times New Roman"/>
                <w:kern w:val="0"/>
                <w:sz w:val="24"/>
                <w:szCs w:val="24"/>
              </w:rPr>
              <w:t>培育类</w:t>
            </w:r>
          </w:p>
          <w:p>
            <w:pPr>
              <w:adjustRightInd w:val="0"/>
              <w:snapToGrid w:val="0"/>
              <w:spacing w:line="240" w:lineRule="auto"/>
              <w:ind w:firstLine="0" w:firstLineChars="0"/>
              <w:jc w:val="center"/>
              <w:rPr>
                <w:rFonts w:ascii="Times New Roman" w:hAnsi="Times New Roman" w:eastAsia="仿宋" w:cs="Times New Roman"/>
                <w:kern w:val="0"/>
                <w:sz w:val="24"/>
                <w:szCs w:val="24"/>
              </w:rPr>
            </w:pPr>
            <w:r>
              <w:rPr>
                <w:rFonts w:ascii="Times New Roman" w:hAnsi="Times New Roman" w:cs="Times New Roman"/>
                <w:kern w:val="0"/>
                <w:sz w:val="24"/>
                <w:szCs w:val="24"/>
              </w:rPr>
              <w:t>（5个）</w:t>
            </w:r>
          </w:p>
        </w:tc>
        <w:tc>
          <w:tcPr>
            <w:tcW w:w="1770" w:type="dxa"/>
            <w:vMerge w:val="restart"/>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r>
              <w:rPr>
                <w:rFonts w:ascii="Times New Roman" w:hAnsi="Times New Roman" w:cs="Times New Roman"/>
                <w:kern w:val="0"/>
                <w:sz w:val="24"/>
                <w:szCs w:val="24"/>
              </w:rPr>
              <w:t>杭州</w:t>
            </w: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杭州良渚国际生命科技小镇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1770"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临安颐养小镇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1770" w:type="dxa"/>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r>
              <w:rPr>
                <w:rFonts w:ascii="Times New Roman" w:hAnsi="Times New Roman" w:cs="Times New Roman"/>
                <w:kern w:val="0"/>
                <w:sz w:val="24"/>
                <w:szCs w:val="24"/>
              </w:rPr>
              <w:t>湖州</w:t>
            </w: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湖州太湖健康蜜月小镇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p>
        </w:tc>
        <w:tc>
          <w:tcPr>
            <w:tcW w:w="1770" w:type="dxa"/>
            <w:vMerge w:val="restart"/>
            <w:vAlign w:val="center"/>
          </w:tcPr>
          <w:p>
            <w:pPr>
              <w:adjustRightInd w:val="0"/>
              <w:snapToGrid w:val="0"/>
              <w:spacing w:line="240" w:lineRule="auto"/>
              <w:ind w:firstLine="0" w:firstLineChars="0"/>
              <w:jc w:val="center"/>
              <w:rPr>
                <w:rFonts w:ascii="Times New Roman" w:hAnsi="Times New Roman" w:eastAsia="仿宋" w:cs="Times New Roman"/>
                <w:kern w:val="0"/>
                <w:sz w:val="24"/>
                <w:szCs w:val="24"/>
              </w:rPr>
            </w:pPr>
            <w:r>
              <w:rPr>
                <w:rFonts w:ascii="Times New Roman" w:hAnsi="Times New Roman" w:cs="Times New Roman"/>
                <w:kern w:val="0"/>
                <w:sz w:val="24"/>
                <w:szCs w:val="24"/>
              </w:rPr>
              <w:t>台州</w:t>
            </w: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三门滨海健康小镇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24" w:type="dxa"/>
            <w:vMerge w:val="continue"/>
            <w:vAlign w:val="center"/>
          </w:tcPr>
          <w:p>
            <w:pPr>
              <w:adjustRightInd w:val="0"/>
              <w:snapToGrid w:val="0"/>
              <w:spacing w:line="240" w:lineRule="auto"/>
              <w:ind w:firstLine="0" w:firstLineChars="0"/>
              <w:rPr>
                <w:rFonts w:ascii="Times New Roman" w:hAnsi="Times New Roman" w:eastAsia="仿宋" w:cs="Times New Roman"/>
                <w:kern w:val="0"/>
                <w:sz w:val="24"/>
                <w:szCs w:val="24"/>
              </w:rPr>
            </w:pPr>
          </w:p>
        </w:tc>
        <w:tc>
          <w:tcPr>
            <w:tcW w:w="1770" w:type="dxa"/>
            <w:vMerge w:val="continue"/>
            <w:vAlign w:val="center"/>
          </w:tcPr>
          <w:p>
            <w:pPr>
              <w:adjustRightInd w:val="0"/>
              <w:snapToGrid w:val="0"/>
              <w:spacing w:line="240" w:lineRule="auto"/>
              <w:ind w:firstLine="0" w:firstLineChars="0"/>
              <w:rPr>
                <w:rFonts w:ascii="Times New Roman" w:hAnsi="Times New Roman" w:eastAsia="仿宋" w:cs="Times New Roman"/>
                <w:kern w:val="0"/>
                <w:sz w:val="24"/>
                <w:szCs w:val="24"/>
              </w:rPr>
            </w:pPr>
          </w:p>
        </w:tc>
        <w:tc>
          <w:tcPr>
            <w:tcW w:w="3426" w:type="dxa"/>
            <w:vAlign w:val="center"/>
          </w:tcPr>
          <w:p>
            <w:pPr>
              <w:adjustRightInd w:val="0"/>
              <w:snapToGrid w:val="0"/>
              <w:spacing w:line="240" w:lineRule="auto"/>
              <w:ind w:firstLine="0" w:firstLineChars="0"/>
              <w:rPr>
                <w:rFonts w:ascii="Times New Roman" w:hAnsi="Times New Roman" w:cs="Times New Roman"/>
                <w:kern w:val="0"/>
                <w:sz w:val="24"/>
                <w:szCs w:val="24"/>
              </w:rPr>
            </w:pPr>
            <w:r>
              <w:rPr>
                <w:rFonts w:ascii="Times New Roman" w:hAnsi="Times New Roman" w:cs="Times New Roman"/>
                <w:kern w:val="0"/>
                <w:sz w:val="24"/>
                <w:szCs w:val="24"/>
              </w:rPr>
              <w:t>临海国际医药小镇</w:t>
            </w:r>
          </w:p>
        </w:tc>
      </w:tr>
    </w:tbl>
    <w:p>
      <w:pPr>
        <w:ind w:firstLine="643"/>
        <w:rPr>
          <w:rFonts w:ascii="Times New Roman" w:hAnsi="Times New Roman" w:cs="Times New Roman"/>
        </w:rPr>
      </w:pPr>
      <w:r>
        <w:rPr>
          <w:rFonts w:ascii="Times New Roman" w:hAnsi="Times New Roman" w:cs="Times New Roman"/>
          <w:b/>
          <w:bCs/>
        </w:rPr>
        <w:t>发展环境不断优化。</w:t>
      </w:r>
      <w:r>
        <w:rPr>
          <w:rFonts w:ascii="Times New Roman" w:hAnsi="Times New Roman" w:cs="Times New Roman"/>
        </w:rPr>
        <w:t>省委省政府高度重视健康产业发展，在建立省健康服务业发展联席会议机制基础上，将健康产业列入健康浙江建设考核，强化部门协同，形成工作合力。政策体系不断完善，先后印发《健康浙江2030行动纲要》《浙江省健康产业人才发展规划（2017—2022年）》《浙江省生物经济发展行动计划（2019—2022）》等规划计划，制定出台了《关于加快推进医药产业创新发展的实施意见》《关于加快生命健康科技创新发展的实施意见》以及社会办医、养老服务、体育健身等领域的支持政策</w:t>
      </w:r>
      <w:r>
        <w:rPr>
          <w:rFonts w:ascii="Times New Roman" w:hAnsi="Times New Roman" w:cs="Times New Roman"/>
          <w:kern w:val="0"/>
          <w:lang w:val="zh-CN"/>
        </w:rPr>
        <w:t>。</w:t>
      </w:r>
      <w:r>
        <w:rPr>
          <w:rFonts w:ascii="Times New Roman" w:hAnsi="Times New Roman" w:cs="Times New Roman"/>
        </w:rPr>
        <w:t>人才支撑不断强化，我省大力引进培育生命健康人才团队，在省级重点人才计划中单列不少于20%的名额予以定向支持，目前生命健康人才团队入选数分别占省海外高层次人才引进计划和省领军型团队总数的27.8%和28%，生命健康领域“两院”院士达9名。资金支持方面，有效发挥产业基金引导作用，吸引社会资本投资健康产业，全省政府产业基金及其子基金累计投资健康产业项目973个，投资总额</w:t>
      </w:r>
      <w:r>
        <w:rPr>
          <w:rFonts w:hint="eastAsia" w:ascii="Times New Roman" w:hAnsi="Times New Roman" w:cs="Times New Roman"/>
        </w:rPr>
        <w:t>近</w:t>
      </w:r>
      <w:r>
        <w:rPr>
          <w:rFonts w:ascii="Times New Roman" w:hAnsi="Times New Roman" w:cs="Times New Roman"/>
        </w:rPr>
        <w:t>1300亿元</w:t>
      </w:r>
      <w:r>
        <w:rPr>
          <w:rStyle w:val="25"/>
          <w:rFonts w:hint="default" w:ascii="Times New Roman" w:hAnsi="Times New Roman" w:cs="Times New Roman"/>
        </w:rPr>
        <w:footnoteReference w:id="2"/>
      </w:r>
      <w:r>
        <w:rPr>
          <w:rFonts w:ascii="Times New Roman" w:hAnsi="Times New Roman" w:cs="Times New Roman"/>
        </w:rPr>
        <w:t>。</w:t>
      </w:r>
    </w:p>
    <w:p>
      <w:pPr>
        <w:ind w:firstLine="643"/>
        <w:outlineLvl w:val="1"/>
        <w:rPr>
          <w:rFonts w:ascii="Times New Roman" w:hAnsi="Times New Roman" w:eastAsia="楷体_GB2312" w:cs="Times New Roman"/>
          <w:b/>
        </w:rPr>
      </w:pPr>
      <w:bookmarkStart w:id="5" w:name="_Toc66654775"/>
      <w:r>
        <w:rPr>
          <w:rFonts w:ascii="Times New Roman" w:hAnsi="Times New Roman" w:eastAsia="楷体_GB2312" w:cs="Times New Roman"/>
          <w:b/>
        </w:rPr>
        <w:t>（二）主要问题</w:t>
      </w:r>
      <w:bookmarkEnd w:id="5"/>
    </w:p>
    <w:p>
      <w:pPr>
        <w:ind w:firstLine="643"/>
        <w:rPr>
          <w:rFonts w:ascii="Times New Roman" w:hAnsi="Times New Roman" w:cs="Times New Roman"/>
        </w:rPr>
      </w:pPr>
      <w:r>
        <w:rPr>
          <w:rFonts w:ascii="Times New Roman" w:hAnsi="Times New Roman" w:cs="Times New Roman"/>
          <w:b/>
          <w:bCs/>
        </w:rPr>
        <w:t>高能级平台和龙头企业培育力度有待加强。</w:t>
      </w:r>
      <w:r>
        <w:rPr>
          <w:rFonts w:ascii="Times New Roman" w:hAnsi="Times New Roman" w:cs="Times New Roman"/>
        </w:rPr>
        <w:t>国家先后在河北北戴河和海南博鳌设立国家级健康产业发展示范区或先行区</w:t>
      </w:r>
      <w:r>
        <w:rPr>
          <w:rStyle w:val="25"/>
          <w:rFonts w:ascii="Times New Roman" w:hAnsi="Times New Roman" w:cs="Times New Roman"/>
        </w:rPr>
        <w:footnoteReference w:id="3"/>
      </w:r>
      <w:r>
        <w:rPr>
          <w:rFonts w:ascii="Times New Roman" w:hAnsi="Times New Roman" w:cs="Times New Roman"/>
        </w:rPr>
        <w:t>，京沪苏等省市也涌现出多个带动产业发展的核心平台。相比而言，我省现有的健康特色小镇、重点园区等虽然已经形成空间层面的要素集聚，但具有影响力的高能级健康产业平台缺乏。杭州东部医药港小镇年产值规模超过350亿元，占杭州市生物医药产值比重近50%，但与武汉光谷生物城</w:t>
      </w:r>
      <w:r>
        <w:rPr>
          <w:rStyle w:val="25"/>
          <w:rFonts w:ascii="Times New Roman" w:hAnsi="Times New Roman" w:cs="Times New Roman"/>
        </w:rPr>
        <w:footnoteReference w:id="4"/>
      </w:r>
      <w:r>
        <w:rPr>
          <w:rFonts w:ascii="Times New Roman" w:hAnsi="Times New Roman" w:cs="Times New Roman"/>
        </w:rPr>
        <w:t>、苏州生物医药产业园</w:t>
      </w:r>
      <w:r>
        <w:rPr>
          <w:rStyle w:val="25"/>
          <w:rFonts w:ascii="Times New Roman" w:hAnsi="Times New Roman" w:cs="Times New Roman"/>
        </w:rPr>
        <w:footnoteReference w:id="5"/>
      </w:r>
      <w:r>
        <w:rPr>
          <w:rFonts w:ascii="Times New Roman" w:hAnsi="Times New Roman" w:cs="Times New Roman"/>
        </w:rPr>
        <w:t>等相比仍有较大差距。同时，我省健康产业企业数量较多，但体量普遍偏小，</w:t>
      </w:r>
      <w:r>
        <w:rPr>
          <w:rFonts w:ascii="Times New Roman" w:hAnsi="Times New Roman" w:cs="Times New Roman"/>
          <w:color w:val="000000"/>
        </w:rPr>
        <w:t>尚无进入中国医药工业百强前十的企业，</w:t>
      </w:r>
      <w:r>
        <w:rPr>
          <w:rFonts w:ascii="Times New Roman" w:hAnsi="Times New Roman" w:cs="Times New Roman"/>
          <w:snapToGrid w:val="0"/>
          <w:color w:val="000000"/>
        </w:rPr>
        <w:t>领军型企业、</w:t>
      </w:r>
      <w:r>
        <w:rPr>
          <w:rFonts w:ascii="Times New Roman" w:hAnsi="Times New Roman" w:cs="Times New Roman"/>
          <w:color w:val="000000"/>
        </w:rPr>
        <w:t>龙头型企业培育仍需加强</w:t>
      </w:r>
      <w:r>
        <w:rPr>
          <w:rFonts w:ascii="Times New Roman" w:hAnsi="Times New Roman" w:cs="Times New Roman"/>
        </w:rPr>
        <w:t>。</w:t>
      </w:r>
    </w:p>
    <w:p>
      <w:pPr>
        <w:ind w:firstLine="643"/>
        <w:rPr>
          <w:rFonts w:ascii="Times New Roman" w:hAnsi="Times New Roman" w:cs="Times New Roman"/>
          <w:snapToGrid w:val="0"/>
          <w:color w:val="000000"/>
        </w:rPr>
      </w:pPr>
      <w:r>
        <w:rPr>
          <w:rFonts w:ascii="Times New Roman" w:hAnsi="Times New Roman" w:cs="Times New Roman"/>
          <w:b/>
          <w:bCs/>
        </w:rPr>
        <w:t>高端创新要素相对缺乏。</w:t>
      </w:r>
      <w:r>
        <w:rPr>
          <w:rFonts w:ascii="Times New Roman" w:hAnsi="Times New Roman" w:cs="Times New Roman"/>
          <w:snapToGrid w:val="0"/>
          <w:color w:val="000000"/>
        </w:rPr>
        <w:t>我省健康产业创新投入不足，全省规上医药企业研发费用虽然保持较快增长，但仅占主营业务收入5%左右，远低于跨国药企17%的平均占比。“十三五”期间，全省获批1类新药品种4个</w:t>
      </w:r>
      <w:r>
        <w:rPr>
          <w:rFonts w:hint="eastAsia" w:ascii="Times New Roman" w:hAnsi="Times New Roman" w:cs="Times New Roman"/>
          <w:snapToGrid w:val="0"/>
          <w:color w:val="000000"/>
        </w:rPr>
        <w:t>、</w:t>
      </w:r>
      <w:r>
        <w:rPr>
          <w:rFonts w:ascii="Times New Roman" w:hAnsi="Times New Roman" w:cs="Times New Roman"/>
          <w:snapToGrid w:val="0"/>
          <w:color w:val="000000"/>
        </w:rPr>
        <w:t>品规6个，获批数仅为江苏的1/4，2019年国家药监局共批准新药（含首仿）65个品种、91个品规，无一出自浙江。与北京、江苏、上海、广东等兄弟省市相比，我省</w:t>
      </w:r>
      <w:r>
        <w:rPr>
          <w:rFonts w:ascii="Times New Roman" w:hAnsi="Times New Roman" w:cs="Times New Roman"/>
        </w:rPr>
        <w:t>拥有高能级的科研平台不足，顶尖创新人才和创新团队比较缺乏，</w:t>
      </w:r>
      <w:r>
        <w:rPr>
          <w:rFonts w:ascii="Times New Roman" w:hAnsi="Times New Roman" w:cs="Times New Roman"/>
          <w:snapToGrid w:val="0"/>
          <w:color w:val="000000"/>
        </w:rPr>
        <w:t>一定程度上导致我省健康产业重大原创成果较少，有自主知识产权的新药、医疗器械等产品研发能力薄弱。</w:t>
      </w:r>
    </w:p>
    <w:p>
      <w:pPr>
        <w:spacing w:beforeLines="0" w:afterLines="0" w:line="579" w:lineRule="exact"/>
        <w:ind w:firstLine="643"/>
        <w:rPr>
          <w:rFonts w:ascii="Times New Roman" w:hAnsi="Times New Roman" w:cs="Times New Roman"/>
          <w:snapToGrid w:val="0"/>
          <w:color w:val="000000"/>
          <w:shd w:val="clear" w:color="auto" w:fill="auto"/>
        </w:rPr>
      </w:pPr>
      <w:r>
        <w:rPr>
          <w:rFonts w:ascii="Times New Roman" w:hAnsi="Times New Roman" w:cs="Times New Roman"/>
          <w:b/>
          <w:bCs/>
        </w:rPr>
        <w:t>政策障碍尚待破除</w:t>
      </w:r>
      <w:r>
        <w:rPr>
          <w:rFonts w:ascii="Times New Roman" w:hAnsi="Times New Roman" w:cs="Times New Roman"/>
        </w:rPr>
        <w:t>。</w:t>
      </w:r>
      <w:r>
        <w:rPr>
          <w:rFonts w:ascii="Times New Roman" w:hAnsi="Times New Roman" w:cs="Times New Roman"/>
          <w:snapToGrid w:val="0"/>
          <w:color w:val="000000"/>
        </w:rPr>
        <w:t>随着药品监管、环境保护等政策的趋紧，特别是药品注册受理新政实施后，中小医药企业面临较为严峻的发展形势。医疗器械行业“两票制”的全面推行，使中小医疗器械生产企业和流通企业面临经营体系调整的风险。尽管浙江社会办</w:t>
      </w:r>
      <w:r>
        <w:rPr>
          <w:rFonts w:ascii="Times New Roman" w:hAnsi="Times New Roman" w:cs="Times New Roman"/>
          <w:snapToGrid w:val="0"/>
          <w:color w:val="000000"/>
          <w:shd w:val="clear" w:color="auto" w:fill="auto"/>
        </w:rPr>
        <w:t>医发展走在全国前列，但在社会办医疗机构发展、医师多点执业、医养结合等领域，还存在制度设计问题和难题亟待突破。</w:t>
      </w:r>
    </w:p>
    <w:p>
      <w:pPr>
        <w:pStyle w:val="5"/>
        <w:spacing w:before="0" w:beforeLines="0" w:after="0" w:afterLines="0" w:line="579" w:lineRule="exact"/>
        <w:ind w:firstLine="640"/>
        <w:rPr>
          <w:rFonts w:ascii="Times New Roman" w:hAnsi="Times New Roman" w:cs="Times New Roman"/>
          <w:shd w:val="clear" w:color="auto" w:fill="auto"/>
        </w:rPr>
      </w:pPr>
      <w:bookmarkStart w:id="6" w:name="_Toc66654776"/>
      <w:r>
        <w:rPr>
          <w:rFonts w:ascii="Times New Roman" w:hAnsi="Times New Roman" w:cs="Times New Roman"/>
          <w:shd w:val="clear" w:color="auto" w:fill="auto"/>
        </w:rPr>
        <w:t>（三）发展趋势</w:t>
      </w:r>
      <w:bookmarkEnd w:id="6"/>
    </w:p>
    <w:p>
      <w:pPr>
        <w:spacing w:beforeLines="0" w:afterLines="0" w:line="579" w:lineRule="exact"/>
        <w:ind w:firstLine="643"/>
        <w:rPr>
          <w:rFonts w:ascii="Times New Roman" w:hAnsi="Times New Roman" w:cs="Times New Roman"/>
          <w:shd w:val="clear" w:color="auto" w:fill="auto"/>
        </w:rPr>
      </w:pPr>
      <w:r>
        <w:rPr>
          <w:rFonts w:ascii="Times New Roman" w:hAnsi="Times New Roman" w:cs="Times New Roman"/>
          <w:b/>
          <w:bCs/>
          <w:shd w:val="clear" w:color="auto" w:fill="auto"/>
        </w:rPr>
        <w:t>新阶段新征程给健康产业发展带来新使命。</w:t>
      </w:r>
      <w:r>
        <w:rPr>
          <w:rFonts w:ascii="Times New Roman" w:hAnsi="Times New Roman" w:cs="Times New Roman"/>
          <w:shd w:val="clear" w:color="auto" w:fill="auto"/>
        </w:rPr>
        <w:t>习近平总书记在全国卫生与健康大会上指出“没有全民健康，就没有全面小康”，强调“要把人民健康放在优先发展的战略地位”，党的十九大将“实施健康中国战略”提升到国家整体战略层面统筹谋划。以人为核心的社会主义现代化建设新征程推动大健康时代全面到来。习近平总书记在浙江考察时，赋予浙江“要努力成为新时代全面展示中国特色社会主义制度优越性的重要窗口”新目标新定位。其中，建设和展示健康领域“重要窗口”成为浙江的重大使命。生命健康科创高地是全省着力打造的三大科创高地之一，健康产业是我省重点发展的八大万亿产业之一，我省提出大力培育生命健康产业，推动信息技术与生物技术融合创新，打造全国生命健康产品制造中心、服务中心和信息技术中心的重要要求。</w:t>
      </w:r>
    </w:p>
    <w:p>
      <w:pPr>
        <w:spacing w:beforeLines="0" w:afterLines="0" w:line="579" w:lineRule="exact"/>
        <w:ind w:firstLine="643"/>
        <w:rPr>
          <w:rFonts w:ascii="Times New Roman" w:hAnsi="Times New Roman" w:cs="Times New Roman"/>
          <w:shd w:val="clear" w:color="auto" w:fill="auto"/>
        </w:rPr>
      </w:pPr>
      <w:r>
        <w:rPr>
          <w:rFonts w:ascii="Times New Roman" w:hAnsi="Times New Roman" w:cs="Times New Roman"/>
          <w:b/>
          <w:bCs/>
          <w:shd w:val="clear" w:color="auto" w:fill="auto"/>
        </w:rPr>
        <w:t>数字科技新技术给健康产业发展带来新变革。</w:t>
      </w:r>
      <w:r>
        <w:rPr>
          <w:rFonts w:ascii="Times New Roman" w:hAnsi="Times New Roman" w:cs="Times New Roman"/>
          <w:shd w:val="clear" w:color="auto" w:fill="auto"/>
        </w:rPr>
        <w:t>新一轮科技革命在健康产业领域催生出一批新业态，5G、大数据、人工智能、VR/AR、区块链、可穿戴技术等的应用场景不断拓展，加快驱动健康资源数字化、健康产业融合化、健康服务虚拟化，催生健康产业新业态与新模式，创造全新健康体验。人工智能等信息化管理技术将与生命科学、生物技术、信息技术等一系列科学技术实现相互融合，且随着健康大数据工作的开展，人工智能在健康管理场景下的应用程度将进一步提高。近年来，生命科学研究、生物技术发展不断取得重大突破，全基因组检测、基因治疗、细胞治疗、细胞3D打印技术等领域将有望率先实现产业化，从而为满足人类生命健康需求提供新手段、新途径。</w:t>
      </w:r>
    </w:p>
    <w:p>
      <w:pPr>
        <w:pStyle w:val="2"/>
        <w:spacing w:beforeLines="0" w:after="0" w:afterLines="0" w:line="579" w:lineRule="exact"/>
        <w:ind w:left="0" w:leftChars="0" w:firstLine="643"/>
        <w:rPr>
          <w:rFonts w:ascii="Times New Roman" w:hAnsi="Times New Roman" w:cs="Times New Roman"/>
          <w:shd w:val="clear" w:color="auto" w:fill="auto"/>
        </w:rPr>
      </w:pPr>
      <w:r>
        <w:rPr>
          <w:rFonts w:ascii="Times New Roman" w:hAnsi="Times New Roman" w:cs="Times New Roman"/>
          <w:b/>
          <w:bCs/>
          <w:shd w:val="clear" w:color="auto" w:fill="auto"/>
        </w:rPr>
        <w:t>长三角一体化战略给健康产业发展带来新机遇。</w:t>
      </w:r>
      <w:r>
        <w:rPr>
          <w:rFonts w:ascii="Times New Roman" w:hAnsi="Times New Roman" w:cs="Times New Roman"/>
          <w:color w:val="000000"/>
          <w:kern w:val="0"/>
          <w:shd w:val="clear" w:color="auto" w:fill="auto"/>
        </w:rPr>
        <w:t>2018年习近平总书记在首届中国国际进口博览会上宣布，支持长江三角洲区域一体化发展并上升为国家战略。2019年中共中央、国务院印发《长江三角洲区域一体化发展规划纲要》，提出“打造健康长三角，优化配置医疗卫生资源，大力发展健康产业，持续提升人民健康水平”等任务。我省积极推动长三角一体化发</w:t>
      </w:r>
      <w:r>
        <w:rPr>
          <w:rFonts w:ascii="Times New Roman" w:hAnsi="Times New Roman" w:cs="Times New Roman"/>
          <w:shd w:val="clear" w:color="auto" w:fill="auto"/>
        </w:rPr>
        <w:t>展，促进长三角优质医疗卫生资源共享，协同推进长三角健康科技创新，主动做好长三角区域健康产业推介活动，与上海、江苏、安徽形成优势资源合力，共同推动长三角健康产业向更高质量一体化发展迈进，为全省健康产业发展带来新机遇。</w:t>
      </w:r>
    </w:p>
    <w:p>
      <w:pPr>
        <w:spacing w:beforeLines="0" w:afterLines="0" w:line="579" w:lineRule="exact"/>
        <w:ind w:firstLine="643"/>
        <w:rPr>
          <w:rFonts w:ascii="Times New Roman" w:hAnsi="Times New Roman" w:cs="Times New Roman"/>
          <w:shd w:val="clear" w:color="auto" w:fill="auto"/>
        </w:rPr>
      </w:pPr>
      <w:r>
        <w:rPr>
          <w:rFonts w:ascii="Times New Roman" w:hAnsi="Times New Roman" w:cs="Times New Roman"/>
          <w:b/>
          <w:bCs/>
          <w:shd w:val="clear" w:color="auto" w:fill="auto"/>
        </w:rPr>
        <w:t>新冠肺炎疫情给健康产业发展带来新环境。</w:t>
      </w:r>
      <w:r>
        <w:rPr>
          <w:rFonts w:ascii="Times New Roman" w:hAnsi="Times New Roman" w:cs="Times New Roman"/>
          <w:shd w:val="clear" w:color="auto" w:fill="auto"/>
        </w:rPr>
        <w:t>在全球疫情常态化背景下，党和国家对人民生命安全与身体健康高度重视，全社会都在重新思考“健康的价值”，人民群众对健康的认知更加深刻、对自身的健康状况更加关注，健康消费需求得到进一步激发，健康类产品消费市场发展步伐将持续加快。新冠疫情限制了人们出行，催生了“宅经济”，也加速了远程医疗等互联网健康新消费的推广普及。传统医疗服务不断向预防前移和基层下移，相关产品及服务迎来新机遇。同时，疫情也对医疗应急物资等领域提出了更高的要求。由于疫情对全球经济社会造成巨大负面影响，健康产业发展亟需向“国内国际双循环”发展新格局转型。</w:t>
      </w:r>
    </w:p>
    <w:p>
      <w:pPr>
        <w:spacing w:beforeLines="0" w:afterLines="0" w:line="579" w:lineRule="exact"/>
        <w:ind w:firstLine="643"/>
        <w:rPr>
          <w:rFonts w:ascii="Times New Roman" w:hAnsi="Times New Roman" w:cs="Times New Roman"/>
          <w:shd w:val="clear" w:color="auto" w:fill="auto"/>
        </w:rPr>
      </w:pPr>
      <w:r>
        <w:rPr>
          <w:rFonts w:ascii="Times New Roman" w:hAnsi="Times New Roman" w:cs="Times New Roman"/>
          <w:b/>
          <w:bCs/>
          <w:shd w:val="clear" w:color="auto" w:fill="auto"/>
        </w:rPr>
        <w:t>国内外竞争升级为健康产业发展带来新挑战。</w:t>
      </w:r>
      <w:r>
        <w:rPr>
          <w:rFonts w:ascii="Times New Roman" w:hAnsi="Times New Roman" w:cs="Times New Roman"/>
          <w:shd w:val="clear" w:color="auto" w:fill="auto"/>
        </w:rPr>
        <w:t>健康产业作为全球新一轮科技革命和产业变革战略制高点，发达国家和兄弟省市纷纷加大支持力度，发展挑战日趋复杂严峻。国外层面，美国、印度等国家在技术、制度等方面占有优势，对我国健康产业发展造成一定的威胁。国内层面，我国有11个省份将大健康产业作为支柱产业，14个省份将其作为重要产业，特别是珠三角经济圈、长三角经济圈、环渤海湾经济圈作为健康产业发展重要集聚区，相互之间竞争格外激烈。各省市纷纷瞄准生物医药、化学药、医疗器械、健康医疗旅游等领域，不断加大招商引资力度，区域间项目、产品同质化竞争的问题普遍存在。</w:t>
      </w:r>
    </w:p>
    <w:p>
      <w:pPr>
        <w:pStyle w:val="4"/>
        <w:spacing w:before="0" w:beforeLines="0" w:after="0" w:afterLines="0" w:line="579" w:lineRule="exact"/>
        <w:ind w:firstLine="640"/>
        <w:rPr>
          <w:rFonts w:ascii="Times New Roman" w:hAnsi="Times New Roman"/>
          <w:shd w:val="clear" w:color="auto" w:fill="auto"/>
        </w:rPr>
      </w:pPr>
      <w:bookmarkStart w:id="7" w:name="_Toc66654777"/>
      <w:r>
        <w:rPr>
          <w:rFonts w:ascii="Times New Roman" w:hAnsi="Times New Roman"/>
          <w:shd w:val="clear" w:color="auto" w:fill="auto"/>
        </w:rPr>
        <w:t>二、总体思路</w:t>
      </w:r>
      <w:bookmarkEnd w:id="7"/>
    </w:p>
    <w:p>
      <w:pPr>
        <w:pStyle w:val="5"/>
        <w:spacing w:before="0" w:beforeLines="0" w:after="0" w:afterLines="0" w:line="579" w:lineRule="exact"/>
        <w:ind w:firstLine="640"/>
        <w:rPr>
          <w:rFonts w:hint="default" w:ascii="Times New Roman" w:hAnsi="Times New Roman" w:eastAsia="楷体_GB2312" w:cs="Times New Roman"/>
          <w:shd w:val="clear" w:color="auto" w:fill="auto"/>
        </w:rPr>
      </w:pPr>
      <w:bookmarkStart w:id="8" w:name="_Toc66654778"/>
      <w:r>
        <w:rPr>
          <w:rFonts w:hint="default" w:ascii="Times New Roman" w:hAnsi="Times New Roman" w:eastAsia="楷体_GB2312" w:cs="Times New Roman"/>
          <w:shd w:val="clear" w:color="auto" w:fill="auto"/>
        </w:rPr>
        <w:t>（一）指导思想</w:t>
      </w:r>
      <w:bookmarkEnd w:id="8"/>
    </w:p>
    <w:p>
      <w:pPr>
        <w:spacing w:beforeLines="0" w:afterLines="0" w:line="550" w:lineRule="exact"/>
        <w:ind w:firstLine="632"/>
        <w:rPr>
          <w:rFonts w:ascii="Times New Roman" w:hAnsi="Times New Roman" w:cs="Times New Roman"/>
          <w:shd w:val="clear" w:color="auto" w:fill="auto"/>
        </w:rPr>
      </w:pPr>
      <w:r>
        <w:rPr>
          <w:rFonts w:ascii="Times New Roman" w:hAnsi="Times New Roman" w:cs="Times New Roman"/>
          <w:shd w:val="clear" w:color="auto" w:fill="auto"/>
        </w:rPr>
        <w:t>以习近平新时代中国特色社会主义思想为指导，全面贯彻党的十九大和十九届二中、三中、四中、五中全会精神，</w:t>
      </w:r>
      <w:r>
        <w:rPr>
          <w:rFonts w:ascii="Times New Roman" w:hAnsi="Times New Roman" w:cs="Times New Roman"/>
          <w:color w:val="000000"/>
          <w:shd w:val="clear" w:color="auto" w:fill="auto"/>
        </w:rPr>
        <w:t>忠实践行“八八战略”，奋力打造“重要窗口”，坚持新发展理念，坚持系统观念，全面落实健康中国和健康浙江战略部署，以满足人民日益增长的健康服务需要为根本目的，以推动健康产业高质量发展为主题，以创新、集聚、融合、开放、提升为主线，以“治病为中心”向“健康为中心”转型为要求，围绕</w:t>
      </w:r>
      <w:r>
        <w:rPr>
          <w:rFonts w:ascii="Times New Roman" w:hAnsi="Times New Roman" w:cs="Times New Roman"/>
          <w:b/>
          <w:color w:val="000000"/>
          <w:shd w:val="clear" w:color="auto" w:fill="auto"/>
        </w:rPr>
        <w:t>“医+”“药+”“养+”“健+”“智+”</w:t>
      </w:r>
      <w:r>
        <w:rPr>
          <w:rFonts w:ascii="Times New Roman" w:hAnsi="Times New Roman" w:cs="Times New Roman"/>
          <w:color w:val="000000"/>
          <w:shd w:val="clear" w:color="auto" w:fill="auto"/>
        </w:rPr>
        <w:t>五大重点领域，</w:t>
      </w:r>
      <w:r>
        <w:rPr>
          <w:rFonts w:ascii="Times New Roman" w:hAnsi="Times New Roman" w:cs="Times New Roman"/>
          <w:shd w:val="clear" w:color="auto" w:fill="auto"/>
        </w:rPr>
        <w:t>强化健康制造基础作用，培育健康服务新兴业态，推动产业融合发展，切实</w:t>
      </w:r>
      <w:r>
        <w:rPr>
          <w:rFonts w:ascii="Times New Roman" w:hAnsi="Times New Roman" w:cs="Times New Roman"/>
          <w:color w:val="000000"/>
          <w:shd w:val="clear" w:color="auto" w:fill="auto"/>
        </w:rPr>
        <w:t>增强健康产业的竞争力和影响力，努力打造</w:t>
      </w:r>
      <w:r>
        <w:rPr>
          <w:rFonts w:ascii="Times New Roman" w:hAnsi="Times New Roman" w:cs="Times New Roman"/>
          <w:b/>
          <w:shd w:val="clear" w:color="auto" w:fill="auto"/>
        </w:rPr>
        <w:t>国内领先健康产业制造中心、生命健康科创高地、数字健康发展高地和优质健康服务高地。</w:t>
      </w:r>
    </w:p>
    <w:p>
      <w:pPr>
        <w:pStyle w:val="5"/>
        <w:spacing w:before="0" w:beforeLines="0" w:after="0" w:afterLines="0" w:line="550" w:lineRule="exact"/>
        <w:ind w:firstLine="632"/>
        <w:rPr>
          <w:rFonts w:hint="default" w:ascii="Times New Roman" w:hAnsi="Times New Roman" w:eastAsia="楷体_GB2312" w:cs="Times New Roman"/>
          <w:shd w:val="clear" w:color="auto" w:fill="auto"/>
        </w:rPr>
      </w:pPr>
      <w:bookmarkStart w:id="9" w:name="_Toc66654779"/>
      <w:r>
        <w:rPr>
          <w:rFonts w:hint="default" w:ascii="Times New Roman" w:hAnsi="Times New Roman" w:eastAsia="楷体_GB2312" w:cs="Times New Roman"/>
          <w:shd w:val="clear" w:color="auto" w:fill="auto"/>
        </w:rPr>
        <w:t>（二）基本原则</w:t>
      </w:r>
      <w:bookmarkEnd w:id="9"/>
    </w:p>
    <w:p>
      <w:pPr>
        <w:snapToGrid w:val="0"/>
        <w:spacing w:beforeLines="0" w:afterLines="0" w:line="550" w:lineRule="exact"/>
        <w:ind w:firstLine="632"/>
        <w:rPr>
          <w:rFonts w:ascii="Times New Roman" w:hAnsi="Times New Roman" w:cs="Times New Roman"/>
          <w:shd w:val="clear" w:color="auto" w:fill="auto"/>
        </w:rPr>
      </w:pPr>
      <w:r>
        <w:rPr>
          <w:rFonts w:ascii="Times New Roman" w:hAnsi="Times New Roman" w:cs="Times New Roman"/>
          <w:b/>
          <w:shd w:val="clear" w:color="auto" w:fill="auto"/>
        </w:rPr>
        <w:t>坚持立足优势、特色发展。</w:t>
      </w:r>
      <w:r>
        <w:rPr>
          <w:rFonts w:ascii="Times New Roman" w:hAnsi="Times New Roman" w:cs="Times New Roman"/>
          <w:shd w:val="clear" w:color="auto" w:fill="auto"/>
        </w:rPr>
        <w:t>围绕“一中心三高地”建设，因地制宜合理规划健康产业发展布局，突出生态、资源、文化等特色，依托健康制造、科技创新、健康服务等优势，</w:t>
      </w:r>
      <w:r>
        <w:rPr>
          <w:rFonts w:ascii="Times New Roman" w:hAnsi="Times New Roman" w:cs="Times New Roman"/>
          <w:snapToGrid w:val="0"/>
          <w:color w:val="000000"/>
          <w:kern w:val="0"/>
          <w:shd w:val="clear" w:color="auto" w:fill="auto"/>
        </w:rPr>
        <w:t>形成错位发展、优势互补、有序竞争的良好局面。</w:t>
      </w:r>
    </w:p>
    <w:p>
      <w:pPr>
        <w:snapToGrid w:val="0"/>
        <w:spacing w:beforeLines="0" w:afterLines="0" w:line="550" w:lineRule="exact"/>
        <w:ind w:firstLine="632"/>
        <w:rPr>
          <w:rFonts w:ascii="Times New Roman" w:hAnsi="Times New Roman" w:cs="Times New Roman"/>
          <w:bCs/>
          <w:shd w:val="clear" w:color="auto" w:fill="auto"/>
        </w:rPr>
      </w:pPr>
      <w:r>
        <w:rPr>
          <w:rFonts w:ascii="Times New Roman" w:hAnsi="Times New Roman" w:cs="Times New Roman"/>
          <w:b/>
          <w:shd w:val="clear" w:color="auto" w:fill="auto"/>
        </w:rPr>
        <w:t>坚持创新引领、集聚发展。</w:t>
      </w:r>
      <w:r>
        <w:rPr>
          <w:rFonts w:ascii="Times New Roman" w:hAnsi="Times New Roman" w:cs="Times New Roman"/>
          <w:shd w:val="clear" w:color="auto" w:fill="auto"/>
        </w:rPr>
        <w:t>坚持</w:t>
      </w:r>
      <w:r>
        <w:rPr>
          <w:rFonts w:ascii="Times New Roman" w:hAnsi="Times New Roman" w:cs="Times New Roman"/>
          <w:bCs/>
          <w:shd w:val="clear" w:color="auto" w:fill="auto"/>
        </w:rPr>
        <w:t>推进以科技创新为核心的全面创新，围绕产业链打造创新链，推动技术创新、产品创新、服务创新、业态创新、模式创新</w:t>
      </w:r>
      <w:r>
        <w:rPr>
          <w:rFonts w:ascii="Times New Roman" w:hAnsi="Times New Roman" w:cs="Times New Roman"/>
          <w:snapToGrid w:val="0"/>
          <w:color w:val="000000"/>
          <w:kern w:val="0"/>
          <w:shd w:val="clear" w:color="auto" w:fill="auto"/>
        </w:rPr>
        <w:t>，打造一批健康产业集聚发展平台，</w:t>
      </w:r>
      <w:r>
        <w:rPr>
          <w:rFonts w:ascii="Times New Roman" w:hAnsi="Times New Roman" w:cs="Times New Roman"/>
          <w:bCs/>
          <w:shd w:val="clear" w:color="auto" w:fill="auto"/>
        </w:rPr>
        <w:t>引领健康产业体系协同发展，全面提升发展质效。</w:t>
      </w:r>
    </w:p>
    <w:p>
      <w:pPr>
        <w:spacing w:beforeLines="0" w:afterLines="0" w:line="550" w:lineRule="exact"/>
        <w:ind w:firstLine="632"/>
        <w:rPr>
          <w:rFonts w:ascii="Times New Roman" w:hAnsi="Times New Roman" w:cs="Times New Roman"/>
          <w:snapToGrid w:val="0"/>
          <w:color w:val="000000"/>
          <w:kern w:val="0"/>
          <w:shd w:val="clear" w:color="auto" w:fill="auto"/>
        </w:rPr>
      </w:pPr>
      <w:r>
        <w:rPr>
          <w:rFonts w:ascii="Times New Roman" w:hAnsi="Times New Roman" w:cs="Times New Roman"/>
          <w:b/>
          <w:shd w:val="clear" w:color="auto" w:fill="auto"/>
        </w:rPr>
        <w:t>坚持深化改革、市场驱动。</w:t>
      </w:r>
      <w:r>
        <w:rPr>
          <w:rFonts w:ascii="Times New Roman" w:hAnsi="Times New Roman" w:cs="Times New Roman"/>
          <w:shd w:val="clear" w:color="auto" w:fill="auto"/>
        </w:rPr>
        <w:t>以政府数字化转型为统领，</w:t>
      </w:r>
      <w:r>
        <w:rPr>
          <w:rFonts w:ascii="Times New Roman" w:hAnsi="Times New Roman" w:cs="Times New Roman"/>
          <w:snapToGrid w:val="0"/>
          <w:color w:val="000000"/>
          <w:kern w:val="0"/>
          <w:shd w:val="clear" w:color="auto" w:fill="auto"/>
        </w:rPr>
        <w:t>深化医药卫生领域改革，充分发挥市场在资源配置中的决定性作用，更好发挥政府在制度建设、规划政策及行业监管等方面的职责作用，全面激发市场主体活力，广泛参与健康产业发展。</w:t>
      </w:r>
    </w:p>
    <w:p>
      <w:pPr>
        <w:spacing w:beforeLines="0" w:afterLines="0" w:line="550" w:lineRule="exact"/>
        <w:ind w:firstLine="632"/>
        <w:rPr>
          <w:rFonts w:ascii="Times New Roman" w:hAnsi="Times New Roman" w:cs="Times New Roman"/>
          <w:shd w:val="clear" w:color="auto" w:fill="auto"/>
        </w:rPr>
      </w:pPr>
      <w:r>
        <w:rPr>
          <w:rFonts w:ascii="Times New Roman" w:hAnsi="Times New Roman" w:cs="Times New Roman"/>
          <w:b/>
          <w:shd w:val="clear" w:color="auto" w:fill="auto"/>
        </w:rPr>
        <w:t>坚持开放合作、聚力融合。</w:t>
      </w:r>
      <w:r>
        <w:rPr>
          <w:rFonts w:ascii="Times New Roman" w:hAnsi="Times New Roman" w:cs="Times New Roman"/>
          <w:shd w:val="clear" w:color="auto" w:fill="auto"/>
        </w:rPr>
        <w:t>加快融入新发展格局建设，充分利用“两个市场”和“两种资源”，促进产业领域跨界融合、区域发展融合，提升全球健康产业高端要素吸引力，提升浙产品牌的国际国内市场竞争力，形成助推产业发展的强大合力。</w:t>
      </w:r>
    </w:p>
    <w:p>
      <w:pPr>
        <w:pStyle w:val="5"/>
        <w:spacing w:before="0" w:beforeLines="0" w:after="0" w:afterLines="0" w:line="579" w:lineRule="exact"/>
        <w:ind w:firstLine="640"/>
        <w:rPr>
          <w:rFonts w:hint="default" w:ascii="Times New Roman" w:hAnsi="Times New Roman" w:eastAsia="楷体_GB2312" w:cs="Times New Roman"/>
          <w:shd w:val="clear" w:color="auto" w:fill="auto"/>
        </w:rPr>
      </w:pPr>
      <w:bookmarkStart w:id="10" w:name="_Toc66654780"/>
      <w:r>
        <w:rPr>
          <w:rFonts w:hint="default" w:ascii="Times New Roman" w:hAnsi="Times New Roman" w:eastAsia="楷体_GB2312" w:cs="Times New Roman"/>
          <w:shd w:val="clear" w:color="auto" w:fill="auto"/>
        </w:rPr>
        <w:t>（三）发展目标</w:t>
      </w:r>
      <w:bookmarkEnd w:id="10"/>
    </w:p>
    <w:p>
      <w:pPr>
        <w:spacing w:beforeLines="0" w:afterLines="0" w:line="550" w:lineRule="exact"/>
        <w:ind w:firstLine="632"/>
        <w:rPr>
          <w:rFonts w:ascii="Times New Roman" w:hAnsi="Times New Roman" w:cs="Times New Roman"/>
          <w:shd w:val="clear" w:color="auto" w:fill="auto"/>
        </w:rPr>
      </w:pPr>
      <w:r>
        <w:rPr>
          <w:rFonts w:ascii="Times New Roman" w:hAnsi="Times New Roman" w:cs="Times New Roman"/>
          <w:shd w:val="clear" w:color="auto" w:fill="auto"/>
        </w:rPr>
        <w:t>到2025年，实现健康产业规模、创新实力、集聚效应、发展环境全国领先，健康产品和服务形成国际市场竞争力，</w:t>
      </w:r>
      <w:r>
        <w:rPr>
          <w:rFonts w:ascii="Times New Roman" w:hAnsi="Times New Roman" w:cs="Times New Roman"/>
          <w:snapToGrid w:val="0"/>
          <w:color w:val="000000"/>
          <w:kern w:val="0"/>
          <w:shd w:val="clear" w:color="auto" w:fill="auto"/>
        </w:rPr>
        <w:t>打造一批具有较高知名度的健康品牌，</w:t>
      </w:r>
      <w:r>
        <w:rPr>
          <w:rFonts w:ascii="Times New Roman" w:hAnsi="Times New Roman" w:cs="Times New Roman"/>
          <w:shd w:val="clear" w:color="auto" w:fill="auto"/>
        </w:rPr>
        <w:t>集聚一批具有较强带动能力的龙头企业，形成千亿级健康产业集群，健康产业高质量发展走在全国前列。</w:t>
      </w:r>
    </w:p>
    <w:p>
      <w:pPr>
        <w:spacing w:beforeLines="0" w:afterLines="0" w:line="550" w:lineRule="exact"/>
        <w:ind w:firstLine="632"/>
        <w:rPr>
          <w:rFonts w:ascii="Times New Roman" w:hAnsi="Times New Roman" w:cs="Times New Roman"/>
          <w:shd w:val="clear" w:color="auto" w:fill="auto"/>
        </w:rPr>
      </w:pPr>
      <w:r>
        <w:rPr>
          <w:rFonts w:ascii="Times New Roman" w:hAnsi="Times New Roman" w:cs="Times New Roman"/>
          <w:b/>
          <w:shd w:val="clear" w:color="auto" w:fill="auto"/>
        </w:rPr>
        <w:t>产业规模更大。</w:t>
      </w:r>
      <w:r>
        <w:rPr>
          <w:rFonts w:ascii="Times New Roman" w:hAnsi="Times New Roman" w:cs="Times New Roman"/>
          <w:shd w:val="clear" w:color="auto" w:fill="auto"/>
        </w:rPr>
        <w:t>产业规模和发展质效持续快速提升，形成内涵丰富、布局合理、结构优化的现代健康产业体系基本形成，健康产业总规模、增加值分别突破1.7万亿、6000亿元，增加值占GDP比重超过7%，产业结构更加优化，健康制造业占比稳定在25%左右，健康服务业占比更加稳固，健康产业国际竞争力和影响力不断增强。</w:t>
      </w:r>
    </w:p>
    <w:p>
      <w:pPr>
        <w:spacing w:beforeLines="0" w:afterLines="0" w:line="550" w:lineRule="exact"/>
        <w:ind w:firstLine="632"/>
        <w:rPr>
          <w:rFonts w:ascii="Times New Roman" w:hAnsi="Times New Roman" w:cs="Times New Roman"/>
          <w:b/>
          <w:shd w:val="clear" w:color="auto" w:fill="auto"/>
        </w:rPr>
      </w:pPr>
      <w:r>
        <w:rPr>
          <w:rFonts w:ascii="Times New Roman" w:hAnsi="Times New Roman" w:cs="Times New Roman"/>
          <w:b/>
          <w:shd w:val="clear" w:color="auto" w:fill="auto"/>
        </w:rPr>
        <w:t>创新能力更强。</w:t>
      </w:r>
      <w:r>
        <w:rPr>
          <w:rFonts w:ascii="Times New Roman" w:hAnsi="Times New Roman" w:cs="Times New Roman"/>
          <w:shd w:val="clear" w:color="auto" w:fill="auto"/>
        </w:rPr>
        <w:t>产学研医结合、上中下游衔接、大中小企业协同的全链条创新体系基本建成，形成长三角地区“医学高峰”，拥有国家级卫生人才350人，力争建设1家健康产业领域国家实验室，新增国家级企业技术中心15家、省级（重点）企业研究院50家，集聚一批国内一流的创新人才与团队。</w:t>
      </w:r>
    </w:p>
    <w:p>
      <w:pPr>
        <w:spacing w:beforeLines="0" w:afterLines="0" w:line="550" w:lineRule="exact"/>
        <w:ind w:firstLine="632"/>
        <w:rPr>
          <w:rFonts w:ascii="Times New Roman" w:hAnsi="Times New Roman" w:cs="Times New Roman"/>
          <w:shd w:val="clear" w:color="auto" w:fill="auto"/>
        </w:rPr>
      </w:pPr>
      <w:r>
        <w:rPr>
          <w:rFonts w:ascii="Times New Roman" w:hAnsi="Times New Roman" w:cs="Times New Roman"/>
          <w:b/>
          <w:shd w:val="clear" w:color="auto" w:fill="auto"/>
        </w:rPr>
        <w:t>集聚效应更显。</w:t>
      </w:r>
      <w:r>
        <w:rPr>
          <w:rFonts w:ascii="Times New Roman" w:hAnsi="Times New Roman" w:cs="Times New Roman"/>
          <w:shd w:val="clear" w:color="auto" w:fill="auto"/>
        </w:rPr>
        <w:t>全省健康产业空间布局持续优化，区域内健康特色小镇、“万亩千亿”产业平台、健康产业园区（基地）等产业平台集聚效应显著增强，重大项目承接能力不断提升，形成1个千亿级医药产业集群，4个500亿级产业集群，并在“医、药、养、健、智”等领域培育若干细分优势产业，培育规模超百亿元的龙头企业集团5家，形成一批具有国际竞争力的领军企业和浙产品牌。</w:t>
      </w:r>
    </w:p>
    <w:p>
      <w:pPr>
        <w:spacing w:beforeLines="0" w:afterLines="0" w:line="579" w:lineRule="exact"/>
        <w:ind w:firstLine="643"/>
        <w:rPr>
          <w:rFonts w:ascii="Times New Roman" w:hAnsi="Times New Roman" w:cs="Times New Roman"/>
          <w:shd w:val="clear" w:color="auto" w:fill="auto"/>
        </w:rPr>
      </w:pPr>
      <w:r>
        <w:rPr>
          <w:rFonts w:ascii="Times New Roman" w:hAnsi="Times New Roman" w:cs="Times New Roman"/>
          <w:b/>
          <w:shd w:val="clear" w:color="auto" w:fill="auto"/>
        </w:rPr>
        <w:t>发展环境更优。</w:t>
      </w:r>
      <w:r>
        <w:rPr>
          <w:rFonts w:ascii="Times New Roman" w:hAnsi="Times New Roman" w:cs="Times New Roman"/>
          <w:shd w:val="clear" w:color="auto" w:fill="auto"/>
        </w:rPr>
        <w:t>以“最多跑一次”为引领，药品和医疗器械审评审批机制、药物临床试验政策体系、创新产品应用机制不断完善，金融创新支持力度不断加强，健康产业发展政策支撑体系和行业监管体系逐步健全，营商环境持续优化，全面形成有利于健康产业可持续发展的良好生态。</w:t>
      </w:r>
    </w:p>
    <w:p>
      <w:pPr>
        <w:pStyle w:val="10"/>
        <w:spacing w:beforeLines="0" w:afterLines="0" w:line="579" w:lineRule="exact"/>
        <w:ind w:right="1120" w:firstLine="0" w:firstLineChars="0"/>
        <w:jc w:val="right"/>
        <w:rPr>
          <w:rFonts w:ascii="Times New Roman" w:hAnsi="Times New Roman" w:cs="Times New Roman"/>
          <w:sz w:val="28"/>
          <w:szCs w:val="28"/>
          <w:shd w:val="clear" w:color="auto" w:fill="auto"/>
        </w:rPr>
      </w:pPr>
      <w:bookmarkStart w:id="11" w:name="_Toc66654805"/>
      <w:r>
        <w:rPr>
          <w:rFonts w:ascii="Times New Roman" w:hAnsi="Times New Roman" w:cs="Times New Roman"/>
          <w:sz w:val="28"/>
          <w:szCs w:val="28"/>
          <w:shd w:val="clear" w:color="auto" w:fill="auto"/>
        </w:rPr>
        <w:t>专栏</w:t>
      </w:r>
      <w:r>
        <w:rPr>
          <w:rFonts w:ascii="Times New Roman" w:hAnsi="Times New Roman" w:cs="Times New Roman"/>
          <w:sz w:val="24"/>
          <w:szCs w:val="24"/>
          <w:shd w:val="clear" w:color="auto" w:fill="auto"/>
        </w:rPr>
        <w:fldChar w:fldCharType="begin"/>
      </w:r>
      <w:r>
        <w:rPr>
          <w:rFonts w:ascii="Times New Roman" w:hAnsi="Times New Roman" w:cs="Times New Roman"/>
          <w:sz w:val="24"/>
          <w:szCs w:val="24"/>
          <w:shd w:val="clear" w:color="auto" w:fill="auto"/>
        </w:rPr>
        <w:instrText xml:space="preserve"> SEQ 专栏 \* ARABIC </w:instrText>
      </w:r>
      <w:r>
        <w:rPr>
          <w:rFonts w:ascii="Times New Roman" w:hAnsi="Times New Roman" w:cs="Times New Roman"/>
          <w:sz w:val="24"/>
          <w:szCs w:val="24"/>
          <w:shd w:val="clear" w:color="auto" w:fill="auto"/>
        </w:rPr>
        <w:fldChar w:fldCharType="separate"/>
      </w:r>
      <w:r>
        <w:rPr>
          <w:rFonts w:ascii="Times New Roman" w:hAnsi="Times New Roman" w:cs="Times New Roman"/>
          <w:sz w:val="24"/>
          <w:szCs w:val="24"/>
          <w:shd w:val="clear" w:color="auto" w:fill="auto"/>
        </w:rPr>
        <w:t>4</w:t>
      </w:r>
      <w:r>
        <w:rPr>
          <w:rFonts w:ascii="Times New Roman" w:hAnsi="Times New Roman" w:cs="Times New Roman"/>
          <w:sz w:val="24"/>
          <w:szCs w:val="24"/>
          <w:shd w:val="clear" w:color="auto" w:fill="auto"/>
        </w:rPr>
        <w:fldChar w:fldCharType="end"/>
      </w:r>
      <w:r>
        <w:rPr>
          <w:rFonts w:ascii="Times New Roman" w:hAnsi="Times New Roman" w:cs="Times New Roman"/>
          <w:sz w:val="28"/>
          <w:szCs w:val="28"/>
          <w:shd w:val="clear" w:color="auto" w:fill="auto"/>
        </w:rPr>
        <w:t xml:space="preserve">  “十四五”时期健康产业发展主要指标</w:t>
      </w:r>
      <w:bookmarkEnd w:id="11"/>
    </w:p>
    <w:tbl>
      <w:tblPr>
        <w:tblStyle w:val="26"/>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860"/>
        <w:gridCol w:w="3969"/>
        <w:gridCol w:w="851"/>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blHeader/>
          <w:jc w:val="center"/>
        </w:trPr>
        <w:tc>
          <w:tcPr>
            <w:tcW w:w="836" w:type="dxa"/>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分类</w:t>
            </w: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序号</w:t>
            </w:r>
          </w:p>
        </w:tc>
        <w:tc>
          <w:tcPr>
            <w:tcW w:w="3969" w:type="dxa"/>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指标名称</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单位</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2020年</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产业规模</w:t>
            </w:r>
            <w:r>
              <w:rPr>
                <w:rStyle w:val="25"/>
                <w:rFonts w:ascii="Times New Roman" w:hAnsi="Times New Roman" w:cs="Times New Roman"/>
                <w:b/>
                <w:bCs/>
                <w:color w:val="000000"/>
                <w:sz w:val="28"/>
                <w:szCs w:val="28"/>
              </w:rPr>
              <w:footnoteReference w:id="6"/>
            </w: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t>健康产业总产出</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亿元</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9315</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健康产业增加值</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亿元</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3719</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健康产业增加值占GDP比重</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创新能力</w:t>
            </w: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规模以上医药企业研发费用支出占主营业务收入比重</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4.9</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健康产业领域国家实验室</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个</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集聚效应</w:t>
            </w: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500亿以上医药产业集群</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个</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超百亿元的医药龙头企业集团</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家</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restart"/>
            <w:vAlign w:val="center"/>
          </w:tcPr>
          <w:p>
            <w:pPr>
              <w:widowControl w:val="0"/>
              <w:adjustRightInd w:val="0"/>
              <w:snapToGrid w:val="0"/>
              <w:spacing w:line="240" w:lineRule="auto"/>
              <w:ind w:firstLine="0" w:firstLineChars="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重点领域</w:t>
            </w: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千人医疗卫生机构床位数</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张</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5.99</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Pr>
          <w:p>
            <w:pPr>
              <w:widowControl w:val="0"/>
              <w:adjustRightInd w:val="0"/>
              <w:snapToGrid w:val="0"/>
              <w:spacing w:line="240" w:lineRule="auto"/>
              <w:ind w:firstLine="0" w:firstLineChars="0"/>
              <w:jc w:val="center"/>
              <w:rPr>
                <w:rFonts w:ascii="Times New Roman" w:hAnsi="Times New Roman" w:cs="Times New Roman"/>
                <w:b/>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国家级卫生人才数</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人</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285</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Pr>
          <w:p>
            <w:pPr>
              <w:widowControl w:val="0"/>
              <w:adjustRightInd w:val="0"/>
              <w:snapToGrid w:val="0"/>
              <w:spacing w:line="240" w:lineRule="auto"/>
              <w:ind w:firstLine="0" w:firstLineChars="0"/>
              <w:jc w:val="center"/>
              <w:rPr>
                <w:rFonts w:ascii="Times New Roman" w:hAnsi="Times New Roman" w:cs="Times New Roman"/>
                <w:b/>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规上医药企业主营业务收入</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亿元</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2151</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Pr>
          <w:p>
            <w:pPr>
              <w:widowControl w:val="0"/>
              <w:adjustRightInd w:val="0"/>
              <w:snapToGrid w:val="0"/>
              <w:spacing w:line="240" w:lineRule="auto"/>
              <w:ind w:firstLine="0" w:firstLineChars="0"/>
              <w:jc w:val="center"/>
              <w:rPr>
                <w:rFonts w:ascii="Times New Roman" w:hAnsi="Times New Roman" w:cs="Times New Roman"/>
                <w:b/>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医养康养联合体培育数量</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个</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Pr>
          <w:p>
            <w:pPr>
              <w:widowControl w:val="0"/>
              <w:adjustRightInd w:val="0"/>
              <w:snapToGrid w:val="0"/>
              <w:spacing w:line="240" w:lineRule="auto"/>
              <w:ind w:firstLine="0" w:firstLineChars="0"/>
              <w:jc w:val="center"/>
              <w:rPr>
                <w:rFonts w:ascii="Times New Roman" w:hAnsi="Times New Roman" w:cs="Times New Roman"/>
                <w:b/>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居民健康素养水平</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29.5</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Pr>
          <w:p>
            <w:pPr>
              <w:widowControl w:val="0"/>
              <w:adjustRightInd w:val="0"/>
              <w:snapToGrid w:val="0"/>
              <w:spacing w:line="240" w:lineRule="auto"/>
              <w:ind w:firstLine="0" w:firstLineChars="0"/>
              <w:jc w:val="center"/>
              <w:rPr>
                <w:rFonts w:ascii="Times New Roman" w:hAnsi="Times New Roman" w:cs="Times New Roman"/>
                <w:b/>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体育产业规模</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亿元</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3000</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Pr>
          <w:p>
            <w:pPr>
              <w:widowControl w:val="0"/>
              <w:adjustRightInd w:val="0"/>
              <w:snapToGrid w:val="0"/>
              <w:spacing w:line="240" w:lineRule="auto"/>
              <w:ind w:firstLine="0" w:firstLineChars="0"/>
              <w:jc w:val="center"/>
              <w:rPr>
                <w:rFonts w:ascii="Times New Roman" w:hAnsi="Times New Roman" w:cs="Times New Roman"/>
                <w:b/>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健康制造数字化车间/智能工厂</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家</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Pr>
          <w:p>
            <w:pPr>
              <w:widowControl w:val="0"/>
              <w:adjustRightInd w:val="0"/>
              <w:snapToGrid w:val="0"/>
              <w:spacing w:line="240" w:lineRule="auto"/>
              <w:ind w:firstLine="0" w:firstLineChars="0"/>
              <w:jc w:val="center"/>
              <w:rPr>
                <w:rFonts w:ascii="Times New Roman" w:hAnsi="Times New Roman" w:cs="Times New Roman"/>
                <w:b/>
                <w:color w:val="000000"/>
                <w:sz w:val="28"/>
                <w:szCs w:val="28"/>
              </w:rPr>
            </w:pPr>
          </w:p>
        </w:tc>
        <w:tc>
          <w:tcPr>
            <w:tcW w:w="860"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3969" w:type="dxa"/>
            <w:vAlign w:val="center"/>
          </w:tcPr>
          <w:p>
            <w:pPr>
              <w:widowControl w:val="0"/>
              <w:adjustRightInd w:val="0"/>
              <w:snapToGrid w:val="0"/>
              <w:spacing w:line="240" w:lineRule="auto"/>
              <w:ind w:firstLine="0" w:firstLineChars="0"/>
              <w:jc w:val="left"/>
              <w:rPr>
                <w:rFonts w:ascii="Times New Roman" w:hAnsi="Times New Roman" w:cs="Times New Roman"/>
                <w:color w:val="000000"/>
                <w:sz w:val="28"/>
                <w:szCs w:val="28"/>
              </w:rPr>
            </w:pPr>
            <w:r>
              <w:rPr>
                <w:rFonts w:ascii="Times New Roman" w:hAnsi="Times New Roman" w:cs="Times New Roman"/>
                <w:color w:val="000000"/>
                <w:sz w:val="28"/>
                <w:szCs w:val="28"/>
              </w:rPr>
              <w:t>卫生健康数字化转型综合指数</w:t>
            </w:r>
          </w:p>
        </w:tc>
        <w:tc>
          <w:tcPr>
            <w:tcW w:w="851"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1134" w:type="dxa"/>
            <w:vAlign w:val="center"/>
          </w:tcPr>
          <w:p>
            <w:pPr>
              <w:widowControl w:val="0"/>
              <w:adjustRightInd w:val="0"/>
              <w:snapToGrid w:val="0"/>
              <w:spacing w:line="240" w:lineRule="auto"/>
              <w:ind w:firstLine="0" w:firstLineChars="0"/>
              <w:jc w:val="center"/>
              <w:rPr>
                <w:rFonts w:ascii="Times New Roman" w:hAnsi="Times New Roman" w:cs="Times New Roman"/>
                <w:color w:val="000000"/>
                <w:sz w:val="28"/>
                <w:szCs w:val="28"/>
              </w:rPr>
            </w:pPr>
            <w:r>
              <w:rPr>
                <w:rFonts w:ascii="Times New Roman" w:hAnsi="Times New Roman" w:cs="Times New Roman"/>
                <w:color w:val="000000"/>
                <w:sz w:val="28"/>
                <w:szCs w:val="28"/>
              </w:rPr>
              <w:t>90</w:t>
            </w:r>
          </w:p>
        </w:tc>
      </w:tr>
    </w:tbl>
    <w:p>
      <w:pPr>
        <w:spacing w:beforeLines="0" w:afterLines="0" w:line="579" w:lineRule="exact"/>
        <w:ind w:firstLine="632"/>
        <w:rPr>
          <w:rFonts w:ascii="Times New Roman" w:hAnsi="Times New Roman" w:cs="Times New Roman"/>
        </w:rPr>
      </w:pPr>
      <w:r>
        <w:rPr>
          <w:rFonts w:ascii="Times New Roman" w:hAnsi="Times New Roman" w:cs="Times New Roman"/>
        </w:rPr>
        <w:t>到2035年，建成与“重要窗口”定位相匹配的健康产业发展体系，健康产业总体规模比2020年“翻一番”，健康产业规模和发展质效居全国前列，高水平建成国内领先健康产业制造中心、生命健康科创高地、数字健康发展高地和优质健康服务高地。</w:t>
      </w:r>
    </w:p>
    <w:p>
      <w:pPr>
        <w:pStyle w:val="4"/>
        <w:spacing w:before="0" w:beforeLines="0" w:after="0" w:afterLines="0" w:line="579" w:lineRule="exact"/>
        <w:ind w:firstLine="632"/>
        <w:rPr>
          <w:rFonts w:ascii="Times New Roman" w:hAnsi="Times New Roman"/>
        </w:rPr>
      </w:pPr>
      <w:bookmarkStart w:id="12" w:name="_Toc66654781"/>
      <w:r>
        <w:rPr>
          <w:rFonts w:ascii="Times New Roman" w:hAnsi="Times New Roman"/>
        </w:rPr>
        <w:t>三、重点领域</w:t>
      </w:r>
      <w:bookmarkEnd w:id="12"/>
    </w:p>
    <w:p>
      <w:pPr>
        <w:pStyle w:val="5"/>
        <w:spacing w:beforeLines="0" w:afterLines="0" w:line="579" w:lineRule="exact"/>
        <w:ind w:firstLine="632"/>
        <w:rPr>
          <w:rFonts w:hint="default" w:ascii="Times New Roman" w:hAnsi="Times New Roman" w:eastAsia="楷体_GB2312" w:cs="Times New Roman"/>
        </w:rPr>
      </w:pPr>
      <w:bookmarkStart w:id="13" w:name="_Toc66654782"/>
      <w:r>
        <w:rPr>
          <w:rFonts w:hint="default" w:ascii="Times New Roman" w:hAnsi="Times New Roman" w:eastAsia="楷体_GB2312" w:cs="Times New Roman"/>
        </w:rPr>
        <w:t>（一）做优“医+”，发展高水平医疗健康服务</w:t>
      </w:r>
      <w:bookmarkEnd w:id="13"/>
    </w:p>
    <w:p>
      <w:pPr>
        <w:spacing w:beforeLines="0" w:afterLines="0" w:line="579" w:lineRule="exact"/>
        <w:ind w:firstLine="632"/>
        <w:rPr>
          <w:rFonts w:ascii="Times New Roman" w:hAnsi="Times New Roman" w:cs="Times New Roman"/>
        </w:rPr>
      </w:pPr>
      <w:r>
        <w:rPr>
          <w:rFonts w:ascii="Times New Roman" w:hAnsi="Times New Roman" w:cs="Times New Roman"/>
        </w:rPr>
        <w:t>围绕更好满足群众多层次、多样化、个性化健康需求，加快发展优质高效医疗服务，有效扩大中医药健康服务供给，丰富更加多元、更高质量的医疗服务，贯通全方位全周期医疗健康服务链，构建具有浙江特色的医疗健康服务体系。</w:t>
      </w:r>
    </w:p>
    <w:p>
      <w:pPr>
        <w:spacing w:beforeLines="0" w:afterLines="0" w:line="579" w:lineRule="exact"/>
        <w:ind w:firstLine="632"/>
        <w:rPr>
          <w:rFonts w:ascii="Times New Roman" w:hAnsi="Times New Roman" w:cs="Times New Roman"/>
          <w:kern w:val="0"/>
        </w:rPr>
      </w:pPr>
      <w:bookmarkStart w:id="14" w:name="baidusnap1"/>
      <w:bookmarkEnd w:id="14"/>
      <w:r>
        <w:rPr>
          <w:rFonts w:ascii="Times New Roman" w:hAnsi="Times New Roman" w:cs="Times New Roman"/>
          <w:b/>
        </w:rPr>
        <w:t>推动优质医疗资源均衡布局。</w:t>
      </w:r>
      <w:r>
        <w:rPr>
          <w:rFonts w:ascii="Times New Roman" w:hAnsi="Times New Roman" w:cs="Times New Roman"/>
        </w:rPr>
        <w:t>高标准建设传染病医学中心、综合类国家区域医疗中心及心血管病、创伤、呼吸、妇产、儿童、癌症等6个专业类国家区域医疗中心，发展具有国际顶尖攻克疑难病症诊疗能力的高水平医疗服务，形成长三角地区“医学高峰”。支持中国（浙江）自由贸易试验区及扩展区率先探索医疗服务开放政策，加大国际先进医疗服务机构引进力度，建设一批国际医学中心、</w:t>
      </w:r>
      <w:r>
        <w:rPr>
          <w:rFonts w:ascii="Times New Roman" w:hAnsi="Times New Roman" w:cs="Times New Roman"/>
          <w:color w:val="000000" w:themeColor="text1"/>
          <w:kern w:val="0"/>
        </w:rPr>
        <w:t>重点专科国际合作基地，</w:t>
      </w:r>
      <w:r>
        <w:rPr>
          <w:rFonts w:ascii="Times New Roman" w:hAnsi="Times New Roman" w:cs="Times New Roman"/>
        </w:rPr>
        <w:t>打造国际高端医疗服务中心。</w:t>
      </w:r>
      <w:r>
        <w:rPr>
          <w:rFonts w:ascii="Times New Roman" w:hAnsi="Times New Roman" w:cs="Times New Roman"/>
          <w:color w:val="000000" w:themeColor="text1"/>
          <w:kern w:val="0"/>
        </w:rPr>
        <w:t>依托临床医学研究中心、重点学科、</w:t>
      </w:r>
      <w:r>
        <w:rPr>
          <w:rFonts w:ascii="Times New Roman" w:hAnsi="Times New Roman" w:cs="Times New Roman"/>
        </w:rPr>
        <w:t>重点</w:t>
      </w:r>
      <w:r>
        <w:rPr>
          <w:rFonts w:ascii="Times New Roman" w:hAnsi="Times New Roman" w:cs="Times New Roman"/>
          <w:color w:val="000000" w:themeColor="text1"/>
          <w:kern w:val="0"/>
        </w:rPr>
        <w:t>专科建设，做大做强优势专科、特色专科，培育具有较大影响力且</w:t>
      </w:r>
      <w:r>
        <w:rPr>
          <w:rFonts w:ascii="Times New Roman" w:hAnsi="Times New Roman" w:cs="Times New Roman"/>
        </w:rPr>
        <w:t>覆盖主要疾病</w:t>
      </w:r>
      <w:r>
        <w:rPr>
          <w:rFonts w:ascii="Times New Roman" w:hAnsi="Times New Roman" w:cs="Times New Roman"/>
          <w:color w:val="000000" w:themeColor="text1"/>
          <w:kern w:val="0"/>
        </w:rPr>
        <w:t>的</w:t>
      </w:r>
      <w:r>
        <w:rPr>
          <w:rFonts w:ascii="Times New Roman" w:hAnsi="Times New Roman" w:cs="Times New Roman"/>
        </w:rPr>
        <w:t>专科医疗服务</w:t>
      </w:r>
      <w:r>
        <w:rPr>
          <w:rFonts w:ascii="Times New Roman" w:hAnsi="Times New Roman" w:cs="Times New Roman"/>
          <w:color w:val="000000" w:themeColor="text1"/>
          <w:kern w:val="0"/>
        </w:rPr>
        <w:t>。</w:t>
      </w:r>
      <w:r>
        <w:rPr>
          <w:rFonts w:ascii="Times New Roman" w:hAnsi="Times New Roman" w:cs="Times New Roman"/>
        </w:rPr>
        <w:t>推进县域医共体和城市医联体建设，</w:t>
      </w:r>
      <w:r>
        <w:rPr>
          <w:rFonts w:ascii="Times New Roman" w:hAnsi="Times New Roman" w:cs="Times New Roman"/>
          <w:color w:val="000000" w:themeColor="text1"/>
          <w:kern w:val="0"/>
        </w:rPr>
        <w:t>提供优质医疗服务和全周期健康管理服务，</w:t>
      </w:r>
      <w:r>
        <w:rPr>
          <w:rFonts w:ascii="Times New Roman" w:hAnsi="Times New Roman" w:cs="Times New Roman"/>
          <w:kern w:val="0"/>
        </w:rPr>
        <w:t>到2025年，力争每个县至少有一家医共体牵头医院达到三级医院水平。</w:t>
      </w:r>
    </w:p>
    <w:p>
      <w:pPr>
        <w:pStyle w:val="2"/>
        <w:spacing w:beforeLines="0" w:after="0" w:afterLines="0" w:line="579" w:lineRule="exact"/>
        <w:ind w:left="0" w:leftChars="0" w:firstLine="632"/>
        <w:rPr>
          <w:rFonts w:ascii="Times New Roman" w:hAnsi="Times New Roman" w:cs="Times New Roman"/>
        </w:rPr>
      </w:pPr>
      <w:r>
        <w:rPr>
          <w:rFonts w:ascii="Times New Roman" w:hAnsi="Times New Roman" w:cs="Times New Roman"/>
          <w:b/>
        </w:rPr>
        <w:t>创新发力精准医疗服务。</w:t>
      </w:r>
      <w:r>
        <w:rPr>
          <w:rFonts w:ascii="Times New Roman" w:hAnsi="Times New Roman" w:cs="Times New Roman"/>
        </w:rPr>
        <w:t>大力发展基因测序、基因治疗、细胞治疗等个体化治疗服务，重点开发肿瘤、遗传性疾病、胎儿罕见病筛查等领域精准预防、诊断和治疗服务产品，加快构建精准诊断、精准治疗、精准药物有机结合的精准医疗服务体系。建立基因检测、免疫治疗和基因、蛋白代谢组等前沿生物技术临床应用转化机制，着力吸引全球精准医疗优质项目落地转化，开展精准医疗创新合作。健全治疗适应症与新靶点验证、临床前与临床试验、产品设计优化与产业化等全程精准监管机制，提高药物精准研发水平。优化医疗新技术临床应用管理，构建精准医疗服务临床质控体系。</w:t>
      </w:r>
    </w:p>
    <w:p>
      <w:pPr>
        <w:spacing w:beforeLines="0" w:afterLines="0" w:line="579" w:lineRule="exact"/>
        <w:ind w:firstLine="632"/>
        <w:rPr>
          <w:rFonts w:ascii="Times New Roman" w:hAnsi="Times New Roman" w:cs="Times New Roman"/>
          <w:highlight w:val="yellow"/>
        </w:rPr>
      </w:pPr>
      <w:r>
        <w:rPr>
          <w:rFonts w:ascii="Times New Roman" w:hAnsi="Times New Roman" w:cs="Times New Roman"/>
          <w:b/>
        </w:rPr>
        <w:t>传承创新中医药健康服务。</w:t>
      </w:r>
      <w:r>
        <w:rPr>
          <w:rFonts w:ascii="Times New Roman" w:hAnsi="Times New Roman" w:cs="Times New Roman"/>
        </w:rPr>
        <w:t>积极创建国家中医药综合改革示范省，大力发展融预防保健、疾病治疗和康复于一体的中医药健康服务，打响“浙里中医”服务品牌。积极争创国家中医医学中心、区域中医医疗中心，打造中西医结合旗舰医院，加强中西医临床协作攻关，建设一批现代化中医医院强院，提升中医医疗服务能级及水平。构建中医优势特色专科体系，鼓励组建中医药专科联盟，做优做强中医内科等专病专科。推广发展个性化便捷式治未病健康服务，推进各级治未病中心、中医康复中心建设，规范中医养生保健服务，提升中医特色康复服务能力。推广浙派中医“百医百方”，到2025年，推广50个优势病种中医诊疗方案和20项中医药预防保健（治未病）干预方案。</w:t>
      </w:r>
    </w:p>
    <w:p>
      <w:pPr>
        <w:spacing w:beforeLines="0" w:afterLines="0" w:line="579" w:lineRule="exact"/>
        <w:ind w:firstLine="632"/>
        <w:rPr>
          <w:rFonts w:ascii="Times New Roman" w:hAnsi="Times New Roman" w:cs="Times New Roman"/>
        </w:rPr>
      </w:pPr>
      <w:r>
        <w:rPr>
          <w:rFonts w:ascii="Times New Roman" w:hAnsi="Times New Roman" w:cs="Times New Roman"/>
          <w:b/>
        </w:rPr>
        <w:t>提质发展多元特色医疗服务。</w:t>
      </w:r>
      <w:r>
        <w:rPr>
          <w:rFonts w:ascii="Times New Roman" w:hAnsi="Times New Roman" w:cs="Times New Roman"/>
        </w:rPr>
        <w:t>全面</w:t>
      </w:r>
      <w:r>
        <w:rPr>
          <w:rFonts w:ascii="Times New Roman" w:hAnsi="Times New Roman" w:cs="Times New Roman"/>
          <w:kern w:val="0"/>
        </w:rPr>
        <w:t>落实社会办医支持政策。</w:t>
      </w:r>
      <w:r>
        <w:rPr>
          <w:rFonts w:ascii="Times New Roman" w:hAnsi="Times New Roman" w:cs="Times New Roman"/>
        </w:rPr>
        <w:t>鼓励、引导和规范社会办医机构举办中医、康复、护理、儿科等医疗机构，参与建设连锁化、专业化长期照护服务机构，发展美容、眼科、口腔等特色专科，培育一批特色专科医疗品牌。支持社会力量举办连锁化医学检验实验室、病理诊断中心、医学影像中心、血液透析中心及前沿医疗技术应用等第三方医疗服务机构。强化社会办医精专特色，支持社会办医承接公立医院部分特需医疗服务，参与医联体、专科联盟、医共体及应急体系建设，打造一批服务规范、技术精湛、优质专业的社会办医疗机构品牌。</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tcPr>
          <w:p>
            <w:pPr>
              <w:pStyle w:val="10"/>
              <w:adjustRightInd w:val="0"/>
              <w:snapToGrid w:val="0"/>
              <w:spacing w:line="300" w:lineRule="auto"/>
              <w:ind w:firstLine="21" w:firstLineChars="9"/>
              <w:jc w:val="center"/>
              <w:rPr>
                <w:rFonts w:ascii="Times New Roman" w:hAnsi="Times New Roman" w:cs="Times New Roman"/>
                <w:sz w:val="24"/>
                <w:szCs w:val="24"/>
              </w:rPr>
            </w:pPr>
            <w:bookmarkStart w:id="15" w:name="_Toc66654806"/>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做优“医+”三大工程</w:t>
            </w:r>
            <w:bookmarkEnd w:id="1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8276" w:type="dxa"/>
            <w:vAlign w:val="center"/>
          </w:tcPr>
          <w:p>
            <w:pPr>
              <w:pStyle w:val="40"/>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优质医疗资源扩容工程。加快推进浙江大学医学院附属第一医院余杭院区二期（总部二期）、浙江大学医学院附属第二医院创新中心、浙江大学医学院附属妇产科医院钱江院区、浙江大学医学院附属邵逸夫医院庆春院区五期、浙江省公共卫生临床中心、浙大二院萧山院区、中国科学院大学附属肿瘤医院（浙江省肿瘤医院）绍兴院区（浙江滨海医院）、浙大邵逸夫医院绍兴院区、绍兴二院兰亭院区（康复医院）、金义新区中心医院、浙江大学一带一路国际医学院附属医院、浙江省突发公共事件创伤危急重症立体救治中心、长三角公共卫生应急培训与演练基地项目等重大项目建设。</w:t>
            </w:r>
          </w:p>
          <w:p>
            <w:pPr>
              <w:pStyle w:val="40"/>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医学高峰”建设工程。高标准建设传染病医学中心、综合类国家区域医疗中心及心血管病、创伤、呼吸、妇产、儿童、癌症等6个专业类国家区域医疗中心。创建一批一流品牌学科、发展一批重点优势学科、培育一批特色学科、支持一批潜力学科，进入国内、国际第一方阵。优先发展10个医学重点培育专科（学科）。</w:t>
            </w:r>
          </w:p>
          <w:p>
            <w:pPr>
              <w:pStyle w:val="40"/>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3.中医药传承创新工程。健全中医医疗服务体系，打造浙江中医药医学高地。建立中医药临床评估机制，推广50个优势病种中医诊疗方案。培育推广20项中医药预防保健（治未病）干预方案。完善中西医联合诊治制度，开展中西医临床协作攻关。探索建设中医药疫病防治体系。加快中医药传统技术推陈出新，建立经典名方合作开发和利益分享机制。</w:t>
            </w:r>
          </w:p>
        </w:tc>
      </w:tr>
    </w:tbl>
    <w:p>
      <w:pPr>
        <w:pStyle w:val="5"/>
        <w:spacing w:beforeLines="0" w:afterLines="0"/>
        <w:ind w:firstLine="640"/>
        <w:rPr>
          <w:rFonts w:hint="default" w:ascii="Times New Roman" w:hAnsi="Times New Roman" w:eastAsia="楷体_GB2312" w:cs="Times New Roman"/>
          <w:b w:val="0"/>
        </w:rPr>
      </w:pPr>
      <w:bookmarkStart w:id="16" w:name="_Toc66654783"/>
      <w:r>
        <w:rPr>
          <w:rFonts w:hint="default" w:ascii="Times New Roman" w:hAnsi="Times New Roman" w:eastAsia="楷体_GB2312" w:cs="Times New Roman"/>
        </w:rPr>
        <w:t>（二）做强“药+”，发展集群式医药器械产业</w:t>
      </w:r>
      <w:bookmarkEnd w:id="16"/>
    </w:p>
    <w:p>
      <w:pPr>
        <w:ind w:firstLine="640"/>
        <w:rPr>
          <w:rFonts w:ascii="Times New Roman" w:hAnsi="Times New Roman" w:cs="Times New Roman"/>
        </w:rPr>
      </w:pPr>
      <w:r>
        <w:rPr>
          <w:rFonts w:ascii="Times New Roman" w:hAnsi="Times New Roman" w:cs="Times New Roman"/>
        </w:rPr>
        <w:t>聚焦生物医药、现代中药、医疗器械等重点领域，全面增强产业基础能力和产业链核心竞争力，打造一批全国领先的标志性产业链，建设具有国际竞争力的千亿级生物医药产业集群，促进产业链价值链供应链向全球中高端位势攀升。</w:t>
      </w:r>
    </w:p>
    <w:p>
      <w:pPr>
        <w:ind w:firstLine="643"/>
        <w:rPr>
          <w:rFonts w:ascii="Times New Roman" w:hAnsi="Times New Roman" w:cs="Times New Roman"/>
        </w:rPr>
      </w:pPr>
      <w:r>
        <w:rPr>
          <w:rFonts w:ascii="Times New Roman" w:hAnsi="Times New Roman" w:cs="Times New Roman"/>
          <w:b/>
        </w:rPr>
        <w:t>增强生物医药竞争力。</w:t>
      </w:r>
      <w:r>
        <w:rPr>
          <w:rFonts w:ascii="Times New Roman" w:hAnsi="Times New Roman" w:cs="Times New Roman"/>
        </w:rPr>
        <w:t>聚力生物技术关键紧缺环节与产品国产化，加强免疫治疗、基因治疗、干细胞治疗、蛋白质工程、生物信息学等新兴生物技术研发转化，重点开发抗体药物、重组蛋白药物、多肽药物、生物类似药、新型疫苗、紧缺生物制品等产品。加快化学药核心技术产品替代，开发基于新结构、新靶点、新机制的原研药物，推进改良型新药上市，加大罕见病、特殊人群及临床急需、专利到期药物仿制药等短缺药物开发，提升重点原料药及中间体、高端和新型药用辅料。</w:t>
      </w:r>
    </w:p>
    <w:p>
      <w:pPr>
        <w:ind w:firstLine="643"/>
        <w:rPr>
          <w:rFonts w:ascii="Times New Roman" w:hAnsi="Times New Roman" w:cs="Times New Roman"/>
        </w:rPr>
      </w:pPr>
      <w:r>
        <w:rPr>
          <w:rFonts w:ascii="Times New Roman" w:hAnsi="Times New Roman" w:cs="Times New Roman"/>
          <w:b/>
        </w:rPr>
        <w:t>大力发展现代中药。</w:t>
      </w:r>
      <w:r>
        <w:rPr>
          <w:rFonts w:ascii="Times New Roman" w:hAnsi="Times New Roman" w:cs="Times New Roman"/>
        </w:rPr>
        <w:t>加强中药经典名方二次开发及优势中药复方与活性成分研究，重点发展中成药、中药饮片、中药配方颗粒，提升“浙八味”和新“浙八味”等浙产中药材品种，开发现代海洋中药新产品，打造一批中药领域“拳头”产品。做大做强浙江道地药材产业基地，推进道地药材、中药饮片规模化、一体化加工，推广“共享车间”试点，支持中药生产企业装备升级、技术集成和工艺创新。</w:t>
      </w:r>
      <w:r>
        <w:rPr>
          <w:rFonts w:ascii="Times New Roman" w:hAnsi="Times New Roman" w:cs="Times New Roman"/>
          <w:kern w:val="0"/>
        </w:rPr>
        <w:t>到2025年，形成3-5项智能化中药单元生产技术，3-5个中药绿色、智能车间或智能工厂。</w:t>
      </w:r>
      <w:r>
        <w:rPr>
          <w:rFonts w:ascii="Times New Roman" w:hAnsi="Times New Roman" w:cs="Times New Roman"/>
        </w:rPr>
        <w:t>建立中药产业高质量发展体系，推动中药标准体系接轨国际，切实打响“浙产中药”品牌。</w:t>
      </w:r>
    </w:p>
    <w:p>
      <w:pPr>
        <w:ind w:firstLine="643"/>
        <w:rPr>
          <w:rFonts w:ascii="Times New Roman" w:hAnsi="Times New Roman" w:cs="Times New Roman"/>
        </w:rPr>
      </w:pPr>
      <w:r>
        <w:rPr>
          <w:rFonts w:ascii="Times New Roman" w:hAnsi="Times New Roman" w:cs="Times New Roman"/>
          <w:b/>
        </w:rPr>
        <w:t>高端发展医疗器械。</w:t>
      </w:r>
      <w:r>
        <w:rPr>
          <w:rFonts w:ascii="Times New Roman" w:hAnsi="Times New Roman" w:cs="Times New Roman"/>
        </w:rPr>
        <w:t>坚持主流装备、核心部件等高端医疗器械产品自主制造，推动关键医疗设备器械及核心部件自主创新和产业化。加快人工关节、人工瓣膜、人工角膜、人工晶体、人工耳蜗、脑血管植（介）入器械、辅助生殖器械、可降解血管支架等高端植（介）入产品开发。充分利用增材制造等新技术，研发消融类、电刺激类等新型医用材料，发展人体组织器官修复再生、生物功能恢复增进、个性化医疗美容、微创伤治疗等方向的新产品。发展放射治疗、超声治疗、磁场治疗装备、新型监护与生命支持装备、中医诊疗装备、妇幼健康装备、保健康复装备等新型治疗装备产品。</w:t>
      </w:r>
    </w:p>
    <w:p>
      <w:pPr>
        <w:ind w:firstLine="643"/>
        <w:rPr>
          <w:rFonts w:ascii="Times New Roman" w:hAnsi="Times New Roman" w:cs="Times New Roman"/>
        </w:rPr>
      </w:pPr>
      <w:r>
        <w:rPr>
          <w:rFonts w:ascii="Times New Roman" w:hAnsi="Times New Roman" w:cs="Times New Roman"/>
          <w:b/>
        </w:rPr>
        <w:t>提升发展现代医药流通服务。</w:t>
      </w:r>
      <w:r>
        <w:rPr>
          <w:rFonts w:ascii="Times New Roman" w:hAnsi="Times New Roman" w:cs="Times New Roman"/>
        </w:rPr>
        <w:t>培育大型现代药品流通骨干企业，打造一批现代医药流通综合服务商，推动药品流通企业建设区域性物流配送中心和现代运营中心，创新连锁经营等现代流通模式，形成</w:t>
      </w:r>
      <w:r>
        <w:rPr>
          <w:rFonts w:ascii="Times New Roman" w:hAnsi="Times New Roman" w:cs="Times New Roman"/>
          <w:color w:val="000000"/>
        </w:rPr>
        <w:t>覆盖全国范围的医药物流网络</w:t>
      </w:r>
      <w:r>
        <w:rPr>
          <w:rFonts w:ascii="Times New Roman" w:hAnsi="Times New Roman" w:cs="Times New Roman"/>
        </w:rPr>
        <w:t>。积极融入国际医药供应链，完善进口药品及生物制品通关制度。推动医药冷链物流升级，优化冷链物流仓储布局，大力发展冷链运输设备，加快温度控制系统、地理信息系统等新兴技术应用。</w:t>
      </w:r>
      <w:bookmarkStart w:id="17" w:name="baidusnap2"/>
      <w:bookmarkEnd w:id="17"/>
      <w:bookmarkStart w:id="18" w:name="baidusnap3"/>
      <w:bookmarkEnd w:id="18"/>
      <w:r>
        <w:rPr>
          <w:rFonts w:ascii="Times New Roman" w:hAnsi="Times New Roman" w:cs="Times New Roman"/>
        </w:rPr>
        <w:t>健全安全智慧医药流通体系，推进药品流通企业物联网建设，支持药品流通企业与医疗机构、医保、电子商务企业合作，建立健康服务产品的电子交易平台，规范“线上+线下”流通服务链条，加快区块链等溯源技术在医药追溯体系建设中应用，建立基于区块链技术的电子处方共享流转平台，构建覆盖全品种全过程的药品质量信息管控系统。</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tcPr>
          <w:p>
            <w:pPr>
              <w:pStyle w:val="10"/>
              <w:adjustRightInd w:val="0"/>
              <w:snapToGrid w:val="0"/>
              <w:spacing w:line="300" w:lineRule="auto"/>
              <w:ind w:firstLine="0" w:firstLineChars="0"/>
              <w:jc w:val="center"/>
              <w:rPr>
                <w:rFonts w:ascii="Times New Roman" w:hAnsi="Times New Roman" w:cs="Times New Roman"/>
                <w:sz w:val="24"/>
                <w:szCs w:val="24"/>
              </w:rPr>
            </w:pPr>
            <w:bookmarkStart w:id="19" w:name="_Toc66654807"/>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做强“药+”领域三大工程</w:t>
            </w:r>
            <w:bookmarkEnd w:id="1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7" w:hRule="atLeast"/>
          <w:jc w:val="center"/>
        </w:trPr>
        <w:tc>
          <w:tcPr>
            <w:tcW w:w="8276" w:type="dxa"/>
            <w:vAlign w:val="center"/>
          </w:tcPr>
          <w:p>
            <w:pPr>
              <w:pStyle w:val="40"/>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产业集群化项目实施工程。加快推进华东医药生命科学产业园、滨海新区绍兴国际生命健康科技园、国科生物医药产业园、花园生物（金西）科技园、华海制药科技产业园一期工程、联化科技高端医药中间体及新材料等重大项目建设。到2025年，建设10个以上医药器械产业“新星”产业群。</w:t>
            </w:r>
          </w:p>
          <w:p>
            <w:pPr>
              <w:pStyle w:val="40"/>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四大标志性产业链打造工程。以创新型制剂、重点预料药及中间体、高端和新型药用辅料为主的化学药产业链；以体外诊断设备与试剂、医用材料、高端植（介）入、医学影像设备、新型治疗装备、微创器械与手术导航、脑机接口技术等为主的高端医疗器械产业链；以生物技术药物、新型疫苗、紧缺生物制品等为主的生物技术药产业链；以中成药、中药种植与饮片、中药后服务为主的现代中药产业链。</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3.产业价值链供应链升级工程。建立医药产业链核心技术环节风险清单库，组织实施一批行业示范带动性强的产业链协同创新项目，布局合同研发、临床服务、生产服务、申报服务等全周期创新链，延伸发展制药设备、包装材料、医药流通等价值链上下游领域。</w:t>
            </w:r>
          </w:p>
        </w:tc>
      </w:tr>
    </w:tbl>
    <w:p>
      <w:pPr>
        <w:pStyle w:val="5"/>
        <w:spacing w:beforeLines="0" w:afterLines="0"/>
        <w:ind w:firstLine="640"/>
        <w:rPr>
          <w:rFonts w:hint="default" w:ascii="Times New Roman" w:hAnsi="Times New Roman" w:eastAsia="楷体_GB2312" w:cs="Times New Roman"/>
          <w:b w:val="0"/>
        </w:rPr>
      </w:pPr>
      <w:bookmarkStart w:id="20" w:name="_Toc66654784"/>
      <w:r>
        <w:rPr>
          <w:rFonts w:hint="default" w:ascii="Times New Roman" w:hAnsi="Times New Roman" w:eastAsia="楷体_GB2312" w:cs="Times New Roman"/>
        </w:rPr>
        <w:t>（三）做特“养+”，发展多样化康养融合产业</w:t>
      </w:r>
      <w:bookmarkEnd w:id="20"/>
    </w:p>
    <w:p>
      <w:pPr>
        <w:ind w:firstLine="640"/>
        <w:rPr>
          <w:rFonts w:ascii="Times New Roman" w:hAnsi="Times New Roman" w:cs="Times New Roman"/>
        </w:rPr>
      </w:pPr>
      <w:r>
        <w:rPr>
          <w:rFonts w:ascii="Times New Roman" w:hAnsi="Times New Roman" w:cs="Times New Roman"/>
        </w:rPr>
        <w:t>突出产业融合、特色创新，推动健康产业与养老、养生、旅游、文化、食（用）品等相关领域深度融合，培育具有鲜明特色的产业新模式、新业态，不断拓展健康跨界融合应用场景，加快构建以“养+”为主题的健康产业融合体系。</w:t>
      </w:r>
    </w:p>
    <w:p>
      <w:pPr>
        <w:ind w:firstLine="643"/>
        <w:rPr>
          <w:rFonts w:ascii="Times New Roman" w:hAnsi="Times New Roman" w:cs="Times New Roman"/>
        </w:rPr>
      </w:pPr>
      <w:r>
        <w:rPr>
          <w:rFonts w:ascii="Times New Roman" w:hAnsi="Times New Roman" w:cs="Times New Roman"/>
          <w:b/>
        </w:rPr>
        <w:t>大力发展健康养老产业。</w:t>
      </w:r>
      <w:r>
        <w:rPr>
          <w:rFonts w:ascii="Times New Roman" w:hAnsi="Times New Roman" w:cs="Times New Roman"/>
        </w:rPr>
        <w:t>加强专业性强、医养能力突出的养老服务机构建设，推动品牌化战略、连锁化经营、集团化发展。开展康养联合体试点，推动养老机构康复室和康复医师配备，增加个性化、专业化康养服务供给，构建集健康预防、医疗服务、康复护理和生活照料于一体的健康养老服务体系。支持规范养老地产发展，鼓励社会力量举办各类养老服务机构，参与老年公寓、老年住宅等老年生活设施建设，打造一批特色养老产业园区。鼓励研制老年系列产品用品，发展康复辅具产品，培育辅具租赁市场，开发助行器、感官辅助器等高附加值产品，打造康复辅具产业园。到2022年，力争建成养老产业试点10个、养老产业高质量园区20个，到2025年，力争</w:t>
      </w:r>
      <w:r>
        <w:rPr>
          <w:rFonts w:ascii="Times New Roman" w:hAnsi="Times New Roman" w:cs="Times New Roman"/>
          <w:bCs/>
        </w:rPr>
        <w:t>培育康养联合体1000个。</w:t>
      </w:r>
    </w:p>
    <w:p>
      <w:pPr>
        <w:ind w:firstLine="643"/>
        <w:rPr>
          <w:rFonts w:ascii="Times New Roman" w:hAnsi="Times New Roman" w:cs="Times New Roman"/>
        </w:rPr>
      </w:pPr>
      <w:r>
        <w:rPr>
          <w:rFonts w:ascii="Times New Roman" w:hAnsi="Times New Roman" w:cs="Times New Roman"/>
          <w:b/>
        </w:rPr>
        <w:t>加快发展养生休闲产业。</w:t>
      </w:r>
      <w:r>
        <w:rPr>
          <w:rFonts w:ascii="Times New Roman" w:hAnsi="Times New Roman" w:cs="Times New Roman"/>
        </w:rPr>
        <w:t>深入推动医疗、康复、体育、现代农业、美丽生态、旅游业等多领域融合，培育特色多样健康业态，延伸拓展养生休闲旅游产业链。依托滨海生态、佛教文化等资源，积极发展滨海休闲度假、禅修养生、康体养生、海洋体育运动等健康旅游产品，打造国家健康旅游示范区。整合名山、公园、森林资源，重点发展森林康养、高地疗养、避暑休闲等山地旅游产品，开发一批精品旅游线路。挖掘中医药、温泉等资源优势，开发中医药养生、温泉度假、天然氧吧等康养产品，大力推进康养旅游基地建设，打造一批精品疗休养线路，创建国家中医药健康旅游基地。开发乡村休闲、田园休闲健康旅游精品线路，建设一批现代农业公园和田园康养综合体。</w:t>
      </w:r>
    </w:p>
    <w:p>
      <w:pPr>
        <w:ind w:firstLine="643"/>
        <w:rPr>
          <w:rFonts w:ascii="Times New Roman" w:hAnsi="Times New Roman" w:cs="Times New Roman"/>
        </w:rPr>
      </w:pPr>
      <w:r>
        <w:rPr>
          <w:rFonts w:ascii="Times New Roman" w:hAnsi="Times New Roman" w:cs="Times New Roman"/>
          <w:b/>
        </w:rPr>
        <w:t>培育发展健康文化产业。</w:t>
      </w:r>
      <w:r>
        <w:rPr>
          <w:rFonts w:ascii="Times New Roman" w:hAnsi="Times New Roman" w:cs="Times New Roman"/>
        </w:rPr>
        <w:t>促进健康与文化深度融合，加强健康知识宣传力度，推广和普及健康咨询、养生保健、防病治病知识，培育有利于提升健康文化素养的消费领域。加强健康文化传播与交流，支持创作健康文化精品、举办学术性和文化性相结合的健康促进论坛等活动。鼓励医药院校、科研机构、文化机构、现代传媒与社会力量相结合，建设有特色有内涵的健康教育平台、健康文化综合体、中医药文化研究基地、养生文化机构等实体平台。支持各地深挖资源，打造一批融合地方文化特色的“沉浸式”“体验式”健康文化园、养老养生文化园。</w:t>
      </w:r>
    </w:p>
    <w:p>
      <w:pPr>
        <w:ind w:firstLine="643"/>
        <w:rPr>
          <w:rFonts w:ascii="Times New Roman" w:hAnsi="Times New Roman" w:cs="Times New Roman"/>
        </w:rPr>
      </w:pPr>
      <w:r>
        <w:rPr>
          <w:rFonts w:ascii="Times New Roman" w:hAnsi="Times New Roman" w:cs="Times New Roman"/>
          <w:b/>
        </w:rPr>
        <w:t>创新拓展健康食（用）品产业。</w:t>
      </w:r>
      <w:r>
        <w:rPr>
          <w:rFonts w:ascii="Times New Roman" w:hAnsi="Times New Roman" w:cs="Times New Roman"/>
        </w:rPr>
        <w:t>围绕婴幼儿、孕妇、老年人、患病人群等各类健康营养需求，重点发展膳食补充剂、营养强化食品、功能保健食品、抗疲劳（衰老）食品、特殊医学用途食品。加强开发功能性膳食纤维、功能性糖原、功能性油脂、益生菌类、生物活性肽等生物技术保健食品。大力开发药食同源产品，做大做强铁皮石斛、蜂产品、珍珠粉类、灵芝类、保健酒类、维生素类等保健产品。以天然绿色、环保安全为方向，支持各地因地制宜开发保健药品、营养食品、美容化妆品等健康食（用）品，培育一批高附加值健康食（用）品品牌。以深海生物组织和海洋活性物质的提取为方向，加强海洋生物保健品、功能性食品、海洋化妆品生物功能材料等研发和生产。</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tcPr>
          <w:p>
            <w:pPr>
              <w:pStyle w:val="10"/>
              <w:adjustRightInd w:val="0"/>
              <w:snapToGrid w:val="0"/>
              <w:spacing w:line="300" w:lineRule="auto"/>
              <w:ind w:firstLine="0" w:firstLineChars="0"/>
              <w:jc w:val="center"/>
              <w:rPr>
                <w:rFonts w:ascii="Times New Roman" w:hAnsi="Times New Roman" w:cs="Times New Roman"/>
                <w:sz w:val="24"/>
                <w:szCs w:val="24"/>
              </w:rPr>
            </w:pPr>
            <w:bookmarkStart w:id="21" w:name="_Toc66654808"/>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做特“养+”领域两大工程</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8276" w:type="dxa"/>
            <w:vAlign w:val="center"/>
          </w:tcPr>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健康养老产业提质工程。大力增加养老设施、服务供给，整合康复医师、康复治疗师、康复护士和护理员资源，为老年人提供个性化、专业化康复护理服务。到2025年，建设康养联合体1000个，每万老年人拥有持证养老护理员25人。建设一批有养老特色的产业园区，扶植老年产品用品研发制造企业，培育养老服务品牌。</w:t>
            </w:r>
          </w:p>
          <w:p>
            <w:pPr>
              <w:pStyle w:val="40"/>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健康融合产业园区工程。加快推进平湖中日国际康养科技园、十大海岛公园、十大名山公园、华东大峡谷氡泉旅游度假区、盐官音乐小镇、中国·白茶小镇、灵鹫山旅游度假区建设、玉环市海山生态旅游岛文旅综合开发等项目建设。支持中医药特色街区（基地）建设。支持舟山、湖州等地建设国家健康旅游示范区。到2025年，建设100个休闲度假型、康复疗养型老年养生基地；新建省中医药文化养生旅游示范基地40家；建设国家级康养旅游示范区3个以上。</w:t>
            </w:r>
          </w:p>
        </w:tc>
      </w:tr>
    </w:tbl>
    <w:p>
      <w:pPr>
        <w:pStyle w:val="5"/>
        <w:spacing w:beforeLines="0" w:afterLines="0" w:line="550" w:lineRule="exact"/>
        <w:ind w:firstLine="632"/>
        <w:rPr>
          <w:rFonts w:hint="default" w:ascii="Times New Roman" w:hAnsi="Times New Roman" w:eastAsia="楷体_GB2312" w:cs="Times New Roman"/>
          <w:b w:val="0"/>
        </w:rPr>
      </w:pPr>
      <w:bookmarkStart w:id="22" w:name="_Toc66654785"/>
      <w:r>
        <w:rPr>
          <w:rFonts w:hint="default" w:ascii="Times New Roman" w:hAnsi="Times New Roman" w:eastAsia="楷体_GB2312" w:cs="Times New Roman"/>
        </w:rPr>
        <w:t>（四）做专“健+”，发展普惠型健体康体产业</w:t>
      </w:r>
      <w:bookmarkEnd w:id="22"/>
    </w:p>
    <w:p>
      <w:pPr>
        <w:spacing w:beforeLines="0" w:afterLines="0" w:line="550" w:lineRule="exact"/>
        <w:ind w:firstLine="632"/>
        <w:rPr>
          <w:rFonts w:ascii="Times New Roman" w:hAnsi="Times New Roman" w:cs="Times New Roman"/>
        </w:rPr>
      </w:pPr>
      <w:r>
        <w:rPr>
          <w:rFonts w:ascii="Times New Roman" w:hAnsi="Times New Roman" w:cs="Times New Roman"/>
        </w:rPr>
        <w:t>倡导大健康理念，围绕以治疗为主转向以预防为主目标，大力发展体育健身、健康管理、健康金融等健体康体产业，多样化丰富服务和产品供给，推动健康关口前移，激发健康消费新需求新业态。</w:t>
      </w:r>
    </w:p>
    <w:p>
      <w:pPr>
        <w:spacing w:beforeLines="0" w:afterLines="0" w:line="550" w:lineRule="exact"/>
        <w:ind w:firstLine="632"/>
        <w:rPr>
          <w:rFonts w:ascii="Times New Roman" w:hAnsi="Times New Roman" w:cs="Times New Roman"/>
        </w:rPr>
      </w:pPr>
      <w:r>
        <w:rPr>
          <w:rFonts w:ascii="Times New Roman" w:hAnsi="Times New Roman" w:cs="Times New Roman"/>
          <w:b/>
        </w:rPr>
        <w:t>延伸拓展体育健身产业。</w:t>
      </w:r>
      <w:r>
        <w:rPr>
          <w:rFonts w:ascii="Times New Roman" w:hAnsi="Times New Roman" w:cs="Times New Roman"/>
        </w:rPr>
        <w:t>广泛</w:t>
      </w:r>
      <w:r>
        <w:rPr>
          <w:rFonts w:ascii="Times New Roman" w:hAnsi="Times New Roman" w:cs="Times New Roman"/>
          <w:bCs/>
        </w:rPr>
        <w:t>推动体育健身产业市场化</w:t>
      </w:r>
      <w:r>
        <w:rPr>
          <w:rFonts w:ascii="Times New Roman" w:hAnsi="Times New Roman" w:cs="Times New Roman"/>
        </w:rPr>
        <w:t>，加快建设健身休闲设施、体育主题公园、城市体育服务综合体</w:t>
      </w:r>
      <w:r>
        <w:rPr>
          <w:rFonts w:ascii="Times New Roman" w:hAnsi="Times New Roman" w:cs="Times New Roman"/>
          <w:bCs/>
        </w:rPr>
        <w:t>，</w:t>
      </w:r>
      <w:r>
        <w:rPr>
          <w:rFonts w:ascii="Times New Roman" w:hAnsi="Times New Roman" w:cs="Times New Roman"/>
        </w:rPr>
        <w:t>推广全民健身、科学健身、康体运动等全民健身休闲服务，支持社会力量举办</w:t>
      </w:r>
      <w:r>
        <w:rPr>
          <w:rFonts w:ascii="Times New Roman" w:hAnsi="Times New Roman" w:cs="Times New Roman"/>
          <w:bCs/>
        </w:rPr>
        <w:t>体医结合服务机构</w:t>
      </w:r>
      <w:r>
        <w:rPr>
          <w:rFonts w:ascii="Times New Roman" w:hAnsi="Times New Roman" w:cs="Times New Roman"/>
        </w:rPr>
        <w:t>。大力发展休闲运动产业，加快建设户外运动设施、国家体育产业基地、运动休闲基地，开发山地运动、水上运动、海洋体育等运动休闲产业。积极发展竞赛表演、体育观赛、体育培训、体育旅游等新消费业态。</w:t>
      </w:r>
      <w:r>
        <w:rPr>
          <w:rFonts w:ascii="Times New Roman" w:hAnsi="Times New Roman" w:cs="Times New Roman"/>
          <w:bCs/>
        </w:rPr>
        <w:t>以定制化、个性化、高端化为方向，</w:t>
      </w:r>
      <w:r>
        <w:rPr>
          <w:rFonts w:ascii="Times New Roman" w:hAnsi="Times New Roman" w:cs="Times New Roman"/>
        </w:rPr>
        <w:t>加快发展健身设备器材、水上运动装备、山地户外装备等</w:t>
      </w:r>
      <w:r>
        <w:rPr>
          <w:rFonts w:ascii="Times New Roman" w:hAnsi="Times New Roman" w:cs="Times New Roman"/>
          <w:bCs/>
        </w:rPr>
        <w:t>体育用品，开发具有自主知识产权的新产品，培育体育健身知名自主品牌和骨干企业。到2025年，</w:t>
      </w:r>
      <w:r>
        <w:rPr>
          <w:rFonts w:ascii="Times New Roman" w:hAnsi="Times New Roman" w:cs="Times New Roman"/>
          <w:szCs w:val="30"/>
        </w:rPr>
        <w:t>创建国家体育产业基地30个以上，体育产业总产出达到5000亿元。</w:t>
      </w:r>
    </w:p>
    <w:p>
      <w:pPr>
        <w:spacing w:beforeLines="0" w:afterLines="0" w:line="550" w:lineRule="exact"/>
        <w:ind w:firstLine="632"/>
        <w:rPr>
          <w:rFonts w:ascii="Times New Roman" w:hAnsi="Times New Roman" w:cs="Times New Roman"/>
        </w:rPr>
      </w:pPr>
      <w:r>
        <w:rPr>
          <w:rFonts w:ascii="Times New Roman" w:hAnsi="Times New Roman" w:cs="Times New Roman"/>
          <w:b/>
        </w:rPr>
        <w:t>优质发展健康管理服务。</w:t>
      </w:r>
      <w:r>
        <w:rPr>
          <w:rFonts w:ascii="Times New Roman" w:hAnsi="Times New Roman" w:cs="Times New Roman"/>
        </w:rPr>
        <w:t>强化全人全程健康管理，加快发展健康咨询、母婴护理、健康体检、慢病管理、心理健康、康复护理等全生命周期健康管理服务。深化医防融合理念，推广“全专联合”家庭医生团队组合式服务，开发全面健康管理解决方案，普及化发展健康管理服务，扩大健康管理覆盖面。加强慢性病、职业病高危人群健康体检、健康风险评估、健康咨询和健康干预服务。加快发展心理健康服务，培育专业化、规范化心理咨询、心理干预和辅导机构。鼓励社会力量提供差异化、定制化健康管理服务，建立行业标准，规范发展健康管理服务。积极引进国内外知名的专业性健康体检机构和品牌，带动健康管理服务市场化、专业化提升。</w:t>
      </w:r>
    </w:p>
    <w:p>
      <w:pPr>
        <w:ind w:firstLine="643"/>
        <w:rPr>
          <w:rFonts w:ascii="Times New Roman" w:hAnsi="Times New Roman" w:cs="Times New Roman"/>
        </w:rPr>
      </w:pPr>
      <w:r>
        <w:rPr>
          <w:rFonts w:ascii="Times New Roman" w:hAnsi="Times New Roman" w:cs="Times New Roman"/>
          <w:b/>
        </w:rPr>
        <w:t>大力发展商业健康保险。</w:t>
      </w:r>
      <w:r>
        <w:rPr>
          <w:rFonts w:ascii="Times New Roman" w:hAnsi="Times New Roman" w:cs="Times New Roman"/>
        </w:rPr>
        <w:t>加快构建商业健康保险等与基本医保相衔接的错层次健康保险体系，研究制定促进商业健康保险发展政策，鼓励利用个人账户基金结余购买商业补充医疗保险，落实商业健康保险个人所得税政策。丰富拓展健康保险产品和服务，推进区域化健康保险产品定制和服务创新，引导支持健康保险公司开发覆盖特需医疗、前沿医疗技术、创新药及高端医疗器械应用以及疾病风险评估、疾病预防、运动健身等干预性服务的健康保险产品。稳步推进长期护理险试点，鼓励商业保险积极参与长期护理保险建设。鼓励医师参与医生执业责任险产品开发。支持健康保险公司开展管理式医疗试点，提供覆盖健康保险、健康管理、医疗服务、长期照护等全链条健康管理服务。</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tcPr>
          <w:p>
            <w:pPr>
              <w:pStyle w:val="10"/>
              <w:adjustRightInd w:val="0"/>
              <w:snapToGrid w:val="0"/>
              <w:spacing w:beforeLines="0" w:afterLines="0" w:line="320" w:lineRule="exact"/>
              <w:ind w:firstLine="0" w:firstLineChars="0"/>
              <w:jc w:val="center"/>
              <w:rPr>
                <w:rFonts w:ascii="Times New Roman" w:hAnsi="Times New Roman" w:cs="Times New Roman"/>
                <w:sz w:val="24"/>
                <w:szCs w:val="24"/>
              </w:rPr>
            </w:pPr>
            <w:bookmarkStart w:id="23" w:name="_Toc66654809"/>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做专“健+”领域三个重大</w:t>
            </w:r>
            <w:bookmarkEnd w:id="2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vAlign w:val="center"/>
          </w:tcPr>
          <w:p>
            <w:pPr>
              <w:adjustRightInd w:val="0"/>
              <w:snapToGrid w:val="0"/>
              <w:spacing w:beforeLines="0" w:afterLines="0" w:line="320" w:lineRule="exact"/>
              <w:ind w:firstLine="480"/>
              <w:rPr>
                <w:rFonts w:ascii="Times New Roman" w:hAnsi="Times New Roman" w:cs="Times New Roman"/>
                <w:sz w:val="24"/>
                <w:szCs w:val="24"/>
              </w:rPr>
            </w:pPr>
            <w:r>
              <w:rPr>
                <w:rFonts w:ascii="Times New Roman" w:hAnsi="Times New Roman" w:cs="Times New Roman"/>
                <w:sz w:val="24"/>
                <w:szCs w:val="24"/>
              </w:rPr>
              <w:t>1.重大项目。加快推进亚运场馆、浙江省全民健身中心等项目建设，全力举办2022年杭州亚运会、2021年国际足联俱乐部世界杯、WTT世界乒乓球联赛等国际重大赛事，打造“浙里健”系列品牌赛事活动。到2025年，力争全省品牌体育赛事达到100项以上，培育2—3个国家体育消费示范城市，人均体育消费支出达到3500元左右。</w:t>
            </w:r>
          </w:p>
          <w:p>
            <w:pPr>
              <w:adjustRightInd w:val="0"/>
              <w:snapToGrid w:val="0"/>
              <w:spacing w:beforeLines="0" w:afterLines="0" w:line="320" w:lineRule="exact"/>
              <w:ind w:firstLine="480"/>
              <w:rPr>
                <w:rFonts w:ascii="Times New Roman" w:hAnsi="Times New Roman" w:cs="Times New Roman"/>
                <w:sz w:val="24"/>
                <w:szCs w:val="24"/>
              </w:rPr>
            </w:pPr>
            <w:r>
              <w:rPr>
                <w:rFonts w:ascii="Times New Roman" w:hAnsi="Times New Roman" w:cs="Times New Roman"/>
                <w:sz w:val="24"/>
                <w:szCs w:val="24"/>
              </w:rPr>
              <w:t>2.重大改革。持续深化温州社会力量办体育改革试点经验，开展社会力量办体育重点改革试点。引导有条件的场馆实行集团化管理。深化赛事管理运行机制改革，形成以市场化为主办赛机制。</w:t>
            </w:r>
          </w:p>
          <w:p>
            <w:pPr>
              <w:adjustRightInd w:val="0"/>
              <w:snapToGrid w:val="0"/>
              <w:spacing w:beforeLines="0" w:afterLines="0" w:line="320" w:lineRule="exact"/>
              <w:ind w:firstLine="480"/>
              <w:rPr>
                <w:rFonts w:ascii="Times New Roman" w:hAnsi="Times New Roman" w:cs="Times New Roman"/>
                <w:sz w:val="24"/>
                <w:szCs w:val="24"/>
              </w:rPr>
            </w:pPr>
            <w:r>
              <w:rPr>
                <w:rFonts w:ascii="Times New Roman" w:hAnsi="Times New Roman" w:cs="Times New Roman"/>
                <w:sz w:val="24"/>
                <w:szCs w:val="24"/>
              </w:rPr>
              <w:t>3.重大政策。建立健全社会力量办体育1+X政策、社会力量参与体育场地设施建设运营政策等，完善体育消费支持政策；研究制定健康管理发展政策、促进商业健康保险发展政策等。</w:t>
            </w:r>
          </w:p>
        </w:tc>
      </w:tr>
    </w:tbl>
    <w:p>
      <w:pPr>
        <w:pStyle w:val="5"/>
        <w:spacing w:beforeLines="0" w:afterLines="0"/>
        <w:ind w:firstLine="640"/>
        <w:rPr>
          <w:rFonts w:hint="default" w:ascii="Times New Roman" w:hAnsi="Times New Roman" w:eastAsia="楷体_GB2312" w:cs="Times New Roman"/>
          <w:b w:val="0"/>
        </w:rPr>
      </w:pPr>
      <w:bookmarkStart w:id="24" w:name="_Toc66654786"/>
      <w:r>
        <w:rPr>
          <w:rFonts w:hint="default" w:ascii="Times New Roman" w:hAnsi="Times New Roman" w:eastAsia="楷体_GB2312" w:cs="Times New Roman"/>
        </w:rPr>
        <w:t>（五）做精“智+”，发展前沿性健康数智领域</w:t>
      </w:r>
      <w:bookmarkEnd w:id="24"/>
    </w:p>
    <w:p>
      <w:pPr>
        <w:ind w:firstLine="640"/>
        <w:rPr>
          <w:rFonts w:ascii="Times New Roman" w:hAnsi="Times New Roman" w:cs="Times New Roman"/>
        </w:rPr>
      </w:pPr>
      <w:r>
        <w:rPr>
          <w:rFonts w:ascii="Times New Roman" w:hAnsi="Times New Roman" w:cs="Times New Roman"/>
        </w:rPr>
        <w:t>瞄准世界生命健康前沿领域，深入推动新一代信息技术等技术与健康产业深度融合、创新应用，以“数字+智能”变革式重塑医疗服务、生物医药、医疗器械等重点领域，拓展健康产业高效、安全、智慧数智链端。</w:t>
      </w:r>
    </w:p>
    <w:p>
      <w:pPr>
        <w:ind w:firstLine="643"/>
        <w:rPr>
          <w:rFonts w:ascii="Times New Roman" w:hAnsi="Times New Roman" w:cs="Times New Roman"/>
        </w:rPr>
      </w:pPr>
      <w:r>
        <w:rPr>
          <w:rFonts w:ascii="Times New Roman" w:hAnsi="Times New Roman" w:cs="Times New Roman"/>
          <w:b/>
        </w:rPr>
        <w:t>推进健康领域数字化改革。</w:t>
      </w:r>
      <w:r>
        <w:rPr>
          <w:rFonts w:ascii="Times New Roman" w:hAnsi="Times New Roman" w:cs="Times New Roman"/>
        </w:rPr>
        <w:t>围绕数字浙江建设的总体目标，深化</w:t>
      </w:r>
      <w:r>
        <w:rPr>
          <w:rFonts w:hint="eastAsia" w:ascii="Times New Roman" w:hAnsi="Times New Roman" w:cs="Times New Roman"/>
        </w:rPr>
        <w:t>“</w:t>
      </w:r>
      <w:r>
        <w:rPr>
          <w:rFonts w:ascii="Times New Roman" w:hAnsi="Times New Roman" w:cs="Times New Roman"/>
        </w:rPr>
        <w:t>1314</w:t>
      </w:r>
      <w:r>
        <w:rPr>
          <w:rFonts w:hint="eastAsia" w:ascii="Times New Roman" w:hAnsi="Times New Roman" w:cs="Times New Roman"/>
        </w:rPr>
        <w:t>”</w:t>
      </w:r>
      <w:r>
        <w:rPr>
          <w:rStyle w:val="25"/>
          <w:rFonts w:ascii="Times New Roman" w:hAnsi="Times New Roman" w:cs="Times New Roman"/>
        </w:rPr>
        <w:footnoteReference w:id="7"/>
      </w:r>
      <w:r>
        <w:rPr>
          <w:rFonts w:ascii="Times New Roman" w:hAnsi="Times New Roman" w:cs="Times New Roman"/>
        </w:rPr>
        <w:t>卫生健康数字化改革</w:t>
      </w:r>
      <w:r>
        <w:rPr>
          <w:rFonts w:hint="eastAsia" w:ascii="Times New Roman" w:hAnsi="Times New Roman" w:cs="Times New Roman"/>
        </w:rPr>
        <w:t>、“</w:t>
      </w:r>
      <w:r>
        <w:rPr>
          <w:rFonts w:ascii="Times New Roman" w:hAnsi="Times New Roman" w:cs="Times New Roman"/>
        </w:rPr>
        <w:t>114</w:t>
      </w:r>
      <w:r>
        <w:rPr>
          <w:rFonts w:hint="eastAsia" w:ascii="Times New Roman" w:hAnsi="Times New Roman" w:cs="Times New Roman"/>
        </w:rPr>
        <w:t>”</w:t>
      </w:r>
      <w:r>
        <w:rPr>
          <w:rFonts w:ascii="Times New Roman" w:hAnsi="Times New Roman" w:cs="Times New Roman"/>
        </w:rPr>
        <w:t>体育数字化改革</w:t>
      </w:r>
      <w:r>
        <w:rPr>
          <w:rStyle w:val="25"/>
          <w:rFonts w:ascii="Times New Roman" w:hAnsi="Times New Roman" w:cs="Times New Roman"/>
        </w:rPr>
        <w:footnoteReference w:id="8"/>
      </w:r>
      <w:r>
        <w:rPr>
          <w:rFonts w:ascii="Times New Roman" w:hAnsi="Times New Roman" w:cs="Times New Roman"/>
        </w:rPr>
        <w:t>，以“1+5+N”为总体框架全面推进“浙里养”智慧养老服务平台建设，全面推进健康产业各领域数字化改革</w:t>
      </w:r>
      <w:r>
        <w:rPr>
          <w:rFonts w:hint="eastAsia" w:ascii="Times New Roman" w:hAnsi="Times New Roman" w:cs="Times New Roman"/>
        </w:rPr>
        <w:t>，强化</w:t>
      </w:r>
      <w:r>
        <w:rPr>
          <w:rFonts w:ascii="Times New Roman" w:hAnsi="Times New Roman" w:cs="Times New Roman"/>
        </w:rPr>
        <w:t>健康数字化基础支撑</w:t>
      </w:r>
      <w:r>
        <w:rPr>
          <w:rFonts w:hint="eastAsia" w:ascii="Times New Roman" w:hAnsi="Times New Roman" w:cs="Times New Roman"/>
        </w:rPr>
        <w:t>。加快“</w:t>
      </w:r>
      <w:r>
        <w:rPr>
          <w:rFonts w:ascii="Times New Roman" w:hAnsi="Times New Roman" w:cs="Times New Roman"/>
        </w:rPr>
        <w:t>互联网+医疗健康</w:t>
      </w:r>
      <w:r>
        <w:rPr>
          <w:rFonts w:hint="eastAsia" w:ascii="Times New Roman" w:hAnsi="Times New Roman" w:cs="Times New Roman"/>
        </w:rPr>
        <w:t>”</w:t>
      </w:r>
      <w:r>
        <w:rPr>
          <w:rFonts w:ascii="Times New Roman" w:hAnsi="Times New Roman" w:cs="Times New Roman"/>
        </w:rPr>
        <w:t>示范省</w:t>
      </w:r>
      <w:r>
        <w:rPr>
          <w:rFonts w:hint="eastAsia" w:ascii="Times New Roman" w:hAnsi="Times New Roman" w:cs="Times New Roman"/>
        </w:rPr>
        <w:t>建设，</w:t>
      </w:r>
      <w:r>
        <w:rPr>
          <w:rFonts w:ascii="Times New Roman" w:hAnsi="Times New Roman" w:cs="Times New Roman"/>
        </w:rPr>
        <w:t>加快推广智慧健康服务，丰富创新健康场景应用和数字化服务产品。支持有条件的实体医疗机构建设互联网医院，积极发展远程健康管理、健康咨询、移动医疗等健康管理服务，支持有条件医疗机构开展国际远程医疗服务。加强数字医共体建设，发展全方位远程医疗服务网络。积极开发智慧健康养老服务产品，创新慢性病管理、个性化健康管理、互联网健康咨询等智慧养老服务模式。</w:t>
      </w:r>
    </w:p>
    <w:p>
      <w:pPr>
        <w:ind w:firstLine="643"/>
        <w:rPr>
          <w:rFonts w:ascii="Times New Roman" w:hAnsi="Times New Roman" w:cs="Times New Roman"/>
        </w:rPr>
      </w:pPr>
      <w:r>
        <w:rPr>
          <w:rFonts w:ascii="Times New Roman" w:hAnsi="Times New Roman" w:cs="Times New Roman"/>
          <w:b/>
        </w:rPr>
        <w:t>有序发展医疗人工智能和医疗大数据。</w:t>
      </w:r>
      <w:r>
        <w:rPr>
          <w:rFonts w:ascii="Times New Roman" w:hAnsi="Times New Roman" w:cs="Times New Roman"/>
        </w:rPr>
        <w:t>加速人工智能在医疗健康服务领域的深度融合，积极开展医用机器人、医学影像辅助诊断、临床决策支持系统、疾病风险预测与诊断等项目示范和推广应用，培育发展智能医学影像、智能诊疗、智能健康管理等服务新业态。深化医学人工智能示范中心建设，搭建企业主导的医疗健康人工智能应用开放创新平台。加快建设浙江省生命健康大脑，打造面向全球的国家级生物大数据开放技术平台。构建浙江省医疗健康大数据中心，推进健康医疗大数据标准化。培育医疗健康信息化龙头企业，发展医疗健康数据分析挖掘、安全隐私保护等服务，构建医疗健康大数据产业链。</w:t>
      </w:r>
    </w:p>
    <w:p>
      <w:pPr>
        <w:ind w:firstLine="643"/>
        <w:rPr>
          <w:rFonts w:ascii="Times New Roman" w:hAnsi="Times New Roman" w:cs="Times New Roman"/>
        </w:rPr>
      </w:pPr>
      <w:r>
        <w:rPr>
          <w:rFonts w:ascii="Times New Roman" w:hAnsi="Times New Roman" w:cs="Times New Roman"/>
          <w:b/>
        </w:rPr>
        <w:t>大力发展智能健康设备。</w:t>
      </w:r>
      <w:r>
        <w:rPr>
          <w:rFonts w:ascii="Times New Roman" w:hAnsi="Times New Roman" w:cs="Times New Roman"/>
          <w:kern w:val="0"/>
        </w:rPr>
        <w:t>大力</w:t>
      </w:r>
      <w:r>
        <w:rPr>
          <w:rFonts w:ascii="Times New Roman" w:hAnsi="Times New Roman" w:cs="Times New Roman"/>
        </w:rPr>
        <w:t>开发免疫诊断、分子诊断、流式细胞试剂等中高端体外诊断产品、设备及系统，发展基于大数据的新型成像技术及辅助诊断算法技术的医学影像设备，支持智能医疗器械、高端康复护理设备、辅助器具和智能看护等产品研发生产。突破精细介入感知技术、快速个性化组织建模与治疗等关键技术，推动智能手术机器人及医用内窥镜及配套设备等微创器械与手术导航研发及产业化。研发脑</w:t>
      </w:r>
      <w:r>
        <w:rPr>
          <w:rFonts w:ascii="Times New Roman" w:hAnsi="Times New Roman" w:cs="Times New Roman"/>
          <w:kern w:val="0"/>
        </w:rPr>
        <w:t>机接口和脑机融合新模型，培育基于脑科学的智能假肢、眼脑健康、神经障碍治疗、残疾患者康复训练、意识障碍患者检测等产品与服务。推进</w:t>
      </w:r>
      <w:r>
        <w:rPr>
          <w:rFonts w:ascii="Times New Roman" w:hAnsi="Times New Roman" w:cs="Times New Roman"/>
          <w:szCs w:val="30"/>
        </w:rPr>
        <w:t>智能健身设备、装备制造加快发展。</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tcPr>
          <w:p>
            <w:pPr>
              <w:pStyle w:val="10"/>
              <w:adjustRightInd w:val="0"/>
              <w:snapToGrid w:val="0"/>
              <w:spacing w:line="300" w:lineRule="auto"/>
              <w:ind w:firstLine="21" w:firstLineChars="9"/>
              <w:jc w:val="center"/>
              <w:rPr>
                <w:rFonts w:ascii="Times New Roman" w:hAnsi="Times New Roman" w:cs="Times New Roman"/>
                <w:sz w:val="24"/>
                <w:szCs w:val="24"/>
              </w:rPr>
            </w:pPr>
            <w:bookmarkStart w:id="25" w:name="_Toc66654810"/>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做精“智+”领域重大项目</w:t>
            </w:r>
            <w:bookmarkEnd w:id="2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jc w:val="center"/>
        </w:trPr>
        <w:tc>
          <w:tcPr>
            <w:tcW w:w="8276" w:type="dxa"/>
            <w:vAlign w:val="center"/>
          </w:tcPr>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1.精准医疗服务。积极推进中国基因药谷、丽水细胞生命科技产业园等项目建设。</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智慧健康服务。实施健康产业领域新基建项目，提升建设“互联网+医疗健康”公共服务应用、“浙里养”智慧养老服务应用、公共体育“一站式”服务应用、智慧医保应用、“浙里好玩”公共服务系统等数字智慧平台，开发智慧医疗、智能诊疗、智慧适老、智慧养老、智慧场馆等智能健康服务业态。</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3.医疗人工智能和医疗大数据。坚持“协同开发、示范应用、成熟推广”，推动医学人工智能、5G、区块链等新技术在医疗卫生领域创新应用，启动20个“区块链+”、医学人工智能示范中心建设。</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4.智能健康设备。实施德沃康·秀洲健康医疗产业基地等一批重大项目，重点开发智慧医护、康复用智慧养老床、智能穿戴设备、人机智能交互、智能终端、智慧医疗技术系统等智能健康设备。</w:t>
            </w:r>
          </w:p>
        </w:tc>
      </w:tr>
    </w:tbl>
    <w:p>
      <w:pPr>
        <w:pStyle w:val="4"/>
        <w:spacing w:before="0" w:beforeLines="0" w:after="0" w:afterLines="0" w:line="579" w:lineRule="exact"/>
        <w:ind w:firstLine="632"/>
        <w:rPr>
          <w:rFonts w:ascii="Times New Roman" w:hAnsi="Times New Roman"/>
        </w:rPr>
      </w:pPr>
      <w:bookmarkStart w:id="26" w:name="_Toc66654787"/>
      <w:r>
        <w:rPr>
          <w:rFonts w:ascii="Times New Roman" w:hAnsi="Times New Roman"/>
        </w:rPr>
        <w:t>四、空间布局</w:t>
      </w:r>
      <w:bookmarkEnd w:id="26"/>
    </w:p>
    <w:p>
      <w:pPr>
        <w:pStyle w:val="5"/>
        <w:spacing w:before="0" w:beforeLines="0" w:after="0" w:afterLines="0" w:line="579" w:lineRule="exact"/>
        <w:ind w:firstLine="632"/>
        <w:rPr>
          <w:rFonts w:ascii="Times New Roman" w:hAnsi="Times New Roman" w:eastAsia="楷体_GB2312" w:cs="Times New Roman"/>
        </w:rPr>
      </w:pPr>
      <w:bookmarkStart w:id="27" w:name="_Toc66654788"/>
      <w:r>
        <w:rPr>
          <w:rFonts w:ascii="Times New Roman" w:hAnsi="Times New Roman" w:eastAsia="楷体_GB2312" w:cs="Times New Roman"/>
        </w:rPr>
        <w:t>（一）优化“</w:t>
      </w:r>
      <w:r>
        <w:rPr>
          <w:rFonts w:ascii="Times New Roman" w:hAnsi="Times New Roman" w:cs="Times New Roman"/>
        </w:rPr>
        <w:t>一核三极三带”空间布局</w:t>
      </w:r>
      <w:bookmarkEnd w:id="27"/>
    </w:p>
    <w:p>
      <w:pPr>
        <w:spacing w:beforeLines="0" w:afterLines="0" w:line="579" w:lineRule="exact"/>
        <w:ind w:firstLine="632"/>
        <w:rPr>
          <w:rFonts w:ascii="Times New Roman" w:hAnsi="Times New Roman" w:cs="Times New Roman"/>
        </w:rPr>
      </w:pPr>
      <w:r>
        <w:rPr>
          <w:rFonts w:ascii="Times New Roman" w:hAnsi="Times New Roman" w:cs="Times New Roman"/>
        </w:rPr>
        <w:t>依托省域范围内健康产业发展基础和资源要素条件，持续优化健康产业“一核三极三带”的空间布局，即以杭州都市区为健康产业创新发展引领核，以宁波、温州、金华－义乌三大都市区为健康产业主要带动增长极，以浙北平原、浙东沿海、浙西浙南山区为</w:t>
      </w:r>
      <w:bookmarkStart w:id="28" w:name="_Toc426706785"/>
      <w:r>
        <w:rPr>
          <w:rFonts w:ascii="Times New Roman" w:hAnsi="Times New Roman" w:cs="Times New Roman"/>
        </w:rPr>
        <w:t>三大特色产业带，有序带动全省健康产业协同发展。</w:t>
      </w:r>
    </w:p>
    <w:p>
      <w:pPr>
        <w:spacing w:beforeLines="0" w:afterLines="0" w:line="579" w:lineRule="exact"/>
        <w:ind w:firstLine="632"/>
        <w:rPr>
          <w:rFonts w:ascii="Times New Roman" w:hAnsi="Times New Roman" w:cs="Times New Roman"/>
        </w:rPr>
      </w:pPr>
      <w:r>
        <w:rPr>
          <w:rFonts w:ascii="Times New Roman" w:hAnsi="Times New Roman" w:cs="Times New Roman"/>
          <w:b/>
        </w:rPr>
        <w:t>“一核”引领</w:t>
      </w:r>
      <w:bookmarkEnd w:id="28"/>
      <w:r>
        <w:rPr>
          <w:rFonts w:ascii="Times New Roman" w:hAnsi="Times New Roman" w:cs="Times New Roman"/>
          <w:b/>
        </w:rPr>
        <w:t>。</w:t>
      </w:r>
      <w:r>
        <w:rPr>
          <w:rFonts w:ascii="Times New Roman" w:hAnsi="Times New Roman" w:cs="Times New Roman"/>
        </w:rPr>
        <w:t>以杭州都市区为全省健康产业创新发展引领核，发挥数字经济先发优势、优质医疗资源集聚和钱塘新区、余杭区、滨江区、萧山区健康产业集聚优势，充分发挥城西科创大走廊创新平台功能，加快建设良渚实验室、西湖实验室等高能级科创平台、国家医学中心、区域医疗中心和省级区域医疗中心，集聚高端要素，打造健康产业创新发展策源地，推动健康产业全产业链发展，形成对全省健康产业发展的辐射带动作用。</w:t>
      </w:r>
    </w:p>
    <w:p>
      <w:pPr>
        <w:spacing w:beforeLines="0" w:afterLines="0" w:line="579" w:lineRule="exact"/>
        <w:ind w:firstLine="632"/>
        <w:rPr>
          <w:rFonts w:ascii="Times New Roman" w:hAnsi="Times New Roman" w:cs="Times New Roman"/>
        </w:rPr>
      </w:pPr>
      <w:r>
        <w:rPr>
          <w:rFonts w:ascii="Times New Roman" w:hAnsi="Times New Roman" w:cs="Times New Roman"/>
          <w:b/>
        </w:rPr>
        <w:t>“三极”辐射。</w:t>
      </w:r>
      <w:r>
        <w:rPr>
          <w:rFonts w:ascii="Times New Roman" w:hAnsi="Times New Roman" w:cs="Times New Roman"/>
        </w:rPr>
        <w:t>立足宁波都市区、温州都市区和金华-义乌都市区既有基础和优势，做大做强医疗器械制造、生物医药、中医药、社会办医等若干特色优势产业，不断提升国内外影响力与竞争力，打造浙东、浙东南和浙中地区健康产业增长极，带动全省健康产业高水平发展。</w:t>
      </w:r>
    </w:p>
    <w:p>
      <w:pPr>
        <w:spacing w:beforeLines="0" w:afterLines="0" w:line="579" w:lineRule="exact"/>
        <w:ind w:firstLine="632"/>
        <w:rPr>
          <w:rFonts w:ascii="Times New Roman" w:hAnsi="Times New Roman" w:cs="Times New Roman"/>
        </w:rPr>
      </w:pPr>
      <w:r>
        <w:rPr>
          <w:rFonts w:ascii="Times New Roman" w:hAnsi="Times New Roman" w:cs="Times New Roman"/>
        </w:rPr>
        <w:t>——</w:t>
      </w:r>
      <w:r>
        <w:rPr>
          <w:rFonts w:ascii="Times New Roman" w:hAnsi="Times New Roman" w:cs="Times New Roman"/>
          <w:b/>
        </w:rPr>
        <w:t>宁波都市区健康产业增长极</w:t>
      </w:r>
      <w:r>
        <w:rPr>
          <w:rFonts w:ascii="Times New Roman" w:hAnsi="Times New Roman" w:cs="Times New Roman"/>
        </w:rPr>
        <w:t>：以宁波杭州湾新区产业集聚区等区块为支撑，发展壮大医疗器械制造、生物医药和健康食品等产业集群，打造</w:t>
      </w:r>
      <w:r>
        <w:rPr>
          <w:rFonts w:ascii="Times New Roman" w:hAnsi="Times New Roman" w:cs="Times New Roman"/>
          <w:szCs w:val="40"/>
        </w:rPr>
        <w:t>区域性健康产业</w:t>
      </w:r>
      <w:r>
        <w:rPr>
          <w:rFonts w:ascii="Times New Roman" w:hAnsi="Times New Roman" w:cs="Times New Roman"/>
        </w:rPr>
        <w:t>发展大平台和高端医疗器械制造中心</w:t>
      </w:r>
      <w:r>
        <w:rPr>
          <w:rFonts w:ascii="Times New Roman" w:hAnsi="Times New Roman" w:cs="Times New Roman"/>
          <w:szCs w:val="40"/>
        </w:rPr>
        <w:t>，</w:t>
      </w:r>
      <w:r>
        <w:rPr>
          <w:rFonts w:ascii="Times New Roman" w:hAnsi="Times New Roman" w:cs="Times New Roman"/>
        </w:rPr>
        <w:t>强化优质医疗资源对浙东区域的辐射作用，促进多样化健康服务业发展，做强浙东地区健康产业增长极。</w:t>
      </w:r>
    </w:p>
    <w:p>
      <w:pPr>
        <w:spacing w:beforeLines="0" w:afterLines="0" w:line="579" w:lineRule="exact"/>
        <w:ind w:firstLine="632"/>
        <w:rPr>
          <w:rFonts w:ascii="Times New Roman" w:hAnsi="Times New Roman" w:cs="Times New Roman"/>
        </w:rPr>
      </w:pPr>
      <w:r>
        <w:rPr>
          <w:rFonts w:ascii="Times New Roman" w:hAnsi="Times New Roman" w:cs="Times New Roman"/>
        </w:rPr>
        <w:t>——</w:t>
      </w:r>
      <w:r>
        <w:rPr>
          <w:rFonts w:ascii="Times New Roman" w:hAnsi="Times New Roman" w:cs="Times New Roman"/>
          <w:b/>
        </w:rPr>
        <w:t>温州都市区健康产业增长极</w:t>
      </w:r>
      <w:r>
        <w:rPr>
          <w:rFonts w:ascii="Times New Roman" w:hAnsi="Times New Roman" w:cs="Times New Roman"/>
        </w:rPr>
        <w:t>：发挥国家社会办医综合改革试点效应，培育建设社会办医特色专科示范医院，依托瓯江实验室谋划建设、瓯海生命健康特色小镇、环大罗山科创走廊等平台建设，建设具有全国影响力的生命健康创新中心，大力发展优质医疗服务，打造</w:t>
      </w:r>
      <w:r>
        <w:rPr>
          <w:rFonts w:ascii="Times New Roman" w:hAnsi="Times New Roman" w:cs="Times New Roman"/>
          <w:bCs/>
        </w:rPr>
        <w:t>区域医疗康养中心城市，</w:t>
      </w:r>
      <w:r>
        <w:rPr>
          <w:rFonts w:ascii="Times New Roman" w:hAnsi="Times New Roman" w:cs="Times New Roman"/>
        </w:rPr>
        <w:t>加快健康食品、医疗机械、医药生物材料等优势行业转型升级，做强浙南地区健康产业增长极。</w:t>
      </w:r>
    </w:p>
    <w:p>
      <w:pPr>
        <w:spacing w:beforeLines="0" w:afterLines="0" w:line="579" w:lineRule="exact"/>
        <w:ind w:firstLine="632"/>
        <w:rPr>
          <w:rFonts w:ascii="Times New Roman" w:hAnsi="Times New Roman" w:cs="Times New Roman"/>
        </w:rPr>
      </w:pPr>
      <w:r>
        <w:rPr>
          <w:rFonts w:ascii="Times New Roman" w:hAnsi="Times New Roman" w:cs="Times New Roman"/>
        </w:rPr>
        <w:t>——</w:t>
      </w:r>
      <w:r>
        <w:rPr>
          <w:rFonts w:ascii="Times New Roman" w:hAnsi="Times New Roman" w:cs="Times New Roman"/>
          <w:b/>
        </w:rPr>
        <w:t>金华－义乌都市区健康产业增长极：</w:t>
      </w:r>
      <w:r>
        <w:rPr>
          <w:rFonts w:ascii="Times New Roman" w:hAnsi="Times New Roman" w:cs="Times New Roman"/>
        </w:rPr>
        <w:t>充分发挥中药材资源集聚优势，依托国家天然药物生产基地和磐安江南药镇，进一步做大做强以中医药产业，逐步形成中成药、中药饮片、纯天然食品饮料及天然食品添加剂、营养健康和养生产品、中药材种植加工的全中药产业链，以自由贸易试验区金义新片区规划建设和义乌市国际贸易综合改革试点为契机，加快健康产业领域国际交流合作，做强浙中健康产业增长极。</w:t>
      </w:r>
    </w:p>
    <w:p>
      <w:pPr>
        <w:spacing w:beforeLines="0" w:afterLines="0" w:line="579" w:lineRule="exact"/>
        <w:ind w:firstLine="632"/>
        <w:rPr>
          <w:rFonts w:ascii="Times New Roman" w:hAnsi="Times New Roman" w:cs="Times New Roman"/>
        </w:rPr>
      </w:pPr>
      <w:r>
        <w:rPr>
          <w:rFonts w:ascii="Times New Roman" w:hAnsi="Times New Roman" w:cs="Times New Roman"/>
          <w:b/>
        </w:rPr>
        <w:t>“三带”串联。</w:t>
      </w:r>
      <w:r>
        <w:rPr>
          <w:rFonts w:ascii="Times New Roman" w:hAnsi="Times New Roman" w:cs="Times New Roman"/>
        </w:rPr>
        <w:t>依托省域内北部平原地区、东部沿海地区和西部南部山区丰富的生态资源、中医药资源、产业基础，支持各地市结合产业基础和资源优势培育具有特色的健康产业优势领域，形成对全省健康产业发展的重要支撑，构建组团联动、区域覆盖的协同发展格局。</w:t>
      </w:r>
    </w:p>
    <w:p>
      <w:pPr>
        <w:spacing w:beforeLines="0" w:afterLines="0" w:line="579" w:lineRule="exact"/>
        <w:ind w:firstLine="632"/>
        <w:rPr>
          <w:rFonts w:ascii="Times New Roman" w:hAnsi="Times New Roman" w:cs="Times New Roman"/>
        </w:rPr>
      </w:pPr>
      <w:r>
        <w:rPr>
          <w:rFonts w:ascii="Times New Roman" w:hAnsi="Times New Roman" w:cs="Times New Roman"/>
          <w:b/>
        </w:rPr>
        <w:t>——聚焦“智”和“健”，提升浙北平原健康休闲产业带：</w:t>
      </w:r>
      <w:r>
        <w:rPr>
          <w:rFonts w:ascii="Times New Roman" w:hAnsi="Times New Roman" w:cs="Times New Roman"/>
        </w:rPr>
        <w:t>主要包括湖州、嘉兴两地，依托长三角生态绿色一体化发展示范区建设，协同推进长三角绿色制药协同创新中心产业技术研究园建设，加快长三角区域健康产业资源同享、服务同质、技术同城，围绕养生、休闲、运动等健康主题，整合数字健康和健康文化资源，大力推动互联网医疗、体育健身、健康旅游、健康养老等产业高端化、国际化发展，打造一批休闲运动、健康养老示范基地。</w:t>
      </w:r>
    </w:p>
    <w:p>
      <w:pPr>
        <w:spacing w:beforeLines="0" w:afterLines="0" w:line="579" w:lineRule="exact"/>
        <w:ind w:firstLine="632"/>
        <w:rPr>
          <w:rFonts w:ascii="Times New Roman" w:hAnsi="Times New Roman" w:cs="Times New Roman"/>
        </w:rPr>
      </w:pPr>
      <w:r>
        <w:rPr>
          <w:rFonts w:ascii="Times New Roman" w:hAnsi="Times New Roman" w:cs="Times New Roman"/>
          <w:b/>
        </w:rPr>
        <w:t>——聚焦“药”和“医”，提升浙东沿海健康制造产业带：</w:t>
      </w:r>
      <w:r>
        <w:rPr>
          <w:rFonts w:ascii="Times New Roman" w:hAnsi="Times New Roman" w:cs="Times New Roman"/>
        </w:rPr>
        <w:t>包括绍兴、宁波、舟山、台州、温州（除文成、泰顺），立足现有生物医药、医疗器械制造业基础，强化科技创新、开发高端产品，提升健康制造核心竞争力，打造若干健康产业集群。</w:t>
      </w:r>
      <w:r>
        <w:rPr>
          <w:rFonts w:ascii="Times New Roman" w:hAnsi="Times New Roman" w:cs="Times New Roman"/>
          <w:b/>
        </w:rPr>
        <w:t>绍兴</w:t>
      </w:r>
      <w:r>
        <w:rPr>
          <w:rFonts w:ascii="Times New Roman" w:hAnsi="Times New Roman" w:cs="Times New Roman"/>
          <w:bCs/>
        </w:rPr>
        <w:t>以</w:t>
      </w:r>
      <w:r>
        <w:rPr>
          <w:rFonts w:ascii="Times New Roman" w:hAnsi="Times New Roman" w:cs="Times New Roman"/>
        </w:rPr>
        <w:t>高端化学药品制剂、生物技术药物和高性能医疗器械</w:t>
      </w:r>
      <w:r>
        <w:rPr>
          <w:rFonts w:ascii="Times New Roman" w:hAnsi="Times New Roman" w:cs="Times New Roman"/>
          <w:bCs/>
        </w:rPr>
        <w:t>为重点，依托</w:t>
      </w:r>
      <w:r>
        <w:rPr>
          <w:rFonts w:ascii="Times New Roman" w:hAnsi="Times New Roman" w:cs="Times New Roman"/>
        </w:rPr>
        <w:t>滨海新区医药及医疗器械生产制造集聚区建设，</w:t>
      </w:r>
      <w:r>
        <w:rPr>
          <w:rFonts w:ascii="Times New Roman" w:hAnsi="Times New Roman" w:cs="Times New Roman"/>
          <w:bCs/>
        </w:rPr>
        <w:t>构建创新链、产业链、空间链、服务链、资金链于一体的健康产业生态圈，打响绍兴“现代医药制造基地”新名片。</w:t>
      </w:r>
      <w:r>
        <w:rPr>
          <w:rFonts w:ascii="Times New Roman" w:hAnsi="Times New Roman" w:cs="Times New Roman"/>
          <w:b/>
          <w:bCs/>
        </w:rPr>
        <w:t>舟山</w:t>
      </w:r>
      <w:r>
        <w:rPr>
          <w:rFonts w:ascii="Times New Roman" w:hAnsi="Times New Roman" w:cs="Times New Roman"/>
          <w:bCs/>
        </w:rPr>
        <w:t>依托中国（</w:t>
      </w:r>
      <w:r>
        <w:rPr>
          <w:rFonts w:ascii="Times New Roman" w:hAnsi="Times New Roman" w:cs="Times New Roman"/>
        </w:rPr>
        <w:t>浙江）自由贸易试验区和国家健康旅游示范基地建设，突出海洋生物资源优势，大力推动海洋生物为特色的药品和健康食品研发制造业，大力发展特许健康服务、健康管理服务、康养旅游服务、特色健康商贸等健康服务业。</w:t>
      </w:r>
      <w:r>
        <w:rPr>
          <w:rFonts w:ascii="Times New Roman" w:hAnsi="Times New Roman" w:cs="Times New Roman"/>
          <w:b/>
        </w:rPr>
        <w:t>台州</w:t>
      </w:r>
      <w:r>
        <w:rPr>
          <w:rFonts w:ascii="Times New Roman" w:hAnsi="Times New Roman" w:cs="Times New Roman"/>
        </w:rPr>
        <w:t>做精做深高端特色原料药，做优做强制剂产业，做大医药流通行业，加快椒江绿色药都小镇等健康产业集聚平台建设，推进“国际合作端+研发生产端+国内需求端+商贸流通端”的有效融合，打造“中国绿色药都”和世界级高端医药制造中心。</w:t>
      </w:r>
    </w:p>
    <w:p>
      <w:pPr>
        <w:spacing w:beforeLines="0" w:afterLines="0" w:line="579" w:lineRule="exact"/>
        <w:ind w:firstLine="632"/>
        <w:rPr>
          <w:rFonts w:ascii="Times New Roman" w:hAnsi="Times New Roman" w:cs="Times New Roman"/>
        </w:rPr>
      </w:pPr>
      <w:r>
        <w:rPr>
          <w:rFonts w:ascii="Times New Roman" w:hAnsi="Times New Roman" w:cs="Times New Roman"/>
          <w:b/>
        </w:rPr>
        <w:t>——聚焦“养”和“健”，提升浙西浙南山区健康养生产业带：</w:t>
      </w:r>
      <w:r>
        <w:rPr>
          <w:rFonts w:ascii="Times New Roman" w:hAnsi="Times New Roman" w:cs="Times New Roman"/>
        </w:rPr>
        <w:t>包括衢州、丽水以及杭州西南地区和温州文成、泰顺，充分发挥生态资源优势，推动中医药与健康旅游、健康养老、健康文化融合发展，加快中医药全产业链联动发展，整合相关资源和平台载体，因地制宜建设一批健康养生旅游基地，打造健康养生福地。</w:t>
      </w:r>
      <w:r>
        <w:rPr>
          <w:rFonts w:ascii="Times New Roman" w:hAnsi="Times New Roman" w:cs="Times New Roman"/>
          <w:b/>
        </w:rPr>
        <w:t>衢州</w:t>
      </w:r>
      <w:r>
        <w:rPr>
          <w:rFonts w:ascii="Times New Roman" w:hAnsi="Times New Roman" w:cs="Times New Roman"/>
        </w:rPr>
        <w:t>充分利用钱江源头的生态环境优势和“四省边际中心城市”的区位优势，</w:t>
      </w:r>
      <w:r>
        <w:rPr>
          <w:rFonts w:ascii="Times New Roman" w:hAnsi="Times New Roman" w:cs="Times New Roman"/>
          <w:spacing w:val="8"/>
          <w:kern w:val="0"/>
        </w:rPr>
        <w:t>搭建中药材产业联动和业态融合发展体系，大力发展中药休闲健康养生和文化体验为主要特征的“中医药+”新业态，扩大针灸文化品牌的影响力，推动中医药与体育、养生、养老等融合发展，中医药产业融合发展的形态在全国具有较高知名度。</w:t>
      </w:r>
      <w:r>
        <w:rPr>
          <w:rFonts w:ascii="Times New Roman" w:hAnsi="Times New Roman" w:cs="Times New Roman"/>
          <w:b/>
        </w:rPr>
        <w:t>丽水</w:t>
      </w:r>
      <w:r>
        <w:rPr>
          <w:rFonts w:ascii="Times New Roman" w:hAnsi="Times New Roman" w:cs="Times New Roman"/>
        </w:rPr>
        <w:t>充分发掘食用菌、中药材种养以及黄帝文化、茶养生文化、道家文化、儒家文化等传统文化资源，着力打造以中药（畲药）产业为基础，健康旅游、健康食品、健康服务等相关产业融合发展的产业新体系，培育做强中药材市场，建设区域性中医药健康养生旅游基地。</w:t>
      </w:r>
    </w:p>
    <w:p>
      <w:pPr>
        <w:pStyle w:val="5"/>
        <w:spacing w:before="0" w:beforeLines="0" w:after="0" w:afterLines="0" w:line="579" w:lineRule="exact"/>
        <w:ind w:firstLine="632"/>
        <w:rPr>
          <w:rFonts w:ascii="Times New Roman" w:hAnsi="Times New Roman" w:cs="Times New Roman"/>
        </w:rPr>
      </w:pPr>
      <w:bookmarkStart w:id="29" w:name="_Toc66654789"/>
      <w:r>
        <w:rPr>
          <w:rFonts w:ascii="Times New Roman" w:hAnsi="Times New Roman" w:cs="Times New Roman"/>
        </w:rPr>
        <w:t>（二）全力打造“多镇多园”产业集聚平台</w:t>
      </w:r>
      <w:bookmarkEnd w:id="29"/>
    </w:p>
    <w:p>
      <w:pPr>
        <w:pStyle w:val="39"/>
        <w:spacing w:beforeLines="0" w:afterLines="0" w:line="579" w:lineRule="exact"/>
        <w:ind w:firstLine="632"/>
      </w:pPr>
      <w:r>
        <w:rPr>
          <w:color w:val="000000"/>
        </w:rPr>
        <w:t>围绕健康产业“医、药、养、健、智”五大重点领域，</w:t>
      </w:r>
      <w:r>
        <w:t>以国际一流产业平台为目标，结合重点区域发展空间和功能定位，</w:t>
      </w:r>
      <w:r>
        <w:rPr>
          <w:color w:val="000000"/>
        </w:rPr>
        <w:t>着力培育创建一批健康小镇、新建扩建一批重点园区，创建健康产业万亩千亿新平台，强化健康产业集群化发展的载体支撑。</w:t>
      </w:r>
    </w:p>
    <w:p>
      <w:pPr>
        <w:pStyle w:val="39"/>
        <w:spacing w:beforeLines="0" w:afterLines="0" w:line="579" w:lineRule="exact"/>
        <w:ind w:firstLine="632"/>
      </w:pPr>
      <w:r>
        <w:rPr>
          <w:b/>
        </w:rPr>
        <w:t>推动健康特色小镇高品质发展。</w:t>
      </w:r>
      <w:r>
        <w:t>坚定“四位一体”“三生融合”导向思路，突出“医+”“养+”“健+”等主线，加快建设以健康产业领域内部及跨界融合为主导的特色小镇。坚持集约特色、融合创新，鼓励各地因地制宜布局一批集医疗、中医药、康养、康旅、体育等健康相关功能的特色小镇。聚力关联度大、互动性好、凝聚力强方向，优化现有特色小镇功能空间，提高土地集约化利用水平。遵循健康产业发展规律，滚动更新健康特色小镇标准和规范，打造一批具有标杆、引领作用的示范性小镇。</w:t>
      </w:r>
    </w:p>
    <w:p>
      <w:pPr>
        <w:pStyle w:val="39"/>
        <w:spacing w:beforeLines="0" w:afterLines="0" w:line="579" w:lineRule="exact"/>
        <w:ind w:firstLine="632"/>
      </w:pPr>
      <w:r>
        <w:rPr>
          <w:b/>
        </w:rPr>
        <w:t>推动健康产业重点园区高质量发展。</w:t>
      </w:r>
      <w:r>
        <w:t>依托国家级和省级经济技术开发区、高新技术产业园区、现代农业园区等重点平台，聚焦生物医药、医疗器械、健康食（用）品、健康种植等领域，加快建设一批创新能力强、主导产业突出、竞争优势明显的健康产业园区（基地），争创万亩千亿产业平台。以医疗服务、健康旅游、健康养老、休闲健身、中医药服务等领域为重点，建立健康服务业园区（基地）分类指导机制，打造一批发展特色鲜明、高度集聚、配套完善的健康服务业园区（基地）。坚持产城融合、协调发展，加快园区整合、产业配套、要素集聚、设施完善，增强平台能级，提升园区（基地）承接重大项目能力。</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tcPr>
          <w:p>
            <w:pPr>
              <w:pStyle w:val="10"/>
              <w:adjustRightInd w:val="0"/>
              <w:snapToGrid w:val="0"/>
              <w:spacing w:beforeLines="50" w:afterLines="50" w:line="300" w:lineRule="auto"/>
              <w:ind w:firstLine="0" w:firstLineChars="0"/>
              <w:jc w:val="center"/>
              <w:rPr>
                <w:rFonts w:ascii="Times New Roman" w:hAnsi="Times New Roman" w:cs="Times New Roman"/>
                <w:sz w:val="24"/>
                <w:szCs w:val="24"/>
              </w:rPr>
            </w:pPr>
            <w:bookmarkStart w:id="30" w:name="_Toc66654811"/>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健康产业重大平台</w:t>
            </w:r>
            <w:bookmarkEnd w:id="3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vAlign w:val="center"/>
          </w:tcPr>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健康特色小镇。提升发展杭州东部医药港小镇、桐庐健康小镇、富阳药谷小镇、瓯海生命健康小镇、马家浜健康食品小镇、定海远洋渔业小镇、椒江绿色药都小镇、杭州树兰国际生命科技小镇、临安颐养小镇、湖州太湖健康蜜月小镇、三门滨海健康小镇、临海国际医药小镇等，到2025年，争创健康特色小镇20个以上。</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健康产业园区。加快余杭生物医药高新园区、杭州湾新区生命健康产业园、南太湖生物医药产业园、绍兴滨海现代医药高新园区、金华健康生物医药产业园、浙江头门港经济开发区、浙东南化学原料药产业基地等重点园区建设。到2025年，力争建成</w:t>
            </w:r>
            <w:r>
              <w:rPr>
                <w:rFonts w:hint="eastAsia" w:ascii="Times New Roman" w:hAnsi="Times New Roman" w:cs="Times New Roman"/>
                <w:sz w:val="24"/>
                <w:szCs w:val="24"/>
              </w:rPr>
              <w:t>一批</w:t>
            </w:r>
            <w:r>
              <w:rPr>
                <w:rFonts w:ascii="Times New Roman" w:hAnsi="Times New Roman" w:cs="Times New Roman"/>
                <w:sz w:val="24"/>
                <w:szCs w:val="24"/>
              </w:rPr>
              <w:t>具有较强</w:t>
            </w:r>
            <w:r>
              <w:rPr>
                <w:rFonts w:hint="eastAsia" w:ascii="Times New Roman" w:hAnsi="Times New Roman" w:cs="Times New Roman"/>
                <w:sz w:val="24"/>
                <w:szCs w:val="24"/>
              </w:rPr>
              <w:t>集聚效应</w:t>
            </w:r>
            <w:r>
              <w:rPr>
                <w:rFonts w:ascii="Times New Roman" w:hAnsi="Times New Roman" w:cs="Times New Roman"/>
                <w:sz w:val="24"/>
                <w:szCs w:val="24"/>
              </w:rPr>
              <w:t>的健康产业园区（基地）。</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3.万亩千亿平台。加快杭州钱塘新区高端生物医药产业平台、绍兴滨海新区高端生物医药产业平台等“万亩千亿”产业平台建设，高聚焦生物医药、高端医疗装备制造、医疗人工智能等重点领域，围绕上下游产业链关键环节，加快千亿健康产业领域引领性重大项目落地，加大政策支持力度，推动重大平台间协同创新、资源共享、优势互补、错位发展，到2025年，打造一批具有国际竞争力的“万亩千亿”产业平台。</w:t>
            </w:r>
          </w:p>
        </w:tc>
      </w:tr>
    </w:tbl>
    <w:p>
      <w:pPr>
        <w:pStyle w:val="4"/>
        <w:spacing w:before="0" w:beforeLines="0" w:after="0" w:afterLines="0" w:line="579" w:lineRule="exact"/>
        <w:ind w:firstLine="632"/>
        <w:rPr>
          <w:rFonts w:ascii="Times New Roman" w:hAnsi="Times New Roman"/>
        </w:rPr>
      </w:pPr>
      <w:bookmarkStart w:id="31" w:name="_Toc66654790"/>
      <w:r>
        <w:rPr>
          <w:rFonts w:ascii="Times New Roman" w:hAnsi="Times New Roman"/>
        </w:rPr>
        <w:t>五、重大工程</w:t>
      </w:r>
      <w:bookmarkEnd w:id="31"/>
    </w:p>
    <w:p>
      <w:pPr>
        <w:pStyle w:val="5"/>
        <w:spacing w:before="0" w:beforeLines="0" w:after="0" w:afterLines="0" w:line="579" w:lineRule="exact"/>
        <w:ind w:firstLine="632"/>
        <w:rPr>
          <w:rFonts w:ascii="Times New Roman" w:hAnsi="Times New Roman" w:cs="Times New Roman"/>
        </w:rPr>
      </w:pPr>
      <w:bookmarkStart w:id="32" w:name="_Toc66654791"/>
      <w:r>
        <w:rPr>
          <w:rFonts w:ascii="Times New Roman" w:hAnsi="Times New Roman" w:cs="Times New Roman"/>
        </w:rPr>
        <w:t>（一）健康产业科技创新工程</w:t>
      </w:r>
      <w:bookmarkEnd w:id="32"/>
    </w:p>
    <w:p>
      <w:pPr>
        <w:pStyle w:val="39"/>
        <w:spacing w:beforeLines="0" w:afterLines="0" w:line="579" w:lineRule="exact"/>
        <w:ind w:firstLine="632"/>
      </w:pPr>
      <w:r>
        <w:rPr>
          <w:b/>
        </w:rPr>
        <w:t>加强基础研究和关键技术攻关。</w:t>
      </w:r>
      <w:r>
        <w:t>瞄准创新药物、精准医学、信息技术与生物技术融合等基础与交叉方向，积极争取国家自然科学基金项目、国家科技重大专项、省“尖峰计划”</w:t>
      </w:r>
      <w:r>
        <w:rPr>
          <w:rFonts w:hint="eastAsia"/>
        </w:rPr>
        <w:t>项目。</w:t>
      </w:r>
      <w:r>
        <w:t>加大</w:t>
      </w:r>
      <w:r>
        <w:rPr>
          <w:rFonts w:hint="eastAsia"/>
        </w:rPr>
        <w:t>研发</w:t>
      </w:r>
      <w:r>
        <w:t>投入，设立联合基金，开展前沿领域重大基础研究和科学研究，争取在脑科学与人工智能、生命科学与医药健康等领域取得一批重大基础研究成果。依托省“尖兵”“领雁”“领航”计划，加强对接国家科技创新项目，组织开展生命健康重大科技专项，攻关重大传染病防治、高发疾病精准医疗与新药创制、高端医疗装备与器械等重大临床需求“卡脖子”技术，争取突破技术壁垒或取得全球领先的关键核心技术。“十四五”期间，每年滚动实施50个重大科技专项或重点研发计划。</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tcPr>
          <w:p>
            <w:pPr>
              <w:pStyle w:val="10"/>
              <w:adjustRightInd w:val="0"/>
              <w:snapToGrid w:val="0"/>
              <w:spacing w:beforeLines="50" w:afterLines="50" w:line="300" w:lineRule="auto"/>
              <w:ind w:firstLine="21" w:firstLineChars="9"/>
              <w:jc w:val="center"/>
              <w:rPr>
                <w:rFonts w:ascii="Times New Roman" w:hAnsi="Times New Roman" w:cs="Times New Roman"/>
                <w:sz w:val="24"/>
                <w:szCs w:val="24"/>
              </w:rPr>
            </w:pPr>
            <w:bookmarkStart w:id="33" w:name="_Toc66654812"/>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健康领域“双尖双领”重大科技创新计划</w:t>
            </w:r>
            <w:bookmarkEnd w:id="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vAlign w:val="center"/>
          </w:tcPr>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1.“尖峰计划”。聚焦精准医疗、新药创制、冠状病毒感染防治、新型生物医用材料和器械等领域，组织实施一批重大前瞻性基础研究项目。</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尖兵计划”。聚焦脑机融合技术及应用、难治性恶性肿瘤新型治疗技术和新药创制、数字医学技术及系统、新发突发传染病等领域，组织实施一批重大关键核心技术攻关项目，加快开发应用一批自主可控、填补空白的重大成果和产品。</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3.“领雁计划”。聚焦人工智能与健康融合应用、重大疾病精准诊疗、创新药物与高端医疗器械等临床重大需求领域，组织实施一批研发项目，优先支持近期有望突破技术壁垒或取得全球领先原创成果的项目。</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4.“领航计划”。聚焦脑科学与类脑研究、重大新药创制、癌症防治、精准医疗等领域，每年</w:t>
            </w:r>
            <w:r>
              <w:rPr>
                <w:rFonts w:ascii="Times New Roman" w:hAnsi="Times New Roman" w:cs="Times New Roman"/>
                <w:sz w:val="24"/>
                <w:szCs w:val="24"/>
                <w:highlight w:val="none"/>
              </w:rPr>
              <w:t>争取**项左</w:t>
            </w:r>
            <w:r>
              <w:rPr>
                <w:rFonts w:ascii="Times New Roman" w:hAnsi="Times New Roman" w:cs="Times New Roman"/>
                <w:sz w:val="24"/>
                <w:szCs w:val="24"/>
              </w:rPr>
              <w:t>右国家2030科技创新重大项目、重点研发项目、重大自然科学基金项目落地浙江。</w:t>
            </w:r>
          </w:p>
        </w:tc>
      </w:tr>
    </w:tbl>
    <w:p>
      <w:pPr>
        <w:ind w:firstLine="643"/>
        <w:rPr>
          <w:rFonts w:ascii="Times New Roman" w:hAnsi="Times New Roman" w:cs="Times New Roman"/>
          <w:color w:val="000000" w:themeColor="text1"/>
        </w:rPr>
      </w:pPr>
      <w:r>
        <w:rPr>
          <w:rFonts w:ascii="Times New Roman" w:hAnsi="Times New Roman" w:cs="Times New Roman"/>
          <w:b/>
        </w:rPr>
        <w:t>建设健康产业高能级科创平台。</w:t>
      </w:r>
      <w:r>
        <w:rPr>
          <w:rFonts w:ascii="Times New Roman" w:hAnsi="Times New Roman" w:cs="Times New Roman"/>
        </w:rPr>
        <w:t>大力培育健康领域国家战略科技力量，</w:t>
      </w:r>
      <w:r>
        <w:rPr>
          <w:rFonts w:ascii="Times New Roman" w:hAnsi="Times New Roman" w:cs="Times New Roman"/>
          <w:color w:val="000000" w:themeColor="text1"/>
        </w:rPr>
        <w:t>积极创建</w:t>
      </w:r>
      <w:r>
        <w:rPr>
          <w:rFonts w:ascii="Times New Roman" w:hAnsi="Times New Roman" w:cs="Times New Roman"/>
          <w:bCs/>
          <w:color w:val="000000" w:themeColor="text1"/>
        </w:rPr>
        <w:t>国家级重大科技基础设施和创新平台，</w:t>
      </w:r>
      <w:r>
        <w:rPr>
          <w:rFonts w:ascii="Times New Roman" w:hAnsi="Times New Roman" w:cs="Times New Roman"/>
        </w:rPr>
        <w:t>高水平建设良渚实验室、瓯江实验室，全力支持西湖实验室打造国家实验室。</w:t>
      </w:r>
      <w:r>
        <w:rPr>
          <w:rFonts w:ascii="Times New Roman" w:hAnsi="Times New Roman" w:cs="Times New Roman"/>
          <w:bCs/>
          <w:color w:val="000000" w:themeColor="text1"/>
        </w:rPr>
        <w:t>积极布局生物安全、应急医学、实验动物等基础研究平台，支持之江实验室、湖畔实验室、甬江实验室开展生物技术与数字技术、材料科学等交叉融合研究。加快建设浙江大学、西湖大学、温州医科大学、浙江工业大学等健康领域应用基础研究重大平台。加强产学研医合作，支持高等院校、科研院所、医疗机构、骨干企业合作共建高水平新型研发机构和协同创新平台。加快建设生物医药等引领性开源开放公共平台，健全提升中国（浙江）卫生健康科技研发与转化平台。到2025年，建成20个以上健康产业高能级创新平台。</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tcPr>
          <w:p>
            <w:pPr>
              <w:pStyle w:val="10"/>
              <w:adjustRightInd w:val="0"/>
              <w:snapToGrid w:val="0"/>
              <w:spacing w:beforeLines="50" w:afterLines="50" w:line="300" w:lineRule="auto"/>
              <w:ind w:firstLine="21" w:firstLineChars="9"/>
              <w:jc w:val="center"/>
              <w:rPr>
                <w:rFonts w:ascii="Times New Roman" w:hAnsi="Times New Roman" w:cs="Times New Roman"/>
                <w:sz w:val="24"/>
                <w:szCs w:val="24"/>
              </w:rPr>
            </w:pPr>
            <w:bookmarkStart w:id="34" w:name="_Toc66654813"/>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健康产业高能级科创平台</w:t>
            </w:r>
            <w:bookmarkEnd w:id="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vAlign w:val="center"/>
          </w:tcPr>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新型实验室。加快建设系统医学与精准诊治浙江省实验室（良渚实验室）、生命科学和生物医学浙江省实验室（西湖实验室）；支持各市在精准医疗、冠状病毒感染防治、新型生物医用材料等重点领域，建设高水平省实验室。到2025年，在生命健康领域建成**个高水平省实验室。</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国家级重大创新载体。聚焦生命健康前沿领域，积极争取国家产业创新中心、国家技术创新中心、国家制造业创新中心等国家级重大创新载体布局，创建国家智能诊疗设备制造业创新中心、国家生物基功能性新材料制造业创新中心等。到2025年，力争创建**家国家技术（产业、制造业）创新中心。</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3.新型研发机构。支持中国科学院肿瘤与基础医学研究所、中国工程科技发展战略浙江研究院、浙江省智能诊疗设备制造业创新中心、天津大学浙江化工研究院、中国科学院大学温州研究院、复旦大学温州生命科学创新中心、加北京航空航天大学杭州创新研究院、中国科学院宁波材料所、南湖生命科学与大健康创新中心等新型研发机构高水平建设与发展，重点加强生命健康、合成生物技术、“医工信”交叉创新、生物医学工程等领域研发与成果转化。到2025年，在生命健康领域培育**个高水平新型研发平台。</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4.公共创新服务平台。整合提升国家（浙江）新药安全评价研究中心和省新药创制、成药性评价技术等创新服务平台。建设开放共享的临床资源在线交易平台。建设互联互通的医学影像共享平台。推动生物医药特殊物品集中监管服务、真实世界数据研究、转化医学研究、医疗大数据临床研究应用、精准医学研究、动物实验研究以及生物样本库、生物检测服务、药品医疗器械检验检测综合服务等平台建设。</w:t>
            </w:r>
          </w:p>
        </w:tc>
      </w:tr>
    </w:tbl>
    <w:p>
      <w:pPr>
        <w:ind w:firstLine="643"/>
        <w:rPr>
          <w:rFonts w:ascii="Times New Roman" w:hAnsi="Times New Roman" w:cs="Times New Roman"/>
        </w:rPr>
      </w:pPr>
      <w:r>
        <w:rPr>
          <w:rFonts w:ascii="Times New Roman" w:hAnsi="Times New Roman" w:cs="Times New Roman"/>
          <w:b/>
        </w:rPr>
        <w:t>加强新技术新成果应用与转化。</w:t>
      </w:r>
      <w:r>
        <w:rPr>
          <w:rFonts w:ascii="Times New Roman" w:hAnsi="Times New Roman" w:cs="Times New Roman"/>
        </w:rPr>
        <w:t>支持省内医疗机构、临床医学研究中心、医药企业等加强联动协作，开展基因细胞、创新疫苗、高性能影像设备、精准快诊试剂及临床治疗新技术推广应用，提升临床研究水平和医疗技术临床应用试验能力。积极向上争取资源，支持推动重大新药创制国家科技重大专项等创新成果在我省落地转化。积极推动创新药物、改良型新药、首仿药、高端医疗器械、创新疫苗、生物类似药在浙江注册批件并投资生产。对接企业需求与各类临床资源，探索组建“临床试验加速器”，支持企业加强靶向治疗药、长效缓释药、特色创新中药等研发成果转化。到2025年，力争获批一类新药10个，创新医疗器械10个。</w:t>
      </w:r>
    </w:p>
    <w:p>
      <w:pPr>
        <w:ind w:firstLine="643"/>
        <w:rPr>
          <w:rFonts w:ascii="Times New Roman" w:hAnsi="Times New Roman" w:cs="Times New Roman"/>
        </w:rPr>
      </w:pPr>
      <w:r>
        <w:rPr>
          <w:rFonts w:ascii="Times New Roman" w:hAnsi="Times New Roman" w:cs="Times New Roman"/>
          <w:b/>
        </w:rPr>
        <w:t>打造全链条专业服务创新生态。</w:t>
      </w:r>
      <w:r>
        <w:rPr>
          <w:rFonts w:ascii="Times New Roman" w:hAnsi="Times New Roman" w:cs="Times New Roman"/>
        </w:rPr>
        <w:t>加快建设健康产业创新服务综合体，提供集创业孵化、研究开发、技术中试、成果推广等于一体的全链条科技创新服务。坚持重点引进和自主培育相结合，培育发展生物医药研发服务机构，全面接轨国际标准，构建覆盖药学研究、临床前安全性评价、临床研究、生产工艺开发、技术转让和咨询服务等全周期服务链。发挥省知识产权交易中心等平台作用，建立健康领域知识产权保护绿色通道，引培第三方成果转化服务机构，加快构建知识产权创造、快速保护、运用与服务全链条体系。</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tcPr>
          <w:p>
            <w:pPr>
              <w:pStyle w:val="10"/>
              <w:adjustRightInd w:val="0"/>
              <w:snapToGrid w:val="0"/>
              <w:spacing w:beforeLines="50" w:afterLines="50" w:line="300" w:lineRule="auto"/>
              <w:ind w:firstLine="0" w:firstLineChars="0"/>
              <w:jc w:val="center"/>
              <w:rPr>
                <w:rFonts w:ascii="Times New Roman" w:hAnsi="Times New Roman" w:cs="Times New Roman"/>
                <w:sz w:val="24"/>
                <w:szCs w:val="24"/>
              </w:rPr>
            </w:pPr>
            <w:bookmarkStart w:id="35" w:name="_Toc66654814"/>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健康产业科技创新重大改革和重大政策</w:t>
            </w:r>
            <w:bookmark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vAlign w:val="center"/>
          </w:tcPr>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1.卫生健康领域科技体制改革。加快完善省内医疗机构考核评价机制，鼓励医院和医生参与临床研究。</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2.干细胞和免疫细胞创新政策试点。允许自贸试验区内医疗机构根据自身技术能力按规定开展干细胞临床前沿医疗技术研究项目。</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3.临床试验支持政策。优化临床试验立项和伦理审查程序，探索将伦理审查提前到新药临床试验审批前进行，加快审查进度支持临床试验立项。推进通关便利化，进一步完善临床研究特殊物品便利化监管制度。</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4.创新产品支持政策。完善创新产品优先审查和罕见病药物优先审查、快速评审机制，优化变更中试、稳定性研究等审批或备案流程，建立重点园区药品、创新医疗器械审评审批的绿色通道。加大对首台（套）重大医疗器械及“浙江制造精品”药品、医疗器械政策支持。积极推进医疗器械注册人制度试点。</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5.设立“国产替代进口”专项政策。优先支持临床一类创新药，争取打破高端医药产品被进口品牌垄断局面。</w:t>
            </w:r>
          </w:p>
        </w:tc>
      </w:tr>
    </w:tbl>
    <w:p>
      <w:pPr>
        <w:pStyle w:val="5"/>
        <w:spacing w:before="0" w:beforeLines="0" w:after="0" w:afterLines="0" w:line="579" w:lineRule="exact"/>
        <w:ind w:firstLine="632"/>
        <w:rPr>
          <w:rFonts w:hint="default" w:ascii="Times New Roman" w:hAnsi="Times New Roman" w:eastAsia="楷体_GB2312" w:cs="Times New Roman"/>
        </w:rPr>
      </w:pPr>
      <w:bookmarkStart w:id="36" w:name="_Toc66654792"/>
      <w:r>
        <w:rPr>
          <w:rFonts w:hint="default" w:ascii="Times New Roman" w:hAnsi="Times New Roman" w:eastAsia="楷体_GB2312" w:cs="Times New Roman"/>
        </w:rPr>
        <w:t>（二）健康产业企业梯队建设工程</w:t>
      </w:r>
      <w:bookmarkEnd w:id="36"/>
    </w:p>
    <w:p>
      <w:pPr>
        <w:spacing w:beforeLines="0" w:afterLines="0" w:line="579" w:lineRule="exact"/>
        <w:ind w:firstLine="632"/>
        <w:rPr>
          <w:rFonts w:ascii="Times New Roman" w:hAnsi="Times New Roman" w:cs="Times New Roman"/>
          <w:b/>
        </w:rPr>
      </w:pPr>
      <w:r>
        <w:rPr>
          <w:rFonts w:ascii="Times New Roman" w:hAnsi="Times New Roman" w:cs="Times New Roman"/>
          <w:b/>
          <w:bCs/>
        </w:rPr>
        <w:t>做大做强龙头企业。</w:t>
      </w:r>
      <w:r>
        <w:rPr>
          <w:rFonts w:ascii="Times New Roman" w:hAnsi="Times New Roman" w:cs="Times New Roman"/>
        </w:rPr>
        <w:t>实施“雄鹰行动”，对标国际先进水平，加快培育具有世界知名度和竞争力的大型健康产业企业集团和“单项冠军”企业</w:t>
      </w:r>
      <w:r>
        <w:rPr>
          <w:rFonts w:ascii="Times New Roman" w:hAnsi="Times New Roman" w:cs="Times New Roman"/>
          <w:color w:val="000000"/>
        </w:rPr>
        <w:t>。</w:t>
      </w:r>
      <w:r>
        <w:rPr>
          <w:rFonts w:ascii="Times New Roman" w:hAnsi="Times New Roman" w:cs="Times New Roman"/>
        </w:rPr>
        <w:t>强化品牌建设，整合国内外优质创新资源，开展跨界融合、联合开发、市场推广，增强产业链主导地位，</w:t>
      </w:r>
      <w:r>
        <w:rPr>
          <w:rFonts w:ascii="Times New Roman" w:hAnsi="Times New Roman" w:cs="Times New Roman"/>
          <w:color w:val="000000"/>
        </w:rPr>
        <w:t>推进国内外</w:t>
      </w:r>
      <w:r>
        <w:rPr>
          <w:rFonts w:ascii="Times New Roman" w:hAnsi="Times New Roman" w:cs="Times New Roman"/>
        </w:rPr>
        <w:t>健康产业</w:t>
      </w:r>
      <w:r>
        <w:rPr>
          <w:rFonts w:ascii="Times New Roman" w:hAnsi="Times New Roman" w:cs="Times New Roman"/>
          <w:color w:val="000000"/>
        </w:rPr>
        <w:t>龙头企业集团在浙江设立</w:t>
      </w:r>
      <w:r>
        <w:rPr>
          <w:rFonts w:ascii="Times New Roman" w:hAnsi="Times New Roman" w:cs="Times New Roman"/>
        </w:rPr>
        <w:t>区域总部、研发中心和生产基地等。实施企业上市和并购重组“凤凰行动”，加速资本与技术、产业的融合</w:t>
      </w:r>
      <w:r>
        <w:rPr>
          <w:rFonts w:ascii="Times New Roman" w:hAnsi="Times New Roman" w:cs="Times New Roman"/>
          <w:color w:val="000000"/>
        </w:rPr>
        <w:t>，</w:t>
      </w:r>
      <w:r>
        <w:rPr>
          <w:rFonts w:ascii="Times New Roman" w:hAnsi="Times New Roman" w:cs="Times New Roman"/>
        </w:rPr>
        <w:t>支持开展全球资本运作、跨境投资等，</w:t>
      </w:r>
      <w:r>
        <w:rPr>
          <w:rFonts w:ascii="Times New Roman" w:hAnsi="Times New Roman" w:cs="Times New Roman"/>
          <w:color w:val="000000"/>
        </w:rPr>
        <w:t>持续提升主板、新三板、创业板和海外上市的浙江健康产业企业数量。</w:t>
      </w:r>
      <w:r>
        <w:rPr>
          <w:rFonts w:ascii="Times New Roman" w:hAnsi="Times New Roman" w:cs="Times New Roman"/>
        </w:rPr>
        <w:t>到2025年，全省培育形成5家以上超百亿健康产业制造龙头企业集团。</w:t>
      </w:r>
    </w:p>
    <w:p>
      <w:pPr>
        <w:spacing w:beforeLines="0" w:afterLines="0" w:line="579" w:lineRule="exact"/>
        <w:ind w:firstLine="632"/>
        <w:rPr>
          <w:rFonts w:ascii="Times New Roman" w:hAnsi="Times New Roman" w:cs="Times New Roman"/>
          <w:b/>
        </w:rPr>
      </w:pPr>
      <w:r>
        <w:rPr>
          <w:rFonts w:ascii="Times New Roman" w:hAnsi="Times New Roman" w:cs="Times New Roman"/>
          <w:b/>
          <w:color w:val="000000"/>
          <w:kern w:val="0"/>
        </w:rPr>
        <w:t>提升中小微企业竞争力。</w:t>
      </w:r>
      <w:r>
        <w:rPr>
          <w:rFonts w:ascii="Times New Roman" w:hAnsi="Times New Roman" w:cs="Times New Roman"/>
        </w:rPr>
        <w:t>实施健康产业“雏鹰行动”，大力引导创新型中小微企业往“专精特新”方向发展，打造一批细分领域隐形冠军和专精特新“小巨人”企业。鼓励健康产业中小微企业向产业园区、特色小镇、专业孵化器、众创空间等集聚，培育一批拥有特色技术、创新人才团队的双创基地。搭建合作对接平台，积极引导健康产业龙头企业与中小微企业开展专业协作，推进企业与政府、高校院所、服务机构等的紧密合作，推动一批新产品的研发、试验和产业化，促进潜力型健康产业企业成长。到2025年，全省培育形成30家左右健康产业“隐形冠军”企业。</w:t>
      </w:r>
    </w:p>
    <w:p>
      <w:pPr>
        <w:spacing w:beforeLines="0" w:afterLines="0" w:line="579" w:lineRule="exact"/>
        <w:ind w:firstLine="632"/>
        <w:rPr>
          <w:rFonts w:ascii="Times New Roman" w:hAnsi="Times New Roman" w:cs="Times New Roman"/>
        </w:rPr>
      </w:pPr>
      <w:r>
        <w:rPr>
          <w:rFonts w:ascii="Times New Roman" w:hAnsi="Times New Roman" w:cs="Times New Roman"/>
          <w:b/>
        </w:rPr>
        <w:t>推动健康制造企业智能化改造。</w:t>
      </w:r>
      <w:r>
        <w:rPr>
          <w:rFonts w:ascii="Times New Roman" w:hAnsi="Times New Roman" w:cs="Times New Roman"/>
        </w:rPr>
        <w:t>开展智能制造试点示范，构建健康产业工业互联网平台体系，推进健康产业制造企业“智能工厂”“数字化车间”建设大力推进健康产业企业“上云用云”，推广企业设备联网上云、数据集成上云等深度用云模式，鼓励企业云化改造。加大对健康产业企业实施技术改造和信息化建设项目支持力度，推广应用数字孪生、物联网等技术，推动企业实现数字化设计、智慧化管理、智能化生产、绿色化制造、数字化营销等，培育一批数字应用能力领先的健康产业企业。到2025年，全省健康制造企业累计建成数字化车间/智能工厂20家、省级工业互联网平台20个。</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tcPr>
          <w:p>
            <w:pPr>
              <w:pStyle w:val="10"/>
              <w:adjustRightInd w:val="0"/>
              <w:snapToGrid w:val="0"/>
              <w:spacing w:beforeLines="50" w:afterLines="50" w:line="300" w:lineRule="auto"/>
              <w:ind w:firstLine="0" w:firstLineChars="0"/>
              <w:jc w:val="center"/>
              <w:rPr>
                <w:rFonts w:ascii="Times New Roman" w:hAnsi="Times New Roman" w:cs="Times New Roman"/>
                <w:sz w:val="24"/>
                <w:szCs w:val="24"/>
              </w:rPr>
            </w:pPr>
            <w:bookmarkStart w:id="37" w:name="_Toc66654815"/>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健康产业企业梯队培育工程</w:t>
            </w:r>
            <w:bookmark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vAlign w:val="center"/>
          </w:tcPr>
          <w:p>
            <w:pPr>
              <w:adjustRightInd w:val="0"/>
              <w:snapToGrid w:val="0"/>
              <w:spacing w:line="300" w:lineRule="auto"/>
              <w:ind w:firstLine="482"/>
              <w:rPr>
                <w:rFonts w:ascii="Times New Roman" w:hAnsi="Times New Roman" w:cs="Times New Roman"/>
                <w:sz w:val="24"/>
                <w:szCs w:val="24"/>
              </w:rPr>
            </w:pPr>
            <w:r>
              <w:rPr>
                <w:rFonts w:ascii="Times New Roman" w:hAnsi="Times New Roman" w:cs="Times New Roman"/>
                <w:b/>
                <w:sz w:val="24"/>
                <w:szCs w:val="24"/>
              </w:rPr>
              <w:t>1.培育十家百亿级龙头企业。</w:t>
            </w:r>
            <w:r>
              <w:rPr>
                <w:rFonts w:ascii="Times New Roman" w:hAnsi="Times New Roman" w:cs="Times New Roman"/>
                <w:sz w:val="24"/>
                <w:szCs w:val="24"/>
              </w:rPr>
              <w:t>做大做强健康产业龙头企业，支持龙头企业开展跨国兼并重组，开展跨界融合、联合开发、市场推广，打造一批具有生态主导力的产业链“链主”企业，加快培育世界一流企业和“单项冠军”企业。推进国内外龙头医药企业集团在浙江设立区域总部、研发中心和生产基地，支持本土企业回归。建立以平台型企业为核心的产业生态系统。</w:t>
            </w:r>
          </w:p>
          <w:p>
            <w:pPr>
              <w:adjustRightInd w:val="0"/>
              <w:snapToGrid w:val="0"/>
              <w:spacing w:line="300" w:lineRule="auto"/>
              <w:ind w:firstLine="482"/>
              <w:rPr>
                <w:rFonts w:ascii="Times New Roman" w:hAnsi="Times New Roman" w:cs="Times New Roman"/>
                <w:b/>
                <w:sz w:val="24"/>
                <w:szCs w:val="24"/>
              </w:rPr>
            </w:pPr>
            <w:r>
              <w:rPr>
                <w:rFonts w:ascii="Times New Roman" w:hAnsi="Times New Roman" w:cs="Times New Roman"/>
                <w:b/>
                <w:sz w:val="24"/>
                <w:szCs w:val="24"/>
              </w:rPr>
              <w:t>2.培育百家高成长性企业。</w:t>
            </w:r>
            <w:r>
              <w:rPr>
                <w:rFonts w:ascii="Times New Roman" w:hAnsi="Times New Roman" w:cs="Times New Roman"/>
                <w:sz w:val="24"/>
                <w:szCs w:val="24"/>
              </w:rPr>
              <w:t>实施“高成长性企业培育计划”、企业上市和并购重组“凤凰行动”计划，扶持一批健康产业领域潜力企业。搭建高成长性企业对接平台，推进企业与高校院所、服务机构、应用领域的紧密合作，推动一批新产品的研发、试验和产业化，形成一批拥有核心技术和发展潜力的高成长性企业。</w:t>
            </w:r>
          </w:p>
          <w:p>
            <w:pPr>
              <w:adjustRightInd w:val="0"/>
              <w:snapToGrid w:val="0"/>
              <w:spacing w:line="300" w:lineRule="auto"/>
              <w:ind w:firstLine="482"/>
              <w:rPr>
                <w:rFonts w:ascii="Times New Roman" w:hAnsi="Times New Roman" w:cs="Times New Roman"/>
                <w:sz w:val="24"/>
                <w:szCs w:val="24"/>
              </w:rPr>
            </w:pPr>
            <w:r>
              <w:rPr>
                <w:rFonts w:ascii="Times New Roman" w:hAnsi="Times New Roman" w:cs="Times New Roman"/>
                <w:b/>
                <w:sz w:val="24"/>
                <w:szCs w:val="24"/>
              </w:rPr>
              <w:t>3.培育千家科技型中小企业。</w:t>
            </w:r>
            <w:r>
              <w:rPr>
                <w:rFonts w:ascii="Times New Roman" w:hAnsi="Times New Roman" w:cs="Times New Roman"/>
                <w:sz w:val="24"/>
                <w:szCs w:val="24"/>
              </w:rPr>
              <w:t>实施中小企业“雏鹰计划”“小微企业三年成长计划”，引导科技型中小企业向专业孵化器、众创空间、双创示范基地集聚，打造一批细分领域隐形冠军和专精特新“小巨人”企业。引导行业龙头企业与科技型中小企业开展专业协作，推广CMO（合同生产外包）、CRO（合同研究外包）等合作方式。</w:t>
            </w:r>
          </w:p>
        </w:tc>
      </w:tr>
    </w:tbl>
    <w:p>
      <w:pPr>
        <w:pStyle w:val="5"/>
        <w:spacing w:before="0" w:beforeLines="0" w:after="0" w:afterLines="0" w:line="530" w:lineRule="exact"/>
        <w:ind w:firstLine="640"/>
        <w:rPr>
          <w:rFonts w:hint="default" w:ascii="Times New Roman" w:hAnsi="Times New Roman" w:eastAsia="楷体_GB2312" w:cs="Times New Roman"/>
        </w:rPr>
      </w:pPr>
      <w:bookmarkStart w:id="38" w:name="_Toc66654793"/>
      <w:r>
        <w:rPr>
          <w:rFonts w:hint="default" w:ascii="Times New Roman" w:hAnsi="Times New Roman" w:eastAsia="楷体_GB2312" w:cs="Times New Roman"/>
        </w:rPr>
        <w:t>（三）健康产业“双循环”畅通工程</w:t>
      </w:r>
      <w:bookmarkEnd w:id="38"/>
    </w:p>
    <w:p>
      <w:pPr>
        <w:spacing w:beforeLines="0" w:afterLines="0" w:line="530" w:lineRule="exact"/>
        <w:ind w:firstLine="643"/>
        <w:rPr>
          <w:rFonts w:ascii="Times New Roman" w:hAnsi="Times New Roman" w:cs="Times New Roman"/>
        </w:rPr>
      </w:pPr>
      <w:r>
        <w:rPr>
          <w:rFonts w:ascii="Times New Roman" w:hAnsi="Times New Roman" w:cs="Times New Roman"/>
          <w:b/>
        </w:rPr>
        <w:t>打造健康产业“浙”字品牌。</w:t>
      </w:r>
      <w:r>
        <w:rPr>
          <w:rFonts w:ascii="Times New Roman" w:hAnsi="Times New Roman" w:cs="Times New Roman"/>
        </w:rPr>
        <w:t>提升“浙产好药”品牌，加快推进仿制药一致性评价，对在全国前三名通过仿制药一致性评价的品种，继续给予300万元一次性省级财政奖补。扶持医疗机构中药制剂发展，启动65个中药配方颗粒标准研究。积极推进中药材产地初加工</w:t>
      </w:r>
      <w:r>
        <w:rPr>
          <w:rFonts w:hint="eastAsia" w:ascii="Times New Roman" w:hAnsi="Times New Roman" w:cs="Times New Roman"/>
        </w:rPr>
        <w:t>、</w:t>
      </w:r>
      <w:r>
        <w:rPr>
          <w:rFonts w:ascii="Times New Roman" w:hAnsi="Times New Roman" w:cs="Times New Roman"/>
        </w:rPr>
        <w:t>中药饮片加工“共享车间”试点工作。提升“浙造器械”品牌，做好监管政策引导，助推我省成为心脑血管疾病、癌症、慢性呼吸系统疾病、糖尿病、传染病五大疾病防治器械制造高地和全国重要医疗器械产业集聚区。提升“浙江美妆”品牌，开展“美妆助力美好生活”行动，组织“浙江美妆”品牌和“三个一百场”宣传培训活动，提升“浙江美妆”品牌知名度和影响力。</w:t>
      </w:r>
    </w:p>
    <w:p>
      <w:pPr>
        <w:spacing w:beforeLines="0" w:afterLines="0" w:line="530" w:lineRule="exact"/>
        <w:ind w:firstLine="643"/>
        <w:rPr>
          <w:rFonts w:ascii="Times New Roman" w:hAnsi="Times New Roman" w:cs="Times New Roman"/>
        </w:rPr>
      </w:pPr>
      <w:r>
        <w:rPr>
          <w:rFonts w:ascii="Times New Roman" w:hAnsi="Times New Roman" w:cs="Times New Roman"/>
          <w:b/>
        </w:rPr>
        <w:t>促进合理健康消费。</w:t>
      </w:r>
      <w:r>
        <w:rPr>
          <w:rFonts w:ascii="Times New Roman" w:hAnsi="Times New Roman" w:cs="Times New Roman"/>
        </w:rPr>
        <w:t>创新健康消费新形式，大力发展在线健身、健康等“云经济”“宅经济”，进一步促进线上线下融合发展。加强对促进健康消费工作的舆论宣传，突出以人民为中心的发展思想，有效引导社会预期。积极培育健康理性的消费理念，大力宣传倡导丰俭有度、雅俗兼容的健康消费文化。用好各级各类媒体，构筑良好的消费宣传推介机制，客观真实向消费者推介健康服务，促进供需有效对接。优化健康产业消费环境，完善健康产业市场主体和从业人员信用记录。提高消费者的医美安全意识，加强医美行业互联网信息分发的管理，加强消费者权益保护。</w:t>
      </w:r>
    </w:p>
    <w:p>
      <w:pPr>
        <w:spacing w:beforeLines="0" w:afterLines="0" w:line="530" w:lineRule="exact"/>
        <w:ind w:firstLine="506" w:firstLineChars="160"/>
        <w:rPr>
          <w:rFonts w:ascii="Times New Roman" w:hAnsi="Times New Roman" w:cs="Times New Roman"/>
        </w:rPr>
      </w:pPr>
      <w:r>
        <w:rPr>
          <w:rFonts w:ascii="Times New Roman" w:hAnsi="Times New Roman" w:cs="Times New Roman"/>
          <w:b/>
        </w:rPr>
        <w:t>推进产品本地化应用。</w:t>
      </w:r>
      <w:r>
        <w:rPr>
          <w:rFonts w:ascii="Times New Roman" w:hAnsi="Times New Roman" w:cs="Times New Roman"/>
        </w:rPr>
        <w:t>简化创新药品和创新医疗器械进入医院的招投标等采购流程，完善短缺药品采购工作。支持推动重大新药创制国家科技重大专项等创新成果在我省转化，进一步加强首台（套）重大医疗器械以及“浙江制造精品”目录的药品、医疗器械的宣传推广、采购使用和政策支持。深化首台（套）重大技术装备保险补偿机制在医疗器械行业的推广应用，鼓励医疗机构包括民营医疗机构采购国产医疗设备。</w:t>
      </w:r>
      <w:r>
        <w:rPr>
          <w:rFonts w:hint="eastAsia" w:ascii="Times New Roman" w:hAnsi="Times New Roman" w:cs="Times New Roman"/>
        </w:rPr>
        <w:t>支持</w:t>
      </w:r>
      <w:r>
        <w:rPr>
          <w:rFonts w:ascii="Times New Roman" w:hAnsi="Times New Roman" w:cs="Times New Roman"/>
        </w:rPr>
        <w:t>本土企业</w:t>
      </w:r>
      <w:r>
        <w:rPr>
          <w:rFonts w:hint="eastAsia" w:ascii="Times New Roman" w:hAnsi="Times New Roman" w:cs="Times New Roman"/>
        </w:rPr>
        <w:t>产品在“未来社区”健康</w:t>
      </w:r>
      <w:r>
        <w:rPr>
          <w:rFonts w:ascii="Times New Roman" w:hAnsi="Times New Roman" w:cs="Times New Roman"/>
        </w:rPr>
        <w:t>场景</w:t>
      </w:r>
      <w:r>
        <w:rPr>
          <w:rFonts w:hint="eastAsia" w:ascii="Times New Roman" w:hAnsi="Times New Roman" w:cs="Times New Roman"/>
        </w:rPr>
        <w:t>建设中的</w:t>
      </w:r>
      <w:r>
        <w:rPr>
          <w:rFonts w:ascii="Times New Roman" w:hAnsi="Times New Roman" w:cs="Times New Roman"/>
        </w:rPr>
        <w:t>和试点试用。</w:t>
      </w:r>
    </w:p>
    <w:p>
      <w:pPr>
        <w:spacing w:beforeLines="0" w:afterLines="0" w:line="530" w:lineRule="exact"/>
        <w:ind w:firstLine="643"/>
        <w:rPr>
          <w:rFonts w:ascii="Times New Roman" w:hAnsi="Times New Roman" w:cs="Times New Roman"/>
        </w:rPr>
      </w:pPr>
      <w:r>
        <w:rPr>
          <w:rFonts w:ascii="Times New Roman" w:hAnsi="Times New Roman" w:cs="Times New Roman"/>
          <w:b/>
        </w:rPr>
        <w:t>加快国际市场拓展。</w:t>
      </w:r>
      <w:r>
        <w:rPr>
          <w:rFonts w:ascii="Times New Roman" w:hAnsi="Times New Roman" w:cs="Times New Roman"/>
        </w:rPr>
        <w:t>鼓励健康产业领域企业以发达国家监管政策及市场准入为认证标准</w:t>
      </w:r>
      <w:r>
        <w:rPr>
          <w:rFonts w:ascii="Times New Roman" w:hAnsi="Times New Roman" w:cs="Times New Roman"/>
          <w:spacing w:val="3"/>
        </w:rPr>
        <w:t>，</w:t>
      </w:r>
      <w:r>
        <w:rPr>
          <w:rFonts w:ascii="Times New Roman" w:hAnsi="Times New Roman" w:cs="Times New Roman"/>
        </w:rPr>
        <w:t>积极参与国际制药巨头主导的市场竞争，</w:t>
      </w:r>
      <w:r>
        <w:rPr>
          <w:rFonts w:ascii="Times New Roman" w:hAnsi="Times New Roman" w:cs="Times New Roman"/>
          <w:spacing w:val="3"/>
        </w:rPr>
        <w:t>鼓励企业获取美国食品药品监督</w:t>
      </w:r>
      <w:r>
        <w:rPr>
          <w:rFonts w:ascii="Times New Roman" w:hAnsi="Times New Roman" w:cs="Times New Roman"/>
          <w:spacing w:val="-9"/>
        </w:rPr>
        <w:t>管理局</w:t>
      </w:r>
      <w:r>
        <w:rPr>
          <w:rFonts w:ascii="Times New Roman" w:hAnsi="Times New Roman" w:cs="Times New Roman"/>
          <w:spacing w:val="-7"/>
        </w:rPr>
        <w:t>（FDA）</w:t>
      </w:r>
      <w:r>
        <w:rPr>
          <w:rFonts w:ascii="Times New Roman" w:hAnsi="Times New Roman" w:cs="Times New Roman"/>
          <w:spacing w:val="-10"/>
        </w:rPr>
        <w:t>、欧洲药品管理局</w:t>
      </w:r>
      <w:r>
        <w:rPr>
          <w:rFonts w:ascii="Times New Roman" w:hAnsi="Times New Roman" w:cs="Times New Roman"/>
          <w:spacing w:val="-7"/>
        </w:rPr>
        <w:t>（EMA）</w:t>
      </w:r>
      <w:r>
        <w:rPr>
          <w:rFonts w:ascii="Times New Roman" w:hAnsi="Times New Roman" w:cs="Times New Roman"/>
          <w:spacing w:val="-11"/>
        </w:rPr>
        <w:t>、世界卫生组织</w:t>
      </w:r>
      <w:r>
        <w:rPr>
          <w:rFonts w:ascii="Times New Roman" w:hAnsi="Times New Roman" w:cs="Times New Roman"/>
        </w:rPr>
        <w:t>（WHO）</w:t>
      </w:r>
      <w:r>
        <w:rPr>
          <w:rFonts w:ascii="Times New Roman" w:hAnsi="Times New Roman" w:cs="Times New Roman"/>
          <w:spacing w:val="-12"/>
        </w:rPr>
        <w:t xml:space="preserve">等机构批准或 </w:t>
      </w:r>
      <w:r>
        <w:rPr>
          <w:rFonts w:ascii="Times New Roman" w:hAnsi="Times New Roman" w:cs="Times New Roman"/>
        </w:rPr>
        <w:t>CE</w:t>
      </w:r>
      <w:r>
        <w:rPr>
          <w:rFonts w:ascii="Times New Roman" w:hAnsi="Times New Roman" w:cs="Times New Roman"/>
          <w:spacing w:val="-13"/>
        </w:rPr>
        <w:t xml:space="preserve"> 认证获得境外上市资质，开展国际多中心临床</w:t>
      </w:r>
      <w:r>
        <w:rPr>
          <w:rFonts w:ascii="Times New Roman" w:hAnsi="Times New Roman" w:cs="Times New Roman"/>
        </w:rPr>
        <w:t>研究。支持企业</w:t>
      </w:r>
      <w:r>
        <w:rPr>
          <w:rFonts w:hint="eastAsia" w:ascii="Times New Roman" w:hAnsi="Times New Roman" w:cs="Times New Roman"/>
        </w:rPr>
        <w:t>“</w:t>
      </w:r>
      <w:r>
        <w:rPr>
          <w:rFonts w:ascii="Times New Roman" w:hAnsi="Times New Roman" w:cs="Times New Roman"/>
        </w:rPr>
        <w:t>走出去</w:t>
      </w:r>
      <w:r>
        <w:rPr>
          <w:rFonts w:hint="eastAsia" w:ascii="Times New Roman" w:hAnsi="Times New Roman" w:cs="Times New Roman"/>
        </w:rPr>
        <w:t>”</w:t>
      </w:r>
      <w:r>
        <w:rPr>
          <w:rFonts w:ascii="Times New Roman" w:hAnsi="Times New Roman" w:cs="Times New Roman"/>
        </w:rPr>
        <w:t>参与医药创新资源全球化配置，支持海外创新孵化中心建设，鼓励龙头企业建设海外研究中心、生产基地、销售网络和服务体系。引导有资质的企业精准对接国内外的需求，严格执行相关技术标准，全面加强质量管理，增强知识产权保护意识，加大药品医疗器械产品出口。</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tcPr>
          <w:p>
            <w:pPr>
              <w:adjustRightInd w:val="0"/>
              <w:snapToGrid w:val="0"/>
              <w:spacing w:beforeLines="50" w:afterLines="50" w:line="300" w:lineRule="auto"/>
              <w:ind w:firstLine="0" w:firstLineChars="0"/>
              <w:jc w:val="center"/>
              <w:rPr>
                <w:rFonts w:ascii="Times New Roman" w:hAnsi="Times New Roman" w:eastAsia="黑体" w:cs="Times New Roman"/>
                <w:sz w:val="24"/>
                <w:szCs w:val="24"/>
              </w:rPr>
            </w:pPr>
            <w:bookmarkStart w:id="39" w:name="_Toc66654816"/>
            <w:r>
              <w:rPr>
                <w:rFonts w:ascii="Times New Roman" w:hAnsi="Times New Roman" w:eastAsia="黑体" w:cs="Times New Roman"/>
                <w:sz w:val="24"/>
                <w:szCs w:val="24"/>
              </w:rPr>
              <w:t>专栏</w:t>
            </w:r>
            <w:r>
              <w:rPr>
                <w:rFonts w:ascii="Times New Roman" w:hAnsi="Times New Roman" w:eastAsia="黑体" w:cs="Times New Roman"/>
                <w:sz w:val="24"/>
                <w:szCs w:val="24"/>
              </w:rPr>
              <w:fldChar w:fldCharType="begin"/>
            </w:r>
            <w:r>
              <w:rPr>
                <w:rFonts w:ascii="Times New Roman" w:hAnsi="Times New Roman" w:eastAsia="黑体" w:cs="Times New Roman"/>
                <w:sz w:val="24"/>
                <w:szCs w:val="24"/>
              </w:rPr>
              <w:instrText xml:space="preserve"> SEQ 专栏 \* ARABIC </w:instrText>
            </w:r>
            <w:r>
              <w:rPr>
                <w:rFonts w:ascii="Times New Roman" w:hAnsi="Times New Roman" w:eastAsia="黑体" w:cs="Times New Roman"/>
                <w:sz w:val="24"/>
                <w:szCs w:val="24"/>
              </w:rPr>
              <w:fldChar w:fldCharType="separate"/>
            </w:r>
            <w:r>
              <w:rPr>
                <w:rFonts w:ascii="Times New Roman" w:hAnsi="Times New Roman" w:eastAsia="黑体" w:cs="Times New Roman"/>
                <w:sz w:val="24"/>
                <w:szCs w:val="24"/>
              </w:rPr>
              <w:t>15</w:t>
            </w:r>
            <w:r>
              <w:rPr>
                <w:rFonts w:ascii="Times New Roman" w:hAnsi="Times New Roman" w:eastAsia="黑体" w:cs="Times New Roman"/>
                <w:sz w:val="24"/>
                <w:szCs w:val="24"/>
              </w:rPr>
              <w:fldChar w:fldCharType="end"/>
            </w:r>
            <w:r>
              <w:rPr>
                <w:rFonts w:ascii="Times New Roman" w:hAnsi="Times New Roman" w:eastAsia="黑体" w:cs="Times New Roman"/>
                <w:sz w:val="24"/>
                <w:szCs w:val="24"/>
              </w:rPr>
              <w:t xml:space="preserve">  健康产业“浙”字品牌培育计划</w:t>
            </w:r>
            <w:bookmark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vAlign w:val="center"/>
          </w:tcPr>
          <w:p>
            <w:pPr>
              <w:adjustRightInd w:val="0"/>
              <w:snapToGrid w:val="0"/>
              <w:spacing w:line="300" w:lineRule="auto"/>
              <w:ind w:firstLine="482"/>
              <w:rPr>
                <w:rFonts w:ascii="Times New Roman" w:hAnsi="Times New Roman" w:cs="Times New Roman"/>
                <w:b/>
                <w:sz w:val="24"/>
                <w:szCs w:val="24"/>
              </w:rPr>
            </w:pPr>
            <w:r>
              <w:rPr>
                <w:rFonts w:ascii="Times New Roman" w:hAnsi="Times New Roman" w:cs="Times New Roman"/>
                <w:b/>
                <w:sz w:val="24"/>
                <w:szCs w:val="24"/>
              </w:rPr>
              <w:t>1</w:t>
            </w:r>
            <w:r>
              <w:rPr>
                <w:rFonts w:hint="eastAsia" w:ascii="Times New Roman" w:hAnsi="Times New Roman" w:cs="Times New Roman"/>
                <w:b/>
                <w:sz w:val="24"/>
                <w:szCs w:val="24"/>
              </w:rPr>
              <w:t>.</w:t>
            </w:r>
            <w:r>
              <w:rPr>
                <w:rFonts w:ascii="Times New Roman" w:hAnsi="Times New Roman" w:cs="Times New Roman"/>
                <w:b/>
                <w:sz w:val="24"/>
                <w:szCs w:val="24"/>
              </w:rPr>
              <w:t>“浙产好药”品牌培育行动。</w:t>
            </w:r>
            <w:r>
              <w:rPr>
                <w:rFonts w:ascii="Times New Roman" w:hAnsi="Times New Roman" w:cs="Times New Roman"/>
                <w:sz w:val="24"/>
                <w:szCs w:val="24"/>
              </w:rPr>
              <w:t>加大“品字标浙江制造”“品字标浙江农产”品牌赋能，推进新“浙八味”区域性公共品牌的注册和保护，创建一批以浙产优势特色药材为主要原料、具有核心竞争力的中药及保健产品；滚动开展“浙产好药”等品牌产品推荐，培育认定一批高品质的“浙产好药”，巩固和扩大浙产中药品牌影响力。</w:t>
            </w:r>
          </w:p>
          <w:p>
            <w:pPr>
              <w:adjustRightInd w:val="0"/>
              <w:snapToGrid w:val="0"/>
              <w:spacing w:line="300" w:lineRule="auto"/>
              <w:ind w:firstLine="482"/>
              <w:rPr>
                <w:rFonts w:ascii="Times New Roman" w:hAnsi="Times New Roman" w:cs="Times New Roman"/>
                <w:b/>
                <w:sz w:val="24"/>
                <w:szCs w:val="24"/>
              </w:rPr>
            </w:pPr>
            <w:r>
              <w:rPr>
                <w:rFonts w:ascii="Times New Roman" w:hAnsi="Times New Roman" w:cs="Times New Roman"/>
                <w:b/>
                <w:sz w:val="24"/>
                <w:szCs w:val="24"/>
              </w:rPr>
              <w:t>2</w:t>
            </w:r>
            <w:r>
              <w:rPr>
                <w:rFonts w:hint="eastAsia" w:ascii="Times New Roman" w:hAnsi="Times New Roman" w:cs="Times New Roman"/>
                <w:b/>
                <w:sz w:val="24"/>
                <w:szCs w:val="24"/>
              </w:rPr>
              <w:t>.</w:t>
            </w:r>
            <w:r>
              <w:rPr>
                <w:rFonts w:ascii="Times New Roman" w:hAnsi="Times New Roman" w:cs="Times New Roman"/>
                <w:b/>
                <w:sz w:val="24"/>
                <w:szCs w:val="24"/>
              </w:rPr>
              <w:t>“浙造器械”品牌培育行动。</w:t>
            </w:r>
            <w:r>
              <w:rPr>
                <w:rFonts w:ascii="Times New Roman" w:hAnsi="Times New Roman" w:cs="Times New Roman"/>
                <w:sz w:val="24"/>
                <w:szCs w:val="24"/>
              </w:rPr>
              <w:t>组织“浙造器械”热带雨林式创新生态高峰论坛暨创新产品集中展示活动，搭建企业与政策、技术、成果“三对接”平台，打通创新链、产业链、价值链。深化政、校、研合作，与浙大、温医大、中医大等高校合作建立药品监管科学研究基地，加强药物医疗器械临床试验机构建设，提升品牌知名度。</w:t>
            </w:r>
          </w:p>
          <w:p>
            <w:pPr>
              <w:adjustRightInd w:val="0"/>
              <w:snapToGrid w:val="0"/>
              <w:spacing w:line="300" w:lineRule="auto"/>
              <w:ind w:firstLine="482"/>
              <w:rPr>
                <w:rFonts w:ascii="Times New Roman" w:hAnsi="Times New Roman" w:cs="Times New Roman"/>
                <w:sz w:val="24"/>
                <w:szCs w:val="24"/>
              </w:rPr>
            </w:pPr>
            <w:r>
              <w:rPr>
                <w:rFonts w:ascii="Times New Roman" w:hAnsi="Times New Roman" w:cs="Times New Roman"/>
                <w:b/>
                <w:sz w:val="24"/>
                <w:szCs w:val="24"/>
              </w:rPr>
              <w:t>3</w:t>
            </w:r>
            <w:r>
              <w:rPr>
                <w:rFonts w:hint="eastAsia" w:ascii="Times New Roman" w:hAnsi="Times New Roman" w:cs="Times New Roman"/>
                <w:b/>
                <w:sz w:val="24"/>
                <w:szCs w:val="24"/>
              </w:rPr>
              <w:t>.</w:t>
            </w:r>
            <w:r>
              <w:rPr>
                <w:rFonts w:ascii="Times New Roman" w:hAnsi="Times New Roman" w:cs="Times New Roman"/>
                <w:b/>
                <w:sz w:val="24"/>
                <w:szCs w:val="24"/>
              </w:rPr>
              <w:t>“浙江美妆”品牌培育行动。</w:t>
            </w:r>
            <w:r>
              <w:rPr>
                <w:rFonts w:ascii="Times New Roman" w:hAnsi="Times New Roman" w:cs="Times New Roman"/>
                <w:sz w:val="24"/>
                <w:szCs w:val="24"/>
              </w:rPr>
              <w:t>以“一中心、两基地、三平台”建设</w:t>
            </w:r>
            <w:r>
              <w:rPr>
                <w:rStyle w:val="25"/>
                <w:rFonts w:ascii="Times New Roman" w:hAnsi="Times New Roman" w:cs="Times New Roman"/>
                <w:sz w:val="24"/>
                <w:szCs w:val="24"/>
              </w:rPr>
              <w:footnoteReference w:id="9"/>
            </w:r>
            <w:r>
              <w:rPr>
                <w:rFonts w:ascii="Times New Roman" w:hAnsi="Times New Roman" w:cs="Times New Roman"/>
                <w:sz w:val="24"/>
                <w:szCs w:val="24"/>
              </w:rPr>
              <w:t>为重点，助力打造千亿元级浙江美妆产业。为湖州美妆小镇、金华彩妆产业园区等平台建设提供政策支持和宣传助力；指导支持义乌市市场监管局打造化妆品创新监管服务示范区，推进监管与发展双向互动。引导开展“浙产美妆”标准提升行动，进一步扩大“浙产美妆”品牌的知名度、美誉度和影响力。</w:t>
            </w:r>
          </w:p>
        </w:tc>
      </w:tr>
    </w:tbl>
    <w:p>
      <w:pPr>
        <w:pStyle w:val="5"/>
        <w:spacing w:before="0" w:beforeLines="0" w:after="0" w:afterLines="0" w:line="579" w:lineRule="exact"/>
        <w:ind w:firstLine="640"/>
        <w:rPr>
          <w:rFonts w:hint="default" w:ascii="Times New Roman" w:hAnsi="Times New Roman" w:eastAsia="楷体_GB2312" w:cs="Times New Roman"/>
        </w:rPr>
      </w:pPr>
      <w:bookmarkStart w:id="40" w:name="_Toc66654794"/>
      <w:r>
        <w:rPr>
          <w:rFonts w:hint="default" w:ascii="Times New Roman" w:hAnsi="Times New Roman" w:eastAsia="楷体_GB2312" w:cs="Times New Roman"/>
        </w:rPr>
        <w:t>（四）健康产业人才培引工程</w:t>
      </w:r>
      <w:bookmarkEnd w:id="40"/>
    </w:p>
    <w:p>
      <w:pPr>
        <w:spacing w:beforeLines="0" w:afterLines="0" w:line="579" w:lineRule="exact"/>
        <w:ind w:firstLine="643"/>
        <w:rPr>
          <w:rFonts w:ascii="Times New Roman" w:hAnsi="Times New Roman" w:cs="Times New Roman"/>
        </w:rPr>
      </w:pPr>
      <w:r>
        <w:rPr>
          <w:rFonts w:ascii="Times New Roman" w:hAnsi="Times New Roman" w:cs="Times New Roman"/>
          <w:b/>
        </w:rPr>
        <w:t>引育领军人才和青年英才。</w:t>
      </w:r>
      <w:r>
        <w:rPr>
          <w:rFonts w:ascii="Times New Roman" w:hAnsi="Times New Roman" w:cs="Times New Roman"/>
        </w:rPr>
        <w:t>实施“鲲鹏行动”计划，支持用人单位大力引进生命健康领域国际顶尖人才、科技领导人才和高水平创新团队。积极构建健康产业“高精尖缺”人才开发目录库，鼓励浙江企业布局海外“人才飞地”。实施青年英才集聚系列行动，建立健康产业领域青年人才阶梯式支持机制。实施万名博士集聚行动，推动高校、科研院所和企业共建健康产业领域博士后工作站。实施“浙商青蓝接力工程”和新生代企业家“双传承”计划，全面提升健康产业领域企业家和企业高层次管理人才全球视野、战略思维和创新能力。以世界浙商大会和</w:t>
      </w:r>
      <w:r>
        <w:rPr>
          <w:rFonts w:hint="eastAsia" w:ascii="Times New Roman" w:hAnsi="Times New Roman" w:cs="Times New Roman"/>
        </w:rPr>
        <w:t>“</w:t>
      </w:r>
      <w:r>
        <w:rPr>
          <w:rFonts w:ascii="Times New Roman" w:hAnsi="Times New Roman" w:cs="Times New Roman"/>
        </w:rPr>
        <w:t>天下浙商家乡行</w:t>
      </w:r>
      <w:r>
        <w:rPr>
          <w:rFonts w:hint="eastAsia" w:ascii="Times New Roman" w:hAnsi="Times New Roman" w:cs="Times New Roman"/>
        </w:rPr>
        <w:t>”</w:t>
      </w:r>
      <w:r>
        <w:rPr>
          <w:rFonts w:ascii="Times New Roman" w:hAnsi="Times New Roman" w:cs="Times New Roman"/>
        </w:rPr>
        <w:t>活动等为载体，推动健康产业领域浙商高层次经营管理人才和研发团队回归。</w:t>
      </w:r>
    </w:p>
    <w:p>
      <w:pPr>
        <w:spacing w:beforeLines="0" w:afterLines="0" w:line="579" w:lineRule="exact"/>
        <w:ind w:firstLine="643" w:firstLineChars="0"/>
        <w:rPr>
          <w:rFonts w:ascii="Times New Roman" w:hAnsi="Times New Roman" w:cs="Times New Roman"/>
        </w:rPr>
      </w:pPr>
      <w:r>
        <w:rPr>
          <w:rFonts w:ascii="Times New Roman" w:hAnsi="Times New Roman" w:cs="Times New Roman"/>
          <w:b/>
        </w:rPr>
        <w:t>打造人才培养基地。</w:t>
      </w:r>
      <w:r>
        <w:rPr>
          <w:rFonts w:ascii="Times New Roman" w:hAnsi="Times New Roman" w:cs="Times New Roman"/>
        </w:rPr>
        <w:t>加强院校教育培养，重点支持浙江大学、浙江工业大学、浙江中医药大学、温州医科大学、杭州师范大学、杭州医学院等高校发挥医学、生物医药、中医药、健康管理、医学检验等学科领域的优势和特色，创新人才培养模式，扩大人才培养规模，提升人才培养质量。深入推进产教融合，以市场需求为导向建立健康服务职业培训机构、实践基地，扩大养老护理、公共营养、母婴护理、保健按摩、康复治疗、健康管理、健身指导等紧缺型人才供给。鼓励跨国企业在浙江设立研发中心和创新基地，支持外资研发机构与本省单位共建健康产业实验室和人才培养基地。</w:t>
      </w:r>
    </w:p>
    <w:p>
      <w:pPr>
        <w:spacing w:beforeLines="0" w:afterLines="0" w:line="579" w:lineRule="exact"/>
        <w:ind w:firstLine="643"/>
        <w:rPr>
          <w:rFonts w:ascii="Times New Roman" w:hAnsi="Times New Roman" w:cs="Times New Roman"/>
        </w:rPr>
      </w:pPr>
      <w:r>
        <w:rPr>
          <w:rFonts w:ascii="Times New Roman" w:hAnsi="Times New Roman" w:cs="Times New Roman"/>
          <w:b/>
        </w:rPr>
        <w:t>优化人才服务生态。</w:t>
      </w:r>
      <w:bookmarkStart w:id="41" w:name="________6"/>
      <w:bookmarkEnd w:id="41"/>
      <w:r>
        <w:rPr>
          <w:rFonts w:ascii="Times New Roman" w:hAnsi="Times New Roman" w:cs="Times New Roman"/>
        </w:rPr>
        <w:t>探索建立健康产业“企业评价+政府奖励”的人才激励机制，赋予企业更大的人才评价自主权，进一步激发健康产业人才创新创造活力。依托中国杭州国际人力资源产业园、浙江省健康服务业促进会、浙江省健康产业联合会等资源，丰富人才交流渠道。研究建立健康产业发展专项资金，并划出一定比例用于健康产业人才引进和培养、人才培训基地建设等工作，建立适应健康产业人才发展需要的多元化投入机制。加大健康教育资源整合力度，鼓励浙江大学、浙江中医药大学、杭州师范大学等在杭高校加强健康产业相关专业学科建设，积极构建由高等教育、职业教育和成人教育组成的多层次、多元化健康产业人才培养体系。</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tcPr>
          <w:p>
            <w:pPr>
              <w:pStyle w:val="10"/>
              <w:adjustRightInd w:val="0"/>
              <w:snapToGrid w:val="0"/>
              <w:spacing w:beforeLines="50" w:afterLines="50" w:line="300" w:lineRule="auto"/>
              <w:ind w:firstLine="21" w:firstLineChars="9"/>
              <w:jc w:val="center"/>
              <w:rPr>
                <w:rFonts w:ascii="Times New Roman" w:hAnsi="Times New Roman" w:cs="Times New Roman"/>
                <w:sz w:val="24"/>
                <w:szCs w:val="24"/>
              </w:rPr>
            </w:pPr>
            <w:bookmarkStart w:id="42" w:name="_Toc66654817"/>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健康产业人才行动</w:t>
            </w:r>
            <w:bookmarkEnd w:id="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vAlign w:val="center"/>
          </w:tcPr>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1.百名顶尖人才集聚行动。定向攻关、精准引才，引进一批健康产业发展前沿具有全球影响力的灵魂人物，集聚顶尖人才100名以上。</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2.千名领军人才集聚行动。实施健康产业领域省、海外高层次人才引进计划、万人计划、领军型团队计划等各类人才计划、科研项目，集聚领军人才3000名以上。</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3.万名博士集聚行动。组织国内知名高校院所健康产业领域博士研究生到浙江开展社会实践，新引进健康产业领域（留浙）博士3万名以上。</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4.百万大学生集聚行动。加快推进健康产业领域大学生见习基地、大学生创业园等平台建设，打造大学生实习应聘、就业船业全链支持体系，累计新增健康产业领域相关专业大学生300万名以上。</w:t>
            </w:r>
          </w:p>
        </w:tc>
      </w:tr>
    </w:tbl>
    <w:p>
      <w:pPr>
        <w:pStyle w:val="5"/>
        <w:spacing w:before="0" w:beforeLines="0" w:after="0" w:afterLines="0" w:line="530" w:lineRule="exact"/>
        <w:ind w:firstLine="632"/>
        <w:rPr>
          <w:rFonts w:ascii="Times New Roman" w:hAnsi="Times New Roman" w:eastAsia="楷体_GB2312" w:cs="Times New Roman"/>
          <w:bCs w:val="0"/>
        </w:rPr>
      </w:pPr>
      <w:bookmarkStart w:id="43" w:name="_Toc66654795"/>
      <w:r>
        <w:rPr>
          <w:rFonts w:ascii="Times New Roman" w:hAnsi="Times New Roman" w:eastAsia="楷体_GB2312" w:cs="Times New Roman"/>
          <w:bCs w:val="0"/>
        </w:rPr>
        <w:t>（五）长三角健康产业协同发展工程</w:t>
      </w:r>
      <w:bookmarkEnd w:id="43"/>
    </w:p>
    <w:p>
      <w:pPr>
        <w:spacing w:beforeLines="0" w:afterLines="0" w:line="530" w:lineRule="exact"/>
        <w:ind w:firstLine="632"/>
        <w:rPr>
          <w:rFonts w:ascii="Times New Roman" w:hAnsi="Times New Roman" w:cs="Times New Roman"/>
        </w:rPr>
      </w:pPr>
      <w:r>
        <w:rPr>
          <w:rFonts w:ascii="Times New Roman" w:hAnsi="Times New Roman" w:cs="Times New Roman"/>
          <w:b/>
        </w:rPr>
        <w:t>构建长三角健康产业标志性产业链。</w:t>
      </w:r>
      <w:r>
        <w:rPr>
          <w:rFonts w:ascii="Times New Roman" w:hAnsi="Times New Roman" w:cs="Times New Roman"/>
        </w:rPr>
        <w:t>围绕健康产业重点领域，深入推进三省一市创新链和产业链跨区域深度融合，选择一批具备核心技术、产业链完整、骨干企业支撑的优势产业，共同培育打造若干世界级先进健康制造业集群。坚持市场机制主导，完善区域健康产业政策，引导健康产业区域内合理布局、提升重点区域产业集聚能力、加快产业结构优化升级。支持具备关键核心技术的健康产业龙头企业和骨干企业，跨区域延伸产业链，共同培育打造若干优势产业。持续推动发展长三角数字健康产业链联盟，推动大数据、AI人工智能、区块链等技术在健康领域的应用和落地，共创数字健康产业生态，提升长三角卫生健康水平。</w:t>
      </w:r>
    </w:p>
    <w:p>
      <w:pPr>
        <w:spacing w:beforeLines="0" w:afterLines="0" w:line="530" w:lineRule="exact"/>
        <w:ind w:firstLine="632"/>
        <w:rPr>
          <w:rFonts w:ascii="Times New Roman" w:hAnsi="Times New Roman" w:cs="Times New Roman"/>
        </w:rPr>
      </w:pPr>
      <w:r>
        <w:rPr>
          <w:rFonts w:ascii="Times New Roman" w:hAnsi="Times New Roman" w:cs="Times New Roman"/>
          <w:b/>
        </w:rPr>
        <w:t>加快区域产学研用一体化协同。</w:t>
      </w:r>
      <w:r>
        <w:rPr>
          <w:rFonts w:ascii="Times New Roman" w:hAnsi="Times New Roman" w:cs="Times New Roman"/>
        </w:rPr>
        <w:t>通过原始创新、应用创新、产业创新“三轮驱动”，推动健康产业各领域融合发展，实现精准医疗、基因检测等国家生物医药“卡脖子”战略需求。联合长三角高校、科研院所、企业，深化“产学研用”结合，争创高级别生物安全实验室，建设蛋白元件资源库、生物产业标准物质库，创新制剂技术平台建设，坚持利用创新平台驱动引领健康产业发展。发挥高端人才集聚优势，携手长三角三省一市广大健康科技医疗卫生社会组织机构，建立“长三角健康科技医疗卫生创新联盟”，形成协同发展一体化工作协调机制。</w:t>
      </w:r>
    </w:p>
    <w:p>
      <w:pPr>
        <w:spacing w:beforeLines="0" w:afterLines="0" w:line="530" w:lineRule="exact"/>
        <w:ind w:firstLine="632"/>
        <w:rPr>
          <w:rFonts w:ascii="Times New Roman" w:hAnsi="Times New Roman" w:cs="Times New Roman"/>
        </w:rPr>
      </w:pPr>
      <w:r>
        <w:rPr>
          <w:rFonts w:ascii="Times New Roman" w:hAnsi="Times New Roman" w:cs="Times New Roman"/>
          <w:b/>
        </w:rPr>
        <w:t>提升优质健康服务便利共享程度。</w:t>
      </w:r>
      <w:r>
        <w:rPr>
          <w:rFonts w:ascii="Times New Roman" w:hAnsi="Times New Roman" w:cs="Times New Roman"/>
        </w:rPr>
        <w:t>建立长三角区域内公共服务便捷共享制度，推进实施统一的基本医疗保险政策，逐步实现药品目录、诊疗项目和医疗服务设施目录的统一。创新区域性分级诊疗和远程医疗医联体等模式，推动跨区域医疗联合体发展，协同扩大优质医疗资源供给。完善医保异地结算机制，逐步实现异地住院、急诊、门诊直接结算。推动长三角智慧医疗发展，开展远程网络会诊、遥感超声检查和远程机器人手术等。建立健全区域重大疫情、突发公共卫生事件联防联控和应急救援机制，健全血液联动保障机制。建立公平规范的养老服务业区域准入制度，鼓励社会资本参与兴办长三角养老服务机构，支持湖州、金华、丽水等地建设面向长三角区域的康养基地。</w:t>
      </w:r>
    </w:p>
    <w:tbl>
      <w:tblPr>
        <w:tblStyle w:val="38"/>
        <w:tblW w:w="8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276" w:type="dxa"/>
          </w:tcPr>
          <w:p>
            <w:pPr>
              <w:pStyle w:val="10"/>
              <w:adjustRightInd w:val="0"/>
              <w:snapToGrid w:val="0"/>
              <w:spacing w:beforeLines="50" w:afterLines="50" w:line="300" w:lineRule="auto"/>
              <w:ind w:firstLine="0" w:firstLineChars="0"/>
              <w:jc w:val="center"/>
              <w:rPr>
                <w:rFonts w:ascii="Times New Roman" w:hAnsi="Times New Roman" w:cs="Times New Roman"/>
                <w:sz w:val="24"/>
                <w:szCs w:val="24"/>
              </w:rPr>
            </w:pPr>
            <w:bookmarkStart w:id="44" w:name="_Toc66654818"/>
            <w:r>
              <w:rPr>
                <w:rFonts w:ascii="Times New Roman" w:hAnsi="Times New Roman" w:cs="Times New Roman"/>
                <w:sz w:val="24"/>
                <w:szCs w:val="24"/>
              </w:rPr>
              <w:t>专栏</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专栏 \* ARABIC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长三角健康产业协同发展重大平台</w:t>
            </w:r>
            <w:bookmark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8276" w:type="dxa"/>
            <w:vAlign w:val="center"/>
          </w:tcPr>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1.长三角生物医药产业集聚区。建立长三角</w:t>
            </w:r>
            <w:r>
              <w:rPr>
                <w:rFonts w:hint="eastAsia" w:ascii="Times New Roman" w:hAnsi="Times New Roman" w:cs="Times New Roman"/>
                <w:sz w:val="24"/>
                <w:szCs w:val="24"/>
              </w:rPr>
              <w:t>健康</w:t>
            </w:r>
            <w:r>
              <w:rPr>
                <w:rFonts w:ascii="Times New Roman" w:hAnsi="Times New Roman" w:cs="Times New Roman"/>
                <w:sz w:val="24"/>
                <w:szCs w:val="24"/>
              </w:rPr>
              <w:t>产业转移互惠机制，以“建设生物医药核心技术创新的全球中心”为目标，推动重点科研项目在浙江实现产业化，实现生物医药产业领域前沿技术与关键技术攻关和共性技术的推广应用。</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2.长三角健康产业研究院。对接长三角资源，建立长三角健康产业研究院，承担研发创新和转化运营等功能。支持国家级大院大所在长三角建立分支机构，加强中国中医科学院浙江分院、中国科学院药物创新研究院华东分院等建设。</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3.长三角数字健康产业链联盟。由微医集团、浙江大学、邵逸夫医院、华为云等68家单位共同组建，搭建产、学、研、用的开放平台，充分发挥长三角医疗高地、数字健康全产业链发展的优势，通过统一平台实现医保、医疗、医药、医养等数据互联互通，提升长三角卫生健康水平，加快推动长三角数字健康产业发展。</w:t>
            </w:r>
          </w:p>
          <w:p>
            <w:pPr>
              <w:adjustRightInd w:val="0"/>
              <w:snapToGrid w:val="0"/>
              <w:spacing w:line="300" w:lineRule="auto"/>
              <w:ind w:firstLine="480"/>
              <w:rPr>
                <w:rFonts w:ascii="Times New Roman" w:hAnsi="Times New Roman" w:cs="Times New Roman"/>
                <w:sz w:val="24"/>
                <w:szCs w:val="24"/>
              </w:rPr>
            </w:pPr>
            <w:r>
              <w:rPr>
                <w:rFonts w:ascii="Times New Roman" w:hAnsi="Times New Roman" w:cs="Times New Roman"/>
                <w:sz w:val="24"/>
                <w:szCs w:val="24"/>
              </w:rPr>
              <w:t>4.长三角健康科技医疗卫生创新联盟。集聚苏浙沪皖健康产业领域高端人才，积极参与并建设好相关院士专家工作站，在学、研、产、融上助推医学科研成果转化，在高端医疗、高端养老、生命科学、技能培养及集聚高端人才等方面为长三角一体化发展作出贡献。</w:t>
            </w:r>
          </w:p>
        </w:tc>
      </w:tr>
    </w:tbl>
    <w:p>
      <w:pPr>
        <w:pStyle w:val="5"/>
        <w:spacing w:before="0" w:beforeLines="0" w:after="0" w:afterLines="0" w:line="579" w:lineRule="exact"/>
        <w:ind w:firstLine="632"/>
        <w:rPr>
          <w:rFonts w:hint="default" w:ascii="Times New Roman" w:hAnsi="Times New Roman" w:eastAsia="楷体_GB2312" w:cs="Times New Roman"/>
        </w:rPr>
      </w:pPr>
      <w:bookmarkStart w:id="45" w:name="_Toc66654796"/>
      <w:r>
        <w:rPr>
          <w:rFonts w:hint="default" w:ascii="Times New Roman" w:hAnsi="Times New Roman" w:eastAsia="楷体_GB2312" w:cs="Times New Roman"/>
        </w:rPr>
        <w:t>（六）健康产业营商环境优化工程</w:t>
      </w:r>
      <w:bookmarkEnd w:id="45"/>
    </w:p>
    <w:p>
      <w:pPr>
        <w:spacing w:beforeLines="0" w:afterLines="0" w:line="579" w:lineRule="exact"/>
        <w:ind w:firstLine="632"/>
        <w:rPr>
          <w:rFonts w:ascii="Times New Roman" w:hAnsi="Times New Roman" w:cs="Times New Roman"/>
        </w:rPr>
      </w:pPr>
      <w:r>
        <w:rPr>
          <w:rFonts w:ascii="Times New Roman" w:hAnsi="Times New Roman" w:cs="Times New Roman"/>
          <w:b/>
        </w:rPr>
        <w:t>深化体制机制改革创新。</w:t>
      </w:r>
      <w:r>
        <w:rPr>
          <w:rFonts w:ascii="Times New Roman" w:hAnsi="Times New Roman" w:cs="Times New Roman"/>
        </w:rPr>
        <w:t>深化健康产业领域“最多跑一次”改革，落实二级以下医疗机构设置审批和执业登记“两证合一”，优化社会办医疗机构审批工作流程，进一步压减第二类医疗器械首次注册办理时限，在仿制药一致性评价、医疗器械国产化推进、项目示范应用等方面加大对企业分类指导和精准服务。推进药品耗材集中采购和价格联动改革，调整传统药品招标采购模式，建立在线交易产品进出常态化机制，基本实现医保药品通用名全覆盖、在线交易全品种。参照“4+7”模式对部分用量大、金额高的药品和医用耗材分别探索以省为单位集中带量采购。</w:t>
      </w:r>
    </w:p>
    <w:p>
      <w:pPr>
        <w:spacing w:beforeLines="0" w:afterLines="0" w:line="579" w:lineRule="exact"/>
        <w:ind w:firstLine="632"/>
        <w:rPr>
          <w:rFonts w:ascii="Times New Roman" w:hAnsi="Times New Roman" w:cs="Times New Roman"/>
        </w:rPr>
      </w:pPr>
      <w:r>
        <w:rPr>
          <w:rFonts w:ascii="Times New Roman" w:hAnsi="Times New Roman" w:cs="Times New Roman"/>
          <w:b/>
        </w:rPr>
        <w:t>提升金融支持能力。</w:t>
      </w:r>
      <w:r>
        <w:rPr>
          <w:rFonts w:ascii="Times New Roman" w:hAnsi="Times New Roman" w:cs="Times New Roman"/>
        </w:rPr>
        <w:t>加大金融支持健康产业发展力度，支持符合条件的健康产业企业进行股权融资、同业并购、发行债务等方式融资。鼓励金融机构对健康产品和服务出口、健康产业企业跨境并购按市场化原则给予服务支持。发挥各类投资基金作用，加强对生命健康领域创新发展的资金支撑。鼓励银行减费让利，扩大健康产业企业受益面。落实税费政策，严格推进健康服务机构按规定享受的税收优惠政策、行政事业性收费减免政策和价格政策。体育场馆等运动健身场所执行不高于一般工商业标准的电、气、热价格，体育场馆按规定享受房产税、城镇土地使用税优惠政策。</w:t>
      </w:r>
    </w:p>
    <w:p>
      <w:pPr>
        <w:spacing w:beforeLines="0" w:afterLines="0" w:line="579" w:lineRule="exact"/>
        <w:ind w:firstLine="632"/>
        <w:rPr>
          <w:rFonts w:ascii="Times New Roman" w:hAnsi="Times New Roman" w:cs="Times New Roman"/>
        </w:rPr>
      </w:pPr>
      <w:r>
        <w:rPr>
          <w:rFonts w:ascii="Times New Roman" w:hAnsi="Times New Roman" w:cs="Times New Roman"/>
          <w:b/>
        </w:rPr>
        <w:t>强化土地要素保障。</w:t>
      </w:r>
      <w:r>
        <w:rPr>
          <w:rFonts w:ascii="Times New Roman" w:hAnsi="Times New Roman" w:cs="Times New Roman"/>
        </w:rPr>
        <w:t>保障健康产业土地供给，纳入千亿生命健康工程的项目，优先考虑纳入省重大产业项目库，享受用地保障政策。鼓励在新增经营性用地供应中，根据区域卫生等规划实施评估情况，支持配建健康服务设施。支持合理利用存量用地，探索转型开发、节余土地分割转让、政府收储等方式，盘活土地资源，建设健康产业所需用房。市场主体利用闲置商业、办公、工业用房经必要改造后用于举办医疗机构的，在不改变用地主体、规划条件的前提下，可执行在5年内继续按原用途和权利类型使用土地的过渡期政策（原土地有偿使用合同或划拨决定书规定不得改变土地用途或改变用途由政府收回土地使用权的除外），设置的5年过渡期内可暂不办理土地、房屋用途和权利类型变更手续。</w:t>
      </w:r>
    </w:p>
    <w:p>
      <w:pPr>
        <w:spacing w:beforeLines="0" w:afterLines="0" w:line="579" w:lineRule="exact"/>
        <w:ind w:firstLine="632"/>
        <w:rPr>
          <w:rFonts w:ascii="Times New Roman" w:hAnsi="Times New Roman" w:cs="Times New Roman"/>
        </w:rPr>
      </w:pPr>
      <w:r>
        <w:rPr>
          <w:rFonts w:ascii="Times New Roman" w:hAnsi="Times New Roman" w:cs="Times New Roman"/>
          <w:b/>
        </w:rPr>
        <w:t>完善诚信治理建设。</w:t>
      </w:r>
      <w:r>
        <w:rPr>
          <w:rFonts w:ascii="Times New Roman" w:hAnsi="Times New Roman" w:cs="Times New Roman"/>
        </w:rPr>
        <w:t>将医疗卫生、药品、医疗器械行业行政许可、行政处罚、抽检检查结果等信息纳入全省信用信息共享平台，其中涉及企业的信息推送至全省企业信用信息公示系统并依法公示。依法依规建立医疗卫生和药品流通行业黑名单制度。深入开展对无证行医、欺诈骗保等严重失信行为的专项治理，持续加大对虚假违法医药广告的打击力度。建立医疗卫生机构和医务人员不良执业行为记分制度，完善以执业准入注册、不良执业行为记录为基础的医疗卫生行业信用记录数据库。</w:t>
      </w:r>
    </w:p>
    <w:p>
      <w:pPr>
        <w:pStyle w:val="4"/>
        <w:spacing w:before="0" w:beforeLines="0" w:after="0" w:afterLines="0" w:line="579" w:lineRule="exact"/>
        <w:ind w:firstLine="632"/>
        <w:rPr>
          <w:rFonts w:ascii="Times New Roman" w:hAnsi="Times New Roman"/>
        </w:rPr>
      </w:pPr>
      <w:bookmarkStart w:id="46" w:name="_Toc66654797"/>
      <w:r>
        <w:rPr>
          <w:rFonts w:ascii="Times New Roman" w:hAnsi="Times New Roman"/>
        </w:rPr>
        <w:t>六、保障措施</w:t>
      </w:r>
      <w:bookmarkEnd w:id="46"/>
    </w:p>
    <w:p>
      <w:pPr>
        <w:pStyle w:val="5"/>
        <w:spacing w:before="0" w:beforeLines="0" w:after="0" w:afterLines="0" w:line="579" w:lineRule="exact"/>
        <w:ind w:firstLine="632"/>
        <w:rPr>
          <w:rFonts w:ascii="Times New Roman" w:hAnsi="Times New Roman" w:cs="Times New Roman"/>
        </w:rPr>
      </w:pPr>
      <w:bookmarkStart w:id="47" w:name="_Toc66654798"/>
      <w:r>
        <w:rPr>
          <w:rFonts w:hint="default" w:ascii="Times New Roman" w:hAnsi="Times New Roman" w:eastAsia="楷体_GB2312" w:cs="Times New Roman"/>
        </w:rPr>
        <w:t>（一）强化组织领导</w:t>
      </w:r>
      <w:bookmarkEnd w:id="47"/>
      <w:r>
        <w:rPr>
          <w:rFonts w:hint="default" w:ascii="Times New Roman" w:hAnsi="Times New Roman" w:eastAsia="楷体_GB2312" w:cs="Times New Roman"/>
        </w:rPr>
        <w:tab/>
      </w:r>
    </w:p>
    <w:p>
      <w:pPr>
        <w:spacing w:beforeLines="0" w:afterLines="0" w:line="579" w:lineRule="exact"/>
        <w:ind w:firstLine="632"/>
        <w:rPr>
          <w:rFonts w:ascii="Times New Roman" w:hAnsi="Times New Roman" w:cs="Times New Roman"/>
        </w:rPr>
      </w:pPr>
      <w:r>
        <w:rPr>
          <w:rFonts w:ascii="Times New Roman" w:hAnsi="Times New Roman" w:cs="Times New Roman"/>
        </w:rPr>
        <w:t>强化健康浙江建设领导小组对健康产业发展领导，各地建立完善相应的领导机构和推进机制，形成党委统一领导、党政齐抓共管的工作格局。建立目标管理机制，健康产业发展联席会议办公室牵头细化工作清单，分解责任表，明确时间表，确保各项工作部署落地见效。要建立容错机制，鼓励地方发扬首创精神、敢闯敢试，因地制宜大胆探索，针对发展难点痛点和新情况新问题加强体制机制创新。</w:t>
      </w:r>
    </w:p>
    <w:p>
      <w:pPr>
        <w:pStyle w:val="5"/>
        <w:spacing w:before="0" w:beforeLines="0" w:after="0" w:afterLines="0" w:line="579" w:lineRule="exact"/>
        <w:ind w:firstLine="632"/>
        <w:rPr>
          <w:rFonts w:hint="default" w:ascii="Times New Roman" w:hAnsi="Times New Roman" w:eastAsia="楷体_GB2312" w:cs="Times New Roman"/>
        </w:rPr>
      </w:pPr>
      <w:bookmarkStart w:id="48" w:name="_Toc66654799"/>
      <w:r>
        <w:rPr>
          <w:rFonts w:hint="default" w:ascii="Times New Roman" w:hAnsi="Times New Roman" w:eastAsia="楷体_GB2312" w:cs="Times New Roman"/>
        </w:rPr>
        <w:t>（二）推进协同联动</w:t>
      </w:r>
      <w:bookmarkEnd w:id="48"/>
    </w:p>
    <w:p>
      <w:pPr>
        <w:spacing w:beforeLines="0" w:afterLines="0" w:line="579" w:lineRule="exact"/>
        <w:ind w:firstLine="632"/>
        <w:rPr>
          <w:rFonts w:ascii="Times New Roman" w:hAnsi="Times New Roman" w:cs="Times New Roman"/>
        </w:rPr>
      </w:pPr>
      <w:r>
        <w:rPr>
          <w:rFonts w:ascii="Times New Roman" w:hAnsi="Times New Roman" w:cs="Times New Roman"/>
        </w:rPr>
        <w:t>各部门要高度重视，把发展健康产业放在重要位置，认真组织本行业本领域落实，做好健康产业重大问题研究，及时制定出台配套政策，加强与本行业本领域发展规划的协调。发展改革、卫生健康部门要做好对各项任务举措的跟进和督促。各级地方政府要科学合理定位，认真深入谋划，结合区域实际，突出区域特色，部署落实好促进健康产业高质量发展的工作。有关部门要跟踪和总结地方探索成效，推广好的经验。</w:t>
      </w:r>
    </w:p>
    <w:p>
      <w:pPr>
        <w:pStyle w:val="5"/>
        <w:spacing w:before="0" w:beforeLines="0" w:after="0" w:afterLines="0" w:line="579" w:lineRule="exact"/>
        <w:ind w:firstLine="632"/>
        <w:rPr>
          <w:rFonts w:hint="default" w:ascii="Times New Roman" w:hAnsi="Times New Roman" w:eastAsia="楷体_GB2312" w:cs="Times New Roman"/>
        </w:rPr>
      </w:pPr>
      <w:bookmarkStart w:id="49" w:name="_Toc66654800"/>
      <w:r>
        <w:rPr>
          <w:rFonts w:hint="default" w:ascii="Times New Roman" w:hAnsi="Times New Roman" w:eastAsia="楷体_GB2312" w:cs="Times New Roman"/>
        </w:rPr>
        <w:t>（三）加强综合监管</w:t>
      </w:r>
      <w:bookmarkEnd w:id="49"/>
    </w:p>
    <w:p>
      <w:pPr>
        <w:spacing w:beforeLines="0" w:afterLines="0" w:line="579" w:lineRule="exact"/>
        <w:ind w:firstLine="632"/>
        <w:rPr>
          <w:rFonts w:ascii="Times New Roman" w:hAnsi="Times New Roman" w:cs="Times New Roman"/>
        </w:rPr>
      </w:pPr>
      <w:r>
        <w:rPr>
          <w:rFonts w:ascii="Times New Roman" w:hAnsi="Times New Roman" w:cs="Times New Roman"/>
        </w:rPr>
        <w:t>强化医疗服务监管，加强公立医疗机构综合绩效考核，强化对营利性医疗机构盈利率的管控，控制医疗费用不合理增长，加大医疗卫生行业行风建设力度，强化从业人员执业行为监管，严厉打击无证行医。研究建立适应健康产业新技术、新产品、新业态、新模式发展的监管制度，加强多部门协同监管，建立部门协作机制，推动由分散多头监管向综合协同监管转变，重点完善对养老、旅游、互联网、健身休闲与医疗健康跨界融合的监管。强化药品食品安全监管，保障人民群众用药安全和食品安全。加强临床研究的伦理审查机制建设。</w:t>
      </w:r>
    </w:p>
    <w:p>
      <w:pPr>
        <w:pStyle w:val="5"/>
        <w:spacing w:before="0" w:beforeLines="0" w:after="0" w:afterLines="0" w:line="579" w:lineRule="exact"/>
        <w:ind w:firstLine="632"/>
        <w:rPr>
          <w:rFonts w:hint="default" w:ascii="Times New Roman" w:hAnsi="Times New Roman" w:eastAsia="楷体_GB2312" w:cs="Times New Roman"/>
        </w:rPr>
      </w:pPr>
      <w:bookmarkStart w:id="50" w:name="_Toc66654801"/>
      <w:r>
        <w:rPr>
          <w:rFonts w:hint="default" w:ascii="Times New Roman" w:hAnsi="Times New Roman" w:eastAsia="楷体_GB2312" w:cs="Times New Roman"/>
        </w:rPr>
        <w:t>（四）完善监测评价</w:t>
      </w:r>
      <w:bookmarkEnd w:id="50"/>
    </w:p>
    <w:p>
      <w:pPr>
        <w:spacing w:beforeLines="0" w:afterLines="0" w:line="579" w:lineRule="exact"/>
        <w:ind w:firstLine="632"/>
        <w:rPr>
          <w:rFonts w:ascii="Times New Roman" w:hAnsi="Times New Roman" w:cs="Times New Roman"/>
        </w:rPr>
      </w:pPr>
      <w:r>
        <w:rPr>
          <w:rFonts w:ascii="Times New Roman" w:hAnsi="Times New Roman" w:cs="Times New Roman"/>
        </w:rPr>
        <w:t>建立监测评价机制。落实最新健康产业统计分类标准，开展健康产业核算工作。要坚持科学考核，完善健康产业发展考核机制，与健康浙江考核内容相衔接。发展改革委、卫生健康委要加强对健康产业发展的监测分析与评价，组织编印健康产业年度报告，推动健康产业的宣传推介。要注重典型示范，总结凝炼基层的好经验好做法，加大复制推广力度，力争多出“浙江经验”。</w:t>
      </w:r>
    </w:p>
    <w:sectPr>
      <w:pgSz w:w="11906" w:h="16838"/>
      <w:pgMar w:top="2098" w:right="1474" w:bottom="1984" w:left="1587" w:header="851" w:footer="1587" w:gutter="0"/>
      <w:pgNumType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egoe UI Semilight">
    <w:panose1 w:val="020B0402040204020203"/>
    <w:charset w:val="00"/>
    <w:family w:val="auto"/>
    <w:pitch w:val="default"/>
    <w:sig w:usb0="E4002EFF" w:usb1="C000E47F" w:usb2="00000009" w:usb3="00000000" w:csb0="200001F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633986"/>
    </w:sdtPr>
    <w:sdtContent>
      <w:p>
        <w:pPr>
          <w:pStyle w:val="14"/>
          <w:ind w:firstLine="360"/>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28393328"/>
    </w:sdtPr>
    <w:sdtEndPr>
      <w:rPr>
        <w:rFonts w:ascii="Times New Roman" w:hAnsi="Times New Roman" w:cs="Times New Roman"/>
      </w:rPr>
    </w:sdtEndPr>
    <w:sdtContent>
      <w:p>
        <w:pPr>
          <w:pStyle w:val="14"/>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III</w:t>
        </w:r>
        <w:r>
          <w:rPr>
            <w:rFonts w:ascii="Times New Roman" w:hAns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7"/>
        <w:adjustRightInd w:val="0"/>
        <w:spacing w:line="240" w:lineRule="auto"/>
        <w:ind w:firstLine="420"/>
      </w:pPr>
      <w:r>
        <w:rPr>
          <w:rStyle w:val="25"/>
          <w:rFonts w:hint="eastAsia"/>
          <w:sz w:val="21"/>
          <w:szCs w:val="22"/>
        </w:rPr>
        <w:footnoteRef/>
      </w:r>
      <w:r>
        <w:rPr>
          <w:rFonts w:hint="eastAsia"/>
        </w:rPr>
        <w:t>2018年数据，待更新</w:t>
      </w:r>
    </w:p>
  </w:footnote>
  <w:footnote w:id="1">
    <w:p>
      <w:pPr>
        <w:pStyle w:val="17"/>
        <w:adjustRightInd w:val="0"/>
        <w:spacing w:line="240" w:lineRule="auto"/>
        <w:ind w:firstLine="420"/>
      </w:pPr>
      <w:r>
        <w:rPr>
          <w:rStyle w:val="25"/>
          <w:rFonts w:hint="eastAsia"/>
          <w:sz w:val="21"/>
          <w:szCs w:val="22"/>
        </w:rPr>
        <w:footnoteRef/>
      </w:r>
      <w:r>
        <w:rPr>
          <w:rFonts w:hint="eastAsia"/>
        </w:rPr>
        <w:t>2019年数据，待更新</w:t>
      </w:r>
    </w:p>
  </w:footnote>
  <w:footnote w:id="2">
    <w:p>
      <w:pPr>
        <w:pStyle w:val="17"/>
        <w:adjustRightInd w:val="0"/>
        <w:spacing w:line="240" w:lineRule="auto"/>
        <w:ind w:firstLine="420"/>
      </w:pPr>
      <w:r>
        <w:rPr>
          <w:rStyle w:val="25"/>
          <w:rFonts w:hint="eastAsia"/>
          <w:sz w:val="21"/>
          <w:szCs w:val="22"/>
        </w:rPr>
        <w:footnoteRef/>
      </w:r>
      <w:r>
        <w:rPr>
          <w:rStyle w:val="25"/>
          <w:rFonts w:hint="eastAsia"/>
          <w:sz w:val="21"/>
          <w:szCs w:val="22"/>
        </w:rPr>
        <w:t xml:space="preserve"> </w:t>
      </w:r>
      <w:r>
        <w:rPr>
          <w:rFonts w:hint="eastAsia"/>
        </w:rPr>
        <w:t>2019年数据</w:t>
      </w:r>
    </w:p>
  </w:footnote>
  <w:footnote w:id="3">
    <w:p>
      <w:pPr>
        <w:pStyle w:val="17"/>
        <w:adjustRightInd w:val="0"/>
        <w:spacing w:line="240" w:lineRule="auto"/>
        <w:ind w:firstLine="360"/>
      </w:pPr>
      <w:r>
        <w:rPr>
          <w:rStyle w:val="25"/>
        </w:rPr>
        <w:footnoteRef/>
      </w:r>
      <w:r>
        <w:t xml:space="preserve"> </w:t>
      </w:r>
      <w:r>
        <w:rPr>
          <w:rFonts w:hint="eastAsia"/>
        </w:rPr>
        <w:t>北戴河生命健康产业创新示范区、海南博鳌乐城国际医疗旅游先行区</w:t>
      </w:r>
    </w:p>
  </w:footnote>
  <w:footnote w:id="4">
    <w:p>
      <w:pPr>
        <w:pStyle w:val="17"/>
        <w:adjustRightInd w:val="0"/>
        <w:spacing w:line="240" w:lineRule="auto"/>
        <w:ind w:firstLine="360"/>
      </w:pPr>
      <w:r>
        <w:rPr>
          <w:rStyle w:val="25"/>
        </w:rPr>
        <w:footnoteRef/>
      </w:r>
      <w:r>
        <w:t xml:space="preserve"> </w:t>
      </w:r>
      <w:r>
        <w:rPr>
          <w:rFonts w:hint="eastAsia"/>
        </w:rPr>
        <w:t>2019年总产值突破1200亿元</w:t>
      </w:r>
    </w:p>
  </w:footnote>
  <w:footnote w:id="5">
    <w:p>
      <w:pPr>
        <w:pStyle w:val="17"/>
        <w:adjustRightInd w:val="0"/>
        <w:spacing w:line="240" w:lineRule="auto"/>
        <w:ind w:firstLine="360"/>
      </w:pPr>
      <w:r>
        <w:rPr>
          <w:rStyle w:val="25"/>
        </w:rPr>
        <w:footnoteRef/>
      </w:r>
      <w:r>
        <w:t xml:space="preserve"> </w:t>
      </w:r>
      <w:r>
        <w:rPr>
          <w:rFonts w:hint="eastAsia"/>
        </w:rPr>
        <w:t>2019年总产值突破900亿元</w:t>
      </w:r>
    </w:p>
  </w:footnote>
  <w:footnote w:id="6">
    <w:p>
      <w:pPr>
        <w:pStyle w:val="17"/>
        <w:spacing w:line="240" w:lineRule="auto"/>
        <w:ind w:firstLine="360"/>
      </w:pPr>
      <w:r>
        <w:rPr>
          <w:rStyle w:val="25"/>
        </w:rPr>
        <w:footnoteRef/>
      </w:r>
      <w:r>
        <w:t xml:space="preserve"> </w:t>
      </w:r>
      <w:r>
        <w:rPr>
          <w:rFonts w:hint="eastAsia"/>
        </w:rPr>
        <w:t>健康产业规模</w:t>
      </w:r>
      <w:r>
        <w:t>3</w:t>
      </w:r>
      <w:r>
        <w:rPr>
          <w:rFonts w:hint="eastAsia"/>
        </w:rPr>
        <w:t>个指标现状为2</w:t>
      </w:r>
      <w:r>
        <w:t>019</w:t>
      </w:r>
      <w:r>
        <w:rPr>
          <w:rFonts w:hint="eastAsia"/>
        </w:rPr>
        <w:t>年数据，健康产业总产出按年均增速1</w:t>
      </w:r>
      <w:r>
        <w:t>0</w:t>
      </w:r>
      <w:r>
        <w:rPr>
          <w:rFonts w:hint="eastAsia"/>
        </w:rPr>
        <w:t>%左右测算，健康产业增加值按年均增速</w:t>
      </w:r>
      <w:r>
        <w:t>8</w:t>
      </w:r>
      <w:r>
        <w:rPr>
          <w:rFonts w:hint="eastAsia"/>
        </w:rPr>
        <w:t>%左右测算，增加值占G</w:t>
      </w:r>
      <w:r>
        <w:t>DP</w:t>
      </w:r>
      <w:r>
        <w:rPr>
          <w:rFonts w:hint="eastAsia"/>
        </w:rPr>
        <w:t>比重按照2</w:t>
      </w:r>
      <w:r>
        <w:t>025</w:t>
      </w:r>
      <w:r>
        <w:rPr>
          <w:rFonts w:hint="eastAsia"/>
        </w:rPr>
        <w:t>年全省G</w:t>
      </w:r>
      <w:r>
        <w:t>DP</w:t>
      </w:r>
      <w:r>
        <w:rPr>
          <w:rFonts w:hint="eastAsia"/>
        </w:rPr>
        <w:t>8</w:t>
      </w:r>
      <w:r>
        <w:t>.5</w:t>
      </w:r>
      <w:r>
        <w:rPr>
          <w:rFonts w:hint="eastAsia"/>
        </w:rPr>
        <w:t>万亿总量计算。</w:t>
      </w:r>
    </w:p>
  </w:footnote>
  <w:footnote w:id="7">
    <w:p>
      <w:pPr>
        <w:pStyle w:val="17"/>
        <w:spacing w:line="240" w:lineRule="auto"/>
        <w:ind w:firstLine="360"/>
      </w:pPr>
      <w:r>
        <w:rPr>
          <w:rStyle w:val="25"/>
        </w:rPr>
        <w:footnoteRef/>
      </w:r>
      <w:r>
        <w:t xml:space="preserve"> </w:t>
      </w:r>
      <w:r>
        <w:rPr>
          <w:rFonts w:ascii="Times New Roman" w:hAnsi="Times New Roman" w:cs="Times New Roman"/>
        </w:rPr>
        <w:t>“1314”</w:t>
      </w:r>
      <w:r>
        <w:rPr>
          <w:rStyle w:val="25"/>
          <w:rFonts w:ascii="Times New Roman" w:hAnsi="Times New Roman" w:cs="Times New Roman"/>
        </w:rPr>
        <w:footnoteRef/>
      </w:r>
      <w:r>
        <w:rPr>
          <w:rFonts w:ascii="Times New Roman" w:hAnsi="Times New Roman" w:cs="Times New Roman"/>
        </w:rPr>
        <w:t>卫生健康数字化改革</w:t>
      </w:r>
      <w:r>
        <w:rPr>
          <w:rFonts w:hint="eastAsia" w:ascii="Times New Roman" w:hAnsi="Times New Roman" w:cs="Times New Roman"/>
        </w:rPr>
        <w:t>：</w:t>
      </w:r>
      <w:r>
        <w:rPr>
          <w:rFonts w:hint="eastAsia"/>
        </w:rPr>
        <w:t>加快建成</w:t>
      </w:r>
      <w:r>
        <w:t>1朵浙江“健康云”，重点推进常态化疫情防控综合集成应用、“互联网+医疗健康”公共服务应用和“一老一小”数字健康新服务3大项目，打造1个全省统一的卫生健康协同工作门户，迭代升级面向卫生健康行政部门、面向医疗卫生机构、面向医务人员、面向群众的4类卫生健康数字化服务应用</w:t>
      </w:r>
    </w:p>
  </w:footnote>
  <w:footnote w:id="8">
    <w:p>
      <w:pPr>
        <w:pStyle w:val="17"/>
        <w:spacing w:line="240" w:lineRule="auto"/>
        <w:ind w:firstLine="360"/>
      </w:pPr>
      <w:r>
        <w:rPr>
          <w:rStyle w:val="25"/>
        </w:rPr>
        <w:footnoteRef/>
      </w:r>
      <w:r>
        <w:t xml:space="preserve"> </w:t>
      </w:r>
      <w:r>
        <w:rPr>
          <w:rFonts w:hint="eastAsia" w:ascii="Times New Roman" w:hAnsi="Times New Roman" w:cs="Times New Roman"/>
        </w:rPr>
        <w:t>“</w:t>
      </w:r>
      <w:r>
        <w:rPr>
          <w:rFonts w:ascii="Times New Roman" w:hAnsi="Times New Roman" w:cs="Times New Roman"/>
        </w:rPr>
        <w:t>114</w:t>
      </w:r>
      <w:r>
        <w:rPr>
          <w:rFonts w:hint="eastAsia" w:ascii="Times New Roman" w:hAnsi="Times New Roman" w:cs="Times New Roman"/>
        </w:rPr>
        <w:t>”</w:t>
      </w:r>
      <w:r>
        <w:rPr>
          <w:rFonts w:ascii="Times New Roman" w:hAnsi="Times New Roman" w:cs="Times New Roman"/>
        </w:rPr>
        <w:t>体育数字化改革</w:t>
      </w:r>
      <w:r>
        <w:rPr>
          <w:rFonts w:hint="eastAsia" w:ascii="Times New Roman" w:hAnsi="Times New Roman" w:cs="Times New Roman"/>
        </w:rPr>
        <w:t>：</w:t>
      </w:r>
      <w:r>
        <w:rPr>
          <w:rFonts w:hint="eastAsia"/>
        </w:rPr>
        <w:t>深化建成</w:t>
      </w:r>
      <w:r>
        <w:t>1个全省体育数据仓、1个政务服务和管理系统，强化公共体育“一站式”服务、体育训练一体化管理、体育赛事“一站式”管理应用、体育产业数字化管理4大核心业务应用。</w:t>
      </w:r>
    </w:p>
  </w:footnote>
  <w:footnote w:id="9">
    <w:p>
      <w:pPr>
        <w:pStyle w:val="17"/>
        <w:spacing w:line="240" w:lineRule="auto"/>
        <w:ind w:firstLine="360"/>
      </w:pPr>
      <w:r>
        <w:rPr>
          <w:rStyle w:val="25"/>
        </w:rPr>
        <w:footnoteRef/>
      </w:r>
      <w:r>
        <w:t xml:space="preserve"> </w:t>
      </w:r>
      <w:r>
        <w:rPr>
          <w:rFonts w:hint="eastAsia"/>
          <w:sz w:val="21"/>
        </w:rPr>
        <w:t>“一中心”指将杭州市打造成为浙江化妆品研发、设计、营销中心；“两基地”为以湖州美妆小镇和金华彩妆产业园区为两大化妆品生产和上下游配套产业基地；“三平台”分别为以杭州为中心的化妆品网络销售平台、以义乌为中心的化妆品出口商贸平台和以宁波等地区为中心的进口化妆品产业平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44FB7"/>
    <w:multiLevelType w:val="multilevel"/>
    <w:tmpl w:val="54A44FB7"/>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trackRevisions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0.200.0.150:80/seeyon/officeservlet"/>
  </w:docVars>
  <w:rsids>
    <w:rsidRoot w:val="009969C7"/>
    <w:rsid w:val="00001DE5"/>
    <w:rsid w:val="000031C5"/>
    <w:rsid w:val="000458A6"/>
    <w:rsid w:val="00071DD5"/>
    <w:rsid w:val="0008315B"/>
    <w:rsid w:val="000940D8"/>
    <w:rsid w:val="000B086E"/>
    <w:rsid w:val="00101FF9"/>
    <w:rsid w:val="001122B6"/>
    <w:rsid w:val="00115C12"/>
    <w:rsid w:val="00185A5D"/>
    <w:rsid w:val="001B78E0"/>
    <w:rsid w:val="001D11D0"/>
    <w:rsid w:val="001E46B7"/>
    <w:rsid w:val="001E65D2"/>
    <w:rsid w:val="001F1FA7"/>
    <w:rsid w:val="0020191D"/>
    <w:rsid w:val="00205E1E"/>
    <w:rsid w:val="002322A3"/>
    <w:rsid w:val="00253F78"/>
    <w:rsid w:val="002B1A3B"/>
    <w:rsid w:val="002D4BB6"/>
    <w:rsid w:val="002F21AA"/>
    <w:rsid w:val="003105B7"/>
    <w:rsid w:val="00344F14"/>
    <w:rsid w:val="003469EB"/>
    <w:rsid w:val="00355467"/>
    <w:rsid w:val="003677B6"/>
    <w:rsid w:val="003C0E7A"/>
    <w:rsid w:val="003D062B"/>
    <w:rsid w:val="003D7F9C"/>
    <w:rsid w:val="003F334F"/>
    <w:rsid w:val="0041443F"/>
    <w:rsid w:val="00442C49"/>
    <w:rsid w:val="00464495"/>
    <w:rsid w:val="004671CC"/>
    <w:rsid w:val="004910A6"/>
    <w:rsid w:val="004B7F49"/>
    <w:rsid w:val="004E71B3"/>
    <w:rsid w:val="00541858"/>
    <w:rsid w:val="00546DD9"/>
    <w:rsid w:val="005563B2"/>
    <w:rsid w:val="00570DF3"/>
    <w:rsid w:val="005A1DC0"/>
    <w:rsid w:val="005B2BF9"/>
    <w:rsid w:val="005D18FA"/>
    <w:rsid w:val="0062045A"/>
    <w:rsid w:val="006423E7"/>
    <w:rsid w:val="0064269D"/>
    <w:rsid w:val="006575A4"/>
    <w:rsid w:val="00662CC2"/>
    <w:rsid w:val="006A0808"/>
    <w:rsid w:val="006A1ABC"/>
    <w:rsid w:val="006B6A23"/>
    <w:rsid w:val="006C0BFB"/>
    <w:rsid w:val="006C3E6E"/>
    <w:rsid w:val="006D0BBB"/>
    <w:rsid w:val="006D603F"/>
    <w:rsid w:val="00712091"/>
    <w:rsid w:val="007541AE"/>
    <w:rsid w:val="007751EC"/>
    <w:rsid w:val="00792228"/>
    <w:rsid w:val="007A6CE5"/>
    <w:rsid w:val="007C340F"/>
    <w:rsid w:val="007D32E7"/>
    <w:rsid w:val="007D7628"/>
    <w:rsid w:val="008062C9"/>
    <w:rsid w:val="00813DA0"/>
    <w:rsid w:val="0084458F"/>
    <w:rsid w:val="00864283"/>
    <w:rsid w:val="008D1644"/>
    <w:rsid w:val="008E462B"/>
    <w:rsid w:val="008E7762"/>
    <w:rsid w:val="008F61D3"/>
    <w:rsid w:val="00907138"/>
    <w:rsid w:val="00953933"/>
    <w:rsid w:val="0096743B"/>
    <w:rsid w:val="009824B8"/>
    <w:rsid w:val="00983F9B"/>
    <w:rsid w:val="009969C7"/>
    <w:rsid w:val="00997A52"/>
    <w:rsid w:val="00997ED2"/>
    <w:rsid w:val="009B4792"/>
    <w:rsid w:val="009E755B"/>
    <w:rsid w:val="00A045CA"/>
    <w:rsid w:val="00A57E84"/>
    <w:rsid w:val="00A66146"/>
    <w:rsid w:val="00A769CF"/>
    <w:rsid w:val="00AA0ACE"/>
    <w:rsid w:val="00AA474F"/>
    <w:rsid w:val="00AE1193"/>
    <w:rsid w:val="00AF2BE3"/>
    <w:rsid w:val="00B14CEE"/>
    <w:rsid w:val="00B53E92"/>
    <w:rsid w:val="00B564FF"/>
    <w:rsid w:val="00B64839"/>
    <w:rsid w:val="00B90383"/>
    <w:rsid w:val="00BA29D8"/>
    <w:rsid w:val="00BA631C"/>
    <w:rsid w:val="00BD496F"/>
    <w:rsid w:val="00BF21B0"/>
    <w:rsid w:val="00C06972"/>
    <w:rsid w:val="00C108D4"/>
    <w:rsid w:val="00C44D26"/>
    <w:rsid w:val="00C5538E"/>
    <w:rsid w:val="00C81CB2"/>
    <w:rsid w:val="00CB4E9F"/>
    <w:rsid w:val="00CD4301"/>
    <w:rsid w:val="00CF672F"/>
    <w:rsid w:val="00CF6A32"/>
    <w:rsid w:val="00CF7EE2"/>
    <w:rsid w:val="00D30092"/>
    <w:rsid w:val="00D309B5"/>
    <w:rsid w:val="00D53149"/>
    <w:rsid w:val="00D56AB8"/>
    <w:rsid w:val="00D807BE"/>
    <w:rsid w:val="00D82A84"/>
    <w:rsid w:val="00D93398"/>
    <w:rsid w:val="00DB432E"/>
    <w:rsid w:val="00DC1F3E"/>
    <w:rsid w:val="00E13262"/>
    <w:rsid w:val="00E2268B"/>
    <w:rsid w:val="00E3089C"/>
    <w:rsid w:val="00E4487D"/>
    <w:rsid w:val="00E74219"/>
    <w:rsid w:val="00EE5B3A"/>
    <w:rsid w:val="00EF0177"/>
    <w:rsid w:val="00F15D81"/>
    <w:rsid w:val="00F5416C"/>
    <w:rsid w:val="00F553EF"/>
    <w:rsid w:val="00F92F7C"/>
    <w:rsid w:val="00FA08FB"/>
    <w:rsid w:val="00FA5128"/>
    <w:rsid w:val="00FB4FE2"/>
    <w:rsid w:val="00FC2984"/>
    <w:rsid w:val="00FE6C86"/>
    <w:rsid w:val="00FF4FBF"/>
    <w:rsid w:val="02385962"/>
    <w:rsid w:val="02D53B38"/>
    <w:rsid w:val="05105015"/>
    <w:rsid w:val="055920BC"/>
    <w:rsid w:val="059E2E57"/>
    <w:rsid w:val="05BE4871"/>
    <w:rsid w:val="0629153A"/>
    <w:rsid w:val="080A1BE2"/>
    <w:rsid w:val="08D9054E"/>
    <w:rsid w:val="0AB95C14"/>
    <w:rsid w:val="0C051714"/>
    <w:rsid w:val="0C4851D4"/>
    <w:rsid w:val="10292194"/>
    <w:rsid w:val="108532A2"/>
    <w:rsid w:val="110F3371"/>
    <w:rsid w:val="13DE4968"/>
    <w:rsid w:val="14874533"/>
    <w:rsid w:val="148A04F6"/>
    <w:rsid w:val="183F648A"/>
    <w:rsid w:val="18466BCE"/>
    <w:rsid w:val="1856513D"/>
    <w:rsid w:val="1A2453C8"/>
    <w:rsid w:val="1D234D9C"/>
    <w:rsid w:val="1D3A49F6"/>
    <w:rsid w:val="1D925923"/>
    <w:rsid w:val="1DD54148"/>
    <w:rsid w:val="21137256"/>
    <w:rsid w:val="213C39CB"/>
    <w:rsid w:val="232B6A24"/>
    <w:rsid w:val="2511276B"/>
    <w:rsid w:val="256D268B"/>
    <w:rsid w:val="26E31A60"/>
    <w:rsid w:val="283E574A"/>
    <w:rsid w:val="2A0C19FB"/>
    <w:rsid w:val="2AA979C8"/>
    <w:rsid w:val="2AF06E58"/>
    <w:rsid w:val="2B2843A9"/>
    <w:rsid w:val="2B490B44"/>
    <w:rsid w:val="2B524F6D"/>
    <w:rsid w:val="2B897E58"/>
    <w:rsid w:val="2C3862D5"/>
    <w:rsid w:val="2D7F624A"/>
    <w:rsid w:val="2E426EF0"/>
    <w:rsid w:val="2E7B15F0"/>
    <w:rsid w:val="3059145F"/>
    <w:rsid w:val="31023CA9"/>
    <w:rsid w:val="31EA36EA"/>
    <w:rsid w:val="34C45139"/>
    <w:rsid w:val="354B64CD"/>
    <w:rsid w:val="37582050"/>
    <w:rsid w:val="379D1AF0"/>
    <w:rsid w:val="38326120"/>
    <w:rsid w:val="38CC3D12"/>
    <w:rsid w:val="390D14B9"/>
    <w:rsid w:val="39CE1DC4"/>
    <w:rsid w:val="3AAA0A00"/>
    <w:rsid w:val="3AD31B88"/>
    <w:rsid w:val="3B296DA0"/>
    <w:rsid w:val="3BE94D81"/>
    <w:rsid w:val="3BFA19F1"/>
    <w:rsid w:val="3D055E1A"/>
    <w:rsid w:val="3E2702F7"/>
    <w:rsid w:val="3F070532"/>
    <w:rsid w:val="3F6E1056"/>
    <w:rsid w:val="40451D0D"/>
    <w:rsid w:val="41175F61"/>
    <w:rsid w:val="417551C5"/>
    <w:rsid w:val="41C25A64"/>
    <w:rsid w:val="422F4CCB"/>
    <w:rsid w:val="429578FF"/>
    <w:rsid w:val="44597ECE"/>
    <w:rsid w:val="450616B0"/>
    <w:rsid w:val="459567D9"/>
    <w:rsid w:val="46816157"/>
    <w:rsid w:val="488D2EB3"/>
    <w:rsid w:val="49BF305A"/>
    <w:rsid w:val="4ADF2FD9"/>
    <w:rsid w:val="4F794C5C"/>
    <w:rsid w:val="4FA92943"/>
    <w:rsid w:val="50296059"/>
    <w:rsid w:val="502A54EE"/>
    <w:rsid w:val="520A00FD"/>
    <w:rsid w:val="52D64141"/>
    <w:rsid w:val="53AE15B7"/>
    <w:rsid w:val="54C57DD0"/>
    <w:rsid w:val="55E36B11"/>
    <w:rsid w:val="567773D5"/>
    <w:rsid w:val="568C726E"/>
    <w:rsid w:val="56CC08A9"/>
    <w:rsid w:val="57CD0194"/>
    <w:rsid w:val="58821693"/>
    <w:rsid w:val="58E36910"/>
    <w:rsid w:val="59276A52"/>
    <w:rsid w:val="5A9E1A68"/>
    <w:rsid w:val="5C6133D2"/>
    <w:rsid w:val="5D2E788C"/>
    <w:rsid w:val="5DC90D89"/>
    <w:rsid w:val="61772391"/>
    <w:rsid w:val="64CA5FFE"/>
    <w:rsid w:val="65013257"/>
    <w:rsid w:val="651817EA"/>
    <w:rsid w:val="65A4754A"/>
    <w:rsid w:val="66DE7ABD"/>
    <w:rsid w:val="68AC591E"/>
    <w:rsid w:val="6A0956B6"/>
    <w:rsid w:val="6A2131A2"/>
    <w:rsid w:val="6C082B64"/>
    <w:rsid w:val="6CA97C33"/>
    <w:rsid w:val="6D665EDB"/>
    <w:rsid w:val="6DF21159"/>
    <w:rsid w:val="6E5171A0"/>
    <w:rsid w:val="6EEA4F06"/>
    <w:rsid w:val="70441547"/>
    <w:rsid w:val="71720001"/>
    <w:rsid w:val="74BC58BC"/>
    <w:rsid w:val="754F7587"/>
    <w:rsid w:val="76FF2DEF"/>
    <w:rsid w:val="772B2405"/>
    <w:rsid w:val="77432AF8"/>
    <w:rsid w:val="77433709"/>
    <w:rsid w:val="796031B3"/>
    <w:rsid w:val="7AA82B81"/>
    <w:rsid w:val="7AAF095F"/>
    <w:rsid w:val="7D36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semiHidden="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80" w:lineRule="exact"/>
      <w:ind w:firstLine="200" w:firstLineChars="200"/>
      <w:jc w:val="both"/>
    </w:pPr>
    <w:rPr>
      <w:rFonts w:ascii="仿宋" w:hAnsi="仿宋" w:eastAsia="仿宋_GB2312" w:cstheme="minorBidi"/>
      <w:kern w:val="2"/>
      <w:sz w:val="32"/>
      <w:szCs w:val="32"/>
      <w:lang w:val="en-US" w:eastAsia="zh-CN" w:bidi="ar-SA"/>
    </w:rPr>
  </w:style>
  <w:style w:type="paragraph" w:styleId="4">
    <w:name w:val="heading 1"/>
    <w:basedOn w:val="1"/>
    <w:next w:val="1"/>
    <w:link w:val="30"/>
    <w:qFormat/>
    <w:uiPriority w:val="9"/>
    <w:pPr>
      <w:keepNext/>
      <w:keepLines/>
      <w:spacing w:before="120" w:after="120"/>
      <w:outlineLvl w:val="0"/>
    </w:pPr>
    <w:rPr>
      <w:rFonts w:eastAsia="黑体" w:cs="Times New Roman"/>
      <w:bCs/>
      <w:kern w:val="44"/>
      <w:szCs w:val="44"/>
    </w:rPr>
  </w:style>
  <w:style w:type="paragraph" w:styleId="5">
    <w:name w:val="heading 2"/>
    <w:basedOn w:val="1"/>
    <w:next w:val="1"/>
    <w:link w:val="31"/>
    <w:unhideWhenUsed/>
    <w:qFormat/>
    <w:uiPriority w:val="9"/>
    <w:pPr>
      <w:keepNext/>
      <w:keepLines/>
      <w:spacing w:beforeLines="50" w:afterLines="50"/>
      <w:outlineLvl w:val="1"/>
    </w:pPr>
    <w:rPr>
      <w:rFonts w:eastAsia="楷体" w:asciiTheme="majorHAnsi" w:hAnsiTheme="majorHAnsi" w:cstheme="majorBidi"/>
      <w:b/>
      <w:bCs/>
    </w:rPr>
  </w:style>
  <w:style w:type="paragraph" w:styleId="6">
    <w:name w:val="heading 3"/>
    <w:basedOn w:val="1"/>
    <w:next w:val="1"/>
    <w:link w:val="32"/>
    <w:unhideWhenUsed/>
    <w:qFormat/>
    <w:uiPriority w:val="9"/>
    <w:pPr>
      <w:keepNext/>
      <w:keepLines/>
      <w:spacing w:before="120" w:after="120"/>
      <w:outlineLvl w:val="2"/>
    </w:pPr>
    <w:rPr>
      <w:rFonts w:cs="Times New Roman"/>
      <w:b/>
      <w:bCs/>
    </w:rPr>
  </w:style>
  <w:style w:type="character" w:default="1" w:styleId="21">
    <w:name w:val="Default Paragraph Font"/>
    <w:unhideWhenUsed/>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36"/>
    <w:unhideWhenUsed/>
    <w:qFormat/>
    <w:uiPriority w:val="99"/>
    <w:pPr>
      <w:ind w:firstLine="420"/>
    </w:pPr>
  </w:style>
  <w:style w:type="paragraph" w:styleId="3">
    <w:name w:val="Body Text Indent"/>
    <w:basedOn w:val="1"/>
    <w:link w:val="35"/>
    <w:unhideWhenUsed/>
    <w:qFormat/>
    <w:uiPriority w:val="99"/>
    <w:pPr>
      <w:spacing w:after="120"/>
      <w:ind w:left="420" w:leftChars="200"/>
    </w:pPr>
  </w:style>
  <w:style w:type="paragraph" w:styleId="7">
    <w:name w:val="Body Text First Indent"/>
    <w:basedOn w:val="8"/>
    <w:link w:val="34"/>
    <w:qFormat/>
    <w:uiPriority w:val="0"/>
    <w:pPr>
      <w:spacing w:after="0" w:line="500" w:lineRule="exact"/>
      <w:ind w:firstLine="420"/>
    </w:pPr>
    <w:rPr>
      <w:rFonts w:eastAsia="楷体_GB2312" w:cs="Times New Roman"/>
      <w:kern w:val="0"/>
      <w:sz w:val="28"/>
      <w:szCs w:val="20"/>
    </w:rPr>
  </w:style>
  <w:style w:type="paragraph" w:styleId="8">
    <w:name w:val="Body Text"/>
    <w:basedOn w:val="1"/>
    <w:link w:val="33"/>
    <w:unhideWhenUsed/>
    <w:qFormat/>
    <w:uiPriority w:val="99"/>
    <w:pPr>
      <w:spacing w:after="120"/>
    </w:pPr>
  </w:style>
  <w:style w:type="paragraph" w:styleId="9">
    <w:name w:val="Normal Indent"/>
    <w:basedOn w:val="1"/>
    <w:qFormat/>
    <w:uiPriority w:val="99"/>
    <w:pPr>
      <w:ind w:firstLine="420"/>
    </w:pPr>
    <w:rPr>
      <w:rFonts w:ascii="Calibri" w:hAnsi="Calibri" w:eastAsia="宋体" w:cs="Calibri"/>
      <w:sz w:val="21"/>
      <w:szCs w:val="21"/>
    </w:rPr>
  </w:style>
  <w:style w:type="paragraph" w:styleId="10">
    <w:name w:val="caption"/>
    <w:basedOn w:val="1"/>
    <w:next w:val="1"/>
    <w:unhideWhenUsed/>
    <w:qFormat/>
    <w:uiPriority w:val="35"/>
    <w:rPr>
      <w:rFonts w:eastAsia="黑体" w:asciiTheme="majorHAnsi" w:hAnsiTheme="majorHAnsi" w:cstheme="majorBidi"/>
      <w:sz w:val="20"/>
      <w:szCs w:val="20"/>
    </w:rPr>
  </w:style>
  <w:style w:type="paragraph" w:styleId="11">
    <w:name w:val="annotation text"/>
    <w:basedOn w:val="1"/>
    <w:link w:val="41"/>
    <w:unhideWhenUsed/>
    <w:uiPriority w:val="99"/>
    <w:pPr>
      <w:jc w:val="left"/>
    </w:pPr>
  </w:style>
  <w:style w:type="paragraph" w:styleId="12">
    <w:name w:val="toc 3"/>
    <w:basedOn w:val="1"/>
    <w:next w:val="1"/>
    <w:unhideWhenUsed/>
    <w:uiPriority w:val="39"/>
    <w:pPr>
      <w:ind w:left="840" w:leftChars="400"/>
    </w:pPr>
  </w:style>
  <w:style w:type="paragraph" w:styleId="13">
    <w:name w:val="Balloon Text"/>
    <w:basedOn w:val="1"/>
    <w:link w:val="42"/>
    <w:unhideWhenUsed/>
    <w:uiPriority w:val="99"/>
    <w:pPr>
      <w:spacing w:line="240" w:lineRule="auto"/>
    </w:pPr>
    <w:rPr>
      <w:sz w:val="18"/>
      <w:szCs w:val="18"/>
    </w:rPr>
  </w:style>
  <w:style w:type="paragraph" w:styleId="14">
    <w:name w:val="footer"/>
    <w:basedOn w:val="1"/>
    <w:link w:val="29"/>
    <w:unhideWhenUsed/>
    <w:qFormat/>
    <w:uiPriority w:val="99"/>
    <w:pPr>
      <w:tabs>
        <w:tab w:val="center" w:pos="4153"/>
        <w:tab w:val="right" w:pos="8306"/>
      </w:tabs>
      <w:snapToGrid w:val="0"/>
      <w:spacing w:line="240" w:lineRule="atLeas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toc 1"/>
    <w:basedOn w:val="1"/>
    <w:next w:val="1"/>
    <w:unhideWhenUsed/>
    <w:qFormat/>
    <w:uiPriority w:val="39"/>
    <w:pPr>
      <w:ind w:firstLine="0" w:firstLineChars="0"/>
    </w:pPr>
    <w:rPr>
      <w:rFonts w:eastAsia="黑体"/>
    </w:rPr>
  </w:style>
  <w:style w:type="paragraph" w:styleId="17">
    <w:name w:val="footnote text"/>
    <w:basedOn w:val="1"/>
    <w:link w:val="37"/>
    <w:unhideWhenUsed/>
    <w:qFormat/>
    <w:uiPriority w:val="99"/>
    <w:pPr>
      <w:snapToGrid w:val="0"/>
      <w:jc w:val="left"/>
    </w:pPr>
    <w:rPr>
      <w:sz w:val="18"/>
      <w:szCs w:val="18"/>
    </w:rPr>
  </w:style>
  <w:style w:type="paragraph" w:styleId="18">
    <w:name w:val="table of figures"/>
    <w:basedOn w:val="1"/>
    <w:next w:val="1"/>
    <w:unhideWhenUsed/>
    <w:uiPriority w:val="99"/>
    <w:pPr>
      <w:ind w:left="200" w:leftChars="200" w:hanging="200" w:hangingChars="200"/>
    </w:pPr>
  </w:style>
  <w:style w:type="paragraph" w:styleId="19">
    <w:name w:val="toc 2"/>
    <w:basedOn w:val="1"/>
    <w:next w:val="1"/>
    <w:unhideWhenUsed/>
    <w:uiPriority w:val="39"/>
    <w:pPr>
      <w:ind w:left="200" w:leftChars="200" w:firstLine="0" w:firstLineChars="0"/>
    </w:pPr>
  </w:style>
  <w:style w:type="paragraph" w:styleId="20">
    <w:name w:val="Normal (Web)"/>
    <w:basedOn w:val="1"/>
    <w:qFormat/>
    <w:uiPriority w:val="0"/>
    <w:pPr>
      <w:spacing w:beforeAutospacing="1" w:afterAutospacing="1"/>
      <w:jc w:val="left"/>
    </w:pPr>
    <w:rPr>
      <w:rFonts w:cs="Times New Roman"/>
      <w:kern w:val="0"/>
      <w:sz w:val="24"/>
    </w:rPr>
  </w:style>
  <w:style w:type="character" w:styleId="22">
    <w:name w:val="Strong"/>
    <w:basedOn w:val="21"/>
    <w:qFormat/>
    <w:uiPriority w:val="0"/>
    <w:rPr>
      <w:b/>
    </w:rPr>
  </w:style>
  <w:style w:type="character" w:styleId="23">
    <w:name w:val="Hyperlink"/>
    <w:basedOn w:val="21"/>
    <w:unhideWhenUsed/>
    <w:uiPriority w:val="99"/>
    <w:rPr>
      <w:color w:val="0563C1" w:themeColor="hyperlink"/>
      <w:u w:val="single"/>
    </w:rPr>
  </w:style>
  <w:style w:type="character" w:styleId="24">
    <w:name w:val="annotation reference"/>
    <w:basedOn w:val="21"/>
    <w:unhideWhenUsed/>
    <w:qFormat/>
    <w:uiPriority w:val="99"/>
    <w:rPr>
      <w:sz w:val="21"/>
      <w:szCs w:val="21"/>
    </w:rPr>
  </w:style>
  <w:style w:type="character" w:styleId="25">
    <w:name w:val="footnote reference"/>
    <w:basedOn w:val="21"/>
    <w:unhideWhenUsed/>
    <w:qFormat/>
    <w:uiPriority w:val="99"/>
    <w:rPr>
      <w:vertAlign w:val="superscript"/>
    </w:rPr>
  </w:style>
  <w:style w:type="table" w:styleId="27">
    <w:name w:val="Table Grid"/>
    <w:basedOn w:val="2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页眉 Char"/>
    <w:basedOn w:val="21"/>
    <w:link w:val="15"/>
    <w:qFormat/>
    <w:uiPriority w:val="99"/>
    <w:rPr>
      <w:rFonts w:ascii="仿宋" w:hAnsi="仿宋" w:eastAsia="仿宋_GB2312"/>
      <w:sz w:val="18"/>
      <w:szCs w:val="18"/>
    </w:rPr>
  </w:style>
  <w:style w:type="character" w:customStyle="1" w:styleId="29">
    <w:name w:val="页脚 Char"/>
    <w:basedOn w:val="21"/>
    <w:link w:val="14"/>
    <w:qFormat/>
    <w:uiPriority w:val="99"/>
    <w:rPr>
      <w:rFonts w:ascii="仿宋" w:hAnsi="仿宋" w:eastAsia="仿宋_GB2312"/>
      <w:sz w:val="18"/>
      <w:szCs w:val="18"/>
    </w:rPr>
  </w:style>
  <w:style w:type="character" w:customStyle="1" w:styleId="30">
    <w:name w:val="标题 1 Char"/>
    <w:basedOn w:val="21"/>
    <w:link w:val="4"/>
    <w:qFormat/>
    <w:uiPriority w:val="9"/>
    <w:rPr>
      <w:rFonts w:ascii="仿宋" w:hAnsi="仿宋" w:eastAsia="黑体" w:cs="Times New Roman"/>
      <w:bCs/>
      <w:kern w:val="44"/>
      <w:sz w:val="32"/>
      <w:szCs w:val="44"/>
    </w:rPr>
  </w:style>
  <w:style w:type="character" w:customStyle="1" w:styleId="31">
    <w:name w:val="标题 2 Char"/>
    <w:basedOn w:val="21"/>
    <w:link w:val="5"/>
    <w:qFormat/>
    <w:uiPriority w:val="9"/>
    <w:rPr>
      <w:rFonts w:eastAsia="楷体" w:asciiTheme="majorHAnsi" w:hAnsiTheme="majorHAnsi" w:cstheme="majorBidi"/>
      <w:b/>
      <w:bCs/>
      <w:sz w:val="32"/>
      <w:szCs w:val="32"/>
    </w:rPr>
  </w:style>
  <w:style w:type="character" w:customStyle="1" w:styleId="32">
    <w:name w:val="标题 3 Char"/>
    <w:basedOn w:val="21"/>
    <w:link w:val="6"/>
    <w:qFormat/>
    <w:uiPriority w:val="9"/>
    <w:rPr>
      <w:rFonts w:ascii="仿宋" w:hAnsi="仿宋" w:eastAsia="仿宋_GB2312" w:cs="Times New Roman"/>
      <w:b/>
      <w:bCs/>
      <w:sz w:val="32"/>
      <w:szCs w:val="32"/>
    </w:rPr>
  </w:style>
  <w:style w:type="character" w:customStyle="1" w:styleId="33">
    <w:name w:val="正文文本 Char"/>
    <w:basedOn w:val="21"/>
    <w:link w:val="8"/>
    <w:semiHidden/>
    <w:qFormat/>
    <w:uiPriority w:val="99"/>
    <w:rPr>
      <w:rFonts w:ascii="仿宋" w:hAnsi="仿宋" w:eastAsia="仿宋_GB2312"/>
      <w:sz w:val="32"/>
      <w:szCs w:val="32"/>
    </w:rPr>
  </w:style>
  <w:style w:type="character" w:customStyle="1" w:styleId="34">
    <w:name w:val="正文首行缩进 Char"/>
    <w:basedOn w:val="33"/>
    <w:link w:val="7"/>
    <w:qFormat/>
    <w:uiPriority w:val="0"/>
    <w:rPr>
      <w:rFonts w:ascii="仿宋" w:hAnsi="仿宋" w:eastAsia="楷体_GB2312" w:cs="Times New Roman"/>
      <w:kern w:val="0"/>
      <w:sz w:val="28"/>
      <w:szCs w:val="20"/>
    </w:rPr>
  </w:style>
  <w:style w:type="character" w:customStyle="1" w:styleId="35">
    <w:name w:val="正文文本缩进 Char"/>
    <w:basedOn w:val="21"/>
    <w:link w:val="3"/>
    <w:semiHidden/>
    <w:qFormat/>
    <w:uiPriority w:val="99"/>
    <w:rPr>
      <w:rFonts w:ascii="仿宋" w:hAnsi="仿宋" w:eastAsia="仿宋_GB2312"/>
      <w:sz w:val="32"/>
      <w:szCs w:val="32"/>
    </w:rPr>
  </w:style>
  <w:style w:type="character" w:customStyle="1" w:styleId="36">
    <w:name w:val="正文首行缩进 2 Char"/>
    <w:basedOn w:val="35"/>
    <w:link w:val="2"/>
    <w:semiHidden/>
    <w:qFormat/>
    <w:uiPriority w:val="99"/>
    <w:rPr>
      <w:rFonts w:ascii="仿宋" w:hAnsi="仿宋" w:eastAsia="仿宋_GB2312"/>
      <w:sz w:val="32"/>
      <w:szCs w:val="32"/>
    </w:rPr>
  </w:style>
  <w:style w:type="character" w:customStyle="1" w:styleId="37">
    <w:name w:val="脚注文本 Char"/>
    <w:basedOn w:val="21"/>
    <w:link w:val="17"/>
    <w:semiHidden/>
    <w:qFormat/>
    <w:uiPriority w:val="99"/>
    <w:rPr>
      <w:rFonts w:ascii="仿宋" w:hAnsi="仿宋" w:eastAsia="仿宋_GB2312"/>
      <w:sz w:val="18"/>
      <w:szCs w:val="18"/>
    </w:rPr>
  </w:style>
  <w:style w:type="table" w:customStyle="1" w:styleId="38">
    <w:name w:val="网格型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9">
    <w:name w:val="工信院正文"/>
    <w:basedOn w:val="1"/>
    <w:qFormat/>
    <w:uiPriority w:val="0"/>
    <w:pPr>
      <w:widowControl w:val="0"/>
      <w:spacing w:line="600" w:lineRule="exact"/>
      <w:ind w:firstLine="643"/>
    </w:pPr>
    <w:rPr>
      <w:rFonts w:ascii="Times New Roman" w:hAnsi="Times New Roman" w:cs="Times New Roman"/>
    </w:rPr>
  </w:style>
  <w:style w:type="paragraph" w:customStyle="1" w:styleId="40">
    <w:name w:val="List Paragraph"/>
    <w:basedOn w:val="1"/>
    <w:qFormat/>
    <w:uiPriority w:val="34"/>
    <w:pPr>
      <w:ind w:firstLine="420"/>
    </w:pPr>
  </w:style>
  <w:style w:type="character" w:customStyle="1" w:styleId="41">
    <w:name w:val="批注文字 Char"/>
    <w:basedOn w:val="21"/>
    <w:link w:val="11"/>
    <w:semiHidden/>
    <w:qFormat/>
    <w:uiPriority w:val="99"/>
    <w:rPr>
      <w:rFonts w:ascii="仿宋" w:hAnsi="仿宋" w:eastAsia="仿宋_GB2312"/>
      <w:sz w:val="32"/>
      <w:szCs w:val="32"/>
    </w:rPr>
  </w:style>
  <w:style w:type="character" w:customStyle="1" w:styleId="42">
    <w:name w:val="批注框文本 Char"/>
    <w:basedOn w:val="21"/>
    <w:link w:val="13"/>
    <w:semiHidden/>
    <w:qFormat/>
    <w:uiPriority w:val="99"/>
    <w:rPr>
      <w:rFonts w:ascii="仿宋" w:hAnsi="仿宋" w:eastAsia="仿宋_GB2312"/>
      <w:sz w:val="18"/>
      <w:szCs w:val="18"/>
    </w:rPr>
  </w:style>
  <w:style w:type="paragraph" w:customStyle="1" w:styleId="43">
    <w:name w:val="TOC 标题1"/>
    <w:basedOn w:val="4"/>
    <w:next w:val="1"/>
    <w:unhideWhenUsed/>
    <w:qFormat/>
    <w:uiPriority w:val="39"/>
    <w:pPr>
      <w:spacing w:before="240" w:after="0" w:line="259" w:lineRule="auto"/>
      <w:ind w:firstLine="0" w:firstLineChars="0"/>
      <w:jc w:val="left"/>
      <w:outlineLvl w:val="9"/>
    </w:pPr>
    <w:rPr>
      <w:rFonts w:asciiTheme="majorHAnsi" w:hAnsiTheme="majorHAnsi" w:eastAsiaTheme="majorEastAsia" w:cstheme="majorBidi"/>
      <w:bCs w:val="0"/>
      <w:color w:val="2E75B5" w:themeColor="accent1" w:themeShade="BF"/>
      <w:kern w:val="0"/>
      <w:szCs w:val="32"/>
    </w:rPr>
  </w:style>
  <w:style w:type="character" w:customStyle="1" w:styleId="44">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2270;&#34920;%20&#22312;%20&#33609;&#31295;1.doc"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2270;&#34920;%20&#22312;%20&#33609;&#31295;1.doc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'[图表 在 草稿1.doc]Sheet1'!$B$26</c:f>
              <c:strCache>
                <c:ptCount val="1"/>
                <c:pt idx="0">
                  <c:v>健康产业增加值（亿元）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'[图表 在 草稿1.doc]Sheet1'!$C$25:$G$25</c:f>
              <c:numCache>
                <c:formatCode>General</c:formatCode>
                <c:ptCount val="5"/>
                <c:pt idx="0">
                  <c:v>2015</c:v>
                </c:pt>
                <c:pt idx="1">
                  <c:v>2016</c:v>
                </c:pt>
                <c:pt idx="2">
                  <c:v>2017</c:v>
                </c:pt>
                <c:pt idx="3">
                  <c:v>2018</c:v>
                </c:pt>
                <c:pt idx="4">
                  <c:v>2019</c:v>
                </c:pt>
              </c:numCache>
            </c:numRef>
          </c:cat>
          <c:val>
            <c:numRef>
              <c:f>'[图表 在 草稿1.doc]Sheet1'!$C$26:$G$26</c:f>
              <c:numCache>
                <c:formatCode>General</c:formatCode>
                <c:ptCount val="5"/>
                <c:pt idx="0">
                  <c:v>1978</c:v>
                </c:pt>
                <c:pt idx="1">
                  <c:v>2263</c:v>
                </c:pt>
                <c:pt idx="2">
                  <c:v>2597</c:v>
                </c:pt>
                <c:pt idx="3">
                  <c:v>3382</c:v>
                </c:pt>
                <c:pt idx="4">
                  <c:v>3719</c:v>
                </c:pt>
              </c:numCache>
            </c:numRef>
          </c:val>
        </c:ser>
        <c:dLbls>
          <c:showLegendKey val="0"/>
          <c:showVal val="1"/>
          <c:showCatName val="0"/>
          <c:showSerName val="0"/>
          <c:showPercent val="0"/>
          <c:showBubbleSize val="0"/>
        </c:dLbls>
        <c:gapWidth val="219"/>
        <c:overlap val="-27"/>
        <c:axId val="132064384"/>
        <c:axId val="132096384"/>
      </c:barChart>
      <c:lineChart>
        <c:grouping val="standard"/>
        <c:varyColors val="0"/>
        <c:ser>
          <c:idx val="1"/>
          <c:order val="1"/>
          <c:tx>
            <c:strRef>
              <c:f>'[图表 在 草稿1.doc]Sheet1'!$B$27</c:f>
              <c:strCache>
                <c:ptCount val="1"/>
                <c:pt idx="0">
                  <c:v>占GDP比重（%）</c:v>
                </c:pt>
              </c:strCache>
            </c:strRef>
          </c:tx>
          <c:spPr>
            <a:ln w="28575" cap="rnd" cmpd="sng" algn="ctr">
              <a:solidFill>
                <a:schemeClr val="accent2"/>
              </a:solidFill>
              <a:prstDash val="solid"/>
              <a:round/>
            </a:ln>
            <a:effectLst/>
          </c:spPr>
          <c:marker>
            <c:symbol val="none"/>
          </c:marker>
          <c:dLbls>
            <c:dLbl>
              <c:idx val="0"/>
              <c:layout>
                <c:manualLayout>
                  <c:x val="-0.0394306649168854"/>
                  <c:y val="-0.03931722076407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94306649168854"/>
                  <c:y val="-0.03931722076407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9444444444444"/>
                  <c:y val="-0.048576480023330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94306649168855"/>
                  <c:y val="-0.043946850393700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99444444444444"/>
                  <c:y val="-0.043946850393700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'[图表 在 草稿1.doc]Sheet1'!$C$25:$G$25</c:f>
              <c:numCache>
                <c:formatCode>General</c:formatCode>
                <c:ptCount val="5"/>
                <c:pt idx="0">
                  <c:v>2015</c:v>
                </c:pt>
                <c:pt idx="1">
                  <c:v>2016</c:v>
                </c:pt>
                <c:pt idx="2">
                  <c:v>2017</c:v>
                </c:pt>
                <c:pt idx="3">
                  <c:v>2018</c:v>
                </c:pt>
                <c:pt idx="4">
                  <c:v>2019</c:v>
                </c:pt>
              </c:numCache>
            </c:numRef>
          </c:cat>
          <c:val>
            <c:numRef>
              <c:f>'[图表 在 草稿1.doc]Sheet1'!$C$27:$G$27</c:f>
              <c:numCache>
                <c:formatCode>General</c:formatCode>
                <c:ptCount val="5"/>
                <c:pt idx="0">
                  <c:v>4.6</c:v>
                </c:pt>
                <c:pt idx="1">
                  <c:v>4.8</c:v>
                </c:pt>
                <c:pt idx="2">
                  <c:v>5</c:v>
                </c:pt>
                <c:pt idx="3">
                  <c:v>5.8</c:v>
                </c:pt>
                <c:pt idx="4">
                  <c:v>6</c:v>
                </c:pt>
              </c:numCache>
            </c:numRef>
          </c:val>
          <c:smooth val="0"/>
        </c:ser>
        <c:dLbls>
          <c:showLegendKey val="0"/>
          <c:showVal val="1"/>
          <c:showCatName val="0"/>
          <c:showSerName val="0"/>
          <c:showPercent val="0"/>
          <c:showBubbleSize val="0"/>
        </c:dLbls>
        <c:marker val="0"/>
        <c:smooth val="0"/>
        <c:axId val="132099072"/>
        <c:axId val="132139264"/>
      </c:lineChart>
      <c:catAx>
        <c:axId val="132064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096384"/>
        <c:crosses val="autoZero"/>
        <c:auto val="1"/>
        <c:lblAlgn val="ctr"/>
        <c:lblOffset val="100"/>
        <c:noMultiLvlLbl val="0"/>
      </c:catAx>
      <c:valAx>
        <c:axId val="1320963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064384"/>
        <c:crosses val="autoZero"/>
        <c:crossBetween val="between"/>
      </c:valAx>
      <c:catAx>
        <c:axId val="132099072"/>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139264"/>
        <c:crosses val="autoZero"/>
        <c:auto val="1"/>
        <c:lblAlgn val="ctr"/>
        <c:lblOffset val="100"/>
        <c:noMultiLvlLbl val="0"/>
      </c:catAx>
      <c:valAx>
        <c:axId val="132139264"/>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09907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lgn="just">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manualLayout>
          <c:layoutTarget val="inner"/>
          <c:xMode val="edge"/>
          <c:yMode val="edge"/>
          <c:x val="0.0788419175095853"/>
          <c:y val="0.148582991266339"/>
          <c:w val="0.876730492183154"/>
          <c:h val="0.625398866922025"/>
        </c:manualLayout>
      </c:layout>
      <c:barChart>
        <c:barDir val="col"/>
        <c:grouping val="clustered"/>
        <c:varyColors val="0"/>
        <c:ser>
          <c:idx val="0"/>
          <c:order val="0"/>
          <c:tx>
            <c:strRef>
              <c:f>'[图表 在 草稿1.doc1]Sheet1'!$C$29</c:f>
              <c:strCache>
                <c:ptCount val="1"/>
                <c:pt idx="0">
                  <c:v>健康产业总产出（亿元）</c:v>
                </c:pt>
              </c:strCache>
            </c:strRef>
          </c:tx>
          <c:spPr>
            <a:solidFill>
              <a:schemeClr val="accent1"/>
            </a:solidFill>
            <a:ln>
              <a:noFill/>
            </a:ln>
            <a:effectLst/>
          </c:spPr>
          <c:invertIfNegative val="0"/>
          <c:dLbls>
            <c:dLbl>
              <c:idx val="1"/>
              <c:layout>
                <c:manualLayout>
                  <c:x val="0"/>
                  <c:y val="0.02125398512221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8501594048884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850159404888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275239107332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0425079702444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94735068206386e-17"/>
                  <c:y val="0.01275239107332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212539851222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488042947779405"/>
                  <c:y val="0.01700318809776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94735068206386e-17"/>
                  <c:y val="0.004250797024442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0170031880977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44021473889702"/>
                  <c:y val="0.0170031880977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'[图表 在 草稿1.doc1]Sheet1'!$B$30:$B$41</c:f>
              <c:strCache>
                <c:ptCount val="12"/>
                <c:pt idx="1">
                  <c:v>杭州</c:v>
                </c:pt>
                <c:pt idx="2">
                  <c:v>宁波</c:v>
                </c:pt>
                <c:pt idx="3">
                  <c:v>温州</c:v>
                </c:pt>
                <c:pt idx="4">
                  <c:v>嘉兴</c:v>
                </c:pt>
                <c:pt idx="5">
                  <c:v>湖州</c:v>
                </c:pt>
                <c:pt idx="6">
                  <c:v>绍兴</c:v>
                </c:pt>
                <c:pt idx="7">
                  <c:v>金华</c:v>
                </c:pt>
                <c:pt idx="8">
                  <c:v>衢州</c:v>
                </c:pt>
                <c:pt idx="9">
                  <c:v>舟山</c:v>
                </c:pt>
                <c:pt idx="10">
                  <c:v>台州</c:v>
                </c:pt>
                <c:pt idx="11">
                  <c:v>丽水</c:v>
                </c:pt>
              </c:strCache>
            </c:strRef>
          </c:cat>
          <c:val>
            <c:numRef>
              <c:f>'[图表 在 草稿1.doc1]Sheet1'!$C$30:$C$41</c:f>
              <c:numCache>
                <c:formatCode>General</c:formatCode>
                <c:ptCount val="12"/>
                <c:pt idx="1">
                  <c:v>2869.12</c:v>
                </c:pt>
                <c:pt idx="2">
                  <c:v>1350.55</c:v>
                </c:pt>
                <c:pt idx="3">
                  <c:v>802.95</c:v>
                </c:pt>
                <c:pt idx="4">
                  <c:v>541.059999999999</c:v>
                </c:pt>
                <c:pt idx="5">
                  <c:v>370.21</c:v>
                </c:pt>
                <c:pt idx="6">
                  <c:v>834.87</c:v>
                </c:pt>
                <c:pt idx="7">
                  <c:v>721.83</c:v>
                </c:pt>
                <c:pt idx="8">
                  <c:v>202.02</c:v>
                </c:pt>
                <c:pt idx="9">
                  <c:v>126.31</c:v>
                </c:pt>
                <c:pt idx="10">
                  <c:v>858.13</c:v>
                </c:pt>
                <c:pt idx="11">
                  <c:v>233.13</c:v>
                </c:pt>
              </c:numCache>
            </c:numRef>
          </c:val>
        </c:ser>
        <c:ser>
          <c:idx val="1"/>
          <c:order val="1"/>
          <c:tx>
            <c:strRef>
              <c:f>'[图表 在 草稿1.doc1]Sheet1'!$D$29</c:f>
              <c:strCache>
                <c:ptCount val="1"/>
                <c:pt idx="0">
                  <c:v>健康产业增加值</c:v>
                </c:pt>
              </c:strCache>
            </c:strRef>
          </c:tx>
          <c:spPr>
            <a:solidFill>
              <a:schemeClr val="accent2"/>
            </a:solidFill>
            <a:ln>
              <a:noFill/>
            </a:ln>
            <a:effectLst/>
          </c:spPr>
          <c:invertIfNegative val="0"/>
          <c:dLbls>
            <c:dLbl>
              <c:idx val="0"/>
              <c:delete val="1"/>
            </c:dLbl>
            <c:dLbl>
              <c:idx val="1"/>
              <c:layout>
                <c:manualLayout>
                  <c:x val="-2.23683767051597e-17"/>
                  <c:y val="0.0170031880977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125398512221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47367534103194e-17"/>
                  <c:y val="0.01275239107332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47367534103194e-17"/>
                  <c:y val="0.01700318809776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275239107332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275239107332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1275239107332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732064421669098"/>
                  <c:y val="0.02550478214665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976085895558801"/>
                  <c:y val="0.02125398512221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488042947779405"/>
                  <c:y val="0.02550478214665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488042947779405"/>
                  <c:y val="0.02550478214665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'[图表 在 草稿1.doc1]Sheet1'!$B$30:$B$41</c:f>
              <c:strCache>
                <c:ptCount val="12"/>
                <c:pt idx="1">
                  <c:v>杭州</c:v>
                </c:pt>
                <c:pt idx="2">
                  <c:v>宁波</c:v>
                </c:pt>
                <c:pt idx="3">
                  <c:v>温州</c:v>
                </c:pt>
                <c:pt idx="4">
                  <c:v>嘉兴</c:v>
                </c:pt>
                <c:pt idx="5">
                  <c:v>湖州</c:v>
                </c:pt>
                <c:pt idx="6">
                  <c:v>绍兴</c:v>
                </c:pt>
                <c:pt idx="7">
                  <c:v>金华</c:v>
                </c:pt>
                <c:pt idx="8">
                  <c:v>衢州</c:v>
                </c:pt>
                <c:pt idx="9">
                  <c:v>舟山</c:v>
                </c:pt>
                <c:pt idx="10">
                  <c:v>台州</c:v>
                </c:pt>
                <c:pt idx="11">
                  <c:v>丽水</c:v>
                </c:pt>
              </c:strCache>
            </c:strRef>
          </c:cat>
          <c:val>
            <c:numRef>
              <c:f>'[图表 在 草稿1.doc1]Sheet1'!$D$30:$D$41</c:f>
              <c:numCache>
                <c:formatCode>General</c:formatCode>
                <c:ptCount val="12"/>
                <c:pt idx="0">
                  <c:v>0</c:v>
                </c:pt>
                <c:pt idx="1">
                  <c:v>1122.97</c:v>
                </c:pt>
                <c:pt idx="2">
                  <c:v>534.33</c:v>
                </c:pt>
                <c:pt idx="3">
                  <c:v>384.25</c:v>
                </c:pt>
                <c:pt idx="4">
                  <c:v>217.71</c:v>
                </c:pt>
                <c:pt idx="5">
                  <c:v>148.99</c:v>
                </c:pt>
                <c:pt idx="6">
                  <c:v>335.24</c:v>
                </c:pt>
                <c:pt idx="7">
                  <c:v>284.65</c:v>
                </c:pt>
                <c:pt idx="8">
                  <c:v>94.45</c:v>
                </c:pt>
                <c:pt idx="9">
                  <c:v>55.62</c:v>
                </c:pt>
                <c:pt idx="10">
                  <c:v>363.2</c:v>
                </c:pt>
                <c:pt idx="11">
                  <c:v>105.58</c:v>
                </c:pt>
              </c:numCache>
            </c:numRef>
          </c:val>
        </c:ser>
        <c:dLbls>
          <c:showLegendKey val="0"/>
          <c:showVal val="1"/>
          <c:showCatName val="0"/>
          <c:showSerName val="0"/>
          <c:showPercent val="0"/>
          <c:showBubbleSize val="0"/>
        </c:dLbls>
        <c:gapWidth val="219"/>
        <c:overlap val="-27"/>
        <c:axId val="131145088"/>
        <c:axId val="131171456"/>
      </c:barChart>
      <c:lineChart>
        <c:grouping val="standard"/>
        <c:varyColors val="0"/>
        <c:ser>
          <c:idx val="2"/>
          <c:order val="2"/>
          <c:tx>
            <c:strRef>
              <c:f>'[图表 在 草稿1.doc1]Sheet1'!$E$29</c:f>
              <c:strCache>
                <c:ptCount val="1"/>
                <c:pt idx="0">
                  <c:v>占GDP比重（%）</c:v>
                </c:pt>
              </c:strCache>
            </c:strRef>
          </c:tx>
          <c:spPr>
            <a:ln w="28575" cap="rnd" cmpd="sng" algn="ctr">
              <a:solidFill>
                <a:schemeClr val="accent3"/>
              </a:solidFill>
              <a:prstDash val="solid"/>
              <a:round/>
            </a:ln>
            <a:effectLst/>
          </c:spPr>
          <c:marker>
            <c:symbol val="none"/>
          </c:marker>
          <c:dLbls>
            <c:dLbl>
              <c:idx val="1"/>
              <c:layout>
                <c:manualLayout>
                  <c:x val="-0.0331016090045846"/>
                  <c:y val="-0.037757788246713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82211795267905"/>
                  <c:y val="-0.04625938229559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31016090045846"/>
                  <c:y val="-0.042008585271155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6895047709081"/>
                  <c:y val="-0.042008585271155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31016090045846"/>
                  <c:y val="-0.042008585271155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331016090045845"/>
                  <c:y val="-0.037757788246713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56895047709081"/>
                  <c:y val="-0.037757788246713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331016090045845"/>
                  <c:y val="-0.037757788246713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306613942656875"/>
                  <c:y val="-0.037757788246713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spAutoFit/>
              </a:bodyPr>
              <a:lstStyle/>
              <a:p>
                <a:pPr>
                  <a:defRPr lang="zh-CN" sz="8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'[图表 在 草稿1.doc1]Sheet1'!$B$30:$B$41</c:f>
              <c:strCache>
                <c:ptCount val="12"/>
                <c:pt idx="1">
                  <c:v>杭州</c:v>
                </c:pt>
                <c:pt idx="2">
                  <c:v>宁波</c:v>
                </c:pt>
                <c:pt idx="3">
                  <c:v>温州</c:v>
                </c:pt>
                <c:pt idx="4">
                  <c:v>嘉兴</c:v>
                </c:pt>
                <c:pt idx="5">
                  <c:v>湖州</c:v>
                </c:pt>
                <c:pt idx="6">
                  <c:v>绍兴</c:v>
                </c:pt>
                <c:pt idx="7">
                  <c:v>金华</c:v>
                </c:pt>
                <c:pt idx="8">
                  <c:v>衢州</c:v>
                </c:pt>
                <c:pt idx="9">
                  <c:v>舟山</c:v>
                </c:pt>
                <c:pt idx="10">
                  <c:v>台州</c:v>
                </c:pt>
                <c:pt idx="11">
                  <c:v>丽水</c:v>
                </c:pt>
              </c:strCache>
            </c:strRef>
          </c:cat>
          <c:val>
            <c:numRef>
              <c:f>'[图表 在 草稿1.doc1]Sheet1'!$E$30:$E$41</c:f>
              <c:numCache>
                <c:formatCode>General</c:formatCode>
                <c:ptCount val="12"/>
                <c:pt idx="1">
                  <c:v>7.3</c:v>
                </c:pt>
                <c:pt idx="2">
                  <c:v>4.4</c:v>
                </c:pt>
                <c:pt idx="3">
                  <c:v>5.8</c:v>
                </c:pt>
                <c:pt idx="4">
                  <c:v>4</c:v>
                </c:pt>
                <c:pt idx="5">
                  <c:v>4.8</c:v>
                </c:pt>
                <c:pt idx="6">
                  <c:v>5.8</c:v>
                </c:pt>
                <c:pt idx="7">
                  <c:v>6.2</c:v>
                </c:pt>
                <c:pt idx="8">
                  <c:v>6</c:v>
                </c:pt>
                <c:pt idx="9">
                  <c:v>4.1</c:v>
                </c:pt>
                <c:pt idx="10">
                  <c:v>7.1</c:v>
                </c:pt>
                <c:pt idx="11">
                  <c:v>7.1</c:v>
                </c:pt>
              </c:numCache>
            </c:numRef>
          </c:val>
          <c:smooth val="0"/>
        </c:ser>
        <c:dLbls>
          <c:showLegendKey val="0"/>
          <c:showVal val="1"/>
          <c:showCatName val="0"/>
          <c:showSerName val="0"/>
          <c:showPercent val="0"/>
          <c:showBubbleSize val="0"/>
        </c:dLbls>
        <c:marker val="0"/>
        <c:smooth val="0"/>
        <c:axId val="131172992"/>
        <c:axId val="131465600"/>
      </c:lineChart>
      <c:catAx>
        <c:axId val="1311450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171456"/>
        <c:crosses val="autoZero"/>
        <c:auto val="1"/>
        <c:lblAlgn val="ctr"/>
        <c:lblOffset val="100"/>
        <c:noMultiLvlLbl val="0"/>
      </c:catAx>
      <c:valAx>
        <c:axId val="1311714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145088"/>
        <c:crosses val="autoZero"/>
        <c:crossBetween val="between"/>
      </c:valAx>
      <c:catAx>
        <c:axId val="131172992"/>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465600"/>
        <c:crosses val="autoZero"/>
        <c:auto val="1"/>
        <c:lblAlgn val="ctr"/>
        <c:lblOffset val="100"/>
        <c:noMultiLvlLbl val="0"/>
      </c:catAx>
      <c:valAx>
        <c:axId val="131465600"/>
        <c:scaling>
          <c:orientation val="minMax"/>
        </c:scaling>
        <c:delete val="0"/>
        <c:axPos val="r"/>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172992"/>
        <c:crosses val="max"/>
        <c:crossBetween val="between"/>
      </c:valAx>
      <c:spPr>
        <a:noFill/>
        <a:ln>
          <a:noFill/>
        </a:ln>
        <a:effectLst/>
      </c:spPr>
    </c:plotArea>
    <c:legend>
      <c:legendPos val="b"/>
      <c:layout>
        <c:manualLayout>
          <c:xMode val="edge"/>
          <c:yMode val="edge"/>
          <c:x val="0.0681340564520433"/>
          <c:y val="0.86445021582044"/>
          <c:w val="0.873412429206272"/>
          <c:h val="0.064166202403368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02955-7D62-487E-823F-B1A4CDA0C53B}">
  <ds:schemaRefs/>
</ds:datastoreItem>
</file>

<file path=docProps/app.xml><?xml version="1.0" encoding="utf-8"?>
<Properties xmlns="http://schemas.openxmlformats.org/officeDocument/2006/extended-properties" xmlns:vt="http://schemas.openxmlformats.org/officeDocument/2006/docPropsVTypes">
  <Template>Normal</Template>
  <Pages>50</Pages>
  <Words>4743</Words>
  <Characters>27040</Characters>
  <Lines>225</Lines>
  <Paragraphs>63</Paragraphs>
  <ScaleCrop>false</ScaleCrop>
  <LinksUpToDate>false</LinksUpToDate>
  <CharactersWithSpaces>31720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2021-02-09T10:06:00Z</dcterms:created>
  <dc:creator>admin</dc:creator>
  <cp:lastModifiedBy>文印室1</cp:lastModifiedBy>
  <cp:lastPrinted>2021-03-15T09:21:00Z</cp:lastPrinted>
  <dcterms:modified xsi:type="dcterms:W3CDTF">2021-03-16T06:26:02Z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