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201</w:t>
      </w:r>
      <w:r>
        <w:rPr>
          <w:rFonts w:hint="eastAsia" w:eastAsia="黑体"/>
          <w:b/>
          <w:sz w:val="44"/>
          <w:szCs w:val="44"/>
          <w:lang w:val="en-US" w:eastAsia="zh-CN"/>
        </w:rPr>
        <w:t>8</w:t>
      </w:r>
      <w:r>
        <w:rPr>
          <w:rFonts w:eastAsia="黑体"/>
          <w:b/>
          <w:sz w:val="44"/>
          <w:szCs w:val="44"/>
        </w:rPr>
        <w:t>年绍兴市越城区</w:t>
      </w:r>
      <w:r>
        <w:rPr>
          <w:rFonts w:hint="eastAsia" w:eastAsia="黑体"/>
          <w:b/>
          <w:sz w:val="44"/>
          <w:szCs w:val="44"/>
          <w:lang w:eastAsia="zh-CN"/>
        </w:rPr>
        <w:t>北海街道</w:t>
      </w:r>
      <w:r>
        <w:rPr>
          <w:rFonts w:eastAsia="黑体"/>
          <w:b/>
          <w:sz w:val="44"/>
          <w:szCs w:val="44"/>
        </w:rPr>
        <w:t>政府信息公开</w:t>
      </w:r>
    </w:p>
    <w:p>
      <w:pPr>
        <w:snapToGrid w:val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年  报</w:t>
      </w:r>
    </w:p>
    <w:p>
      <w:pPr>
        <w:snapToGrid w:val="0"/>
        <w:jc w:val="center"/>
        <w:rPr>
          <w:sz w:val="24"/>
        </w:rPr>
      </w:pPr>
      <w:r>
        <w:rPr>
          <w:sz w:val="24"/>
        </w:rPr>
        <w:t>(201</w:t>
      </w: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25</w:t>
      </w:r>
      <w:r>
        <w:rPr>
          <w:sz w:val="24"/>
        </w:rPr>
        <w:t>日)</w:t>
      </w:r>
    </w:p>
    <w:p>
      <w:pPr>
        <w:snapToGrid w:val="0"/>
        <w:rPr>
          <w:sz w:val="24"/>
        </w:rPr>
      </w:pP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引  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本年报是根据《中华人民共和国政府信息公开条例》（以下简称《条例》）要求，</w:t>
      </w:r>
      <w:r>
        <w:rPr>
          <w:rFonts w:hint="eastAsia"/>
          <w:color w:val="000000"/>
          <w:sz w:val="24"/>
          <w:szCs w:val="22"/>
          <w:lang w:val="en-US" w:eastAsia="zh-CN"/>
        </w:rPr>
        <w:t>由绍兴市越城区北海街道编制的</w:t>
      </w:r>
      <w:r>
        <w:rPr>
          <w:color w:val="000000"/>
          <w:sz w:val="24"/>
          <w:szCs w:val="22"/>
        </w:rPr>
        <w:t>201</w:t>
      </w:r>
      <w:r>
        <w:rPr>
          <w:rFonts w:hint="eastAsia"/>
          <w:color w:val="000000"/>
          <w:sz w:val="24"/>
          <w:szCs w:val="22"/>
          <w:lang w:val="en-US" w:eastAsia="zh-CN"/>
        </w:rPr>
        <w:t>8</w:t>
      </w:r>
      <w:r>
        <w:rPr>
          <w:color w:val="000000"/>
          <w:sz w:val="24"/>
          <w:szCs w:val="22"/>
        </w:rPr>
        <w:t>年政府信息公开年度报告。全文包括主动公开政府信息情况，依申请公开政府信息情况，咨询处理情况，复议、诉讼和申诉的情况（公民、法人和其他组织就政府信息公开提出复议、诉讼和申诉情况），政府信息公开收费情况，存在的主要问题和改进措施等。我</w:t>
      </w:r>
      <w:r>
        <w:rPr>
          <w:rFonts w:hint="eastAsia"/>
          <w:color w:val="000000"/>
          <w:sz w:val="24"/>
          <w:szCs w:val="22"/>
          <w:lang w:eastAsia="zh-CN"/>
        </w:rPr>
        <w:t>街道</w:t>
      </w:r>
      <w:r>
        <w:rPr>
          <w:color w:val="000000"/>
          <w:sz w:val="24"/>
          <w:szCs w:val="22"/>
        </w:rPr>
        <w:t>政府信息公开网站(http://xxgk.sxyc.gov.cn)上可下载本报告的电子版。如对本报告有任何疑问，请联系：</w:t>
      </w:r>
      <w:r>
        <w:rPr>
          <w:rFonts w:hint="eastAsia"/>
          <w:color w:val="000000"/>
          <w:sz w:val="24"/>
          <w:szCs w:val="22"/>
          <w:lang w:eastAsia="zh-CN"/>
        </w:rPr>
        <w:t>街道党政办</w:t>
      </w:r>
      <w:r>
        <w:rPr>
          <w:rFonts w:hint="eastAsia"/>
          <w:color w:val="000000"/>
          <w:sz w:val="24"/>
          <w:szCs w:val="22"/>
          <w:lang w:val="en-US" w:eastAsia="zh-CN"/>
        </w:rPr>
        <w:t>85171900</w:t>
      </w:r>
      <w:r>
        <w:rPr>
          <w:color w:val="000000"/>
          <w:sz w:val="24"/>
          <w:szCs w:val="22"/>
        </w:rPr>
        <w:t>。</w:t>
      </w:r>
    </w:p>
    <w:p>
      <w:pPr>
        <w:snapToGrid w:val="0"/>
        <w:spacing w:line="360" w:lineRule="auto"/>
        <w:ind w:firstLine="480" w:firstLineChars="200"/>
        <w:rPr>
          <w:color w:val="000000"/>
          <w:sz w:val="24"/>
        </w:rPr>
      </w:pP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一 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本街道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自</w:t>
      </w:r>
      <w:r>
        <w:rPr>
          <w:color w:val="000000"/>
          <w:sz w:val="24"/>
        </w:rPr>
        <w:t>201</w:t>
      </w:r>
      <w:r>
        <w:rPr>
          <w:rFonts w:hint="eastAsia"/>
          <w:color w:val="000000"/>
          <w:sz w:val="24"/>
          <w:lang w:val="en-US" w:eastAsia="zh-CN"/>
        </w:rPr>
        <w:t>8</w:t>
      </w:r>
      <w:r>
        <w:rPr>
          <w:color w:val="000000"/>
          <w:sz w:val="24"/>
        </w:rPr>
        <w:t>年1月1日</w:t>
      </w:r>
      <w:r>
        <w:rPr>
          <w:iCs/>
          <w:color w:val="000000"/>
          <w:sz w:val="24"/>
        </w:rPr>
        <w:t>到</w:t>
      </w:r>
      <w:r>
        <w:rPr>
          <w:color w:val="000000"/>
          <w:sz w:val="24"/>
        </w:rPr>
        <w:t>12月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31日累计主动公开政府信息3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67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条，电子化全文公开率达100%。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在主动公开的信息中，其中政策文件类的信息1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条，占总体的比例为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3.27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%。政务动态类的信息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213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条，占总体的比例为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55.56</w:t>
      </w:r>
      <w:r>
        <w:rPr>
          <w:rFonts w:hint="default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%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；通知公告类的信息8条，占总体的比例为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2.18</w:t>
      </w:r>
      <w:r>
        <w:rPr>
          <w:rFonts w:hint="default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%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；建设项目招投标类信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143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条，占总体的比例为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38.96</w:t>
      </w:r>
      <w:r>
        <w:rPr>
          <w:rFonts w:hint="default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本年度总共栏目数为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个（二级目录）。</w:t>
      </w: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二、依申请公开政府信息情况</w:t>
      </w:r>
    </w:p>
    <w:p>
      <w:pPr>
        <w:snapToGrid w:val="0"/>
        <w:spacing w:line="360" w:lineRule="auto"/>
        <w:ind w:firstLine="480"/>
        <w:rPr>
          <w:iCs/>
          <w:color w:val="000000"/>
          <w:sz w:val="24"/>
        </w:rPr>
      </w:pPr>
      <w:r>
        <w:rPr>
          <w:color w:val="000000"/>
          <w:kern w:val="0"/>
          <w:sz w:val="24"/>
        </w:rPr>
        <w:t>本</w:t>
      </w:r>
      <w:r>
        <w:rPr>
          <w:rFonts w:hint="eastAsia"/>
          <w:color w:val="000000"/>
          <w:kern w:val="0"/>
          <w:sz w:val="24"/>
          <w:lang w:eastAsia="zh-CN"/>
        </w:rPr>
        <w:t>街道</w:t>
      </w:r>
      <w:r>
        <w:rPr>
          <w:color w:val="000000"/>
          <w:kern w:val="0"/>
          <w:sz w:val="24"/>
        </w:rPr>
        <w:t>201</w:t>
      </w:r>
      <w:r>
        <w:rPr>
          <w:rFonts w:hint="eastAsia"/>
          <w:color w:val="000000"/>
          <w:kern w:val="0"/>
          <w:sz w:val="24"/>
          <w:lang w:val="en-US" w:eastAsia="zh-CN"/>
        </w:rPr>
        <w:t>8</w:t>
      </w:r>
      <w:r>
        <w:rPr>
          <w:color w:val="000000"/>
          <w:kern w:val="0"/>
          <w:sz w:val="24"/>
        </w:rPr>
        <w:t>年共受理信息公开申请</w:t>
      </w:r>
      <w:r>
        <w:rPr>
          <w:rFonts w:hint="eastAsia"/>
          <w:color w:val="000000"/>
          <w:kern w:val="0"/>
          <w:sz w:val="24"/>
          <w:lang w:val="en-US" w:eastAsia="zh-CN"/>
        </w:rPr>
        <w:t>1</w:t>
      </w:r>
      <w:r>
        <w:rPr>
          <w:color w:val="000000"/>
          <w:kern w:val="0"/>
          <w:sz w:val="24"/>
        </w:rPr>
        <w:t>件。</w:t>
      </w:r>
    </w:p>
    <w:p>
      <w:pPr>
        <w:snapToGrid w:val="0"/>
        <w:spacing w:line="360" w:lineRule="auto"/>
        <w:jc w:val="center"/>
        <w:rPr>
          <w:color w:val="000000"/>
          <w:sz w:val="24"/>
        </w:rPr>
      </w:pP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三、咨询处理情况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本街道201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年共接受群众咨询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18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次，其中电话咨询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13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次，当面咨询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次，网上咨询（政务意见箱）0次。</w:t>
      </w: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四、复议、诉讼和申诉情况</w:t>
      </w:r>
    </w:p>
    <w:p>
      <w:pPr>
        <w:snapToGrid w:val="0"/>
        <w:spacing w:line="360" w:lineRule="auto"/>
        <w:ind w:firstLine="480" w:firstLineChars="200"/>
        <w:rPr>
          <w:rFonts w:eastAsia="黑体"/>
          <w:color w:val="000000"/>
          <w:sz w:val="24"/>
        </w:rPr>
      </w:pPr>
      <w:r>
        <w:rPr>
          <w:color w:val="000000"/>
          <w:kern w:val="0"/>
          <w:sz w:val="24"/>
        </w:rPr>
        <w:t>本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/>
        </w:rPr>
        <w:t>街道</w:t>
      </w:r>
      <w:r>
        <w:rPr>
          <w:color w:val="000000"/>
          <w:kern w:val="0"/>
          <w:sz w:val="24"/>
        </w:rPr>
        <w:t>201</w:t>
      </w:r>
      <w:r>
        <w:rPr>
          <w:rFonts w:hint="eastAsia"/>
          <w:color w:val="000000"/>
          <w:kern w:val="0"/>
          <w:sz w:val="24"/>
          <w:lang w:val="en-US" w:eastAsia="zh-CN"/>
        </w:rPr>
        <w:t>8</w:t>
      </w:r>
      <w:r>
        <w:rPr>
          <w:color w:val="000000"/>
          <w:kern w:val="0"/>
          <w:sz w:val="24"/>
        </w:rPr>
        <w:t>年发生针对本部门有关政府信息公开事务的行政复议案</w:t>
      </w:r>
      <w:r>
        <w:rPr>
          <w:rFonts w:hint="eastAsia"/>
          <w:color w:val="000000"/>
          <w:kern w:val="0"/>
          <w:sz w:val="24"/>
          <w:lang w:val="en-US" w:eastAsia="zh-CN"/>
        </w:rPr>
        <w:t>0</w:t>
      </w:r>
      <w:r>
        <w:rPr>
          <w:color w:val="000000"/>
          <w:kern w:val="0"/>
          <w:sz w:val="24"/>
        </w:rPr>
        <w:t>件；发生针对本部门有关政府信息公开事务的行政诉讼案</w:t>
      </w:r>
      <w:r>
        <w:rPr>
          <w:rFonts w:hint="eastAsia"/>
          <w:color w:val="000000"/>
          <w:kern w:val="0"/>
          <w:sz w:val="24"/>
          <w:lang w:val="en-US" w:eastAsia="zh-CN"/>
        </w:rPr>
        <w:t>0</w:t>
      </w:r>
      <w:r>
        <w:rPr>
          <w:color w:val="000000"/>
          <w:kern w:val="0"/>
          <w:sz w:val="24"/>
        </w:rPr>
        <w:t>件</w:t>
      </w:r>
      <w:r>
        <w:rPr>
          <w:color w:val="000000"/>
          <w:sz w:val="24"/>
        </w:rPr>
        <w:t>。</w:t>
      </w: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五、政府信息公开收费情况</w:t>
      </w:r>
    </w:p>
    <w:p>
      <w:pPr>
        <w:snapToGrid w:val="0"/>
        <w:spacing w:line="360" w:lineRule="auto"/>
        <w:ind w:firstLine="480" w:firstLineChars="200"/>
        <w:rPr>
          <w:iCs/>
          <w:color w:val="000000"/>
          <w:sz w:val="24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</w:rPr>
        <w:t>对公民、法人和其他组织的收费情况：无任何有关的收费情况。</w:t>
      </w: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</w:p>
    <w:p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六、存在的主要问题和改进措施</w:t>
      </w:r>
    </w:p>
    <w:p>
      <w:pPr>
        <w:snapToGrid w:val="0"/>
        <w:spacing w:line="360" w:lineRule="auto"/>
        <w:ind w:firstLine="480" w:firstLineChars="200"/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我街道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2018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年度政府信息公开存在的主要问题：对工作类信息能及时公开、主动公开，政策文件类信息公开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数量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还不够。</w:t>
      </w:r>
      <w:r>
        <w:rPr>
          <w:rFonts w:hint="default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20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19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年，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我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街道将认真遵守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政府信息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公开制度，及时主动的做好各类信息的公开工作。</w:t>
      </w:r>
    </w:p>
    <w:p>
      <w:pPr>
        <w:snapToGrid w:val="0"/>
        <w:spacing w:line="360" w:lineRule="auto"/>
        <w:ind w:firstLine="480" w:firstLineChars="200"/>
        <w:rPr>
          <w:iCs/>
          <w:color w:val="000000"/>
          <w:sz w:val="24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改进措施：</w:t>
      </w:r>
      <w:r>
        <w:rPr>
          <w:rFonts w:hint="default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.提高认识，规范工作流程。进一步梳理街道及社区所掌握的政府信息，</w:t>
      </w:r>
      <w:r>
        <w:rPr>
          <w:rFonts w:hint="eastAsia" w:ascii="仿宋_GB2312" w:hAnsi="Times New Roman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做到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及时提供，定期维护；</w:t>
      </w:r>
      <w:r>
        <w:rPr>
          <w:rFonts w:hint="default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b w:val="0"/>
          <w:bCs/>
          <w:color w:val="000000"/>
          <w:kern w:val="2"/>
          <w:sz w:val="24"/>
          <w:szCs w:val="24"/>
          <w:lang w:val="en-US" w:eastAsia="zh-CN" w:bidi="ar"/>
        </w:rPr>
        <w:t>.及时公开，提高群众认可。继续及时、准确公布城市建设的各项信息，方便群众了解城市建设的动态。</w:t>
      </w:r>
    </w:p>
    <w:p>
      <w:pPr>
        <w:snapToGrid w:val="0"/>
        <w:spacing w:line="360" w:lineRule="auto"/>
        <w:ind w:firstLine="480" w:firstLineChars="200"/>
        <w:rPr>
          <w:iCs/>
          <w:color w:val="000000"/>
          <w:sz w:val="24"/>
        </w:rPr>
      </w:pPr>
    </w:p>
    <w:p>
      <w:pPr>
        <w:snapToGrid w:val="0"/>
        <w:spacing w:line="360" w:lineRule="auto"/>
      </w:pPr>
    </w:p>
    <w:p>
      <w:pPr>
        <w:snapToGrid w:val="0"/>
        <w:spacing w:line="360" w:lineRule="auto"/>
      </w:pPr>
    </w:p>
    <w:p>
      <w:pPr>
        <w:snapToGrid w:val="0"/>
        <w:spacing w:line="360" w:lineRule="auto"/>
      </w:pPr>
    </w:p>
    <w:p>
      <w:bookmarkStart w:id="0" w:name="_GoBack"/>
      <w:bookmarkEnd w:id="0"/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A26C4"/>
    <w:rsid w:val="1D4A26C4"/>
    <w:rsid w:val="496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2019-02-28T03:18:00Z</dcterms:created>
  <dc:creator>Administrator</dc:creator>
  <cp:lastModifiedBy>Administrator</cp:lastModifiedBy>
  <dcterms:modified xsi:type="dcterms:W3CDTF">2019-02-28T03:23:04Z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