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right"/>
        <w:rPr>
          <w:rFonts w:eastAsia="仿宋_GB2312"/>
          <w:kern w:val="0"/>
          <w:sz w:val="32"/>
          <w:szCs w:val="32"/>
        </w:rPr>
      </w:pPr>
      <w:r>
        <w:rPr>
          <w:rFonts w:hint="eastAsia" w:eastAsia="仿宋_GB2312"/>
          <w:kern w:val="0"/>
          <w:sz w:val="32"/>
          <w:szCs w:val="32"/>
        </w:rPr>
        <w:t>DYCD01-2021-0013</w:t>
      </w:r>
    </w:p>
    <w:p>
      <w:pPr>
        <w:spacing w:line="574" w:lineRule="exact"/>
        <w:jc w:val="center"/>
        <w:rPr>
          <w:rFonts w:eastAsia="仿宋_GB2312"/>
          <w:kern w:val="0"/>
          <w:sz w:val="32"/>
          <w:szCs w:val="32"/>
        </w:rPr>
      </w:pPr>
    </w:p>
    <w:p>
      <w:pPr>
        <w:spacing w:line="574" w:lineRule="exact"/>
        <w:jc w:val="center"/>
        <w:rPr>
          <w:rFonts w:eastAsia="仿宋_GB2312"/>
          <w:kern w:val="0"/>
          <w:sz w:val="32"/>
          <w:szCs w:val="32"/>
        </w:rPr>
      </w:pPr>
      <w:r>
        <w:rPr>
          <w:rFonts w:eastAsia="仿宋_GB2312"/>
          <w:kern w:val="0"/>
          <w:sz w:val="32"/>
          <w:szCs w:val="32"/>
        </w:rPr>
        <w:pict>
          <v:group id="组合 8" o:spid="_x0000_s1036" o:spt="203" style="position:absolute;left:0pt;margin-left:0.15pt;margin-top:31.15pt;height:151pt;width:441pt;z-index:251662336;mso-width-relative:page;mso-height-relative:page;" coordorigin="1588,3823" coordsize="8820,2889" o:gfxdata="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P9ee2bZAAAACQEAAA8AAAAAAAAA&#10;AQAgAAAAIgAAAGRycy9kb3ducmV2LnhtbFBLAQIUABQAAAAIAIdO4kBqk6nvuwIAAHEGAAAOAAAA&#10;AAAAAAEAIAAAACgBAABkcnMvZTJvRG9jLnhtbFBLBQYAAAAABgAGAFkBAABVBgAAAAA=&#10;">
            <o:lock v:ext="edit"/>
            <v:shape id="文本框 8" o:spid="_x0000_s1037" o:spt="202" type="#_x0000_t202" style="position:absolute;left:1588;top:3823;height:1248;width:8820;" stroked="f" coordsize="21600,21600" o:gfxdata="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4zB6LgAAADaAAAA&#10;DwAAAAAAAAABACAAAAAiAAAAZHJzL2Rvd25yZXYueG1sUEsBAhQAFAAAAAgAh07iQDMvBZ47AAAA&#10;OQAAABAAAAAAAAAAAQAgAAAABwEAAGRycy9zaGFwZXhtbC54bWxQSwUGAAAAAAYABgBbAQAAsQMA&#10;AAAA&#10;">
              <v:path/>
              <v:fill focussize="0,0"/>
              <v:stroke on="f" joinstyle="miter"/>
              <v:imagedata o:title=""/>
              <o:lock v:ext="edit"/>
              <v:textbox>
                <w:txbxContent>
                  <w:p>
                    <w:pPr>
                      <w:jc w:val="distribute"/>
                      <w:rPr>
                        <w:rFonts w:ascii="方正大标宋简体" w:eastAsia="方正大标宋简体"/>
                        <w:color w:val="FF0000"/>
                        <w:w w:val="65"/>
                        <w:sz w:val="84"/>
                        <w:szCs w:val="84"/>
                      </w:rPr>
                    </w:pPr>
                    <w:r>
                      <w:rPr>
                        <w:rFonts w:eastAsia="方正小标宋简体"/>
                        <w:color w:val="FF0000"/>
                        <w:w w:val="65"/>
                        <w:sz w:val="84"/>
                        <w:szCs w:val="84"/>
                      </w:rPr>
                      <w:t>绍兴市越城区人民政府办公室文件</w:t>
                    </w:r>
                  </w:p>
                  <w:p>
                    <w:pPr>
                      <w:rPr>
                        <w:w w:val="65"/>
                        <w:sz w:val="84"/>
                        <w:szCs w:val="84"/>
                      </w:rPr>
                    </w:pPr>
                  </w:p>
                </w:txbxContent>
              </v:textbox>
            </v:shape>
            <v:line id="直接连接符 7" o:spid="_x0000_s1038" o:spt="20" style="position:absolute;left:1588;top:6712;height:0;width:8820;" stroked="t" coordsize="21600,21600" o:gfxdata="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3qLaW8AAAA&#10;2gAAAA8AAAAAAAAAAQAgAAAAIgAAAGRycy9kb3ducmV2LnhtbFBLAQIUABQAAAAIAIdO4kAzLwWe&#10;OwAAADkAAAAQAAAAAAAAAAEAIAAAAAsBAABkcnMvc2hhcGV4bWwueG1sUEsFBgAAAAAGAAYAWwEA&#10;ALUDAAAAAA==&#10;">
              <v:path arrowok="t"/>
              <v:fill focussize="0,0"/>
              <v:stroke weight="1.5pt" color="#FF0000"/>
              <v:imagedata o:title=""/>
              <o:lock v:ext="edit"/>
            </v:line>
          </v:group>
        </w:pict>
      </w:r>
    </w:p>
    <w:p>
      <w:pPr>
        <w:spacing w:line="574" w:lineRule="exact"/>
        <w:jc w:val="center"/>
        <w:rPr>
          <w:rFonts w:eastAsia="仿宋_GB2312"/>
          <w:kern w:val="0"/>
          <w:sz w:val="32"/>
          <w:szCs w:val="32"/>
        </w:rPr>
      </w:pPr>
    </w:p>
    <w:p>
      <w:pPr>
        <w:spacing w:line="574" w:lineRule="exact"/>
        <w:jc w:val="center"/>
        <w:rPr>
          <w:rFonts w:eastAsia="仿宋_GB2312"/>
          <w:kern w:val="0"/>
          <w:sz w:val="32"/>
          <w:szCs w:val="32"/>
        </w:rPr>
      </w:pPr>
    </w:p>
    <w:p>
      <w:pPr>
        <w:spacing w:line="574" w:lineRule="exact"/>
        <w:jc w:val="center"/>
        <w:rPr>
          <w:rFonts w:eastAsia="仿宋_GB2312"/>
          <w:kern w:val="0"/>
          <w:sz w:val="32"/>
          <w:szCs w:val="32"/>
        </w:rPr>
      </w:pPr>
    </w:p>
    <w:p>
      <w:pPr>
        <w:spacing w:line="574" w:lineRule="exact"/>
        <w:jc w:val="center"/>
        <w:rPr>
          <w:rFonts w:eastAsia="仿宋_GB2312"/>
          <w:kern w:val="0"/>
          <w:sz w:val="32"/>
          <w:szCs w:val="32"/>
        </w:rPr>
      </w:pPr>
    </w:p>
    <w:p>
      <w:pPr>
        <w:spacing w:line="574" w:lineRule="exact"/>
        <w:jc w:val="center"/>
        <w:rPr>
          <w:rFonts w:eastAsia="仿宋_GB2312"/>
          <w:kern w:val="0"/>
          <w:sz w:val="32"/>
          <w:szCs w:val="32"/>
        </w:rPr>
      </w:pPr>
      <w:r>
        <w:rPr>
          <w:rFonts w:eastAsia="仿宋_GB2312"/>
          <w:kern w:val="0"/>
          <w:sz w:val="32"/>
          <w:szCs w:val="32"/>
        </w:rPr>
        <w:t>越政办发〔2021〕</w:t>
      </w:r>
      <w:r>
        <w:rPr>
          <w:rFonts w:hint="eastAsia" w:eastAsia="仿宋_GB2312"/>
          <w:kern w:val="0"/>
          <w:sz w:val="32"/>
          <w:szCs w:val="32"/>
        </w:rPr>
        <w:t>47</w:t>
      </w:r>
      <w:r>
        <w:rPr>
          <w:rFonts w:eastAsia="仿宋_GB2312"/>
          <w:kern w:val="0"/>
          <w:sz w:val="32"/>
          <w:szCs w:val="32"/>
        </w:rPr>
        <w:t>号</w:t>
      </w:r>
    </w:p>
    <w:p>
      <w:pPr>
        <w:spacing w:line="574" w:lineRule="exact"/>
        <w:jc w:val="center"/>
      </w:pPr>
    </w:p>
    <w:p>
      <w:pPr>
        <w:widowControl/>
        <w:spacing w:line="574" w:lineRule="exact"/>
        <w:jc w:val="center"/>
        <w:rPr>
          <w:rFonts w:eastAsia="方正小标宋简体"/>
          <w:kern w:val="0"/>
          <w:sz w:val="44"/>
          <w:szCs w:val="32"/>
        </w:rPr>
      </w:pPr>
    </w:p>
    <w:p>
      <w:pPr>
        <w:widowControl/>
        <w:spacing w:line="574" w:lineRule="exact"/>
        <w:jc w:val="center"/>
        <w:rPr>
          <w:rFonts w:eastAsia="方正小标宋简体"/>
          <w:kern w:val="0"/>
          <w:sz w:val="44"/>
          <w:szCs w:val="32"/>
        </w:rPr>
      </w:pPr>
      <w:r>
        <w:rPr>
          <w:rFonts w:eastAsia="方正小标宋简体"/>
          <w:kern w:val="0"/>
          <w:sz w:val="44"/>
          <w:szCs w:val="32"/>
        </w:rPr>
        <w:t>绍兴市越城区人民政府办公室</w:t>
      </w:r>
    </w:p>
    <w:p>
      <w:pPr>
        <w:spacing w:line="574" w:lineRule="exact"/>
        <w:jc w:val="center"/>
        <w:rPr>
          <w:rFonts w:eastAsia="方正小标宋简体"/>
          <w:sz w:val="44"/>
          <w:szCs w:val="44"/>
        </w:rPr>
      </w:pPr>
      <w:r>
        <w:rPr>
          <w:rFonts w:eastAsia="方正小标宋简体"/>
          <w:sz w:val="44"/>
          <w:szCs w:val="44"/>
        </w:rPr>
        <w:t>关于</w:t>
      </w:r>
      <w:r>
        <w:rPr>
          <w:rFonts w:hint="eastAsia" w:eastAsia="方正小标宋简体"/>
          <w:sz w:val="44"/>
          <w:szCs w:val="44"/>
        </w:rPr>
        <w:t>印发《越城区稻渔综合种养实施方案》的</w:t>
      </w:r>
      <w:r>
        <w:rPr>
          <w:rFonts w:eastAsia="方正小标宋简体"/>
          <w:sz w:val="44"/>
          <w:szCs w:val="44"/>
        </w:rPr>
        <w:t>通</w:t>
      </w:r>
      <w:r>
        <w:rPr>
          <w:rFonts w:hint="eastAsia" w:eastAsia="方正小标宋简体"/>
          <w:sz w:val="44"/>
          <w:szCs w:val="44"/>
        </w:rPr>
        <w:t xml:space="preserve">  </w:t>
      </w:r>
      <w:r>
        <w:rPr>
          <w:rFonts w:eastAsia="方正小标宋简体"/>
          <w:sz w:val="44"/>
          <w:szCs w:val="44"/>
        </w:rPr>
        <w:t>知</w:t>
      </w:r>
    </w:p>
    <w:p>
      <w:pPr>
        <w:spacing w:line="574" w:lineRule="exact"/>
        <w:ind w:firstLine="640" w:firstLineChars="200"/>
        <w:rPr>
          <w:rFonts w:eastAsia="仿宋_GB2312"/>
          <w:sz w:val="32"/>
          <w:szCs w:val="32"/>
        </w:rPr>
      </w:pPr>
    </w:p>
    <w:p>
      <w:pPr>
        <w:spacing w:line="574" w:lineRule="exact"/>
        <w:rPr>
          <w:rFonts w:eastAsia="仿宋_GB2312"/>
          <w:sz w:val="32"/>
          <w:szCs w:val="32"/>
        </w:rPr>
      </w:pPr>
      <w:r>
        <w:rPr>
          <w:rFonts w:eastAsia="仿宋_GB2312"/>
          <w:kern w:val="0"/>
          <w:sz w:val="32"/>
          <w:szCs w:val="32"/>
        </w:rPr>
        <w:t>各镇人民政府、街道办事处，区政府有关部门（单位）：</w:t>
      </w:r>
    </w:p>
    <w:p>
      <w:pPr>
        <w:spacing w:line="574" w:lineRule="exact"/>
        <w:ind w:firstLine="640" w:firstLineChars="200"/>
        <w:rPr>
          <w:rFonts w:eastAsia="仿宋_GB2312"/>
          <w:sz w:val="32"/>
          <w:szCs w:val="32"/>
        </w:rPr>
      </w:pPr>
      <w:r>
        <w:rPr>
          <w:rFonts w:hint="eastAsia" w:eastAsia="仿宋_GB2312"/>
          <w:sz w:val="32"/>
          <w:szCs w:val="32"/>
        </w:rPr>
        <w:t>《越城区稻渔综合种养实施方案》已经区政府同意，现印发给你们，请遵照执行。</w:t>
      </w:r>
    </w:p>
    <w:p>
      <w:pPr>
        <w:widowControl/>
        <w:spacing w:line="574" w:lineRule="exact"/>
        <w:ind w:firstLine="640" w:firstLineChars="200"/>
        <w:jc w:val="left"/>
        <w:rPr>
          <w:rFonts w:eastAsia="仿宋_GB2312"/>
          <w:kern w:val="0"/>
          <w:sz w:val="32"/>
          <w:szCs w:val="32"/>
        </w:rPr>
      </w:pPr>
    </w:p>
    <w:p>
      <w:pPr>
        <w:widowControl/>
        <w:spacing w:line="574" w:lineRule="exact"/>
        <w:ind w:firstLine="640" w:firstLineChars="200"/>
        <w:jc w:val="left"/>
        <w:rPr>
          <w:rFonts w:eastAsia="仿宋_GB2312"/>
          <w:kern w:val="0"/>
          <w:sz w:val="32"/>
          <w:szCs w:val="32"/>
        </w:rPr>
      </w:pPr>
    </w:p>
    <w:p>
      <w:pPr>
        <w:widowControl/>
        <w:wordWrap w:val="0"/>
        <w:spacing w:line="574" w:lineRule="exact"/>
        <w:jc w:val="right"/>
        <w:rPr>
          <w:rFonts w:eastAsia="仿宋_GB2312"/>
          <w:kern w:val="0"/>
          <w:sz w:val="32"/>
          <w:szCs w:val="32"/>
        </w:rPr>
      </w:pPr>
      <w:r>
        <w:rPr>
          <w:rFonts w:eastAsia="仿宋_GB2312"/>
          <w:kern w:val="0"/>
          <w:sz w:val="32"/>
          <w:szCs w:val="32"/>
        </w:rPr>
        <w:t>绍兴市越城区人民政府办公室</w:t>
      </w:r>
      <w:r>
        <w:rPr>
          <w:rFonts w:hint="eastAsia" w:eastAsia="仿宋_GB2312"/>
          <w:kern w:val="0"/>
          <w:sz w:val="32"/>
          <w:szCs w:val="32"/>
        </w:rPr>
        <w:t xml:space="preserve">   </w:t>
      </w:r>
    </w:p>
    <w:p>
      <w:pPr>
        <w:widowControl/>
        <w:wordWrap w:val="0"/>
        <w:spacing w:line="574" w:lineRule="exact"/>
        <w:jc w:val="right"/>
        <w:rPr>
          <w:rFonts w:eastAsia="仿宋_GB2312"/>
          <w:kern w:val="0"/>
          <w:sz w:val="32"/>
          <w:szCs w:val="32"/>
        </w:rPr>
      </w:pPr>
      <w:r>
        <w:rPr>
          <w:rFonts w:eastAsia="仿宋_GB2312"/>
          <w:kern w:val="0"/>
          <w:sz w:val="32"/>
          <w:szCs w:val="32"/>
        </w:rPr>
        <w:t>2021年</w:t>
      </w:r>
      <w:r>
        <w:rPr>
          <w:rFonts w:hint="eastAsia" w:eastAsia="仿宋_GB2312"/>
          <w:kern w:val="0"/>
          <w:sz w:val="32"/>
          <w:szCs w:val="32"/>
        </w:rPr>
        <w:t>7</w:t>
      </w:r>
      <w:r>
        <w:rPr>
          <w:rFonts w:eastAsia="仿宋_GB2312"/>
          <w:kern w:val="0"/>
          <w:sz w:val="32"/>
          <w:szCs w:val="32"/>
        </w:rPr>
        <w:t>月</w:t>
      </w:r>
      <w:r>
        <w:rPr>
          <w:rFonts w:hint="eastAsia" w:eastAsia="仿宋_GB2312"/>
          <w:kern w:val="0"/>
          <w:sz w:val="32"/>
          <w:szCs w:val="32"/>
        </w:rPr>
        <w:t>8</w:t>
      </w:r>
      <w:r>
        <w:rPr>
          <w:rFonts w:eastAsia="仿宋_GB2312"/>
          <w:kern w:val="0"/>
          <w:sz w:val="32"/>
          <w:szCs w:val="32"/>
        </w:rPr>
        <w:t>日</w:t>
      </w:r>
      <w:r>
        <w:rPr>
          <w:rFonts w:hint="eastAsia" w:eastAsia="仿宋_GB2312"/>
          <w:kern w:val="0"/>
          <w:sz w:val="32"/>
          <w:szCs w:val="32"/>
        </w:rPr>
        <w:t xml:space="preserve">        </w:t>
      </w:r>
    </w:p>
    <w:p>
      <w:pPr>
        <w:widowControl/>
        <w:spacing w:line="574" w:lineRule="exact"/>
        <w:ind w:firstLine="320" w:firstLineChars="100"/>
        <w:jc w:val="left"/>
        <w:rPr>
          <w:rFonts w:eastAsia="仿宋_GB2312"/>
          <w:kern w:val="0"/>
          <w:sz w:val="32"/>
          <w:szCs w:val="32"/>
        </w:rPr>
      </w:pPr>
      <w:r>
        <w:rPr>
          <w:rFonts w:eastAsia="仿宋_GB2312"/>
          <w:kern w:val="0"/>
          <w:sz w:val="32"/>
          <w:szCs w:val="32"/>
        </w:rPr>
        <w:t>（此件公开发布）</w:t>
      </w:r>
    </w:p>
    <w:p>
      <w:pPr>
        <w:spacing w:line="574" w:lineRule="exact"/>
        <w:jc w:val="center"/>
        <w:rPr>
          <w:rFonts w:eastAsia="方正小标宋简体"/>
          <w:color w:val="000000"/>
          <w:kern w:val="0"/>
          <w:sz w:val="44"/>
          <w:szCs w:val="44"/>
        </w:rPr>
      </w:pPr>
      <w:r>
        <w:rPr>
          <w:rFonts w:eastAsia="仿宋_GB2312"/>
          <w:kern w:val="0"/>
          <w:sz w:val="32"/>
          <w:szCs w:val="32"/>
        </w:rPr>
        <w:br w:type="page"/>
      </w:r>
    </w:p>
    <w:p>
      <w:pPr>
        <w:spacing w:line="574" w:lineRule="exact"/>
        <w:jc w:val="center"/>
        <w:rPr>
          <w:rFonts w:eastAsia="方正小标宋简体"/>
          <w:bCs/>
          <w:sz w:val="44"/>
          <w:szCs w:val="44"/>
        </w:rPr>
      </w:pPr>
      <w:r>
        <w:rPr>
          <w:rFonts w:hint="eastAsia" w:eastAsia="方正小标宋简体"/>
          <w:bCs/>
          <w:sz w:val="44"/>
          <w:szCs w:val="44"/>
        </w:rPr>
        <w:t xml:space="preserve">越城区稻渔综合种养实施方案 </w:t>
      </w:r>
    </w:p>
    <w:p>
      <w:pPr>
        <w:spacing w:line="574" w:lineRule="exact"/>
        <w:rPr>
          <w:rFonts w:eastAsia="仿宋_GB2312"/>
          <w:sz w:val="32"/>
          <w:szCs w:val="32"/>
        </w:rPr>
      </w:pPr>
      <w:r>
        <w:rPr>
          <w:rFonts w:hint="eastAsia" w:eastAsia="仿宋_GB2312"/>
          <w:sz w:val="32"/>
          <w:szCs w:val="32"/>
        </w:rPr>
        <w:t xml:space="preserve">  </w:t>
      </w:r>
      <w:r>
        <w:rPr>
          <w:rFonts w:eastAsia="仿宋_GB2312"/>
          <w:sz w:val="32"/>
          <w:szCs w:val="32"/>
        </w:rPr>
        <w:t xml:space="preserve"> </w:t>
      </w:r>
    </w:p>
    <w:p>
      <w:pPr>
        <w:spacing w:line="574" w:lineRule="exact"/>
        <w:ind w:firstLine="640" w:firstLineChars="200"/>
        <w:rPr>
          <w:rFonts w:eastAsia="仿宋_GB2312"/>
          <w:sz w:val="32"/>
          <w:szCs w:val="32"/>
        </w:rPr>
      </w:pPr>
      <w:r>
        <w:rPr>
          <w:rFonts w:hint="eastAsia" w:eastAsia="仿宋_GB2312"/>
          <w:sz w:val="32"/>
          <w:szCs w:val="32"/>
        </w:rPr>
        <w:t>根据浙江省农业农村厅关于印发《浙江省稻渔综合种养百万工程（2019—2022年）实施意见》（浙农专发</w:t>
      </w:r>
      <w:r>
        <w:rPr>
          <w:rFonts w:hint="eastAsia" w:eastAsia="仿宋"/>
          <w:sz w:val="32"/>
          <w:szCs w:val="32"/>
        </w:rPr>
        <w:t>﹝</w:t>
      </w:r>
      <w:r>
        <w:rPr>
          <w:rFonts w:hint="eastAsia" w:eastAsia="仿宋_GB2312"/>
          <w:sz w:val="32"/>
          <w:szCs w:val="32"/>
        </w:rPr>
        <w:t>2019</w:t>
      </w:r>
      <w:r>
        <w:rPr>
          <w:rFonts w:hint="eastAsia" w:eastAsia="仿宋"/>
          <w:sz w:val="32"/>
          <w:szCs w:val="32"/>
        </w:rPr>
        <w:t>﹞</w:t>
      </w:r>
      <w:r>
        <w:rPr>
          <w:rFonts w:hint="eastAsia" w:eastAsia="仿宋_GB2312"/>
          <w:sz w:val="32"/>
          <w:szCs w:val="32"/>
        </w:rPr>
        <w:t xml:space="preserve">95号）通知和《浙江省农业农村厅等5部门关于切实抓好2021年粮油生产保供工作的通知》（浙农专发〔2020〕49号）等文件精神，结合我区实际，制定本方案。 </w:t>
      </w:r>
    </w:p>
    <w:p>
      <w:pPr>
        <w:spacing w:line="574" w:lineRule="exact"/>
        <w:ind w:firstLine="640" w:firstLineChars="200"/>
        <w:rPr>
          <w:rFonts w:eastAsia="黑体"/>
          <w:sz w:val="32"/>
          <w:szCs w:val="32"/>
        </w:rPr>
      </w:pPr>
      <w:r>
        <w:rPr>
          <w:rFonts w:hAnsi="黑体" w:eastAsia="黑体"/>
          <w:sz w:val="32"/>
          <w:szCs w:val="32"/>
        </w:rPr>
        <w:t>一、总体要求</w:t>
      </w:r>
    </w:p>
    <w:p>
      <w:pPr>
        <w:spacing w:line="574" w:lineRule="exact"/>
        <w:ind w:firstLine="640" w:firstLineChars="200"/>
        <w:rPr>
          <w:rFonts w:eastAsia="仿宋_GB2312"/>
          <w:sz w:val="32"/>
          <w:szCs w:val="32"/>
        </w:rPr>
      </w:pPr>
      <w:r>
        <w:rPr>
          <w:rFonts w:eastAsia="仿宋_GB2312"/>
          <w:sz w:val="32"/>
          <w:szCs w:val="32"/>
        </w:rPr>
        <w:t>深入贯彻落实习近平总书记关于确保粮食安全的重要指示批示精神，全面实</w:t>
      </w:r>
      <w:r>
        <w:rPr>
          <w:rFonts w:hint="eastAsia" w:eastAsia="仿宋_GB2312"/>
          <w:sz w:val="32"/>
          <w:szCs w:val="32"/>
        </w:rPr>
        <w:t>施“藏粮于地、藏粮于技”战略，围绕粮食生产和水产高质高效发展，以扩粮保供、稳渔提质、农民增收为主线，坚持“扩粮增产、稻虾轮作、生态优先、质量安全、政策支持、示范引导”的原则，按照“区域化布局、规模化经营、标准化生产、品牌化营销”的发展思路，发展以稻虾轮作为主推模式的稻渔综合种养，努力走出一条具有</w:t>
      </w:r>
      <w:r>
        <w:rPr>
          <w:rFonts w:eastAsia="仿宋_GB2312"/>
          <w:sz w:val="32"/>
          <w:szCs w:val="32"/>
        </w:rPr>
        <w:t>越城</w:t>
      </w:r>
      <w:r>
        <w:rPr>
          <w:rFonts w:hint="eastAsia" w:eastAsia="仿宋_GB2312"/>
          <w:sz w:val="32"/>
          <w:szCs w:val="32"/>
        </w:rPr>
        <w:t>特色的“强化耕地保护、确保粮食安全、促进农民增收”创</w:t>
      </w:r>
      <w:r>
        <w:rPr>
          <w:rFonts w:eastAsia="仿宋_GB2312"/>
          <w:sz w:val="32"/>
          <w:szCs w:val="32"/>
        </w:rPr>
        <w:t>新发展之路。</w:t>
      </w:r>
    </w:p>
    <w:p>
      <w:pPr>
        <w:spacing w:line="574" w:lineRule="exact"/>
        <w:ind w:firstLine="640" w:firstLineChars="200"/>
        <w:rPr>
          <w:rFonts w:eastAsia="黑体"/>
          <w:sz w:val="32"/>
          <w:szCs w:val="32"/>
        </w:rPr>
      </w:pPr>
      <w:r>
        <w:rPr>
          <w:rFonts w:hint="eastAsia" w:hAnsi="黑体" w:eastAsia="黑体"/>
          <w:sz w:val="32"/>
          <w:szCs w:val="32"/>
        </w:rPr>
        <w:t>二、基本原则</w:t>
      </w:r>
    </w:p>
    <w:p>
      <w:pPr>
        <w:overflowPunct w:val="0"/>
        <w:adjustRightInd w:val="0"/>
        <w:spacing w:line="574" w:lineRule="exact"/>
        <w:ind w:firstLine="643" w:firstLineChars="200"/>
        <w:rPr>
          <w:rFonts w:eastAsia="仿宋_GB2312"/>
          <w:sz w:val="32"/>
          <w:szCs w:val="32"/>
        </w:rPr>
      </w:pPr>
      <w:r>
        <w:rPr>
          <w:rFonts w:hint="eastAsia" w:eastAsia="楷体_GB2312" w:cs="仿宋_GB2312"/>
          <w:b/>
          <w:snapToGrid w:val="0"/>
          <w:sz w:val="32"/>
          <w:szCs w:val="32"/>
        </w:rPr>
        <w:t>（一）守住底线，以渔促稻。</w:t>
      </w:r>
      <w:r>
        <w:rPr>
          <w:rFonts w:hint="eastAsia" w:eastAsia="仿宋_GB2312"/>
          <w:sz w:val="32"/>
          <w:szCs w:val="32"/>
        </w:rPr>
        <w:t>立足粮食产业发展方式转变，守住粮食生产底线，严格遵守农业农村部《稻渔综合种养技术规范（通则）》（SC/T 1135.1-2017）相关要求，始终以“稳粮”作为增收的前提，确保粮食生产安全，坚决杜绝“挖田改塘”“荒田养虾”“多渔少稻”等任何形式的“非粮化”现象，</w:t>
      </w:r>
      <w:r>
        <w:rPr>
          <w:rFonts w:eastAsia="仿宋_GB2312"/>
          <w:sz w:val="32"/>
          <w:szCs w:val="32"/>
        </w:rPr>
        <w:t>沟凼</w:t>
      </w:r>
      <w:r>
        <w:rPr>
          <w:rFonts w:hint="eastAsia" w:eastAsia="仿宋_GB2312"/>
          <w:sz w:val="32"/>
          <w:szCs w:val="32"/>
        </w:rPr>
        <w:t xml:space="preserve">不得超过稻田总面积的10%。 </w:t>
      </w:r>
    </w:p>
    <w:p>
      <w:pPr>
        <w:overflowPunct w:val="0"/>
        <w:adjustRightInd w:val="0"/>
        <w:spacing w:line="574" w:lineRule="exact"/>
        <w:ind w:firstLine="643" w:firstLineChars="200"/>
        <w:rPr>
          <w:rFonts w:eastAsia="仿宋_GB2312"/>
          <w:sz w:val="32"/>
          <w:szCs w:val="32"/>
        </w:rPr>
      </w:pPr>
      <w:r>
        <w:rPr>
          <w:rFonts w:hint="eastAsia" w:eastAsia="楷体_GB2312" w:cs="仿宋_GB2312"/>
          <w:b/>
          <w:snapToGrid w:val="0"/>
          <w:sz w:val="32"/>
          <w:szCs w:val="32"/>
        </w:rPr>
        <w:t>（二）以点带面，均衡发展。</w:t>
      </w:r>
      <w:r>
        <w:rPr>
          <w:rFonts w:hint="eastAsia" w:eastAsia="仿宋_GB2312"/>
          <w:sz w:val="32"/>
          <w:szCs w:val="32"/>
        </w:rPr>
        <w:t>着力加强稻渔生态综合种养示范基地建设，实施标准化生产、产业化经营和品牌化发展。发展稻渔生态种养在发展示范点的基础上要切实带动周边广大农户，避免大型主体独享政策优惠，真正实现“千家万户”的普遍增收，促进全面小康。</w:t>
      </w:r>
    </w:p>
    <w:p>
      <w:pPr>
        <w:overflowPunct w:val="0"/>
        <w:adjustRightInd w:val="0"/>
        <w:spacing w:line="574" w:lineRule="exact"/>
        <w:ind w:firstLine="643" w:firstLineChars="200"/>
        <w:rPr>
          <w:rFonts w:eastAsia="仿宋_GB2312"/>
          <w:sz w:val="32"/>
          <w:szCs w:val="32"/>
        </w:rPr>
      </w:pPr>
      <w:r>
        <w:rPr>
          <w:rFonts w:hint="eastAsia" w:eastAsia="楷体_GB2312" w:cs="仿宋_GB2312"/>
          <w:b/>
          <w:snapToGrid w:val="0"/>
          <w:sz w:val="32"/>
          <w:szCs w:val="32"/>
        </w:rPr>
        <w:t>（三）生态循环，产业先行。</w:t>
      </w:r>
      <w:r>
        <w:rPr>
          <w:rFonts w:hint="eastAsia" w:eastAsia="仿宋_GB2312"/>
          <w:sz w:val="32"/>
          <w:szCs w:val="32"/>
        </w:rPr>
        <w:t>围绕“化肥减量、农药减量、节能减排”的方向，大力推广绿色防控、生态循环、综合利用等技术措施，严格投入品监管，同时保障粮食与水产品的质量安全。围绕一二三产业融合发展的方向，优化稻渔生态种养产业体系，延伸产业链，提升价值链，促进产业兴旺。</w:t>
      </w:r>
    </w:p>
    <w:p>
      <w:pPr>
        <w:spacing w:line="574" w:lineRule="exact"/>
        <w:ind w:firstLine="640" w:firstLineChars="200"/>
        <w:rPr>
          <w:rFonts w:eastAsia="黑体"/>
          <w:sz w:val="32"/>
          <w:szCs w:val="32"/>
        </w:rPr>
      </w:pPr>
      <w:r>
        <w:rPr>
          <w:rFonts w:hint="eastAsia" w:hAnsi="黑体" w:eastAsia="黑体"/>
          <w:sz w:val="32"/>
          <w:szCs w:val="32"/>
        </w:rPr>
        <w:t>三、主要目标</w:t>
      </w:r>
    </w:p>
    <w:p>
      <w:pPr>
        <w:overflowPunct w:val="0"/>
        <w:adjustRightInd w:val="0"/>
        <w:spacing w:line="574" w:lineRule="exact"/>
        <w:ind w:firstLine="640" w:firstLineChars="200"/>
        <w:rPr>
          <w:rFonts w:eastAsia="仿宋_GB2312"/>
          <w:sz w:val="32"/>
          <w:szCs w:val="32"/>
        </w:rPr>
      </w:pPr>
      <w:r>
        <w:rPr>
          <w:rFonts w:hint="eastAsia" w:eastAsia="仿宋_GB2312"/>
          <w:sz w:val="32"/>
          <w:szCs w:val="32"/>
        </w:rPr>
        <w:t>到2022年底，全区实施稻渔综合种养面积达2500亩以上，亩均增收</w:t>
      </w:r>
      <w:r>
        <w:rPr>
          <w:rFonts w:eastAsia="仿宋_GB2312"/>
          <w:sz w:val="32"/>
          <w:szCs w:val="32"/>
        </w:rPr>
        <w:t>15</w:t>
      </w:r>
      <w:r>
        <w:rPr>
          <w:rFonts w:hint="eastAsia" w:eastAsia="仿宋_GB2312"/>
          <w:sz w:val="32"/>
          <w:szCs w:val="32"/>
        </w:rPr>
        <w:t>00元以上，实现“一田两用、一水双收、渔粮共赢”。大力推广稻虾、稻鱼、稻鳖、稻蛙、稻蟹等绿色种养模式，突出绿色生态循环，与单纯种植水稻相比，稻渔综合种养单位面积化肥使用量减少30%、农药使用量减少50%以上；与池塘养殖相比，饵料系数减少30%以上；形成一套成熟的田间工程建设、生产经营管理和产业发展支撑体系，培育稻渔品牌，提高稻渔综合种养的产业价值，使稻渔生态综合种养产业真正成为贫困户脱贫、老百姓致富的支柱产业。</w:t>
      </w:r>
    </w:p>
    <w:p>
      <w:pPr>
        <w:overflowPunct w:val="0"/>
        <w:adjustRightInd w:val="0"/>
        <w:spacing w:line="574" w:lineRule="exact"/>
        <w:ind w:firstLine="640" w:firstLineChars="200"/>
        <w:rPr>
          <w:rFonts w:eastAsia="黑体"/>
          <w:sz w:val="32"/>
          <w:szCs w:val="32"/>
        </w:rPr>
      </w:pPr>
      <w:r>
        <w:rPr>
          <w:rFonts w:hint="eastAsia" w:hAnsi="黑体" w:eastAsia="黑体"/>
          <w:sz w:val="32"/>
          <w:szCs w:val="32"/>
        </w:rPr>
        <w:t>四、重点任务</w:t>
      </w:r>
    </w:p>
    <w:p>
      <w:pPr>
        <w:spacing w:line="574" w:lineRule="exact"/>
        <w:ind w:firstLine="643" w:firstLineChars="200"/>
        <w:rPr>
          <w:rFonts w:eastAsia="仿宋_GB2312"/>
          <w:sz w:val="32"/>
          <w:szCs w:val="32"/>
        </w:rPr>
      </w:pPr>
      <w:r>
        <w:rPr>
          <w:rFonts w:hint="eastAsia" w:eastAsia="楷体_GB2312" w:cs="仿宋_GB2312"/>
          <w:b/>
          <w:snapToGrid w:val="0"/>
          <w:sz w:val="32"/>
          <w:szCs w:val="32"/>
        </w:rPr>
        <w:t>（一）实施示范工程。</w:t>
      </w:r>
      <w:r>
        <w:rPr>
          <w:rFonts w:hint="eastAsia" w:eastAsia="仿宋_GB2312"/>
          <w:sz w:val="32"/>
          <w:szCs w:val="32"/>
        </w:rPr>
        <w:t>根据资源禀赋合理布局，充分利用中低产田、低洼田、冬闲田、低产鱼塘，采用共作、轮作等方式，大力发展“稻-虾”“稻-鱼”“稻-鳖”“稻-蟹”“稻-蛙”</w:t>
      </w:r>
      <w:r>
        <w:rPr>
          <w:rFonts w:eastAsia="仿宋_GB2312"/>
          <w:sz w:val="32"/>
          <w:szCs w:val="32"/>
        </w:rPr>
        <w:t>等</w:t>
      </w:r>
      <w:r>
        <w:rPr>
          <w:rFonts w:hint="eastAsia" w:eastAsia="仿宋_GB2312"/>
          <w:sz w:val="32"/>
          <w:szCs w:val="32"/>
        </w:rPr>
        <w:t>特色稻渔综合种养模式。</w:t>
      </w:r>
    </w:p>
    <w:p>
      <w:pPr>
        <w:overflowPunct w:val="0"/>
        <w:adjustRightInd w:val="0"/>
        <w:spacing w:line="574" w:lineRule="exact"/>
        <w:ind w:firstLine="643" w:firstLineChars="200"/>
        <w:rPr>
          <w:rFonts w:eastAsia="仿宋_GB2312"/>
          <w:sz w:val="32"/>
          <w:szCs w:val="32"/>
        </w:rPr>
      </w:pPr>
      <w:r>
        <w:rPr>
          <w:rFonts w:hint="eastAsia" w:eastAsia="楷体_GB2312" w:cs="仿宋_GB2312"/>
          <w:b/>
          <w:snapToGrid w:val="0"/>
          <w:sz w:val="32"/>
          <w:szCs w:val="32"/>
        </w:rPr>
        <w:t>（二）加大苗种推广和配套。</w:t>
      </w:r>
      <w:r>
        <w:rPr>
          <w:rFonts w:hint="eastAsia" w:eastAsia="仿宋_GB2312"/>
          <w:sz w:val="32"/>
          <w:szCs w:val="32"/>
        </w:rPr>
        <w:t>加强水产“育繁推一体化”建设，充分利用本地青虾、中华鳖等苗种生产优势，加大推广与之相适应的稻渔综合种养模式；扶持小龙虾等一些本地苗种匮乏且不利于长途运输的品种的苗种产业发展；开拓红螯虾等一批市场前景广、效益好、适宜推广的品种，大力引进适销对路的水产养殖新品种和水稻新品种，增强稻渔生态种养基地的苗种供给能力。</w:t>
      </w:r>
    </w:p>
    <w:p>
      <w:pPr>
        <w:overflowPunct w:val="0"/>
        <w:adjustRightInd w:val="0"/>
        <w:spacing w:line="574" w:lineRule="exact"/>
        <w:ind w:firstLine="643" w:firstLineChars="200"/>
        <w:rPr>
          <w:rFonts w:eastAsia="仿宋" w:cs="仿宋_GB2312"/>
          <w:snapToGrid w:val="0"/>
          <w:sz w:val="32"/>
          <w:szCs w:val="32"/>
        </w:rPr>
      </w:pPr>
      <w:r>
        <w:rPr>
          <w:rFonts w:hint="eastAsia" w:eastAsia="楷体_GB2312" w:cs="仿宋_GB2312"/>
          <w:b/>
          <w:snapToGrid w:val="0"/>
          <w:sz w:val="32"/>
          <w:szCs w:val="32"/>
        </w:rPr>
        <w:t>（三）集成和优化种养技术。</w:t>
      </w:r>
      <w:r>
        <w:rPr>
          <w:rFonts w:hint="eastAsia" w:eastAsia="仿宋_GB2312"/>
          <w:sz w:val="32"/>
          <w:szCs w:val="32"/>
        </w:rPr>
        <w:t>根据稻渔综合种养技术标准的要求，集成适合本地推广的稻渔品种、种养管理、绿色防控、质量控制等关键技术，形成一批可复制、易推广、效益好的典型稻渔种养模式。强化示范引导作用，带动全区面上稻渔综合种养的发展，聘用专家或团队，加强面上技术服务与指导，开展稻渔综合种养技术培训、科技服务、交流观摩。</w:t>
      </w:r>
      <w:r>
        <w:rPr>
          <w:rFonts w:hint="eastAsia" w:eastAsia="仿宋" w:cs="仿宋_GB2312"/>
          <w:snapToGrid w:val="0"/>
          <w:sz w:val="32"/>
          <w:szCs w:val="32"/>
        </w:rPr>
        <w:t xml:space="preserve"> </w:t>
      </w:r>
    </w:p>
    <w:p>
      <w:pPr>
        <w:overflowPunct w:val="0"/>
        <w:adjustRightInd w:val="0"/>
        <w:spacing w:line="574" w:lineRule="exact"/>
        <w:ind w:firstLine="643" w:firstLineChars="200"/>
        <w:rPr>
          <w:rFonts w:eastAsia="仿宋" w:cs="仿宋_GB2312"/>
          <w:snapToGrid w:val="0"/>
          <w:sz w:val="32"/>
          <w:szCs w:val="32"/>
        </w:rPr>
      </w:pPr>
      <w:r>
        <w:rPr>
          <w:rFonts w:hint="eastAsia" w:eastAsia="楷体_GB2312" w:cs="仿宋_GB2312"/>
          <w:b/>
          <w:snapToGrid w:val="0"/>
          <w:sz w:val="32"/>
          <w:szCs w:val="32"/>
        </w:rPr>
        <w:t>（四）积极培育稻渔经营主体。</w:t>
      </w:r>
      <w:r>
        <w:rPr>
          <w:rFonts w:hint="eastAsia" w:eastAsia="仿宋_GB2312"/>
          <w:sz w:val="32"/>
          <w:szCs w:val="32"/>
        </w:rPr>
        <w:t>鼓励农户将承包经营土地采取转包、出租、互换、转让、入股等方式向稻渔综合种养新型经营主体流转，推进适度规模经营，培育、扶持专业合作社、家庭农场、种养大户等稻渔综合种养生产经营主体。加快建设以品牌为导向，合作社为纽带，种养大户和家庭农场为基础，</w:t>
      </w:r>
      <w:bookmarkStart w:id="0" w:name="_GoBack"/>
      <w:bookmarkEnd w:id="0"/>
      <w:r>
        <w:rPr>
          <w:rFonts w:hint="eastAsia" w:eastAsia="仿宋_GB2312"/>
          <w:sz w:val="32"/>
          <w:szCs w:val="32"/>
          <w:lang w:eastAsia="zh-CN"/>
        </w:rPr>
        <w:t>一二三产业融</w:t>
      </w:r>
      <w:r>
        <w:rPr>
          <w:rFonts w:hint="eastAsia" w:eastAsia="仿宋_GB2312"/>
          <w:sz w:val="32"/>
          <w:szCs w:val="32"/>
        </w:rPr>
        <w:t>合、产加销紧密联系的稻渔综合种养产业化联合体，构建稳定的利益联结机制，实现产业联结、要素联结和利益联结。培养掌握水稻种植、水产养殖、市场营销等技能的复合型人才，建立以新型职业农民为主体的稻渔生态种养生力军。</w:t>
      </w:r>
    </w:p>
    <w:p>
      <w:pPr>
        <w:overflowPunct w:val="0"/>
        <w:adjustRightInd w:val="0"/>
        <w:spacing w:line="574" w:lineRule="exact"/>
        <w:ind w:firstLine="643" w:firstLineChars="200"/>
        <w:rPr>
          <w:rFonts w:eastAsia="仿宋" w:cs="仿宋_GB2312"/>
          <w:snapToGrid w:val="0"/>
          <w:sz w:val="32"/>
          <w:szCs w:val="32"/>
        </w:rPr>
      </w:pPr>
      <w:r>
        <w:rPr>
          <w:rFonts w:hint="eastAsia" w:eastAsia="楷体_GB2312" w:cs="仿宋_GB2312"/>
          <w:b/>
          <w:snapToGrid w:val="0"/>
          <w:sz w:val="32"/>
          <w:szCs w:val="32"/>
        </w:rPr>
        <w:t>（五）加强稻渔品牌创建。</w:t>
      </w:r>
      <w:r>
        <w:rPr>
          <w:rFonts w:hint="eastAsia" w:eastAsia="仿宋_GB2312"/>
          <w:sz w:val="32"/>
          <w:szCs w:val="32"/>
        </w:rPr>
        <w:t>积极引导经营主体、行业协会、社会组织等参与稻渔品牌创建，打造一批具有越城特色、安全优质、有影响力的稻渔品牌。大力实施农产品追溯制度，提升稻渔综合种养产品质量安全水平。充分利用农产品展示展销和农事节庆等活动，加强稻渔品牌宣传推介；充分利用“互联网+”模式大力发展稻渔电子商务平台，拓展产品营销网络，线上线下共同提升稻渔品牌价值。延长稻渔综合种养产业链，开发以稻渔文化、稻渔饮食为特色的休闲农业和乡村旅游，推进生产、加工、流通、休闲与美丽乡村建设融合发展。</w:t>
      </w:r>
    </w:p>
    <w:p>
      <w:pPr>
        <w:spacing w:line="574" w:lineRule="exact"/>
        <w:ind w:firstLine="640" w:firstLineChars="200"/>
        <w:rPr>
          <w:rFonts w:eastAsia="黑体"/>
          <w:sz w:val="32"/>
          <w:szCs w:val="32"/>
        </w:rPr>
      </w:pPr>
      <w:r>
        <w:rPr>
          <w:rFonts w:hint="eastAsia" w:hAnsi="黑体" w:eastAsia="黑体"/>
          <w:sz w:val="32"/>
          <w:szCs w:val="32"/>
        </w:rPr>
        <w:t>五、保障措施</w:t>
      </w:r>
    </w:p>
    <w:p>
      <w:pPr>
        <w:overflowPunct w:val="0"/>
        <w:adjustRightInd w:val="0"/>
        <w:spacing w:line="574" w:lineRule="exact"/>
        <w:ind w:firstLine="643" w:firstLineChars="200"/>
        <w:rPr>
          <w:rFonts w:eastAsia="仿宋" w:cs="仿宋_GB2312"/>
          <w:snapToGrid w:val="0"/>
          <w:sz w:val="32"/>
          <w:szCs w:val="32"/>
        </w:rPr>
      </w:pPr>
      <w:r>
        <w:rPr>
          <w:rFonts w:hint="eastAsia" w:eastAsia="楷体_GB2312" w:cs="仿宋_GB2312"/>
          <w:b/>
          <w:snapToGrid w:val="0"/>
          <w:sz w:val="32"/>
          <w:szCs w:val="32"/>
        </w:rPr>
        <w:t>（一）明确职责分工。</w:t>
      </w:r>
      <w:r>
        <w:rPr>
          <w:rFonts w:hint="eastAsia" w:eastAsia="仿宋_GB2312"/>
          <w:sz w:val="32"/>
          <w:szCs w:val="32"/>
        </w:rPr>
        <w:t>区创建省级渔业健康养殖示范县领导小组成员单位对稻渔综合种养工作加强统筹协调，各司其职，确保工作落到实处。区农业农村局负责稻渔综合种养工作的指导、检查、监督、服务；区财政局负责资金的筹措，强化资金保障力度；区自然资源和规划局负责保障示范基地建设用地需求；区水利局负责指导示范基地的水利设施规划及建设工作；区文广旅游局负责指导镇街围绕发展稻渔文化、稻渔饮食为特色的农旅融合发展工作；区治水办负责稻渔综合种养基地尾水治理的督导工作；其他部门密切配合、各司其职做好职责范围内的工作。</w:t>
      </w:r>
    </w:p>
    <w:p>
      <w:pPr>
        <w:overflowPunct w:val="0"/>
        <w:adjustRightInd w:val="0"/>
        <w:spacing w:line="574" w:lineRule="exact"/>
        <w:ind w:firstLine="643" w:firstLineChars="200"/>
        <w:rPr>
          <w:rFonts w:eastAsia="仿宋_GB2312"/>
          <w:sz w:val="32"/>
          <w:szCs w:val="32"/>
        </w:rPr>
      </w:pPr>
      <w:r>
        <w:rPr>
          <w:rFonts w:hint="eastAsia" w:eastAsia="楷体_GB2312" w:cs="仿宋_GB2312"/>
          <w:b/>
          <w:snapToGrid w:val="0"/>
          <w:sz w:val="32"/>
          <w:szCs w:val="32"/>
        </w:rPr>
        <w:t>（二）强化政策扶持。</w:t>
      </w:r>
      <w:r>
        <w:rPr>
          <w:rFonts w:hint="eastAsia" w:eastAsia="仿宋_GB2312"/>
          <w:sz w:val="32"/>
          <w:szCs w:val="32"/>
        </w:rPr>
        <w:t>坚持政府引导、社会参与的发展原则，发挥财政资金的导向作用和撬动作用，鼓励和引导社会各界加大对稻渔综合种养的投入力度。对列入稻渔综合种养连片30亩以上，新实施每亩奖励400元，继续实施每亩奖励200元，主要用于田埂改造、生态沟渠、防逃设施建设等田间工程</w:t>
      </w:r>
      <w:r>
        <w:rPr>
          <w:rFonts w:eastAsia="仿宋_GB2312"/>
          <w:sz w:val="32"/>
          <w:szCs w:val="32"/>
        </w:rPr>
        <w:t>。</w:t>
      </w:r>
      <w:r>
        <w:rPr>
          <w:rFonts w:hint="eastAsia" w:eastAsia="仿宋_GB2312"/>
          <w:sz w:val="32"/>
          <w:szCs w:val="32"/>
        </w:rPr>
        <w:t>原有的相关种粮政策（按实际种粮面积计算）继续有效。</w:t>
      </w:r>
    </w:p>
    <w:p>
      <w:pPr>
        <w:overflowPunct w:val="0"/>
        <w:adjustRightInd w:val="0"/>
        <w:spacing w:line="574" w:lineRule="exact"/>
        <w:ind w:firstLine="643" w:firstLineChars="200"/>
        <w:rPr>
          <w:rFonts w:eastAsia="仿宋_GB2312"/>
          <w:sz w:val="32"/>
          <w:szCs w:val="32"/>
        </w:rPr>
      </w:pPr>
      <w:r>
        <w:rPr>
          <w:rFonts w:hint="eastAsia" w:eastAsia="楷体_GB2312" w:cs="仿宋_GB2312"/>
          <w:b/>
          <w:snapToGrid w:val="0"/>
          <w:sz w:val="32"/>
          <w:szCs w:val="32"/>
        </w:rPr>
        <w:t>（</w:t>
      </w:r>
      <w:r>
        <w:rPr>
          <w:rFonts w:eastAsia="楷体_GB2312" w:cs="仿宋_GB2312"/>
          <w:b/>
          <w:snapToGrid w:val="0"/>
          <w:sz w:val="32"/>
          <w:szCs w:val="32"/>
        </w:rPr>
        <w:t>三</w:t>
      </w:r>
      <w:r>
        <w:rPr>
          <w:rFonts w:hint="eastAsia" w:eastAsia="楷体_GB2312" w:cs="仿宋_GB2312"/>
          <w:b/>
          <w:snapToGrid w:val="0"/>
          <w:sz w:val="32"/>
          <w:szCs w:val="32"/>
        </w:rPr>
        <w:t>）广泛宣传引导。</w:t>
      </w:r>
      <w:r>
        <w:rPr>
          <w:rFonts w:hint="eastAsia" w:eastAsia="仿宋_GB2312"/>
          <w:sz w:val="32"/>
          <w:szCs w:val="32"/>
        </w:rPr>
        <w:t>充分利用电视、报纸、网络、微信等媒体平台，采取多种形式，广泛宣传稻渔综合种养的典型案例、工作成效，形成全社会关心、支持推广稻渔综合种养模式的强大合力和良好氛围。总结并提炼出一套能复制、易推广的典型案例和成功经验建设，为全区开展稻渔综合种养模式推广积累经验、作出样板、提供示范。</w:t>
      </w:r>
    </w:p>
    <w:p>
      <w:pPr>
        <w:adjustRightInd w:val="0"/>
        <w:snapToGrid w:val="0"/>
        <w:spacing w:line="574" w:lineRule="exact"/>
        <w:rPr>
          <w:rFonts w:eastAsia="仿宋_GB2312"/>
          <w:sz w:val="32"/>
          <w:szCs w:val="32"/>
        </w:rPr>
      </w:pPr>
    </w:p>
    <w:p>
      <w:pPr>
        <w:adjustRightInd w:val="0"/>
        <w:snapToGrid w:val="0"/>
        <w:spacing w:line="574" w:lineRule="exact"/>
        <w:rPr>
          <w:rFonts w:eastAsia="仿宋_GB2312"/>
          <w:sz w:val="32"/>
          <w:szCs w:val="32"/>
        </w:rPr>
      </w:pPr>
    </w:p>
    <w:p>
      <w:pPr>
        <w:adjustRightInd w:val="0"/>
        <w:snapToGrid w:val="0"/>
        <w:spacing w:line="574" w:lineRule="exact"/>
        <w:rPr>
          <w:rFonts w:eastAsia="仿宋_GB2312"/>
          <w:sz w:val="32"/>
          <w:szCs w:val="32"/>
        </w:rPr>
      </w:pPr>
    </w:p>
    <w:p>
      <w:pPr>
        <w:adjustRightInd w:val="0"/>
        <w:snapToGrid w:val="0"/>
        <w:spacing w:line="574" w:lineRule="exact"/>
        <w:rPr>
          <w:rFonts w:eastAsia="仿宋_GB2312"/>
          <w:sz w:val="32"/>
          <w:szCs w:val="32"/>
        </w:rPr>
      </w:pPr>
    </w:p>
    <w:p>
      <w:pPr>
        <w:pStyle w:val="12"/>
        <w:widowControl w:val="0"/>
        <w:autoSpaceDN w:val="0"/>
        <w:spacing w:line="574" w:lineRule="exact"/>
        <w:rPr>
          <w:rFonts w:eastAsia="仿宋_GB2312"/>
          <w:sz w:val="32"/>
          <w:szCs w:val="32"/>
        </w:rPr>
      </w:pPr>
    </w:p>
    <w:p>
      <w:pPr>
        <w:spacing w:line="574" w:lineRule="exact"/>
        <w:ind w:left="1121" w:leftChars="134" w:hanging="840" w:hangingChars="300"/>
        <w:rPr>
          <w:rFonts w:eastAsia="仿宋_GB2312"/>
          <w:bCs/>
          <w:sz w:val="28"/>
          <w:szCs w:val="28"/>
        </w:rPr>
      </w:pPr>
      <w:r>
        <w:rPr>
          <w:rFonts w:eastAsia="仿宋_GB2312"/>
          <w:bCs/>
          <w:sz w:val="28"/>
          <w:szCs w:val="28"/>
        </w:rPr>
        <w:pict>
          <v:line id="直线 3" o:spid="_x0000_s1033" o:spt="20" style="position:absolute;left:0pt;margin-left:0pt;margin-top:1.95pt;height:0pt;width:441pt;z-index:251659264;mso-width-relative:page;mso-height-relative:page;" coordsize="21600,21600">
            <v:path arrowok="t"/>
            <v:fill focussize="0,0"/>
            <v:stroke/>
            <v:imagedata o:title=""/>
            <o:lock v:ext="edit"/>
          </v:line>
        </w:pict>
      </w:r>
      <w:r>
        <w:rPr>
          <w:rFonts w:eastAsia="仿宋_GB2312"/>
          <w:bCs/>
          <w:sz w:val="28"/>
          <w:szCs w:val="28"/>
        </w:rPr>
        <w:t>抄送：</w:t>
      </w:r>
      <w:r>
        <w:rPr>
          <w:rFonts w:eastAsia="仿宋_GB2312"/>
          <w:sz w:val="28"/>
          <w:szCs w:val="28"/>
        </w:rPr>
        <w:t>区委办、区纪委（监委）、区人大办、区政协办、区人武部、区法院、区检察院。</w:t>
      </w:r>
    </w:p>
    <w:p>
      <w:pPr>
        <w:spacing w:line="574" w:lineRule="exact"/>
        <w:ind w:firstLine="280" w:firstLineChars="100"/>
      </w:pPr>
      <w:r>
        <w:rPr>
          <w:rFonts w:eastAsia="仿宋_GB2312"/>
          <w:bCs/>
          <w:sz w:val="28"/>
          <w:szCs w:val="28"/>
        </w:rPr>
        <w:pict>
          <v:line id="直线 5" o:spid="_x0000_s1035" o:spt="20" style="position:absolute;left:0pt;margin-left:0pt;margin-top:3.4pt;height:0pt;width:441pt;z-index:251661312;mso-width-relative:page;mso-height-relative:page;" coordsize="21600,21600">
            <v:path arrowok="t"/>
            <v:fill focussize="0,0"/>
            <v:stroke/>
            <v:imagedata o:title=""/>
            <o:lock v:ext="edit"/>
          </v:line>
        </w:pict>
      </w:r>
      <w:r>
        <w:rPr>
          <w:rFonts w:eastAsia="仿宋_GB2312"/>
          <w:bCs/>
          <w:sz w:val="28"/>
          <w:szCs w:val="28"/>
        </w:rPr>
        <w:pict>
          <v:line id="直线 4" o:spid="_x0000_s1034" o:spt="20" style="position:absolute;left:0pt;margin-left:0.1pt;margin-top:31.4pt;height:0pt;width:441pt;z-index:251660288;mso-width-relative:page;mso-height-relative:page;" coordsize="21600,21600">
            <v:path arrowok="t"/>
            <v:fill focussize="0,0"/>
            <v:stroke/>
            <v:imagedata o:title=""/>
            <o:lock v:ext="edit"/>
          </v:line>
        </w:pict>
      </w:r>
      <w:r>
        <w:rPr>
          <w:rFonts w:hint="eastAsia" w:eastAsia="仿宋_GB2312"/>
          <w:bCs/>
          <w:sz w:val="28"/>
          <w:szCs w:val="28"/>
        </w:rPr>
        <w:t>绍兴市</w:t>
      </w:r>
      <w:r>
        <w:rPr>
          <w:rFonts w:eastAsia="仿宋_GB2312"/>
          <w:bCs/>
          <w:sz w:val="28"/>
          <w:szCs w:val="28"/>
        </w:rPr>
        <w:t xml:space="preserve">越城区人民政府办公室    </w:t>
      </w:r>
      <w:r>
        <w:rPr>
          <w:rFonts w:hint="eastAsia" w:eastAsia="仿宋_GB2312"/>
          <w:bCs/>
          <w:sz w:val="28"/>
          <w:szCs w:val="28"/>
        </w:rPr>
        <w:t xml:space="preserve">         </w:t>
      </w:r>
      <w:r>
        <w:rPr>
          <w:rFonts w:eastAsia="仿宋_GB2312"/>
          <w:bCs/>
          <w:sz w:val="28"/>
          <w:szCs w:val="28"/>
        </w:rPr>
        <w:t xml:space="preserve">  2021年</w:t>
      </w:r>
      <w:r>
        <w:rPr>
          <w:rFonts w:hint="eastAsia" w:eastAsia="仿宋_GB2312"/>
          <w:bCs/>
          <w:sz w:val="28"/>
          <w:szCs w:val="28"/>
        </w:rPr>
        <w:t>7</w:t>
      </w:r>
      <w:r>
        <w:rPr>
          <w:rFonts w:eastAsia="仿宋_GB2312"/>
          <w:bCs/>
          <w:sz w:val="28"/>
          <w:szCs w:val="28"/>
        </w:rPr>
        <w:t>月</w:t>
      </w:r>
      <w:r>
        <w:rPr>
          <w:rFonts w:hint="eastAsia" w:eastAsia="仿宋_GB2312"/>
          <w:bCs/>
          <w:sz w:val="28"/>
          <w:szCs w:val="28"/>
        </w:rPr>
        <w:t>8</w:t>
      </w:r>
      <w:r>
        <w:rPr>
          <w:rFonts w:eastAsia="仿宋_GB2312"/>
          <w:bCs/>
          <w:sz w:val="28"/>
          <w:szCs w:val="28"/>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2098" w:left="1588" w:header="851" w:footer="1701"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021" w:h="567" w:wrap="around" w:vAnchor="text" w:hAnchor="margin" w:xAlign="outside" w:y="1"/>
      <w:rPr>
        <w:rStyle w:val="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- 3 -</w:t>
    </w:r>
    <w:r>
      <w:rPr>
        <w:rStyle w:val="8"/>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021" w:h="567" w:wrap="around" w:vAnchor="text" w:hAnchor="margin" w:xAlign="outside" w:y="1"/>
      <w:jc w:val="right"/>
      <w:rPr>
        <w:rStyle w:val="8"/>
        <w:rFonts w:asci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- 4 -</w:t>
    </w:r>
    <w:r>
      <w:rPr>
        <w:rStyle w:val="8"/>
        <w:rFonts w:ascii="宋体" w:hAnsi="宋体"/>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CB61420"/>
    <w:rsid w:val="00017CCA"/>
    <w:rsid w:val="00056CFA"/>
    <w:rsid w:val="00072B4B"/>
    <w:rsid w:val="000B4011"/>
    <w:rsid w:val="000D7405"/>
    <w:rsid w:val="000E57FF"/>
    <w:rsid w:val="0013325C"/>
    <w:rsid w:val="00196953"/>
    <w:rsid w:val="001C4840"/>
    <w:rsid w:val="001F08C1"/>
    <w:rsid w:val="00215B4F"/>
    <w:rsid w:val="0022306C"/>
    <w:rsid w:val="00233428"/>
    <w:rsid w:val="00233D40"/>
    <w:rsid w:val="00255A90"/>
    <w:rsid w:val="002A745A"/>
    <w:rsid w:val="002B6C01"/>
    <w:rsid w:val="0031617D"/>
    <w:rsid w:val="003911AE"/>
    <w:rsid w:val="003C2AEB"/>
    <w:rsid w:val="00422212"/>
    <w:rsid w:val="004710BF"/>
    <w:rsid w:val="005A3050"/>
    <w:rsid w:val="00681F39"/>
    <w:rsid w:val="006B1BF9"/>
    <w:rsid w:val="006C5287"/>
    <w:rsid w:val="0072046C"/>
    <w:rsid w:val="00745C45"/>
    <w:rsid w:val="0075435A"/>
    <w:rsid w:val="007B6478"/>
    <w:rsid w:val="007D3FD1"/>
    <w:rsid w:val="00803EBE"/>
    <w:rsid w:val="00811130"/>
    <w:rsid w:val="00814CD1"/>
    <w:rsid w:val="00815736"/>
    <w:rsid w:val="00815D20"/>
    <w:rsid w:val="00825ACC"/>
    <w:rsid w:val="00826B8D"/>
    <w:rsid w:val="00837C8F"/>
    <w:rsid w:val="00860F64"/>
    <w:rsid w:val="00877266"/>
    <w:rsid w:val="008F1C00"/>
    <w:rsid w:val="0094551C"/>
    <w:rsid w:val="00960A9E"/>
    <w:rsid w:val="009B5A14"/>
    <w:rsid w:val="00A33422"/>
    <w:rsid w:val="00A67C10"/>
    <w:rsid w:val="00B21C35"/>
    <w:rsid w:val="00B30189"/>
    <w:rsid w:val="00B5165C"/>
    <w:rsid w:val="00B61983"/>
    <w:rsid w:val="00B63D5E"/>
    <w:rsid w:val="00B75A34"/>
    <w:rsid w:val="00BD4ECE"/>
    <w:rsid w:val="00BE567F"/>
    <w:rsid w:val="00C651A6"/>
    <w:rsid w:val="00C71027"/>
    <w:rsid w:val="00C8174F"/>
    <w:rsid w:val="00CB70C1"/>
    <w:rsid w:val="00D02F2C"/>
    <w:rsid w:val="00D12EE3"/>
    <w:rsid w:val="00D20F70"/>
    <w:rsid w:val="00D45A4A"/>
    <w:rsid w:val="00D979C0"/>
    <w:rsid w:val="00DD67E0"/>
    <w:rsid w:val="00DE7E8B"/>
    <w:rsid w:val="00E53E7F"/>
    <w:rsid w:val="00F07E9A"/>
    <w:rsid w:val="00F53180"/>
    <w:rsid w:val="00F81284"/>
    <w:rsid w:val="00F95D8A"/>
    <w:rsid w:val="00FA37F9"/>
    <w:rsid w:val="00FD5D5E"/>
    <w:rsid w:val="00FE2E43"/>
    <w:rsid w:val="0CB61420"/>
    <w:rsid w:val="0CF67D73"/>
    <w:rsid w:val="0FBB695B"/>
    <w:rsid w:val="12DD7F58"/>
    <w:rsid w:val="16FD069B"/>
    <w:rsid w:val="183B37B1"/>
    <w:rsid w:val="1FD116A2"/>
    <w:rsid w:val="20E014E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9"/>
    <w:semiHidden/>
    <w:uiPriority w:val="99"/>
    <w:pPr>
      <w:tabs>
        <w:tab w:val="center" w:pos="4153"/>
        <w:tab w:val="right" w:pos="8306"/>
      </w:tabs>
    </w:pPr>
    <w:rPr>
      <w:sz w:val="18"/>
      <w:szCs w:val="18"/>
    </w:rPr>
  </w:style>
  <w:style w:type="paragraph" w:styleId="4">
    <w:name w:val="header"/>
    <w:basedOn w:val="1"/>
    <w:link w:val="10"/>
    <w:semiHidden/>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rPr>
      <w:sz w:val="24"/>
    </w:rPr>
  </w:style>
  <w:style w:type="character" w:styleId="8">
    <w:name w:val="page number"/>
    <w:uiPriority w:val="99"/>
    <w:rPr>
      <w:rFonts w:cs="Times New Roman"/>
    </w:rPr>
  </w:style>
  <w:style w:type="character" w:customStyle="1" w:styleId="9">
    <w:name w:val="页脚 Char"/>
    <w:link w:val="3"/>
    <w:semiHidden/>
    <w:locked/>
    <w:uiPriority w:val="99"/>
    <w:rPr>
      <w:rFonts w:cs="Times New Roman"/>
      <w:sz w:val="18"/>
      <w:szCs w:val="18"/>
    </w:rPr>
  </w:style>
  <w:style w:type="character" w:customStyle="1" w:styleId="10">
    <w:name w:val="页眉 Char"/>
    <w:link w:val="4"/>
    <w:semiHidden/>
    <w:locked/>
    <w:uiPriority w:val="99"/>
    <w:rPr>
      <w:rFonts w:cs="Times New Roman"/>
      <w:sz w:val="18"/>
      <w:szCs w:val="18"/>
    </w:rPr>
  </w:style>
  <w:style w:type="character" w:customStyle="1" w:styleId="11">
    <w:name w:val="fontstyle01"/>
    <w:uiPriority w:val="99"/>
    <w:rPr>
      <w:rFonts w:ascii="黑体" w:hAnsi="黑体" w:eastAsia="黑体"/>
      <w:color w:val="000000"/>
      <w:sz w:val="44"/>
    </w:rPr>
  </w:style>
  <w:style w:type="paragraph" w:customStyle="1" w:styleId="12">
    <w:name w:val="p0"/>
    <w:basedOn w:val="1"/>
    <w:uiPriority w:val="0"/>
    <w:pPr>
      <w:widowControl/>
    </w:pPr>
    <w:rPr>
      <w:kern w:val="0"/>
      <w:szCs w:val="21"/>
    </w:rPr>
  </w:style>
  <w:style w:type="character" w:customStyle="1" w:styleId="13">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38"/>
    <customShpInfo spid="_x0000_s1036"/>
    <customShpInfo spid="_x0000_s1033"/>
    <customShpInfo spid="_x0000_s1035"/>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418</Words>
  <Characters>2383</Characters>
  <Lines>19</Lines>
  <Paragraphs>5</Paragraphs>
  <TotalTime>80</TotalTime>
  <ScaleCrop>false</ScaleCrop>
  <LinksUpToDate>false</LinksUpToDate>
  <CharactersWithSpaces>2796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2020-08-25T07:00:00Z</dcterms:created>
  <dc:creator>JOYCE</dc:creator>
  <cp:lastModifiedBy>－</cp:lastModifiedBy>
  <cp:lastPrinted>2021-07-29T06:05:00Z</cp:lastPrinted>
  <dcterms:modified xsi:type="dcterms:W3CDTF">2022-05-06T01:43:06Z</dcterms:modified>
  <dc:title>越政组〔2020〕23号                       签发人：袁  建</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16DF129BB196426B9A45B8B5183C1426</vt:lpwstr>
  </property>
</Properties>
</file>